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25B8B">
      <w:pPr>
        <w:jc w:val="left"/>
        <w:rPr>
          <w:sz w:val="48"/>
          <w:szCs w:val="48"/>
        </w:rPr>
      </w:pPr>
    </w:p>
    <w:p w14:paraId="4C5B754A">
      <w:pPr>
        <w:jc w:val="left"/>
        <w:rPr>
          <w:sz w:val="48"/>
          <w:szCs w:val="48"/>
        </w:rPr>
      </w:pPr>
    </w:p>
    <w:p w14:paraId="1DCBE67D">
      <w:pPr>
        <w:jc w:val="center"/>
        <w:rPr>
          <w:rFonts w:ascii="Cambria" w:hAnsi="Cambria" w:eastAsia="黑体"/>
          <w:bCs/>
          <w:color w:val="0C1F0E"/>
          <w:sz w:val="52"/>
        </w:rPr>
      </w:pPr>
      <w:r>
        <w:rPr>
          <w:rFonts w:hint="eastAsia" w:ascii="Cambria" w:hAnsi="Cambria" w:eastAsia="黑体"/>
          <w:bCs/>
          <w:color w:val="0C1F0E"/>
          <w:sz w:val="52"/>
        </w:rPr>
        <w:t xml:space="preserve">国际中医技术操作规范  儿科  </w:t>
      </w:r>
    </w:p>
    <w:p w14:paraId="2548B418">
      <w:pPr>
        <w:jc w:val="center"/>
        <w:rPr>
          <w:rFonts w:ascii="Cambria" w:hAnsi="Cambria" w:eastAsia="黑体"/>
          <w:color w:val="0C1F0E"/>
          <w:sz w:val="32"/>
          <w:szCs w:val="32"/>
        </w:rPr>
      </w:pPr>
      <w:r>
        <w:rPr>
          <w:rFonts w:hint="eastAsia" w:ascii="Cambria" w:hAnsi="Cambria" w:eastAsia="黑体"/>
          <w:bCs/>
          <w:color w:val="0C1F0E"/>
          <w:sz w:val="52"/>
        </w:rPr>
        <w:t>第3部分：小儿针灸疗法</w:t>
      </w:r>
    </w:p>
    <w:p w14:paraId="57996089">
      <w:pPr>
        <w:spacing w:before="312" w:beforeLines="100"/>
        <w:jc w:val="center"/>
        <w:rPr>
          <w:rFonts w:ascii="Cambria" w:hAnsi="Cambria" w:eastAsia="黑体"/>
          <w:color w:val="0C1F0E"/>
          <w:sz w:val="36"/>
          <w:szCs w:val="36"/>
        </w:rPr>
      </w:pPr>
      <w:r>
        <w:rPr>
          <w:rFonts w:hint="eastAsia" w:ascii="Cambria" w:hAnsi="Cambria" w:eastAsia="黑体"/>
          <w:color w:val="0C1F0E"/>
          <w:sz w:val="36"/>
          <w:szCs w:val="36"/>
        </w:rPr>
        <w:t xml:space="preserve">International standardized manipulations </w:t>
      </w:r>
    </w:p>
    <w:p w14:paraId="114D6209">
      <w:pPr>
        <w:jc w:val="center"/>
        <w:rPr>
          <w:rFonts w:ascii="Cambria" w:hAnsi="Cambria" w:eastAsia="黑体"/>
          <w:color w:val="0C1F0E"/>
          <w:sz w:val="36"/>
          <w:szCs w:val="36"/>
        </w:rPr>
      </w:pPr>
      <w:r>
        <w:rPr>
          <w:rFonts w:hint="eastAsia" w:ascii="Cambria" w:hAnsi="Cambria" w:eastAsia="黑体"/>
          <w:color w:val="0C1F0E"/>
          <w:sz w:val="36"/>
          <w:szCs w:val="36"/>
        </w:rPr>
        <w:t xml:space="preserve">of Chinese medicine Pediatrics </w:t>
      </w:r>
    </w:p>
    <w:p w14:paraId="4E2C57F4">
      <w:pPr>
        <w:jc w:val="center"/>
        <w:rPr>
          <w:rFonts w:eastAsia="黑体"/>
          <w:sz w:val="48"/>
          <w:szCs w:val="48"/>
        </w:rPr>
      </w:pPr>
      <w:r>
        <w:rPr>
          <w:rFonts w:hint="eastAsia" w:ascii="Cambria" w:hAnsi="Cambria" w:eastAsia="黑体"/>
          <w:color w:val="0C1F0E"/>
          <w:sz w:val="36"/>
          <w:szCs w:val="36"/>
        </w:rPr>
        <w:t xml:space="preserve">Part 3：Acupuncture and Moxibustion </w:t>
      </w:r>
    </w:p>
    <w:p w14:paraId="6D0969E4">
      <w:pPr>
        <w:adjustRightInd w:val="0"/>
        <w:jc w:val="center"/>
        <w:rPr>
          <w:b/>
          <w:sz w:val="44"/>
          <w:szCs w:val="44"/>
        </w:rPr>
      </w:pPr>
    </w:p>
    <w:p w14:paraId="5C437D18">
      <w:pPr>
        <w:jc w:val="center"/>
        <w:rPr>
          <w:b/>
          <w:sz w:val="44"/>
          <w:szCs w:val="44"/>
        </w:rPr>
      </w:pPr>
      <w:r>
        <w:rPr>
          <w:rFonts w:hint="eastAsia"/>
          <w:b/>
          <w:sz w:val="48"/>
          <w:szCs w:val="48"/>
        </w:rPr>
        <w:t>编制说明</w:t>
      </w:r>
    </w:p>
    <w:p w14:paraId="1D45F0AE">
      <w:pPr>
        <w:adjustRightInd w:val="0"/>
        <w:jc w:val="center"/>
        <w:rPr>
          <w:sz w:val="28"/>
          <w:szCs w:val="28"/>
        </w:rPr>
      </w:pPr>
      <w:r>
        <w:rPr>
          <w:rFonts w:ascii="Cambria" w:hAnsi="Cambria" w:eastAsia="汉仪中黑简"/>
          <w:sz w:val="36"/>
          <w:szCs w:val="20"/>
        </w:rPr>
        <w:t>Formulation Explanations</w:t>
      </w:r>
    </w:p>
    <w:p w14:paraId="505848CD">
      <w:pPr>
        <w:adjustRightInd w:val="0"/>
        <w:jc w:val="center"/>
        <w:rPr>
          <w:sz w:val="28"/>
          <w:szCs w:val="28"/>
        </w:rPr>
      </w:pPr>
    </w:p>
    <w:p w14:paraId="0C6FE0A0">
      <w:pPr>
        <w:adjustRightInd w:val="0"/>
        <w:jc w:val="center"/>
        <w:rPr>
          <w:sz w:val="28"/>
          <w:szCs w:val="28"/>
        </w:rPr>
      </w:pPr>
    </w:p>
    <w:p w14:paraId="3E1C5D04">
      <w:pPr>
        <w:widowControl/>
        <w:jc w:val="left"/>
        <w:rPr>
          <w:sz w:val="48"/>
          <w:szCs w:val="48"/>
        </w:rPr>
      </w:pPr>
    </w:p>
    <w:p w14:paraId="608C90C2">
      <w:pPr>
        <w:widowControl/>
        <w:jc w:val="left"/>
        <w:rPr>
          <w:sz w:val="48"/>
          <w:szCs w:val="48"/>
        </w:rPr>
      </w:pPr>
    </w:p>
    <w:p w14:paraId="300CE59D">
      <w:pPr>
        <w:widowControl/>
        <w:jc w:val="left"/>
        <w:rPr>
          <w:sz w:val="48"/>
          <w:szCs w:val="48"/>
        </w:rPr>
      </w:pPr>
    </w:p>
    <w:p w14:paraId="4108D4E8">
      <w:pPr>
        <w:widowControl/>
        <w:jc w:val="left"/>
        <w:rPr>
          <w:sz w:val="48"/>
          <w:szCs w:val="48"/>
        </w:rPr>
      </w:pPr>
    </w:p>
    <w:p w14:paraId="074696F0">
      <w:pPr>
        <w:widowControl/>
        <w:jc w:val="left"/>
        <w:rPr>
          <w:sz w:val="48"/>
          <w:szCs w:val="48"/>
        </w:rPr>
      </w:pPr>
    </w:p>
    <w:p w14:paraId="17677F6B">
      <w:pPr>
        <w:widowControl/>
        <w:jc w:val="left"/>
        <w:rPr>
          <w:sz w:val="48"/>
          <w:szCs w:val="48"/>
        </w:rPr>
      </w:pPr>
    </w:p>
    <w:p w14:paraId="1D539D3F">
      <w:pPr>
        <w:widowControl/>
        <w:jc w:val="left"/>
        <w:rPr>
          <w:sz w:val="48"/>
          <w:szCs w:val="48"/>
        </w:rPr>
      </w:pPr>
    </w:p>
    <w:p w14:paraId="6AE42119">
      <w:pPr>
        <w:widowControl/>
        <w:jc w:val="left"/>
        <w:rPr>
          <w:sz w:val="48"/>
          <w:szCs w:val="48"/>
        </w:rPr>
      </w:pPr>
    </w:p>
    <w:p w14:paraId="380F912D">
      <w:pPr>
        <w:adjustRightInd w:val="0"/>
        <w:spacing w:line="360" w:lineRule="auto"/>
        <w:jc w:val="center"/>
        <w:rPr>
          <w:rFonts w:ascii="仿宋" w:hAnsi="仿宋" w:eastAsia="仿宋"/>
          <w:sz w:val="32"/>
          <w:szCs w:val="32"/>
        </w:rPr>
        <w:sectPr>
          <w:footerReference r:id="rId3" w:type="default"/>
          <w:pgSz w:w="11906" w:h="16838"/>
          <w:pgMar w:top="1418" w:right="1134" w:bottom="1134" w:left="1418" w:header="851" w:footer="992" w:gutter="0"/>
          <w:cols w:space="720" w:num="1"/>
          <w:docGrid w:type="lines" w:linePitch="312" w:charSpace="0"/>
        </w:sectPr>
      </w:pPr>
      <w:r>
        <w:rPr>
          <w:rFonts w:hint="eastAsia" w:ascii="仿宋" w:hAnsi="仿宋" w:eastAsia="仿宋"/>
          <w:sz w:val="32"/>
          <w:szCs w:val="32"/>
        </w:rPr>
        <w:t>二〇二</w:t>
      </w:r>
      <w:r>
        <w:rPr>
          <w:rFonts w:hint="eastAsia" w:ascii="仿宋" w:hAnsi="仿宋" w:eastAsia="仿宋"/>
          <w:sz w:val="32"/>
          <w:szCs w:val="32"/>
          <w:lang w:val="en-US" w:eastAsia="zh-CN"/>
        </w:rPr>
        <w:t>五</w:t>
      </w:r>
      <w:r>
        <w:rPr>
          <w:rFonts w:hint="eastAsia" w:ascii="仿宋" w:hAnsi="仿宋" w:eastAsia="仿宋"/>
          <w:sz w:val="32"/>
          <w:szCs w:val="32"/>
        </w:rPr>
        <w:t>年</w:t>
      </w:r>
      <w:r>
        <w:rPr>
          <w:rFonts w:hint="eastAsia" w:ascii="仿宋" w:hAnsi="仿宋" w:eastAsia="仿宋"/>
          <w:sz w:val="32"/>
          <w:szCs w:val="32"/>
          <w:lang w:val="en-US" w:eastAsia="zh-CN"/>
        </w:rPr>
        <w:t>十二</w:t>
      </w:r>
      <w:r>
        <w:rPr>
          <w:rFonts w:hint="eastAsia" w:ascii="仿宋" w:hAnsi="仿宋" w:eastAsia="仿宋"/>
          <w:sz w:val="32"/>
          <w:szCs w:val="32"/>
        </w:rPr>
        <w:t>月</w:t>
      </w:r>
    </w:p>
    <w:p w14:paraId="411338F2">
      <w:pPr>
        <w:adjustRightInd w:val="0"/>
        <w:spacing w:before="640" w:after="560" w:line="460" w:lineRule="exact"/>
        <w:jc w:val="center"/>
        <w:rPr>
          <w:rFonts w:ascii="宋体" w:hAnsi="宋体"/>
          <w:b/>
          <w:sz w:val="36"/>
          <w:szCs w:val="36"/>
        </w:rPr>
      </w:pPr>
      <w:r>
        <w:rPr>
          <w:rFonts w:ascii="宋体" w:hAnsi="宋体"/>
          <w:b/>
          <w:sz w:val="36"/>
          <w:szCs w:val="36"/>
        </w:rPr>
        <w:t>目</w:t>
      </w:r>
      <w:r>
        <w:rPr>
          <w:rFonts w:hint="eastAsia" w:ascii="宋体" w:hAnsi="宋体"/>
          <w:b/>
          <w:sz w:val="36"/>
          <w:szCs w:val="36"/>
        </w:rPr>
        <w:t xml:space="preserve">  </w:t>
      </w:r>
      <w:r>
        <w:rPr>
          <w:rFonts w:ascii="宋体" w:hAnsi="宋体"/>
          <w:b/>
          <w:sz w:val="36"/>
          <w:szCs w:val="36"/>
        </w:rPr>
        <w:t xml:space="preserve">  录</w:t>
      </w:r>
    </w:p>
    <w:sdt>
      <w:sdtPr>
        <w:rPr>
          <w:rFonts w:ascii="宋体" w:hAnsi="宋体"/>
        </w:rPr>
        <w:id w:val="147460858"/>
        <w15:color w:val="DBDBDB"/>
        <w:docPartObj>
          <w:docPartGallery w:val="Table of Contents"/>
          <w:docPartUnique/>
        </w:docPartObj>
      </w:sdtPr>
      <w:sdtEndPr>
        <w:rPr>
          <w:rFonts w:ascii="Calibri" w:hAnsi="Calibri"/>
        </w:rPr>
      </w:sdtEndPr>
      <w:sdtContent>
        <w:p w14:paraId="6E78BD53">
          <w:pPr>
            <w:jc w:val="center"/>
            <w:rPr>
              <w:rFonts w:ascii="宋体" w:hAnsi="宋体"/>
              <w:b/>
              <w:sz w:val="36"/>
              <w:szCs w:val="36"/>
            </w:rPr>
          </w:pPr>
        </w:p>
        <w:p w14:paraId="5741E7E7">
          <w:pPr>
            <w:pStyle w:val="9"/>
            <w:tabs>
              <w:tab w:val="right" w:leader="dot" w:pos="8306"/>
            </w:tabs>
            <w:spacing w:line="360" w:lineRule="auto"/>
            <w:rPr>
              <w:rFonts w:ascii="宋体" w:hAnsi="宋体" w:cs="宋体"/>
            </w:rPr>
          </w:pPr>
          <w:r>
            <w:fldChar w:fldCharType="begin"/>
          </w:r>
          <w:r>
            <w:instrText xml:space="preserve">TOC \o "1-1" \h \u </w:instrText>
          </w:r>
          <w:r>
            <w:fldChar w:fldCharType="separate"/>
          </w:r>
          <w:r>
            <w:fldChar w:fldCharType="begin"/>
          </w:r>
          <w:r>
            <w:instrText xml:space="preserve"> HYPERLINK \l "_Toc31906" </w:instrText>
          </w:r>
          <w:r>
            <w:fldChar w:fldCharType="separate"/>
          </w:r>
          <w:r>
            <w:rPr>
              <w:rFonts w:hint="eastAsia" w:ascii="宋体" w:hAnsi="宋体" w:cs="宋体"/>
              <w:bCs/>
              <w:szCs w:val="24"/>
            </w:rPr>
            <w:t>一、工作简况</w:t>
          </w:r>
          <w:r>
            <w:rPr>
              <w:rFonts w:hint="eastAsia" w:ascii="宋体" w:hAnsi="宋体" w:cs="宋体"/>
            </w:rPr>
            <w:tab/>
          </w:r>
          <w:r>
            <w:rPr>
              <w:rFonts w:hint="eastAsia" w:ascii="宋体" w:hAnsi="宋体" w:cs="宋体"/>
              <w:lang w:val="en-US" w:eastAsia="zh-CN"/>
            </w:rPr>
            <w:t>1</w:t>
          </w:r>
          <w:r>
            <w:rPr>
              <w:rFonts w:hint="eastAsia" w:ascii="宋体" w:hAnsi="宋体" w:cs="宋体"/>
            </w:rPr>
            <w:fldChar w:fldCharType="end"/>
          </w:r>
        </w:p>
        <w:p w14:paraId="08C5C7BF">
          <w:pPr>
            <w:pStyle w:val="9"/>
            <w:tabs>
              <w:tab w:val="right" w:leader="dot" w:pos="8306"/>
            </w:tabs>
            <w:spacing w:line="360" w:lineRule="auto"/>
            <w:rPr>
              <w:rFonts w:ascii="宋体" w:hAnsi="宋体" w:cs="宋体"/>
            </w:rPr>
          </w:pPr>
          <w:r>
            <w:fldChar w:fldCharType="begin"/>
          </w:r>
          <w:r>
            <w:instrText xml:space="preserve"> HYPERLINK \l "_Toc23545" </w:instrText>
          </w:r>
          <w:r>
            <w:fldChar w:fldCharType="separate"/>
          </w:r>
          <w:r>
            <w:rPr>
              <w:rFonts w:hint="eastAsia" w:ascii="宋体" w:hAnsi="宋体" w:cs="宋体"/>
              <w:bCs/>
              <w:szCs w:val="24"/>
            </w:rPr>
            <w:t>二、标准编制原则和确定标准主要内容的论据</w:t>
          </w:r>
          <w:r>
            <w:rPr>
              <w:rFonts w:hint="eastAsia" w:ascii="宋体" w:hAnsi="宋体" w:cs="宋体"/>
            </w:rPr>
            <w:tab/>
          </w:r>
          <w:r>
            <w:rPr>
              <w:rFonts w:hint="eastAsia" w:ascii="宋体" w:hAnsi="宋体" w:cs="宋体"/>
              <w:lang w:val="en-US" w:eastAsia="zh-CN"/>
            </w:rPr>
            <w:t>7</w:t>
          </w:r>
          <w:r>
            <w:rPr>
              <w:rFonts w:hint="eastAsia" w:ascii="宋体" w:hAnsi="宋体" w:cs="宋体"/>
            </w:rPr>
            <w:fldChar w:fldCharType="end"/>
          </w:r>
        </w:p>
        <w:p w14:paraId="1E444E82">
          <w:pPr>
            <w:pStyle w:val="9"/>
            <w:tabs>
              <w:tab w:val="right" w:leader="dot" w:pos="8306"/>
            </w:tabs>
            <w:spacing w:line="360" w:lineRule="auto"/>
            <w:rPr>
              <w:rFonts w:ascii="宋体" w:hAnsi="宋体" w:cs="宋体"/>
            </w:rPr>
          </w:pPr>
          <w:r>
            <w:fldChar w:fldCharType="begin"/>
          </w:r>
          <w:r>
            <w:instrText xml:space="preserve"> HYPERLINK \l "_Toc5377" </w:instrText>
          </w:r>
          <w:r>
            <w:fldChar w:fldCharType="separate"/>
          </w:r>
          <w:r>
            <w:rPr>
              <w:rFonts w:hint="eastAsia" w:ascii="宋体" w:hAnsi="宋体" w:cs="宋体"/>
              <w:bCs/>
              <w:szCs w:val="24"/>
            </w:rPr>
            <w:t>三、与相关法律、法规和标准的关系</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_Toc5377 \h </w:instrText>
          </w:r>
          <w:r>
            <w:rPr>
              <w:rFonts w:hint="eastAsia" w:ascii="宋体" w:hAnsi="宋体" w:cs="宋体"/>
            </w:rPr>
            <w:fldChar w:fldCharType="separate"/>
          </w:r>
          <w:r>
            <w:rPr>
              <w:rFonts w:hint="eastAsia" w:ascii="宋体" w:hAnsi="宋体" w:cs="宋体"/>
            </w:rPr>
            <w:t>1</w:t>
          </w:r>
          <w:r>
            <w:rPr>
              <w:rFonts w:hint="eastAsia" w:ascii="宋体" w:hAnsi="宋体" w:cs="宋体"/>
              <w:lang w:val="en-US" w:eastAsia="zh-CN"/>
            </w:rPr>
            <w:t>1</w:t>
          </w:r>
          <w:r>
            <w:rPr>
              <w:rFonts w:hint="eastAsia" w:ascii="宋体" w:hAnsi="宋体" w:cs="宋体"/>
            </w:rPr>
            <w:fldChar w:fldCharType="end"/>
          </w:r>
          <w:r>
            <w:rPr>
              <w:rFonts w:hint="eastAsia" w:ascii="宋体" w:hAnsi="宋体" w:cs="宋体"/>
            </w:rPr>
            <w:fldChar w:fldCharType="end"/>
          </w:r>
        </w:p>
        <w:p w14:paraId="52D4AC70">
          <w:pPr>
            <w:pStyle w:val="9"/>
            <w:tabs>
              <w:tab w:val="right" w:leader="dot" w:pos="8306"/>
            </w:tabs>
            <w:spacing w:line="360" w:lineRule="auto"/>
            <w:rPr>
              <w:rFonts w:ascii="宋体" w:hAnsi="宋体" w:cs="宋体"/>
            </w:rPr>
          </w:pPr>
          <w:r>
            <w:fldChar w:fldCharType="begin"/>
          </w:r>
          <w:r>
            <w:instrText xml:space="preserve"> HYPERLINK \l "_Toc20720" </w:instrText>
          </w:r>
          <w:r>
            <w:fldChar w:fldCharType="separate"/>
          </w:r>
          <w:r>
            <w:rPr>
              <w:rFonts w:hint="eastAsia" w:ascii="宋体" w:hAnsi="宋体" w:cs="宋体"/>
              <w:bCs/>
              <w:szCs w:val="24"/>
            </w:rPr>
            <w:t>四、重大分析意见的处理经过和依据</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_Toc20720 \h </w:instrText>
          </w:r>
          <w:r>
            <w:rPr>
              <w:rFonts w:hint="eastAsia" w:ascii="宋体" w:hAnsi="宋体" w:cs="宋体"/>
            </w:rPr>
            <w:fldChar w:fldCharType="separate"/>
          </w:r>
          <w:r>
            <w:rPr>
              <w:rFonts w:hint="eastAsia" w:ascii="宋体" w:hAnsi="宋体" w:cs="宋体"/>
            </w:rPr>
            <w:t>1</w:t>
          </w:r>
          <w:r>
            <w:rPr>
              <w:rFonts w:hint="eastAsia" w:ascii="宋体" w:hAnsi="宋体" w:cs="宋体"/>
              <w:lang w:val="en-US" w:eastAsia="zh-CN"/>
            </w:rPr>
            <w:t>3</w:t>
          </w:r>
          <w:r>
            <w:rPr>
              <w:rFonts w:hint="eastAsia" w:ascii="宋体" w:hAnsi="宋体" w:cs="宋体"/>
            </w:rPr>
            <w:fldChar w:fldCharType="end"/>
          </w:r>
          <w:r>
            <w:rPr>
              <w:rFonts w:hint="eastAsia" w:ascii="宋体" w:hAnsi="宋体" w:cs="宋体"/>
            </w:rPr>
            <w:fldChar w:fldCharType="end"/>
          </w:r>
        </w:p>
        <w:p w14:paraId="5E52840D">
          <w:pPr>
            <w:pStyle w:val="9"/>
            <w:tabs>
              <w:tab w:val="right" w:leader="dot" w:pos="8306"/>
            </w:tabs>
            <w:spacing w:line="360" w:lineRule="auto"/>
            <w:rPr>
              <w:rFonts w:ascii="宋体" w:hAnsi="宋体" w:cs="宋体"/>
            </w:rPr>
          </w:pPr>
          <w:r>
            <w:fldChar w:fldCharType="begin"/>
          </w:r>
          <w:r>
            <w:instrText xml:space="preserve"> HYPERLINK \l "_Toc25468" </w:instrText>
          </w:r>
          <w:r>
            <w:fldChar w:fldCharType="separate"/>
          </w:r>
          <w:r>
            <w:rPr>
              <w:rFonts w:hint="eastAsia" w:ascii="宋体" w:hAnsi="宋体" w:cs="宋体"/>
              <w:bCs/>
              <w:szCs w:val="24"/>
            </w:rPr>
            <w:t>五、作为国际组织标准的建议</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_Toc25468 \h </w:instrText>
          </w:r>
          <w:r>
            <w:rPr>
              <w:rFonts w:hint="eastAsia" w:ascii="宋体" w:hAnsi="宋体" w:cs="宋体"/>
            </w:rPr>
            <w:fldChar w:fldCharType="separate"/>
          </w:r>
          <w:r>
            <w:rPr>
              <w:rFonts w:hint="eastAsia" w:ascii="宋体" w:hAnsi="宋体" w:cs="宋体"/>
            </w:rPr>
            <w:t>1</w:t>
          </w:r>
          <w:r>
            <w:rPr>
              <w:rFonts w:hint="eastAsia" w:ascii="宋体" w:hAnsi="宋体" w:cs="宋体"/>
              <w:lang w:val="en-US" w:eastAsia="zh-CN"/>
            </w:rPr>
            <w:t>6</w:t>
          </w:r>
          <w:r>
            <w:rPr>
              <w:rFonts w:hint="eastAsia" w:ascii="宋体" w:hAnsi="宋体" w:cs="宋体"/>
            </w:rPr>
            <w:fldChar w:fldCharType="end"/>
          </w:r>
          <w:r>
            <w:rPr>
              <w:rFonts w:hint="eastAsia" w:ascii="宋体" w:hAnsi="宋体" w:cs="宋体"/>
            </w:rPr>
            <w:fldChar w:fldCharType="end"/>
          </w:r>
        </w:p>
        <w:p w14:paraId="676EB0E3">
          <w:pPr>
            <w:pStyle w:val="9"/>
            <w:tabs>
              <w:tab w:val="right" w:leader="dot" w:pos="8306"/>
            </w:tabs>
            <w:spacing w:line="360" w:lineRule="auto"/>
            <w:rPr>
              <w:rFonts w:ascii="宋体" w:hAnsi="宋体" w:cs="宋体"/>
            </w:rPr>
          </w:pPr>
          <w:r>
            <w:fldChar w:fldCharType="begin"/>
          </w:r>
          <w:r>
            <w:instrText xml:space="preserve"> HYPERLINK \l "_Toc9856" </w:instrText>
          </w:r>
          <w:r>
            <w:fldChar w:fldCharType="separate"/>
          </w:r>
          <w:r>
            <w:rPr>
              <w:rFonts w:hint="eastAsia" w:ascii="宋体" w:hAnsi="宋体" w:cs="宋体"/>
              <w:bCs/>
              <w:szCs w:val="24"/>
            </w:rPr>
            <w:t>六、贯彻标准的要求和措施建议</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_Toc9856 \h </w:instrText>
          </w:r>
          <w:r>
            <w:rPr>
              <w:rFonts w:hint="eastAsia" w:ascii="宋体" w:hAnsi="宋体" w:cs="宋体"/>
            </w:rPr>
            <w:fldChar w:fldCharType="separate"/>
          </w:r>
          <w:r>
            <w:rPr>
              <w:rFonts w:hint="eastAsia" w:ascii="宋体" w:hAnsi="宋体" w:cs="宋体"/>
            </w:rPr>
            <w:t>1</w:t>
          </w:r>
          <w:r>
            <w:rPr>
              <w:rFonts w:hint="eastAsia" w:ascii="宋体" w:hAnsi="宋体" w:cs="宋体"/>
              <w:lang w:val="en-US" w:eastAsia="zh-CN"/>
            </w:rPr>
            <w:t>7</w:t>
          </w:r>
          <w:r>
            <w:rPr>
              <w:rFonts w:hint="eastAsia" w:ascii="宋体" w:hAnsi="宋体" w:cs="宋体"/>
            </w:rPr>
            <w:fldChar w:fldCharType="end"/>
          </w:r>
          <w:r>
            <w:rPr>
              <w:rFonts w:hint="eastAsia" w:ascii="宋体" w:hAnsi="宋体" w:cs="宋体"/>
            </w:rPr>
            <w:fldChar w:fldCharType="end"/>
          </w:r>
        </w:p>
        <w:p w14:paraId="1C8CBC29">
          <w:pPr>
            <w:pStyle w:val="9"/>
            <w:tabs>
              <w:tab w:val="right" w:leader="dot" w:pos="8306"/>
            </w:tabs>
            <w:spacing w:line="360" w:lineRule="auto"/>
            <w:rPr>
              <w:rFonts w:ascii="宋体" w:hAnsi="宋体" w:cs="宋体"/>
            </w:rPr>
          </w:pPr>
          <w:r>
            <w:fldChar w:fldCharType="begin"/>
          </w:r>
          <w:r>
            <w:instrText xml:space="preserve"> HYPERLINK \l "_Toc17513" </w:instrText>
          </w:r>
          <w:r>
            <w:fldChar w:fldCharType="separate"/>
          </w:r>
          <w:r>
            <w:rPr>
              <w:rFonts w:hint="eastAsia" w:ascii="宋体" w:hAnsi="宋体" w:cs="宋体"/>
              <w:bCs/>
              <w:szCs w:val="24"/>
            </w:rPr>
            <w:t>七、应用时的促进和阻碍因素</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_Toc17513 \h </w:instrText>
          </w:r>
          <w:r>
            <w:rPr>
              <w:rFonts w:hint="eastAsia" w:ascii="宋体" w:hAnsi="宋体" w:cs="宋体"/>
            </w:rPr>
            <w:fldChar w:fldCharType="separate"/>
          </w:r>
          <w:r>
            <w:rPr>
              <w:rFonts w:hint="eastAsia" w:ascii="宋体" w:hAnsi="宋体" w:cs="宋体"/>
            </w:rPr>
            <w:t>1</w:t>
          </w:r>
          <w:r>
            <w:rPr>
              <w:rFonts w:hint="eastAsia" w:ascii="宋体" w:hAnsi="宋体" w:cs="宋体"/>
              <w:lang w:val="en-US" w:eastAsia="zh-CN"/>
            </w:rPr>
            <w:t>7</w:t>
          </w:r>
          <w:r>
            <w:rPr>
              <w:rFonts w:hint="eastAsia" w:ascii="宋体" w:hAnsi="宋体" w:cs="宋体"/>
            </w:rPr>
            <w:fldChar w:fldCharType="end"/>
          </w:r>
          <w:r>
            <w:rPr>
              <w:rFonts w:hint="eastAsia" w:ascii="宋体" w:hAnsi="宋体" w:cs="宋体"/>
            </w:rPr>
            <w:fldChar w:fldCharType="end"/>
          </w:r>
        </w:p>
        <w:p w14:paraId="30D43C95">
          <w:pPr>
            <w:pStyle w:val="9"/>
            <w:tabs>
              <w:tab w:val="right" w:leader="dot" w:pos="8306"/>
            </w:tabs>
            <w:spacing w:line="360" w:lineRule="auto"/>
            <w:rPr>
              <w:rFonts w:ascii="宋体" w:hAnsi="宋体" w:cs="宋体"/>
            </w:rPr>
          </w:pPr>
          <w:r>
            <w:fldChar w:fldCharType="begin"/>
          </w:r>
          <w:r>
            <w:instrText xml:space="preserve"> HYPERLINK \l "_Toc28929" </w:instrText>
          </w:r>
          <w:r>
            <w:fldChar w:fldCharType="separate"/>
          </w:r>
          <w:r>
            <w:rPr>
              <w:rFonts w:hint="eastAsia" w:ascii="宋体" w:hAnsi="宋体" w:cs="宋体"/>
              <w:bCs/>
              <w:szCs w:val="24"/>
            </w:rPr>
            <w:t>八、应当说明的其他事项</w:t>
          </w:r>
          <w:r>
            <w:rPr>
              <w:rFonts w:hint="eastAsia" w:ascii="宋体" w:hAnsi="宋体" w:cs="宋体"/>
            </w:rPr>
            <w:tab/>
          </w:r>
          <w:r>
            <w:rPr>
              <w:rFonts w:hint="eastAsia" w:ascii="宋体" w:hAnsi="宋体" w:cs="宋体"/>
              <w:lang w:val="en-US" w:eastAsia="zh-CN"/>
            </w:rPr>
            <w:t>17</w:t>
          </w:r>
          <w:r>
            <w:rPr>
              <w:rFonts w:hint="eastAsia" w:ascii="宋体" w:hAnsi="宋体" w:cs="宋体"/>
            </w:rPr>
            <w:fldChar w:fldCharType="end"/>
          </w:r>
        </w:p>
        <w:p w14:paraId="0DA50B87">
          <w:pPr>
            <w:pStyle w:val="9"/>
            <w:tabs>
              <w:tab w:val="right" w:leader="dot" w:pos="8306"/>
            </w:tabs>
            <w:spacing w:line="360" w:lineRule="auto"/>
            <w:rPr>
              <w:rFonts w:hint="eastAsia" w:ascii="宋体" w:hAnsi="宋体" w:eastAsia="宋体" w:cs="宋体"/>
              <w:lang w:val="en-US" w:eastAsia="zh-CN"/>
            </w:rPr>
          </w:pPr>
          <w:r>
            <w:rPr>
              <w:rFonts w:hint="eastAsia" w:ascii="宋体" w:hAnsi="宋体" w:cs="宋体"/>
            </w:rPr>
            <w:t xml:space="preserve">附件1  </w:t>
          </w:r>
          <w:r>
            <w:fldChar w:fldCharType="begin"/>
          </w:r>
          <w:r>
            <w:instrText xml:space="preserve"> HYPERLINK \l "_Toc26294" </w:instrText>
          </w:r>
          <w:r>
            <w:fldChar w:fldCharType="separate"/>
          </w:r>
          <w:r>
            <w:rPr>
              <w:rFonts w:hint="eastAsia" w:ascii="宋体" w:hAnsi="宋体" w:cs="宋体"/>
              <w:bCs/>
              <w:szCs w:val="36"/>
            </w:rPr>
            <w:t>专家调查问卷报告</w:t>
          </w:r>
          <w:r>
            <w:rPr>
              <w:rFonts w:hint="eastAsia" w:ascii="宋体" w:hAnsi="宋体" w:cs="宋体"/>
            </w:rPr>
            <w:tab/>
          </w:r>
          <w:r>
            <w:rPr>
              <w:rFonts w:hint="eastAsia" w:ascii="宋体" w:hAnsi="宋体" w:cs="宋体"/>
              <w:lang w:val="en-US" w:eastAsia="zh-CN"/>
            </w:rPr>
            <w:t>1</w:t>
          </w:r>
          <w:r>
            <w:rPr>
              <w:rFonts w:hint="eastAsia" w:ascii="宋体" w:hAnsi="宋体" w:cs="宋体"/>
            </w:rPr>
            <w:fldChar w:fldCharType="end"/>
          </w:r>
          <w:r>
            <w:rPr>
              <w:rFonts w:hint="eastAsia" w:ascii="宋体" w:hAnsi="宋体" w:cs="宋体"/>
              <w:lang w:val="en-US" w:eastAsia="zh-CN"/>
            </w:rPr>
            <w:t>8</w:t>
          </w:r>
        </w:p>
        <w:p w14:paraId="0A0A0D29">
          <w:pPr>
            <w:pStyle w:val="9"/>
            <w:tabs>
              <w:tab w:val="right" w:leader="dot" w:pos="8306"/>
            </w:tabs>
            <w:spacing w:line="360" w:lineRule="auto"/>
            <w:rPr>
              <w:rFonts w:hint="eastAsia" w:ascii="宋体" w:hAnsi="宋体" w:eastAsia="宋体" w:cs="宋体"/>
              <w:lang w:val="en-US" w:eastAsia="zh-CN"/>
            </w:rPr>
          </w:pPr>
          <w:r>
            <w:rPr>
              <w:rFonts w:hint="eastAsia" w:ascii="宋体" w:hAnsi="宋体" w:cs="宋体"/>
            </w:rPr>
            <w:t xml:space="preserve">附件2  </w:t>
          </w:r>
          <w:r>
            <w:fldChar w:fldCharType="begin"/>
          </w:r>
          <w:r>
            <w:instrText xml:space="preserve"> HYPERLINK \l "_Toc10190" </w:instrText>
          </w:r>
          <w:r>
            <w:fldChar w:fldCharType="separate"/>
          </w:r>
          <w:r>
            <w:rPr>
              <w:rFonts w:hint="eastAsia" w:ascii="宋体" w:hAnsi="宋体" w:cs="宋体"/>
              <w:bCs/>
              <w:szCs w:val="36"/>
            </w:rPr>
            <w:t>专家论证会会议纪要</w:t>
          </w:r>
          <w:r>
            <w:rPr>
              <w:rFonts w:hint="eastAsia" w:ascii="宋体" w:hAnsi="宋体" w:cs="宋体"/>
            </w:rPr>
            <w:tab/>
          </w:r>
          <w:r>
            <w:rPr>
              <w:rFonts w:hint="eastAsia" w:ascii="宋体" w:hAnsi="宋体" w:cs="宋体"/>
              <w:lang w:val="en-US" w:eastAsia="zh-CN"/>
            </w:rPr>
            <w:t>4</w:t>
          </w:r>
          <w:r>
            <w:rPr>
              <w:rFonts w:hint="eastAsia" w:ascii="宋体" w:hAnsi="宋体" w:cs="宋体"/>
            </w:rPr>
            <w:fldChar w:fldCharType="end"/>
          </w:r>
          <w:r>
            <w:rPr>
              <w:rFonts w:hint="eastAsia" w:ascii="宋体" w:hAnsi="宋体" w:cs="宋体"/>
              <w:lang w:val="en-US" w:eastAsia="zh-CN"/>
            </w:rPr>
            <w:t>8</w:t>
          </w:r>
        </w:p>
        <w:p w14:paraId="13059127">
          <w:pPr>
            <w:pStyle w:val="9"/>
            <w:tabs>
              <w:tab w:val="right" w:leader="dot" w:pos="8306"/>
            </w:tabs>
            <w:spacing w:line="360" w:lineRule="auto"/>
          </w:pPr>
          <w:r>
            <w:rPr>
              <w:rFonts w:hint="eastAsia" w:ascii="宋体" w:hAnsi="宋体" w:cs="宋体"/>
            </w:rPr>
            <w:t xml:space="preserve">附件3  </w:t>
          </w:r>
          <w:r>
            <w:fldChar w:fldCharType="begin"/>
          </w:r>
          <w:r>
            <w:instrText xml:space="preserve"> HYPERLINK \l "_Toc32719" </w:instrText>
          </w:r>
          <w:r>
            <w:fldChar w:fldCharType="separate"/>
          </w:r>
          <w:r>
            <w:rPr>
              <w:rFonts w:hint="eastAsia" w:ascii="宋体" w:hAnsi="宋体" w:cs="宋体"/>
              <w:bCs/>
              <w:szCs w:val="36"/>
            </w:rPr>
            <w:t>专家指导组审核总结</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_Toc32719 \h </w:instrText>
          </w:r>
          <w:r>
            <w:rPr>
              <w:rFonts w:hint="eastAsia" w:ascii="宋体" w:hAnsi="宋体" w:cs="宋体"/>
            </w:rPr>
            <w:fldChar w:fldCharType="separate"/>
          </w:r>
          <w:r>
            <w:rPr>
              <w:rFonts w:hint="eastAsia" w:ascii="宋体" w:hAnsi="宋体" w:cs="宋体"/>
            </w:rPr>
            <w:t>5</w:t>
          </w:r>
          <w:r>
            <w:rPr>
              <w:rFonts w:hint="eastAsia" w:ascii="宋体" w:hAnsi="宋体" w:cs="宋体"/>
              <w:lang w:val="en-US" w:eastAsia="zh-CN"/>
            </w:rPr>
            <w:t>6</w:t>
          </w:r>
          <w:r>
            <w:rPr>
              <w:rFonts w:hint="eastAsia" w:ascii="宋体" w:hAnsi="宋体" w:cs="宋体"/>
            </w:rPr>
            <w:fldChar w:fldCharType="end"/>
          </w:r>
          <w:r>
            <w:rPr>
              <w:rFonts w:hint="eastAsia" w:ascii="宋体" w:hAnsi="宋体" w:cs="宋体"/>
            </w:rPr>
            <w:fldChar w:fldCharType="end"/>
          </w:r>
        </w:p>
        <w:p w14:paraId="64BFEFE0">
          <w:r>
            <w:fldChar w:fldCharType="end"/>
          </w:r>
        </w:p>
      </w:sdtContent>
    </w:sdt>
    <w:p w14:paraId="799DF456"/>
    <w:p w14:paraId="6F5C6238">
      <w:pPr>
        <w:spacing w:after="93" w:afterLines="30"/>
        <w:jc w:val="center"/>
        <w:rPr>
          <w:rFonts w:hint="eastAsia" w:ascii="仿宋_GB2312" w:hAnsi="宋体" w:cs="宋体"/>
          <w:b/>
          <w:bCs/>
          <w:kern w:val="0"/>
          <w:sz w:val="36"/>
          <w:szCs w:val="36"/>
        </w:rPr>
        <w:sectPr>
          <w:footerReference r:id="rId4" w:type="default"/>
          <w:pgSz w:w="11906" w:h="16838"/>
          <w:pgMar w:top="1440" w:right="1800" w:bottom="1440" w:left="1800" w:header="851" w:footer="992" w:gutter="0"/>
          <w:cols w:space="425" w:num="1"/>
          <w:docGrid w:type="lines" w:linePitch="312" w:charSpace="0"/>
        </w:sectPr>
      </w:pPr>
    </w:p>
    <w:p w14:paraId="24294372">
      <w:pPr>
        <w:spacing w:after="93" w:afterLines="30"/>
        <w:jc w:val="center"/>
        <w:rPr>
          <w:rFonts w:ascii="仿宋_GB2312" w:hAnsi="宋体" w:cs="宋体"/>
          <w:b/>
          <w:bCs/>
          <w:kern w:val="0"/>
          <w:sz w:val="36"/>
          <w:szCs w:val="36"/>
        </w:rPr>
      </w:pPr>
      <w:r>
        <w:rPr>
          <w:rFonts w:hint="eastAsia" w:ascii="仿宋_GB2312" w:hAnsi="宋体" w:cs="宋体"/>
          <w:b/>
          <w:bCs/>
          <w:kern w:val="0"/>
          <w:sz w:val="36"/>
          <w:szCs w:val="36"/>
        </w:rPr>
        <w:t xml:space="preserve">国际中医技术操作规范  儿科  </w:t>
      </w:r>
    </w:p>
    <w:p w14:paraId="5C24F92B">
      <w:pPr>
        <w:spacing w:after="312" w:afterLines="100"/>
        <w:jc w:val="center"/>
        <w:rPr>
          <w:rFonts w:ascii="仿宋_GB2312" w:hAnsi="宋体" w:cs="宋体"/>
          <w:b/>
          <w:bCs/>
          <w:kern w:val="0"/>
          <w:sz w:val="36"/>
          <w:szCs w:val="36"/>
        </w:rPr>
      </w:pPr>
      <w:r>
        <w:rPr>
          <w:rFonts w:hint="eastAsia" w:ascii="仿宋_GB2312" w:hAnsi="宋体" w:cs="宋体"/>
          <w:b/>
          <w:bCs/>
          <w:kern w:val="0"/>
          <w:sz w:val="36"/>
          <w:szCs w:val="36"/>
        </w:rPr>
        <w:t>第3部分：小儿针灸疗法</w:t>
      </w:r>
    </w:p>
    <w:p w14:paraId="61E0E334">
      <w:pPr>
        <w:spacing w:after="312" w:afterLines="100"/>
        <w:jc w:val="center"/>
        <w:rPr>
          <w:rFonts w:ascii="仿宋_GB2312" w:hAnsi="宋体" w:cs="宋体"/>
          <w:b/>
          <w:bCs/>
          <w:kern w:val="0"/>
          <w:sz w:val="36"/>
          <w:szCs w:val="36"/>
        </w:rPr>
      </w:pPr>
      <w:r>
        <w:rPr>
          <w:rFonts w:hint="eastAsia" w:ascii="仿宋_GB2312" w:hAnsi="宋体" w:cs="宋体"/>
          <w:b/>
          <w:bCs/>
          <w:kern w:val="0"/>
          <w:sz w:val="36"/>
          <w:szCs w:val="36"/>
        </w:rPr>
        <w:t>编制说明</w:t>
      </w:r>
    </w:p>
    <w:p w14:paraId="42ADAE85">
      <w:pPr>
        <w:spacing w:line="400" w:lineRule="exact"/>
        <w:ind w:firstLine="480" w:firstLineChars="200"/>
        <w:rPr>
          <w:rFonts w:ascii="仿宋" w:hAnsi="仿宋" w:eastAsia="仿宋"/>
          <w:sz w:val="24"/>
          <w:szCs w:val="24"/>
        </w:rPr>
      </w:pPr>
      <w:r>
        <w:rPr>
          <w:rFonts w:hint="eastAsia" w:ascii="仿宋" w:hAnsi="仿宋" w:eastAsia="仿宋"/>
          <w:sz w:val="24"/>
          <w:szCs w:val="24"/>
        </w:rPr>
        <w:t>《国际中医技术操作规范 儿科 第3部分：小儿针灸疗法》项目于2025年9月由世界中医药学会联合会国际标准制修订项目正式立项，南京中医药大学附属医院承担。2025年4月，世界中医药学会联合会（世界中联）启动将《国际中医技术操作规范 儿科 第3部分：小儿针灸疗法》国家标准转化为国际组织标准的工作，于2025年4月底成立了小儿针灸疗法项目工作组，成员来自中国（包括中国台湾）、新加坡、澳大利亚、越南、加拿大、马来西亚等国家和地区。项目工作组按照统一要求，开展了文献研究、专家问卷调查、专家论证会等工作，并在多次系统分析研究的基础上，按照世界中医药学会联合会国际标准化文件编写规则，完成了起草阶段工作，形成了《国际中医技术操作规范 儿科 第3部分：小儿针灸疗法》的专家指导组审核稿，包括：范围、规范性引用文件、术语和定义、</w:t>
      </w:r>
      <w:r>
        <w:fldChar w:fldCharType="begin"/>
      </w:r>
      <w:r>
        <w:instrText xml:space="preserve"> HYPERLINK \l "_Toc31929" </w:instrText>
      </w:r>
      <w:r>
        <w:fldChar w:fldCharType="separate"/>
      </w:r>
      <w:r>
        <w:rPr>
          <w:rFonts w:hint="eastAsia" w:ascii="仿宋" w:hAnsi="仿宋" w:eastAsia="仿宋"/>
          <w:sz w:val="24"/>
          <w:szCs w:val="24"/>
        </w:rPr>
        <w:t>小儿毫针疗法操作步骤与要求、</w:t>
      </w:r>
      <w:r>
        <w:rPr>
          <w:rFonts w:hint="eastAsia" w:ascii="仿宋" w:hAnsi="仿宋" w:eastAsia="仿宋"/>
          <w:sz w:val="24"/>
          <w:szCs w:val="24"/>
        </w:rPr>
        <w:fldChar w:fldCharType="end"/>
      </w:r>
      <w:r>
        <w:fldChar w:fldCharType="begin"/>
      </w:r>
      <w:r>
        <w:instrText xml:space="preserve"> HYPERLINK \l "_Toc2652" </w:instrText>
      </w:r>
      <w:r>
        <w:fldChar w:fldCharType="separate"/>
      </w:r>
      <w:r>
        <w:rPr>
          <w:rFonts w:hint="eastAsia" w:ascii="仿宋" w:hAnsi="仿宋" w:eastAsia="仿宋"/>
          <w:sz w:val="24"/>
          <w:szCs w:val="24"/>
        </w:rPr>
        <w:t>小儿三棱针疗法操作步骤与要求</w:t>
      </w:r>
      <w:r>
        <w:rPr>
          <w:rFonts w:hint="eastAsia" w:ascii="仿宋" w:hAnsi="仿宋" w:eastAsia="仿宋"/>
          <w:sz w:val="24"/>
          <w:szCs w:val="24"/>
        </w:rPr>
        <w:fldChar w:fldCharType="end"/>
      </w:r>
      <w:r>
        <w:fldChar w:fldCharType="begin"/>
      </w:r>
      <w:r>
        <w:instrText xml:space="preserve"> HYPERLINK \l "_Toc1645" </w:instrText>
      </w:r>
      <w:r>
        <w:fldChar w:fldCharType="separate"/>
      </w:r>
      <w:r>
        <w:rPr>
          <w:rFonts w:hint="eastAsia" w:ascii="仿宋" w:hAnsi="仿宋" w:eastAsia="仿宋"/>
          <w:sz w:val="24"/>
          <w:szCs w:val="24"/>
        </w:rPr>
        <w:t>、刺四缝疗法操作步骤与要求、</w:t>
      </w:r>
      <w:r>
        <w:rPr>
          <w:rFonts w:hint="eastAsia" w:ascii="仿宋" w:hAnsi="仿宋" w:eastAsia="仿宋"/>
          <w:sz w:val="24"/>
          <w:szCs w:val="24"/>
        </w:rPr>
        <w:fldChar w:fldCharType="end"/>
      </w:r>
      <w:r>
        <w:fldChar w:fldCharType="begin"/>
      </w:r>
      <w:r>
        <w:instrText xml:space="preserve"> HYPERLINK \l "_Toc11582" </w:instrText>
      </w:r>
      <w:r>
        <w:fldChar w:fldCharType="separate"/>
      </w:r>
      <w:r>
        <w:rPr>
          <w:rFonts w:hint="eastAsia" w:ascii="仿宋" w:hAnsi="仿宋" w:eastAsia="仿宋"/>
          <w:sz w:val="24"/>
          <w:szCs w:val="24"/>
        </w:rPr>
        <w:t>小儿艾灸疗法操作步骤与要求</w:t>
      </w:r>
      <w:r>
        <w:rPr>
          <w:rFonts w:hint="eastAsia" w:ascii="仿宋" w:hAnsi="仿宋" w:eastAsia="仿宋"/>
          <w:sz w:val="24"/>
          <w:szCs w:val="24"/>
        </w:rPr>
        <w:fldChar w:fldCharType="end"/>
      </w:r>
      <w:r>
        <w:fldChar w:fldCharType="begin"/>
      </w:r>
      <w:r>
        <w:instrText xml:space="preserve"> HYPERLINK \l "_Toc2545" </w:instrText>
      </w:r>
      <w:r>
        <w:fldChar w:fldCharType="separate"/>
      </w:r>
      <w:r>
        <w:rPr>
          <w:rFonts w:hint="eastAsia" w:ascii="仿宋" w:hAnsi="仿宋" w:eastAsia="仿宋"/>
          <w:sz w:val="24"/>
          <w:szCs w:val="24"/>
        </w:rPr>
        <w:t>、注意事项和禁忌</w:t>
      </w:r>
      <w:r>
        <w:rPr>
          <w:rFonts w:hint="eastAsia" w:ascii="仿宋" w:hAnsi="仿宋" w:eastAsia="仿宋"/>
          <w:sz w:val="24"/>
          <w:szCs w:val="24"/>
        </w:rPr>
        <w:fldChar w:fldCharType="end"/>
      </w:r>
      <w:r>
        <w:rPr>
          <w:rFonts w:hint="eastAsia" w:ascii="仿宋" w:hAnsi="仿宋" w:eastAsia="仿宋"/>
          <w:sz w:val="24"/>
          <w:szCs w:val="24"/>
        </w:rPr>
        <w:t>、附录及参考文献等部分。经专家指导组审核通过后，形成送审稿，于2025年12月提交世界中医药学会联合会国际标准部组织审查。</w:t>
      </w:r>
    </w:p>
    <w:p w14:paraId="156E7127">
      <w:pPr>
        <w:spacing w:line="400" w:lineRule="exact"/>
        <w:ind w:firstLine="480" w:firstLineChars="200"/>
        <w:rPr>
          <w:rFonts w:ascii="仿宋" w:hAnsi="仿宋" w:eastAsia="仿宋"/>
          <w:sz w:val="24"/>
          <w:szCs w:val="24"/>
        </w:rPr>
      </w:pPr>
      <w:r>
        <w:rPr>
          <w:rFonts w:hint="eastAsia" w:ascii="仿宋" w:hAnsi="仿宋" w:eastAsia="仿宋"/>
          <w:sz w:val="24"/>
          <w:szCs w:val="24"/>
        </w:rPr>
        <w:t>现就《国际中医技术操作规范 儿科 第3部分：小儿针灸疗法》编制情况作如下说明。</w:t>
      </w:r>
    </w:p>
    <w:p w14:paraId="3851F6C5">
      <w:pPr>
        <w:keepNext/>
        <w:keepLines/>
        <w:spacing w:line="400" w:lineRule="exact"/>
        <w:outlineLvl w:val="0"/>
        <w:rPr>
          <w:rFonts w:ascii="黑体" w:hAnsi="黑体" w:eastAsia="黑体"/>
          <w:b/>
          <w:bCs/>
          <w:sz w:val="24"/>
          <w:szCs w:val="24"/>
        </w:rPr>
      </w:pPr>
      <w:bookmarkStart w:id="0" w:name="_Toc31906"/>
      <w:r>
        <w:rPr>
          <w:rFonts w:hint="eastAsia" w:ascii="黑体" w:hAnsi="黑体" w:eastAsia="黑体"/>
          <w:b/>
          <w:bCs/>
          <w:sz w:val="24"/>
          <w:szCs w:val="24"/>
        </w:rPr>
        <w:t>一、工作简况</w:t>
      </w:r>
      <w:bookmarkEnd w:id="0"/>
    </w:p>
    <w:p w14:paraId="63ECCB94">
      <w:pPr>
        <w:spacing w:line="400" w:lineRule="exact"/>
        <w:rPr>
          <w:rFonts w:ascii="仿宋" w:hAnsi="仿宋" w:eastAsia="仿宋"/>
          <w:sz w:val="24"/>
          <w:szCs w:val="24"/>
        </w:rPr>
      </w:pPr>
      <w:r>
        <w:rPr>
          <w:rFonts w:hint="eastAsia" w:ascii="仿宋" w:hAnsi="仿宋" w:eastAsia="仿宋"/>
          <w:b/>
          <w:sz w:val="24"/>
          <w:szCs w:val="24"/>
        </w:rPr>
        <w:t xml:space="preserve">（一）任务来源 </w:t>
      </w:r>
    </w:p>
    <w:p w14:paraId="07F51AC3">
      <w:pPr>
        <w:spacing w:line="400" w:lineRule="exact"/>
        <w:ind w:firstLine="480" w:firstLineChars="200"/>
        <w:rPr>
          <w:rFonts w:ascii="仿宋" w:hAnsi="仿宋" w:eastAsia="仿宋"/>
          <w:sz w:val="24"/>
          <w:szCs w:val="24"/>
        </w:rPr>
      </w:pPr>
      <w:r>
        <w:rPr>
          <w:rFonts w:hint="eastAsia" w:ascii="仿宋" w:hAnsi="仿宋" w:eastAsia="仿宋"/>
          <w:sz w:val="24"/>
          <w:szCs w:val="24"/>
        </w:rPr>
        <w:t>2021年11月国家标准化管理委员会发布《中医技术操作规范 儿科 第3部分：小儿针灸疗法》（GB/Z 40893.3-2021），作为指导性技术文件。该标准旨在进一步规范儿科针灸的操作步骤与要求，并明确注意事项与禁忌，为全球中医儿科医师提供安全、规范的操作指南，促进中医儿科临床技术操作的标准化和国际化应用。2025年4月，世界中联计划将该国家标准转化为国际组织标准。照SCM 1.1-2021《标准化工作导则  第1部分：标准制修订与发布》要求，在世界中医药学会联合会国际标准部及专家指导组指导下，于2025年4月底成立了《国际中医技术操作规范 儿科 第3部分：小儿针灸疗法》项目工作组，成员来自中国（包括中国台湾）、新加坡、澳大利亚、越南、加拿大、马来西亚6个国家。2025年9月，本项目作为世界中联国际标准制修订项目正式立项，项目承担及起草单位为南京中医药大学附属医院，项目负责人赵霞，项目计划2025年年底完成。</w:t>
      </w:r>
    </w:p>
    <w:p w14:paraId="259E1265">
      <w:pPr>
        <w:spacing w:line="400" w:lineRule="exact"/>
        <w:ind w:firstLine="420"/>
        <w:rPr>
          <w:rFonts w:ascii="仿宋" w:hAnsi="仿宋" w:eastAsia="仿宋"/>
          <w:sz w:val="24"/>
          <w:szCs w:val="24"/>
        </w:rPr>
      </w:pPr>
      <w:r>
        <w:rPr>
          <w:rFonts w:hint="eastAsia" w:ascii="仿宋" w:hAnsi="仿宋" w:eastAsia="仿宋"/>
          <w:sz w:val="24"/>
          <w:szCs w:val="24"/>
        </w:rPr>
        <w:t>本标准的转化工作由世界中医药学会联合会统一指导、管理和监督，由国内多名中医、中西医结合儿科专家提供技术指导，世界中联国际标准部负责项目执行督导，确保标准研制符合世界中医药学会联合会国际标准制修订管理办法等相关规范。</w:t>
      </w:r>
    </w:p>
    <w:p w14:paraId="554716A4">
      <w:pPr>
        <w:spacing w:line="400" w:lineRule="exact"/>
        <w:rPr>
          <w:rFonts w:ascii="仿宋" w:hAnsi="仿宋" w:eastAsia="仿宋"/>
          <w:sz w:val="24"/>
          <w:szCs w:val="24"/>
        </w:rPr>
      </w:pPr>
      <w:r>
        <w:rPr>
          <w:rFonts w:hint="eastAsia" w:ascii="仿宋" w:hAnsi="仿宋" w:eastAsia="仿宋"/>
          <w:b/>
          <w:sz w:val="24"/>
          <w:szCs w:val="24"/>
        </w:rPr>
        <w:t>（二）起草单位</w:t>
      </w:r>
    </w:p>
    <w:p w14:paraId="6F7DABC7">
      <w:pPr>
        <w:spacing w:line="400" w:lineRule="exact"/>
        <w:ind w:firstLine="480" w:firstLineChars="200"/>
        <w:rPr>
          <w:rFonts w:ascii="仿宋" w:hAnsi="仿宋" w:eastAsia="仿宋"/>
          <w:sz w:val="24"/>
          <w:szCs w:val="24"/>
        </w:rPr>
      </w:pPr>
      <w:r>
        <w:rPr>
          <w:rFonts w:hint="eastAsia" w:ascii="仿宋" w:hAnsi="仿宋" w:eastAsia="仿宋"/>
          <w:sz w:val="24"/>
          <w:szCs w:val="24"/>
        </w:rPr>
        <w:t>主要起草单位：南京中医药大学附属医院。</w:t>
      </w:r>
    </w:p>
    <w:p w14:paraId="6C4EFE34">
      <w:pPr>
        <w:spacing w:line="400" w:lineRule="exact"/>
        <w:ind w:firstLine="480" w:firstLineChars="200"/>
        <w:rPr>
          <w:rFonts w:ascii="仿宋" w:hAnsi="仿宋" w:eastAsia="仿宋"/>
          <w:sz w:val="24"/>
          <w:szCs w:val="24"/>
        </w:rPr>
      </w:pPr>
      <w:r>
        <w:rPr>
          <w:rFonts w:hint="eastAsia" w:ascii="仿宋" w:hAnsi="仿宋" w:eastAsia="仿宋"/>
          <w:sz w:val="24"/>
          <w:szCs w:val="24"/>
        </w:rPr>
        <w:t>参与起草单位：新加坡中医研究院、马来西亚拉曼大学、澳大利亚奋进自然健康学院、加拿大太平洋中医学院、厦门长庚医院。</w:t>
      </w:r>
    </w:p>
    <w:p w14:paraId="05459B73">
      <w:pPr>
        <w:spacing w:line="400" w:lineRule="exact"/>
        <w:rPr>
          <w:rFonts w:ascii="仿宋" w:hAnsi="仿宋" w:eastAsia="仿宋"/>
          <w:sz w:val="24"/>
          <w:szCs w:val="24"/>
        </w:rPr>
      </w:pPr>
      <w:r>
        <w:rPr>
          <w:rFonts w:hint="eastAsia" w:ascii="仿宋" w:hAnsi="仿宋" w:eastAsia="仿宋"/>
          <w:b/>
          <w:sz w:val="24"/>
          <w:szCs w:val="24"/>
        </w:rPr>
        <w:t>（三）标准起草相关专家</w:t>
      </w:r>
    </w:p>
    <w:p w14:paraId="7D32227A">
      <w:pPr>
        <w:ind w:firstLine="480" w:firstLineChars="200"/>
        <w:rPr>
          <w:rFonts w:ascii="仿宋" w:hAnsi="仿宋" w:eastAsia="仿宋" w:cs="Calibri"/>
          <w:sz w:val="24"/>
          <w:szCs w:val="24"/>
        </w:rPr>
      </w:pPr>
      <w:r>
        <w:rPr>
          <w:rFonts w:hint="eastAsia" w:ascii="仿宋" w:hAnsi="仿宋" w:eastAsia="仿宋" w:cs="Calibri"/>
          <w:sz w:val="24"/>
          <w:szCs w:val="24"/>
        </w:rPr>
        <w:t>本指南在儿科专家指导组的指导下编制。起草人员根据参与情况，分为主要起草人、参加起草人（以上为项目工作组成员）和咨询论证专家。相关人员信息及所做工作如下。</w:t>
      </w:r>
    </w:p>
    <w:p w14:paraId="73591250">
      <w:pPr>
        <w:spacing w:line="400" w:lineRule="exact"/>
        <w:rPr>
          <w:rFonts w:ascii="仿宋" w:hAnsi="仿宋" w:eastAsia="仿宋"/>
          <w:b/>
          <w:sz w:val="24"/>
          <w:szCs w:val="24"/>
        </w:rPr>
      </w:pPr>
      <w:r>
        <w:rPr>
          <w:rFonts w:ascii="仿宋" w:hAnsi="仿宋" w:eastAsia="仿宋"/>
          <w:b/>
          <w:sz w:val="24"/>
          <w:szCs w:val="24"/>
        </w:rPr>
        <w:t xml:space="preserve">1  </w:t>
      </w:r>
      <w:r>
        <w:rPr>
          <w:rFonts w:hint="eastAsia" w:ascii="仿宋" w:hAnsi="仿宋" w:eastAsia="仿宋"/>
          <w:b/>
          <w:sz w:val="24"/>
          <w:szCs w:val="24"/>
        </w:rPr>
        <w:t>主要起草人</w:t>
      </w:r>
    </w:p>
    <w:tbl>
      <w:tblPr>
        <w:tblStyle w:val="12"/>
        <w:tblW w:w="9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851"/>
        <w:gridCol w:w="1275"/>
        <w:gridCol w:w="2156"/>
        <w:gridCol w:w="3983"/>
      </w:tblGrid>
      <w:tr w14:paraId="197B4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vAlign w:val="center"/>
          </w:tcPr>
          <w:p w14:paraId="354A654A">
            <w:pPr>
              <w:jc w:val="center"/>
              <w:rPr>
                <w:rFonts w:ascii="仿宋" w:hAnsi="仿宋" w:eastAsia="仿宋"/>
                <w:szCs w:val="21"/>
              </w:rPr>
            </w:pPr>
            <w:r>
              <w:rPr>
                <w:rFonts w:hint="eastAsia" w:ascii="仿宋" w:hAnsi="仿宋" w:eastAsia="仿宋"/>
                <w:szCs w:val="21"/>
              </w:rPr>
              <w:t>姓</w:t>
            </w:r>
            <w:r>
              <w:rPr>
                <w:rFonts w:ascii="仿宋" w:hAnsi="仿宋" w:eastAsia="仿宋"/>
                <w:szCs w:val="21"/>
              </w:rPr>
              <w:t xml:space="preserve">  </w:t>
            </w:r>
            <w:r>
              <w:rPr>
                <w:rFonts w:hint="eastAsia" w:ascii="仿宋" w:hAnsi="仿宋" w:eastAsia="仿宋"/>
                <w:szCs w:val="21"/>
              </w:rPr>
              <w:t>名</w:t>
            </w:r>
          </w:p>
        </w:tc>
        <w:tc>
          <w:tcPr>
            <w:tcW w:w="851" w:type="dxa"/>
            <w:vAlign w:val="center"/>
          </w:tcPr>
          <w:p w14:paraId="31A18C1F">
            <w:pPr>
              <w:jc w:val="center"/>
              <w:rPr>
                <w:rFonts w:ascii="仿宋" w:hAnsi="仿宋" w:eastAsia="仿宋"/>
                <w:szCs w:val="21"/>
              </w:rPr>
            </w:pPr>
            <w:r>
              <w:rPr>
                <w:rFonts w:hint="eastAsia" w:ascii="仿宋" w:hAnsi="仿宋" w:eastAsia="仿宋"/>
                <w:szCs w:val="21"/>
              </w:rPr>
              <w:t>学位</w:t>
            </w:r>
          </w:p>
        </w:tc>
        <w:tc>
          <w:tcPr>
            <w:tcW w:w="1275" w:type="dxa"/>
            <w:vAlign w:val="center"/>
          </w:tcPr>
          <w:p w14:paraId="29B2606E">
            <w:pPr>
              <w:jc w:val="center"/>
              <w:rPr>
                <w:rFonts w:ascii="仿宋" w:hAnsi="仿宋" w:eastAsia="仿宋"/>
                <w:szCs w:val="21"/>
              </w:rPr>
            </w:pPr>
            <w:r>
              <w:rPr>
                <w:rFonts w:hint="eastAsia" w:ascii="仿宋" w:hAnsi="仿宋" w:eastAsia="仿宋"/>
                <w:szCs w:val="21"/>
              </w:rPr>
              <w:t>职  称</w:t>
            </w:r>
          </w:p>
        </w:tc>
        <w:tc>
          <w:tcPr>
            <w:tcW w:w="2156" w:type="dxa"/>
            <w:vAlign w:val="center"/>
          </w:tcPr>
          <w:p w14:paraId="0D91240E">
            <w:pPr>
              <w:jc w:val="center"/>
              <w:rPr>
                <w:rFonts w:ascii="仿宋" w:hAnsi="仿宋" w:eastAsia="仿宋"/>
                <w:szCs w:val="21"/>
              </w:rPr>
            </w:pPr>
            <w:r>
              <w:rPr>
                <w:rFonts w:hint="eastAsia" w:ascii="仿宋" w:hAnsi="仿宋" w:eastAsia="仿宋"/>
              </w:rPr>
              <w:t>单  位</w:t>
            </w:r>
          </w:p>
        </w:tc>
        <w:tc>
          <w:tcPr>
            <w:tcW w:w="3983" w:type="dxa"/>
            <w:vAlign w:val="center"/>
          </w:tcPr>
          <w:p w14:paraId="6EE5EAC1">
            <w:pPr>
              <w:ind w:right="-134" w:rightChars="-64"/>
              <w:jc w:val="center"/>
              <w:rPr>
                <w:rFonts w:ascii="仿宋" w:hAnsi="仿宋" w:eastAsia="仿宋"/>
                <w:szCs w:val="21"/>
              </w:rPr>
            </w:pPr>
            <w:r>
              <w:rPr>
                <w:rFonts w:hint="eastAsia" w:ascii="仿宋" w:hAnsi="仿宋" w:eastAsia="仿宋"/>
                <w:szCs w:val="21"/>
              </w:rPr>
              <w:t>承担工作</w:t>
            </w:r>
          </w:p>
        </w:tc>
      </w:tr>
      <w:tr w14:paraId="51F3A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vAlign w:val="center"/>
          </w:tcPr>
          <w:p w14:paraId="5E5F01C1">
            <w:pPr>
              <w:jc w:val="center"/>
              <w:rPr>
                <w:rFonts w:ascii="仿宋" w:hAnsi="仿宋" w:eastAsia="仿宋"/>
                <w:szCs w:val="21"/>
              </w:rPr>
            </w:pPr>
            <w:r>
              <w:rPr>
                <w:rFonts w:hint="eastAsia" w:ascii="仿宋" w:hAnsi="仿宋" w:eastAsia="仿宋"/>
                <w:szCs w:val="21"/>
              </w:rPr>
              <w:t>赵  霞</w:t>
            </w:r>
          </w:p>
        </w:tc>
        <w:tc>
          <w:tcPr>
            <w:tcW w:w="851" w:type="dxa"/>
            <w:vAlign w:val="center"/>
          </w:tcPr>
          <w:p w14:paraId="278CEC3C">
            <w:pPr>
              <w:jc w:val="center"/>
              <w:rPr>
                <w:rFonts w:ascii="仿宋" w:hAnsi="仿宋" w:eastAsia="仿宋"/>
                <w:szCs w:val="21"/>
              </w:rPr>
            </w:pPr>
            <w:r>
              <w:rPr>
                <w:rFonts w:hint="eastAsia" w:ascii="仿宋" w:hAnsi="仿宋" w:eastAsia="仿宋"/>
                <w:szCs w:val="21"/>
              </w:rPr>
              <w:t>博士</w:t>
            </w:r>
          </w:p>
        </w:tc>
        <w:tc>
          <w:tcPr>
            <w:tcW w:w="1275" w:type="dxa"/>
            <w:vAlign w:val="center"/>
          </w:tcPr>
          <w:p w14:paraId="3705E366">
            <w:pPr>
              <w:jc w:val="left"/>
              <w:rPr>
                <w:rFonts w:ascii="仿宋" w:hAnsi="仿宋" w:eastAsia="仿宋"/>
                <w:szCs w:val="21"/>
              </w:rPr>
            </w:pPr>
            <w:r>
              <w:rPr>
                <w:rFonts w:hint="eastAsia" w:ascii="仿宋" w:hAnsi="仿宋" w:eastAsia="仿宋"/>
                <w:szCs w:val="21"/>
              </w:rPr>
              <w:t>教授、主任中医师，博导</w:t>
            </w:r>
          </w:p>
        </w:tc>
        <w:tc>
          <w:tcPr>
            <w:tcW w:w="2156" w:type="dxa"/>
            <w:vAlign w:val="center"/>
          </w:tcPr>
          <w:p w14:paraId="2681CBA6">
            <w:pPr>
              <w:jc w:val="left"/>
              <w:rPr>
                <w:rFonts w:ascii="仿宋" w:hAnsi="仿宋" w:eastAsia="仿宋"/>
              </w:rPr>
            </w:pPr>
            <w:r>
              <w:rPr>
                <w:rFonts w:hint="eastAsia" w:ascii="仿宋" w:hAnsi="仿宋" w:eastAsia="仿宋"/>
              </w:rPr>
              <w:t>南京中医药大学</w:t>
            </w:r>
          </w:p>
          <w:p w14:paraId="0C78FE88">
            <w:pPr>
              <w:jc w:val="left"/>
              <w:rPr>
                <w:rFonts w:ascii="仿宋" w:hAnsi="仿宋" w:eastAsia="仿宋"/>
                <w:szCs w:val="21"/>
              </w:rPr>
            </w:pPr>
            <w:r>
              <w:rPr>
                <w:rFonts w:hint="eastAsia" w:ascii="仿宋" w:hAnsi="仿宋" w:eastAsia="仿宋"/>
              </w:rPr>
              <w:t>附属医院</w:t>
            </w:r>
          </w:p>
        </w:tc>
        <w:tc>
          <w:tcPr>
            <w:tcW w:w="3983" w:type="dxa"/>
            <w:vAlign w:val="center"/>
          </w:tcPr>
          <w:p w14:paraId="49B02EBD">
            <w:pPr>
              <w:jc w:val="left"/>
              <w:rPr>
                <w:rFonts w:ascii="仿宋" w:hAnsi="仿宋" w:eastAsia="仿宋"/>
                <w:szCs w:val="21"/>
              </w:rPr>
            </w:pPr>
            <w:r>
              <w:rPr>
                <w:rFonts w:hint="eastAsia" w:ascii="仿宋" w:hAnsi="仿宋" w:eastAsia="仿宋"/>
                <w:szCs w:val="21"/>
              </w:rPr>
              <w:t>《国际中医技术操作规范  儿科  第3部分：小儿针灸疗法》编制负责人，参与起草、修改草案，组织申报、实施、总结。</w:t>
            </w:r>
          </w:p>
        </w:tc>
      </w:tr>
      <w:tr w14:paraId="007EB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shd w:val="clear" w:color="auto" w:fill="auto"/>
            <w:vAlign w:val="center"/>
          </w:tcPr>
          <w:p w14:paraId="713E35EB">
            <w:pPr>
              <w:jc w:val="center"/>
              <w:rPr>
                <w:rFonts w:hint="eastAsia" w:ascii="仿宋" w:hAnsi="仿宋" w:eastAsia="仿宋" w:cs="Times New Roman"/>
                <w:kern w:val="2"/>
                <w:sz w:val="21"/>
                <w:szCs w:val="21"/>
                <w:lang w:val="en-US" w:eastAsia="zh-CN" w:bidi="ar-SA"/>
              </w:rPr>
            </w:pPr>
            <w:r>
              <w:rPr>
                <w:rFonts w:hint="eastAsia" w:ascii="仿宋" w:hAnsi="仿宋" w:eastAsia="仿宋"/>
                <w:szCs w:val="21"/>
              </w:rPr>
              <w:t>单祎文</w:t>
            </w:r>
          </w:p>
        </w:tc>
        <w:tc>
          <w:tcPr>
            <w:tcW w:w="851" w:type="dxa"/>
            <w:shd w:val="clear" w:color="auto" w:fill="auto"/>
            <w:vAlign w:val="center"/>
          </w:tcPr>
          <w:p w14:paraId="45C0DB0D">
            <w:pPr>
              <w:jc w:val="center"/>
              <w:rPr>
                <w:rFonts w:hint="eastAsia" w:ascii="仿宋" w:hAnsi="仿宋" w:eastAsia="仿宋" w:cs="Times New Roman"/>
                <w:kern w:val="2"/>
                <w:sz w:val="21"/>
                <w:szCs w:val="21"/>
                <w:lang w:val="en-US" w:eastAsia="zh-CN" w:bidi="ar-SA"/>
              </w:rPr>
            </w:pPr>
            <w:r>
              <w:rPr>
                <w:rFonts w:hint="eastAsia" w:ascii="仿宋" w:hAnsi="仿宋" w:eastAsia="仿宋"/>
                <w:szCs w:val="21"/>
              </w:rPr>
              <w:t>博士</w:t>
            </w:r>
          </w:p>
        </w:tc>
        <w:tc>
          <w:tcPr>
            <w:tcW w:w="1275" w:type="dxa"/>
            <w:shd w:val="clear" w:color="auto" w:fill="auto"/>
            <w:vAlign w:val="center"/>
          </w:tcPr>
          <w:p w14:paraId="131AF7D3">
            <w:pPr>
              <w:jc w:val="left"/>
              <w:rPr>
                <w:rFonts w:hint="eastAsia" w:ascii="仿宋" w:hAnsi="仿宋" w:eastAsia="仿宋" w:cs="Times New Roman"/>
                <w:kern w:val="0"/>
                <w:sz w:val="21"/>
                <w:szCs w:val="21"/>
                <w:lang w:val="en-US" w:eastAsia="zh-CN" w:bidi="ar-SA"/>
              </w:rPr>
            </w:pPr>
            <w:r>
              <w:rPr>
                <w:rFonts w:hint="eastAsia" w:ascii="仿宋" w:hAnsi="仿宋" w:eastAsia="仿宋"/>
                <w:kern w:val="0"/>
                <w:szCs w:val="21"/>
              </w:rPr>
              <w:t>讲师</w:t>
            </w:r>
          </w:p>
        </w:tc>
        <w:tc>
          <w:tcPr>
            <w:tcW w:w="2156" w:type="dxa"/>
            <w:shd w:val="clear" w:color="auto" w:fill="auto"/>
            <w:vAlign w:val="center"/>
          </w:tcPr>
          <w:p w14:paraId="791A82F8">
            <w:pPr>
              <w:jc w:val="left"/>
              <w:rPr>
                <w:rFonts w:hint="eastAsia" w:ascii="仿宋" w:hAnsi="仿宋" w:eastAsia="仿宋" w:cs="Times New Roman"/>
                <w:kern w:val="2"/>
                <w:sz w:val="21"/>
                <w:szCs w:val="21"/>
                <w:lang w:val="en-US" w:eastAsia="zh-CN" w:bidi="ar-SA"/>
              </w:rPr>
            </w:pPr>
            <w:r>
              <w:rPr>
                <w:rFonts w:hint="eastAsia" w:ascii="仿宋" w:hAnsi="仿宋" w:eastAsia="仿宋"/>
                <w:szCs w:val="21"/>
              </w:rPr>
              <w:t>南京中医药大学</w:t>
            </w:r>
          </w:p>
        </w:tc>
        <w:tc>
          <w:tcPr>
            <w:tcW w:w="3983" w:type="dxa"/>
            <w:shd w:val="clear" w:color="auto" w:fill="auto"/>
            <w:vAlign w:val="center"/>
          </w:tcPr>
          <w:p w14:paraId="20A3CE91">
            <w:pPr>
              <w:jc w:val="left"/>
              <w:rPr>
                <w:rFonts w:hint="eastAsia" w:ascii="仿宋" w:hAnsi="仿宋" w:eastAsia="仿宋" w:cs="Times New Roman"/>
                <w:kern w:val="2"/>
                <w:sz w:val="21"/>
                <w:szCs w:val="21"/>
                <w:lang w:val="en-US" w:eastAsia="zh-CN" w:bidi="ar-SA"/>
              </w:rPr>
            </w:pPr>
            <w:r>
              <w:rPr>
                <w:rFonts w:hint="eastAsia" w:ascii="仿宋" w:hAnsi="仿宋" w:eastAsia="仿宋"/>
                <w:szCs w:val="21"/>
              </w:rPr>
              <w:t>参与文献研究。</w:t>
            </w:r>
            <w:r>
              <w:rPr>
                <w:rFonts w:ascii="仿宋" w:hAnsi="仿宋" w:eastAsia="仿宋"/>
                <w:szCs w:val="21"/>
              </w:rPr>
              <w:t>参加</w:t>
            </w:r>
            <w:r>
              <w:rPr>
                <w:rFonts w:hint="eastAsia" w:ascii="仿宋" w:hAnsi="仿宋" w:eastAsia="仿宋"/>
                <w:szCs w:val="21"/>
              </w:rPr>
              <w:t>《国际中医技术操作规范  儿科  第3部分：小儿针灸疗法》起草、修改，起草编制说明，参与工作讨论等。</w:t>
            </w:r>
          </w:p>
        </w:tc>
      </w:tr>
      <w:tr w14:paraId="6C7D2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984" w:type="dxa"/>
            <w:shd w:val="clear" w:color="auto" w:fill="auto"/>
            <w:vAlign w:val="center"/>
          </w:tcPr>
          <w:p w14:paraId="0B889D68">
            <w:pPr>
              <w:jc w:val="center"/>
              <w:rPr>
                <w:rFonts w:ascii="仿宋" w:hAnsi="仿宋" w:eastAsia="仿宋"/>
                <w:szCs w:val="21"/>
              </w:rPr>
            </w:pPr>
            <w:r>
              <w:rPr>
                <w:rFonts w:ascii="仿宋" w:hAnsi="仿宋" w:eastAsia="仿宋"/>
                <w:szCs w:val="21"/>
              </w:rPr>
              <w:t>倪光夏</w:t>
            </w:r>
          </w:p>
        </w:tc>
        <w:tc>
          <w:tcPr>
            <w:tcW w:w="851" w:type="dxa"/>
            <w:vAlign w:val="center"/>
          </w:tcPr>
          <w:p w14:paraId="0964F611">
            <w:pPr>
              <w:jc w:val="center"/>
              <w:rPr>
                <w:rFonts w:ascii="仿宋" w:hAnsi="仿宋" w:eastAsia="仿宋"/>
                <w:szCs w:val="21"/>
              </w:rPr>
            </w:pPr>
            <w:r>
              <w:rPr>
                <w:rFonts w:hint="eastAsia" w:ascii="仿宋" w:hAnsi="仿宋" w:eastAsia="仿宋"/>
                <w:szCs w:val="21"/>
              </w:rPr>
              <w:t>博士</w:t>
            </w:r>
          </w:p>
        </w:tc>
        <w:tc>
          <w:tcPr>
            <w:tcW w:w="1275" w:type="dxa"/>
            <w:vAlign w:val="center"/>
          </w:tcPr>
          <w:p w14:paraId="7395BD6A">
            <w:pPr>
              <w:jc w:val="center"/>
              <w:rPr>
                <w:rFonts w:ascii="仿宋" w:hAnsi="仿宋" w:eastAsia="仿宋"/>
                <w:szCs w:val="21"/>
              </w:rPr>
            </w:pPr>
            <w:r>
              <w:rPr>
                <w:rFonts w:hint="eastAsia" w:ascii="仿宋" w:hAnsi="仿宋" w:eastAsia="仿宋"/>
                <w:szCs w:val="21"/>
              </w:rPr>
              <w:t>教授、主任中医师，博导</w:t>
            </w:r>
          </w:p>
        </w:tc>
        <w:tc>
          <w:tcPr>
            <w:tcW w:w="2156" w:type="dxa"/>
            <w:shd w:val="clear" w:color="auto" w:fill="auto"/>
            <w:vAlign w:val="center"/>
          </w:tcPr>
          <w:p w14:paraId="33509A14">
            <w:pPr>
              <w:jc w:val="center"/>
              <w:rPr>
                <w:rFonts w:ascii="仿宋" w:hAnsi="仿宋" w:eastAsia="仿宋"/>
                <w:szCs w:val="21"/>
              </w:rPr>
            </w:pPr>
            <w:r>
              <w:rPr>
                <w:rFonts w:hint="eastAsia" w:ascii="仿宋" w:hAnsi="仿宋" w:eastAsia="仿宋"/>
                <w:szCs w:val="21"/>
              </w:rPr>
              <w:t>南京中医药大学</w:t>
            </w:r>
          </w:p>
        </w:tc>
        <w:tc>
          <w:tcPr>
            <w:tcW w:w="3983" w:type="dxa"/>
            <w:vAlign w:val="center"/>
          </w:tcPr>
          <w:p w14:paraId="37024849">
            <w:pPr>
              <w:jc w:val="left"/>
              <w:rPr>
                <w:rFonts w:ascii="仿宋" w:hAnsi="仿宋" w:eastAsia="仿宋"/>
                <w:szCs w:val="21"/>
              </w:rPr>
            </w:pPr>
            <w:r>
              <w:rPr>
                <w:rFonts w:hint="eastAsia" w:ascii="仿宋" w:hAnsi="仿宋" w:eastAsia="仿宋"/>
                <w:szCs w:val="21"/>
              </w:rPr>
              <w:t>参加《国际中医技术操作规范  儿科  第3部分：小儿针灸疗法》修改，参与工作讨论等。</w:t>
            </w:r>
          </w:p>
        </w:tc>
      </w:tr>
      <w:tr w14:paraId="360E8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984" w:type="dxa"/>
            <w:shd w:val="clear" w:color="auto" w:fill="auto"/>
            <w:vAlign w:val="center"/>
          </w:tcPr>
          <w:p w14:paraId="7F73232D">
            <w:pPr>
              <w:jc w:val="center"/>
              <w:rPr>
                <w:rFonts w:ascii="仿宋" w:hAnsi="仿宋" w:eastAsia="仿宋"/>
                <w:szCs w:val="21"/>
              </w:rPr>
            </w:pPr>
            <w:r>
              <w:rPr>
                <w:rFonts w:ascii="仿宋" w:hAnsi="仿宋" w:eastAsia="仿宋"/>
                <w:szCs w:val="21"/>
              </w:rPr>
              <w:t>陈秀珍</w:t>
            </w:r>
          </w:p>
        </w:tc>
        <w:tc>
          <w:tcPr>
            <w:tcW w:w="851" w:type="dxa"/>
            <w:vAlign w:val="center"/>
          </w:tcPr>
          <w:p w14:paraId="7F197852">
            <w:pPr>
              <w:jc w:val="center"/>
              <w:rPr>
                <w:rFonts w:hint="eastAsia" w:ascii="仿宋" w:hAnsi="仿宋" w:eastAsia="仿宋"/>
                <w:szCs w:val="21"/>
              </w:rPr>
            </w:pPr>
            <w:r>
              <w:rPr>
                <w:rFonts w:ascii="仿宋" w:hAnsi="仿宋" w:eastAsia="仿宋"/>
                <w:szCs w:val="21"/>
              </w:rPr>
              <w:t>硕士</w:t>
            </w:r>
          </w:p>
        </w:tc>
        <w:tc>
          <w:tcPr>
            <w:tcW w:w="1275" w:type="dxa"/>
            <w:vAlign w:val="center"/>
          </w:tcPr>
          <w:p w14:paraId="0F29CF1D">
            <w:pPr>
              <w:jc w:val="center"/>
              <w:rPr>
                <w:rFonts w:hint="eastAsia" w:ascii="仿宋" w:hAnsi="仿宋" w:eastAsia="仿宋"/>
                <w:szCs w:val="21"/>
              </w:rPr>
            </w:pPr>
            <w:r>
              <w:rPr>
                <w:rFonts w:ascii="仿宋" w:hAnsi="仿宋" w:eastAsia="仿宋"/>
                <w:szCs w:val="21"/>
              </w:rPr>
              <w:t>主任</w:t>
            </w:r>
            <w:r>
              <w:rPr>
                <w:rFonts w:hint="eastAsia" w:ascii="仿宋" w:hAnsi="仿宋" w:eastAsia="仿宋"/>
                <w:szCs w:val="21"/>
              </w:rPr>
              <w:t>中</w:t>
            </w:r>
            <w:r>
              <w:rPr>
                <w:rFonts w:ascii="仿宋" w:hAnsi="仿宋" w:eastAsia="仿宋"/>
                <w:szCs w:val="21"/>
              </w:rPr>
              <w:t>医师</w:t>
            </w:r>
          </w:p>
        </w:tc>
        <w:tc>
          <w:tcPr>
            <w:tcW w:w="2156" w:type="dxa"/>
            <w:shd w:val="clear" w:color="auto" w:fill="auto"/>
            <w:vAlign w:val="center"/>
          </w:tcPr>
          <w:p w14:paraId="7552B8DB">
            <w:pPr>
              <w:jc w:val="center"/>
              <w:rPr>
                <w:rFonts w:ascii="仿宋" w:hAnsi="仿宋" w:eastAsia="仿宋"/>
                <w:szCs w:val="21"/>
              </w:rPr>
            </w:pPr>
            <w:r>
              <w:rPr>
                <w:rFonts w:hint="eastAsia" w:ascii="仿宋" w:hAnsi="仿宋" w:eastAsia="仿宋"/>
                <w:szCs w:val="21"/>
              </w:rPr>
              <w:t>南京中医药大学</w:t>
            </w:r>
          </w:p>
          <w:p w14:paraId="51FB3F9C">
            <w:pPr>
              <w:jc w:val="center"/>
              <w:rPr>
                <w:rFonts w:hint="eastAsia" w:ascii="仿宋" w:hAnsi="仿宋" w:eastAsia="仿宋"/>
                <w:szCs w:val="21"/>
              </w:rPr>
            </w:pPr>
            <w:r>
              <w:rPr>
                <w:rFonts w:hint="eastAsia" w:ascii="仿宋" w:hAnsi="仿宋" w:eastAsia="仿宋"/>
                <w:szCs w:val="21"/>
              </w:rPr>
              <w:t>附属</w:t>
            </w:r>
            <w:r>
              <w:rPr>
                <w:rFonts w:ascii="仿宋" w:hAnsi="仿宋" w:eastAsia="仿宋"/>
                <w:szCs w:val="21"/>
              </w:rPr>
              <w:t>医院</w:t>
            </w:r>
          </w:p>
        </w:tc>
        <w:tc>
          <w:tcPr>
            <w:tcW w:w="3983" w:type="dxa"/>
            <w:vAlign w:val="center"/>
          </w:tcPr>
          <w:p w14:paraId="2EC426BA">
            <w:pPr>
              <w:jc w:val="left"/>
              <w:rPr>
                <w:rFonts w:hint="eastAsia" w:ascii="仿宋" w:hAnsi="仿宋" w:eastAsia="仿宋"/>
                <w:szCs w:val="21"/>
              </w:rPr>
            </w:pPr>
            <w:r>
              <w:rPr>
                <w:rFonts w:hint="eastAsia" w:ascii="仿宋" w:hAnsi="仿宋" w:eastAsia="仿宋"/>
                <w:szCs w:val="21"/>
              </w:rPr>
              <w:t>参加《国际中医技术操作规范  儿科  第3部分：小儿针灸疗法》修改，参与工作讨论等。</w:t>
            </w:r>
          </w:p>
        </w:tc>
      </w:tr>
    </w:tbl>
    <w:p w14:paraId="60FCB745">
      <w:pPr>
        <w:spacing w:line="360" w:lineRule="auto"/>
        <w:rPr>
          <w:rFonts w:ascii="仿宋" w:hAnsi="仿宋" w:eastAsia="仿宋"/>
          <w:b/>
          <w:color w:val="7030A0"/>
          <w:sz w:val="24"/>
          <w:szCs w:val="24"/>
        </w:rPr>
      </w:pPr>
      <w:r>
        <w:rPr>
          <w:rFonts w:ascii="仿宋" w:hAnsi="仿宋" w:eastAsia="仿宋"/>
          <w:b/>
          <w:sz w:val="24"/>
          <w:szCs w:val="24"/>
        </w:rPr>
        <w:t xml:space="preserve">2  </w:t>
      </w:r>
      <w:r>
        <w:rPr>
          <w:rFonts w:hint="eastAsia" w:ascii="仿宋" w:hAnsi="仿宋" w:eastAsia="仿宋"/>
          <w:b/>
          <w:sz w:val="24"/>
          <w:szCs w:val="24"/>
        </w:rPr>
        <w:t>参加起草人</w:t>
      </w:r>
    </w:p>
    <w:tbl>
      <w:tblPr>
        <w:tblStyle w:val="12"/>
        <w:tblW w:w="9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15"/>
        <w:gridCol w:w="1263"/>
        <w:gridCol w:w="2160"/>
        <w:gridCol w:w="3985"/>
      </w:tblGrid>
      <w:tr w14:paraId="699F0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vAlign w:val="center"/>
          </w:tcPr>
          <w:p w14:paraId="011A5116">
            <w:pPr>
              <w:jc w:val="center"/>
              <w:rPr>
                <w:rFonts w:ascii="仿宋" w:hAnsi="仿宋" w:eastAsia="仿宋"/>
                <w:szCs w:val="21"/>
              </w:rPr>
            </w:pPr>
            <w:r>
              <w:rPr>
                <w:rFonts w:hint="eastAsia" w:ascii="仿宋" w:hAnsi="仿宋" w:eastAsia="仿宋"/>
                <w:szCs w:val="21"/>
              </w:rPr>
              <w:t>姓</w:t>
            </w:r>
            <w:r>
              <w:rPr>
                <w:rFonts w:ascii="仿宋" w:hAnsi="仿宋" w:eastAsia="仿宋"/>
                <w:szCs w:val="21"/>
              </w:rPr>
              <w:t xml:space="preserve">  </w:t>
            </w:r>
            <w:r>
              <w:rPr>
                <w:rFonts w:hint="eastAsia" w:ascii="仿宋" w:hAnsi="仿宋" w:eastAsia="仿宋"/>
                <w:szCs w:val="21"/>
              </w:rPr>
              <w:t>名</w:t>
            </w:r>
          </w:p>
        </w:tc>
        <w:tc>
          <w:tcPr>
            <w:tcW w:w="815" w:type="dxa"/>
            <w:vAlign w:val="center"/>
          </w:tcPr>
          <w:p w14:paraId="282CF1E9">
            <w:pPr>
              <w:jc w:val="center"/>
              <w:rPr>
                <w:rFonts w:ascii="仿宋" w:hAnsi="仿宋" w:eastAsia="仿宋"/>
                <w:szCs w:val="21"/>
              </w:rPr>
            </w:pPr>
            <w:r>
              <w:rPr>
                <w:rFonts w:hint="eastAsia" w:ascii="仿宋" w:hAnsi="仿宋" w:eastAsia="仿宋"/>
                <w:szCs w:val="21"/>
              </w:rPr>
              <w:t>学位</w:t>
            </w:r>
          </w:p>
        </w:tc>
        <w:tc>
          <w:tcPr>
            <w:tcW w:w="1263" w:type="dxa"/>
            <w:vAlign w:val="center"/>
          </w:tcPr>
          <w:p w14:paraId="4AE7264A">
            <w:pPr>
              <w:jc w:val="center"/>
              <w:rPr>
                <w:rFonts w:ascii="仿宋" w:hAnsi="仿宋" w:eastAsia="仿宋"/>
                <w:szCs w:val="21"/>
              </w:rPr>
            </w:pPr>
            <w:r>
              <w:rPr>
                <w:rFonts w:hint="eastAsia" w:ascii="仿宋" w:hAnsi="仿宋" w:eastAsia="仿宋"/>
                <w:szCs w:val="21"/>
              </w:rPr>
              <w:t>职  称</w:t>
            </w:r>
          </w:p>
        </w:tc>
        <w:tc>
          <w:tcPr>
            <w:tcW w:w="2160" w:type="dxa"/>
            <w:vAlign w:val="center"/>
          </w:tcPr>
          <w:p w14:paraId="7CF3BAF6">
            <w:pPr>
              <w:jc w:val="center"/>
              <w:rPr>
                <w:rFonts w:ascii="仿宋" w:hAnsi="仿宋" w:eastAsia="仿宋"/>
                <w:szCs w:val="21"/>
              </w:rPr>
            </w:pPr>
            <w:r>
              <w:rPr>
                <w:rFonts w:hint="eastAsia" w:ascii="仿宋" w:hAnsi="仿宋" w:eastAsia="仿宋"/>
              </w:rPr>
              <w:t>单  位</w:t>
            </w:r>
          </w:p>
        </w:tc>
        <w:tc>
          <w:tcPr>
            <w:tcW w:w="3985" w:type="dxa"/>
            <w:vAlign w:val="center"/>
          </w:tcPr>
          <w:p w14:paraId="7436414D">
            <w:pPr>
              <w:jc w:val="center"/>
              <w:rPr>
                <w:rFonts w:ascii="仿宋" w:hAnsi="仿宋" w:eastAsia="仿宋"/>
                <w:szCs w:val="21"/>
              </w:rPr>
            </w:pPr>
            <w:r>
              <w:rPr>
                <w:rFonts w:hint="eastAsia" w:ascii="仿宋" w:hAnsi="仿宋" w:eastAsia="仿宋"/>
                <w:szCs w:val="21"/>
              </w:rPr>
              <w:t>承担工作</w:t>
            </w:r>
          </w:p>
        </w:tc>
      </w:tr>
      <w:tr w14:paraId="07DD5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vAlign w:val="center"/>
          </w:tcPr>
          <w:p w14:paraId="46F72D64">
            <w:pPr>
              <w:tabs>
                <w:tab w:val="left" w:pos="900"/>
              </w:tabs>
              <w:autoSpaceDN w:val="0"/>
              <w:adjustRightInd w:val="0"/>
              <w:jc w:val="center"/>
              <w:rPr>
                <w:rFonts w:ascii="仿宋" w:hAnsi="仿宋" w:eastAsia="仿宋"/>
                <w:szCs w:val="21"/>
                <w:highlight w:val="yellow"/>
              </w:rPr>
            </w:pPr>
            <w:r>
              <w:rPr>
                <w:rFonts w:hint="eastAsia" w:ascii="仿宋" w:hAnsi="仿宋" w:eastAsia="仿宋"/>
                <w:szCs w:val="21"/>
              </w:rPr>
              <w:t>吴佳盛</w:t>
            </w:r>
          </w:p>
        </w:tc>
        <w:tc>
          <w:tcPr>
            <w:tcW w:w="815" w:type="dxa"/>
            <w:vAlign w:val="center"/>
          </w:tcPr>
          <w:p w14:paraId="7089D6D6">
            <w:pPr>
              <w:jc w:val="center"/>
              <w:rPr>
                <w:rFonts w:ascii="仿宋" w:hAnsi="仿宋" w:eastAsia="仿宋"/>
                <w:color w:val="FF0000"/>
                <w:szCs w:val="21"/>
                <w:highlight w:val="yellow"/>
              </w:rPr>
            </w:pPr>
            <w:r>
              <w:rPr>
                <w:rFonts w:hint="eastAsia" w:ascii="仿宋" w:hAnsi="仿宋" w:eastAsia="仿宋"/>
                <w:szCs w:val="21"/>
              </w:rPr>
              <w:t>博士</w:t>
            </w:r>
          </w:p>
        </w:tc>
        <w:tc>
          <w:tcPr>
            <w:tcW w:w="1263" w:type="dxa"/>
            <w:vAlign w:val="center"/>
          </w:tcPr>
          <w:p w14:paraId="302E4FB3">
            <w:pPr>
              <w:tabs>
                <w:tab w:val="left" w:pos="900"/>
              </w:tabs>
              <w:autoSpaceDN w:val="0"/>
              <w:adjustRightInd w:val="0"/>
              <w:jc w:val="left"/>
              <w:rPr>
                <w:rFonts w:ascii="仿宋" w:hAnsi="仿宋" w:eastAsia="仿宋"/>
                <w:szCs w:val="21"/>
                <w:highlight w:val="yellow"/>
              </w:rPr>
            </w:pPr>
            <w:r>
              <w:rPr>
                <w:rFonts w:hint="eastAsia" w:ascii="仿宋" w:hAnsi="仿宋" w:eastAsia="仿宋"/>
                <w:szCs w:val="21"/>
              </w:rPr>
              <w:t>中医师</w:t>
            </w:r>
          </w:p>
        </w:tc>
        <w:tc>
          <w:tcPr>
            <w:tcW w:w="2160" w:type="dxa"/>
            <w:vAlign w:val="center"/>
          </w:tcPr>
          <w:p w14:paraId="0E64BD21">
            <w:pPr>
              <w:tabs>
                <w:tab w:val="left" w:pos="900"/>
              </w:tabs>
              <w:autoSpaceDN w:val="0"/>
              <w:adjustRightInd w:val="0"/>
              <w:jc w:val="left"/>
              <w:rPr>
                <w:rFonts w:ascii="仿宋" w:hAnsi="仿宋" w:eastAsia="仿宋"/>
                <w:szCs w:val="21"/>
                <w:highlight w:val="yellow"/>
              </w:rPr>
            </w:pPr>
            <w:r>
              <w:rPr>
                <w:rFonts w:hint="eastAsia" w:ascii="仿宋" w:hAnsi="仿宋" w:eastAsia="仿宋"/>
                <w:szCs w:val="21"/>
              </w:rPr>
              <w:t>新加坡中医研究院</w:t>
            </w:r>
          </w:p>
        </w:tc>
        <w:tc>
          <w:tcPr>
            <w:tcW w:w="3985" w:type="dxa"/>
            <w:vAlign w:val="center"/>
          </w:tcPr>
          <w:p w14:paraId="339080A9">
            <w:pPr>
              <w:rPr>
                <w:rFonts w:ascii="仿宋" w:hAnsi="仿宋" w:eastAsia="仿宋"/>
                <w:szCs w:val="21"/>
                <w:highlight w:val="yellow"/>
              </w:rPr>
            </w:pPr>
            <w:r>
              <w:rPr>
                <w:rFonts w:hint="eastAsia" w:ascii="仿宋" w:hAnsi="仿宋" w:eastAsia="仿宋"/>
                <w:szCs w:val="21"/>
              </w:rPr>
              <w:t>参与《国际中医技术操作规范  儿科  第3部分：小儿针灸疗法》起草、修改草案，参与工作讨论等。</w:t>
            </w:r>
          </w:p>
        </w:tc>
      </w:tr>
      <w:tr w14:paraId="629BD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vAlign w:val="center"/>
          </w:tcPr>
          <w:p w14:paraId="04842048">
            <w:pPr>
              <w:tabs>
                <w:tab w:val="left" w:pos="900"/>
              </w:tabs>
              <w:autoSpaceDN w:val="0"/>
              <w:adjustRightInd w:val="0"/>
              <w:jc w:val="center"/>
              <w:rPr>
                <w:rFonts w:ascii="仿宋" w:hAnsi="仿宋" w:eastAsia="仿宋"/>
                <w:szCs w:val="21"/>
                <w:highlight w:val="yellow"/>
              </w:rPr>
            </w:pPr>
            <w:r>
              <w:rPr>
                <w:rFonts w:hint="eastAsia" w:ascii="仿宋" w:hAnsi="仿宋" w:eastAsia="仿宋"/>
                <w:szCs w:val="21"/>
              </w:rPr>
              <w:t>乔木林</w:t>
            </w:r>
          </w:p>
        </w:tc>
        <w:tc>
          <w:tcPr>
            <w:tcW w:w="815" w:type="dxa"/>
            <w:vAlign w:val="center"/>
          </w:tcPr>
          <w:p w14:paraId="68ACEE97">
            <w:pPr>
              <w:jc w:val="center"/>
              <w:rPr>
                <w:rFonts w:ascii="仿宋" w:hAnsi="仿宋" w:eastAsia="仿宋"/>
                <w:color w:val="FF0000"/>
                <w:szCs w:val="21"/>
                <w:highlight w:val="yellow"/>
              </w:rPr>
            </w:pPr>
            <w:r>
              <w:rPr>
                <w:rFonts w:hint="eastAsia" w:ascii="仿宋" w:hAnsi="仿宋" w:eastAsia="仿宋"/>
                <w:szCs w:val="21"/>
              </w:rPr>
              <w:t>硕士</w:t>
            </w:r>
          </w:p>
        </w:tc>
        <w:tc>
          <w:tcPr>
            <w:tcW w:w="1263" w:type="dxa"/>
            <w:vAlign w:val="center"/>
          </w:tcPr>
          <w:p w14:paraId="2DA10A52">
            <w:pPr>
              <w:tabs>
                <w:tab w:val="left" w:pos="900"/>
              </w:tabs>
              <w:autoSpaceDN w:val="0"/>
              <w:adjustRightInd w:val="0"/>
              <w:jc w:val="left"/>
              <w:rPr>
                <w:rFonts w:ascii="仿宋" w:hAnsi="仿宋" w:eastAsia="仿宋"/>
                <w:szCs w:val="21"/>
                <w:highlight w:val="yellow"/>
              </w:rPr>
            </w:pPr>
            <w:r>
              <w:rPr>
                <w:rFonts w:hint="eastAsia" w:ascii="仿宋" w:hAnsi="仿宋" w:eastAsia="仿宋"/>
                <w:szCs w:val="21"/>
              </w:rPr>
              <w:t>教授</w:t>
            </w:r>
          </w:p>
        </w:tc>
        <w:tc>
          <w:tcPr>
            <w:tcW w:w="2160" w:type="dxa"/>
            <w:vAlign w:val="center"/>
          </w:tcPr>
          <w:p w14:paraId="023030F2">
            <w:pPr>
              <w:tabs>
                <w:tab w:val="left" w:pos="900"/>
              </w:tabs>
              <w:autoSpaceDN w:val="0"/>
              <w:adjustRightInd w:val="0"/>
              <w:jc w:val="left"/>
              <w:rPr>
                <w:rFonts w:ascii="仿宋" w:hAnsi="仿宋" w:eastAsia="仿宋"/>
                <w:szCs w:val="21"/>
                <w:highlight w:val="yellow"/>
              </w:rPr>
            </w:pPr>
            <w:r>
              <w:rPr>
                <w:rFonts w:hint="eastAsia" w:ascii="仿宋" w:hAnsi="仿宋" w:eastAsia="仿宋"/>
                <w:szCs w:val="21"/>
              </w:rPr>
              <w:t>澳大利亚奋进自然健康学院</w:t>
            </w:r>
          </w:p>
        </w:tc>
        <w:tc>
          <w:tcPr>
            <w:tcW w:w="3985" w:type="dxa"/>
            <w:vAlign w:val="center"/>
          </w:tcPr>
          <w:p w14:paraId="3537F133">
            <w:pPr>
              <w:rPr>
                <w:rFonts w:ascii="仿宋" w:hAnsi="仿宋" w:eastAsia="仿宋"/>
                <w:szCs w:val="21"/>
                <w:highlight w:val="yellow"/>
              </w:rPr>
            </w:pPr>
            <w:r>
              <w:rPr>
                <w:rFonts w:hint="eastAsia" w:ascii="仿宋" w:hAnsi="仿宋" w:eastAsia="仿宋"/>
                <w:szCs w:val="21"/>
              </w:rPr>
              <w:t>参与《国际中医技术操作规范  儿科  第3部分：小儿针灸疗法》起草、修改草案，参与工作讨论等。</w:t>
            </w:r>
          </w:p>
        </w:tc>
      </w:tr>
      <w:tr w14:paraId="2AF34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vAlign w:val="center"/>
          </w:tcPr>
          <w:p w14:paraId="61D41A70">
            <w:pPr>
              <w:tabs>
                <w:tab w:val="left" w:pos="900"/>
              </w:tabs>
              <w:autoSpaceDN w:val="0"/>
              <w:adjustRightInd w:val="0"/>
              <w:jc w:val="center"/>
              <w:rPr>
                <w:rFonts w:ascii="仿宋" w:hAnsi="仿宋" w:eastAsia="仿宋"/>
                <w:color w:val="000000"/>
                <w:szCs w:val="21"/>
                <w:highlight w:val="yellow"/>
              </w:rPr>
            </w:pPr>
            <w:r>
              <w:rPr>
                <w:rFonts w:ascii="仿宋" w:hAnsi="仿宋" w:eastAsia="仿宋"/>
                <w:szCs w:val="21"/>
              </w:rPr>
              <w:t>阮红明</w:t>
            </w:r>
          </w:p>
        </w:tc>
        <w:tc>
          <w:tcPr>
            <w:tcW w:w="815" w:type="dxa"/>
            <w:vAlign w:val="center"/>
          </w:tcPr>
          <w:p w14:paraId="2BFBCAA9">
            <w:pPr>
              <w:jc w:val="center"/>
              <w:rPr>
                <w:rFonts w:ascii="仿宋" w:hAnsi="仿宋" w:eastAsia="仿宋"/>
                <w:color w:val="000000"/>
                <w:szCs w:val="21"/>
                <w:highlight w:val="yellow"/>
              </w:rPr>
            </w:pPr>
            <w:r>
              <w:rPr>
                <w:rFonts w:ascii="仿宋" w:hAnsi="仿宋" w:eastAsia="仿宋"/>
                <w:szCs w:val="21"/>
              </w:rPr>
              <w:t>博士</w:t>
            </w:r>
          </w:p>
        </w:tc>
        <w:tc>
          <w:tcPr>
            <w:tcW w:w="1263" w:type="dxa"/>
            <w:vAlign w:val="center"/>
          </w:tcPr>
          <w:p w14:paraId="35226296">
            <w:pPr>
              <w:tabs>
                <w:tab w:val="left" w:pos="900"/>
              </w:tabs>
              <w:autoSpaceDN w:val="0"/>
              <w:adjustRightInd w:val="0"/>
              <w:jc w:val="left"/>
              <w:rPr>
                <w:rFonts w:ascii="仿宋" w:hAnsi="仿宋" w:eastAsia="仿宋"/>
                <w:szCs w:val="21"/>
                <w:highlight w:val="yellow"/>
              </w:rPr>
            </w:pPr>
            <w:r>
              <w:rPr>
                <w:rFonts w:ascii="仿宋" w:hAnsi="仿宋" w:eastAsia="仿宋"/>
                <w:szCs w:val="21"/>
              </w:rPr>
              <w:t>主治医师，</w:t>
            </w:r>
            <w:r>
              <w:rPr>
                <w:rFonts w:ascii="仿宋" w:hAnsi="仿宋" w:eastAsia="仿宋"/>
                <w:szCs w:val="21"/>
                <w:highlight w:val="yellow"/>
              </w:rPr>
              <w:t xml:space="preserve"> </w:t>
            </w:r>
          </w:p>
        </w:tc>
        <w:tc>
          <w:tcPr>
            <w:tcW w:w="2160" w:type="dxa"/>
            <w:vAlign w:val="center"/>
          </w:tcPr>
          <w:p w14:paraId="5A6924D8">
            <w:pPr>
              <w:tabs>
                <w:tab w:val="left" w:pos="900"/>
              </w:tabs>
              <w:autoSpaceDN w:val="0"/>
              <w:adjustRightInd w:val="0"/>
              <w:jc w:val="left"/>
              <w:rPr>
                <w:rFonts w:ascii="仿宋" w:hAnsi="仿宋" w:eastAsia="仿宋"/>
                <w:szCs w:val="21"/>
                <w:highlight w:val="yellow"/>
              </w:rPr>
            </w:pPr>
            <w:r>
              <w:rPr>
                <w:rFonts w:hint="eastAsia" w:ascii="仿宋" w:hAnsi="仿宋" w:eastAsia="仿宋"/>
                <w:szCs w:val="21"/>
              </w:rPr>
              <w:t>越南中央儿童医院</w:t>
            </w:r>
          </w:p>
        </w:tc>
        <w:tc>
          <w:tcPr>
            <w:tcW w:w="3985" w:type="dxa"/>
            <w:vAlign w:val="center"/>
          </w:tcPr>
          <w:p w14:paraId="4C8BA563">
            <w:pPr>
              <w:rPr>
                <w:rFonts w:ascii="仿宋" w:hAnsi="仿宋" w:eastAsia="仿宋"/>
                <w:szCs w:val="21"/>
                <w:highlight w:val="yellow"/>
              </w:rPr>
            </w:pPr>
            <w:r>
              <w:rPr>
                <w:rFonts w:hint="eastAsia" w:ascii="仿宋" w:hAnsi="仿宋" w:eastAsia="仿宋"/>
                <w:szCs w:val="21"/>
              </w:rPr>
              <w:t>参与《国际中医技术操作规范  儿科  第3部分：小儿针灸疗法》起草、修改草案，参与工作讨论等。</w:t>
            </w:r>
          </w:p>
        </w:tc>
      </w:tr>
      <w:tr w14:paraId="31EB9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vAlign w:val="center"/>
          </w:tcPr>
          <w:p w14:paraId="4F55B5CC">
            <w:pPr>
              <w:tabs>
                <w:tab w:val="left" w:pos="900"/>
              </w:tabs>
              <w:autoSpaceDN w:val="0"/>
              <w:adjustRightInd w:val="0"/>
              <w:jc w:val="center"/>
              <w:rPr>
                <w:rFonts w:ascii="仿宋" w:hAnsi="仿宋" w:eastAsia="仿宋"/>
                <w:szCs w:val="21"/>
                <w:highlight w:val="yellow"/>
              </w:rPr>
            </w:pPr>
            <w:r>
              <w:rPr>
                <w:rFonts w:ascii="仿宋" w:hAnsi="仿宋" w:eastAsia="仿宋"/>
                <w:szCs w:val="21"/>
              </w:rPr>
              <w:t>陈晓燕</w:t>
            </w:r>
          </w:p>
        </w:tc>
        <w:tc>
          <w:tcPr>
            <w:tcW w:w="815" w:type="dxa"/>
            <w:vAlign w:val="center"/>
          </w:tcPr>
          <w:p w14:paraId="21D8A229">
            <w:pPr>
              <w:jc w:val="center"/>
              <w:rPr>
                <w:rFonts w:ascii="仿宋" w:hAnsi="仿宋" w:eastAsia="仿宋"/>
                <w:color w:val="000000"/>
                <w:szCs w:val="21"/>
                <w:highlight w:val="yellow"/>
              </w:rPr>
            </w:pPr>
            <w:r>
              <w:rPr>
                <w:rFonts w:ascii="仿宋" w:hAnsi="仿宋" w:eastAsia="仿宋"/>
                <w:szCs w:val="21"/>
              </w:rPr>
              <w:t>硕士</w:t>
            </w:r>
          </w:p>
        </w:tc>
        <w:tc>
          <w:tcPr>
            <w:tcW w:w="1263" w:type="dxa"/>
            <w:vAlign w:val="center"/>
          </w:tcPr>
          <w:p w14:paraId="6A21AEE8">
            <w:pPr>
              <w:tabs>
                <w:tab w:val="left" w:pos="900"/>
              </w:tabs>
              <w:autoSpaceDN w:val="0"/>
              <w:adjustRightInd w:val="0"/>
              <w:jc w:val="left"/>
              <w:rPr>
                <w:rFonts w:ascii="仿宋" w:hAnsi="仿宋" w:eastAsia="仿宋"/>
                <w:szCs w:val="21"/>
                <w:highlight w:val="yellow"/>
              </w:rPr>
            </w:pPr>
            <w:r>
              <w:rPr>
                <w:rFonts w:ascii="仿宋" w:hAnsi="仿宋" w:eastAsia="仿宋"/>
                <w:szCs w:val="21"/>
              </w:rPr>
              <w:t>副主任医师</w:t>
            </w:r>
          </w:p>
        </w:tc>
        <w:tc>
          <w:tcPr>
            <w:tcW w:w="2160" w:type="dxa"/>
            <w:vAlign w:val="center"/>
          </w:tcPr>
          <w:p w14:paraId="7261EB1C">
            <w:pPr>
              <w:tabs>
                <w:tab w:val="left" w:pos="900"/>
              </w:tabs>
              <w:autoSpaceDN w:val="0"/>
              <w:adjustRightInd w:val="0"/>
              <w:jc w:val="left"/>
              <w:rPr>
                <w:rFonts w:ascii="仿宋" w:hAnsi="仿宋" w:eastAsia="仿宋"/>
                <w:szCs w:val="21"/>
                <w:highlight w:val="yellow"/>
              </w:rPr>
            </w:pPr>
            <w:r>
              <w:rPr>
                <w:rFonts w:ascii="仿宋" w:hAnsi="仿宋" w:eastAsia="仿宋"/>
                <w:szCs w:val="21"/>
              </w:rPr>
              <w:t>加拿大太平洋中医学院</w:t>
            </w:r>
          </w:p>
        </w:tc>
        <w:tc>
          <w:tcPr>
            <w:tcW w:w="3985" w:type="dxa"/>
            <w:vAlign w:val="center"/>
          </w:tcPr>
          <w:p w14:paraId="2B7F4521">
            <w:pPr>
              <w:rPr>
                <w:rFonts w:ascii="仿宋" w:hAnsi="仿宋" w:eastAsia="仿宋"/>
                <w:szCs w:val="21"/>
                <w:highlight w:val="yellow"/>
              </w:rPr>
            </w:pPr>
            <w:r>
              <w:rPr>
                <w:rFonts w:hint="eastAsia" w:ascii="仿宋" w:hAnsi="仿宋" w:eastAsia="仿宋"/>
                <w:szCs w:val="21"/>
              </w:rPr>
              <w:t>参与《国际中医技术操作规范  儿科  第3部分：小儿针灸疗法》起草、修改草案，参与工作讨论等。</w:t>
            </w:r>
          </w:p>
        </w:tc>
      </w:tr>
      <w:tr w14:paraId="40BDB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vAlign w:val="center"/>
          </w:tcPr>
          <w:p w14:paraId="186D181D">
            <w:pPr>
              <w:tabs>
                <w:tab w:val="left" w:pos="900"/>
              </w:tabs>
              <w:autoSpaceDN w:val="0"/>
              <w:adjustRightInd w:val="0"/>
              <w:jc w:val="center"/>
              <w:rPr>
                <w:rFonts w:ascii="仿宋" w:hAnsi="仿宋" w:eastAsia="仿宋"/>
                <w:szCs w:val="21"/>
                <w:highlight w:val="yellow"/>
              </w:rPr>
            </w:pPr>
            <w:r>
              <w:rPr>
                <w:rFonts w:hint="eastAsia" w:ascii="仿宋" w:hAnsi="仿宋" w:eastAsia="仿宋"/>
                <w:szCs w:val="21"/>
              </w:rPr>
              <w:t>郑秀芬</w:t>
            </w:r>
          </w:p>
        </w:tc>
        <w:tc>
          <w:tcPr>
            <w:tcW w:w="815" w:type="dxa"/>
            <w:vAlign w:val="center"/>
          </w:tcPr>
          <w:p w14:paraId="75AC4C29">
            <w:pPr>
              <w:jc w:val="center"/>
              <w:rPr>
                <w:rFonts w:ascii="仿宋" w:hAnsi="仿宋" w:eastAsia="仿宋"/>
                <w:szCs w:val="21"/>
                <w:highlight w:val="yellow"/>
              </w:rPr>
            </w:pPr>
            <w:r>
              <w:rPr>
                <w:rFonts w:ascii="仿宋" w:hAnsi="仿宋" w:eastAsia="仿宋"/>
                <w:szCs w:val="21"/>
              </w:rPr>
              <w:t>博士</w:t>
            </w:r>
          </w:p>
        </w:tc>
        <w:tc>
          <w:tcPr>
            <w:tcW w:w="1263" w:type="dxa"/>
            <w:vAlign w:val="center"/>
          </w:tcPr>
          <w:p w14:paraId="21CDD767">
            <w:pPr>
              <w:tabs>
                <w:tab w:val="left" w:pos="900"/>
              </w:tabs>
              <w:autoSpaceDN w:val="0"/>
              <w:adjustRightInd w:val="0"/>
              <w:jc w:val="left"/>
              <w:rPr>
                <w:rFonts w:ascii="仿宋" w:hAnsi="仿宋" w:eastAsia="仿宋"/>
                <w:szCs w:val="21"/>
                <w:highlight w:val="yellow"/>
              </w:rPr>
            </w:pPr>
            <w:r>
              <w:rPr>
                <w:rFonts w:ascii="仿宋" w:hAnsi="仿宋" w:eastAsia="仿宋"/>
                <w:szCs w:val="21"/>
              </w:rPr>
              <w:t>副教授，博导</w:t>
            </w:r>
          </w:p>
        </w:tc>
        <w:tc>
          <w:tcPr>
            <w:tcW w:w="2160" w:type="dxa"/>
            <w:vAlign w:val="center"/>
          </w:tcPr>
          <w:p w14:paraId="0BADA11E">
            <w:pPr>
              <w:tabs>
                <w:tab w:val="left" w:pos="900"/>
              </w:tabs>
              <w:autoSpaceDN w:val="0"/>
              <w:adjustRightInd w:val="0"/>
              <w:jc w:val="left"/>
              <w:rPr>
                <w:rFonts w:ascii="仿宋" w:hAnsi="仿宋" w:eastAsia="仿宋"/>
                <w:szCs w:val="21"/>
                <w:highlight w:val="yellow"/>
              </w:rPr>
            </w:pPr>
            <w:r>
              <w:rPr>
                <w:rFonts w:hint="eastAsia" w:ascii="仿宋" w:hAnsi="仿宋" w:eastAsia="仿宋"/>
                <w:szCs w:val="21"/>
              </w:rPr>
              <w:t>马来西亚拉曼大学</w:t>
            </w:r>
          </w:p>
        </w:tc>
        <w:tc>
          <w:tcPr>
            <w:tcW w:w="3985" w:type="dxa"/>
            <w:vAlign w:val="center"/>
          </w:tcPr>
          <w:p w14:paraId="7A83A5A7">
            <w:pPr>
              <w:rPr>
                <w:rFonts w:ascii="仿宋" w:hAnsi="仿宋" w:eastAsia="仿宋"/>
                <w:szCs w:val="21"/>
                <w:highlight w:val="yellow"/>
              </w:rPr>
            </w:pPr>
            <w:r>
              <w:rPr>
                <w:rFonts w:hint="eastAsia" w:ascii="仿宋" w:hAnsi="仿宋" w:eastAsia="仿宋"/>
                <w:szCs w:val="21"/>
              </w:rPr>
              <w:t>参与《国际中医技术操作规范  儿科  第3部分：小儿针灸疗法》起草、修改草案，参与工作讨论等。</w:t>
            </w:r>
          </w:p>
        </w:tc>
      </w:tr>
      <w:tr w14:paraId="1771B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vAlign w:val="center"/>
          </w:tcPr>
          <w:p w14:paraId="5BC9B9A3">
            <w:pPr>
              <w:tabs>
                <w:tab w:val="left" w:pos="900"/>
              </w:tabs>
              <w:autoSpaceDN w:val="0"/>
              <w:adjustRightInd w:val="0"/>
              <w:jc w:val="center"/>
              <w:rPr>
                <w:rFonts w:hint="eastAsia" w:ascii="仿宋" w:hAnsi="仿宋" w:eastAsia="仿宋"/>
                <w:szCs w:val="21"/>
              </w:rPr>
            </w:pPr>
            <w:r>
              <w:rPr>
                <w:rFonts w:hint="eastAsia" w:ascii="仿宋" w:hAnsi="仿宋" w:eastAsia="仿宋"/>
                <w:szCs w:val="21"/>
              </w:rPr>
              <w:t>蔡承翰</w:t>
            </w:r>
          </w:p>
        </w:tc>
        <w:tc>
          <w:tcPr>
            <w:tcW w:w="815" w:type="dxa"/>
            <w:vAlign w:val="center"/>
          </w:tcPr>
          <w:p w14:paraId="64E3954E">
            <w:pPr>
              <w:jc w:val="center"/>
              <w:rPr>
                <w:rFonts w:ascii="仿宋" w:hAnsi="仿宋" w:eastAsia="仿宋"/>
                <w:szCs w:val="21"/>
              </w:rPr>
            </w:pPr>
            <w:r>
              <w:rPr>
                <w:rFonts w:ascii="仿宋" w:hAnsi="仿宋" w:eastAsia="仿宋"/>
                <w:szCs w:val="21"/>
              </w:rPr>
              <w:t>硕士</w:t>
            </w:r>
          </w:p>
        </w:tc>
        <w:tc>
          <w:tcPr>
            <w:tcW w:w="1263" w:type="dxa"/>
            <w:vAlign w:val="center"/>
          </w:tcPr>
          <w:p w14:paraId="09E3AB2E">
            <w:pPr>
              <w:tabs>
                <w:tab w:val="left" w:pos="900"/>
              </w:tabs>
              <w:autoSpaceDN w:val="0"/>
              <w:adjustRightInd w:val="0"/>
              <w:jc w:val="left"/>
              <w:rPr>
                <w:rFonts w:ascii="仿宋" w:hAnsi="仿宋" w:eastAsia="仿宋"/>
                <w:szCs w:val="21"/>
              </w:rPr>
            </w:pPr>
            <w:r>
              <w:rPr>
                <w:rFonts w:ascii="仿宋" w:hAnsi="仿宋" w:eastAsia="仿宋"/>
                <w:szCs w:val="21"/>
              </w:rPr>
              <w:t>住院医师</w:t>
            </w:r>
          </w:p>
        </w:tc>
        <w:tc>
          <w:tcPr>
            <w:tcW w:w="2160" w:type="dxa"/>
            <w:vAlign w:val="center"/>
          </w:tcPr>
          <w:p w14:paraId="7E2AAF04">
            <w:pPr>
              <w:tabs>
                <w:tab w:val="left" w:pos="900"/>
              </w:tabs>
              <w:autoSpaceDN w:val="0"/>
              <w:adjustRightInd w:val="0"/>
              <w:jc w:val="left"/>
              <w:rPr>
                <w:rFonts w:hint="eastAsia" w:ascii="仿宋" w:hAnsi="仿宋" w:eastAsia="仿宋"/>
                <w:szCs w:val="21"/>
              </w:rPr>
            </w:pPr>
            <w:r>
              <w:rPr>
                <w:rFonts w:ascii="仿宋" w:hAnsi="仿宋" w:eastAsia="仿宋"/>
                <w:szCs w:val="21"/>
              </w:rPr>
              <w:t>厦门长庚医院</w:t>
            </w:r>
          </w:p>
        </w:tc>
        <w:tc>
          <w:tcPr>
            <w:tcW w:w="3985" w:type="dxa"/>
            <w:vAlign w:val="center"/>
          </w:tcPr>
          <w:p w14:paraId="46892C35">
            <w:pPr>
              <w:rPr>
                <w:rFonts w:hint="eastAsia" w:ascii="仿宋" w:hAnsi="仿宋" w:eastAsia="仿宋"/>
                <w:szCs w:val="21"/>
              </w:rPr>
            </w:pPr>
            <w:r>
              <w:rPr>
                <w:rFonts w:hint="eastAsia" w:ascii="仿宋" w:hAnsi="仿宋" w:eastAsia="仿宋"/>
                <w:szCs w:val="21"/>
              </w:rPr>
              <w:t>参与《国际中医技术操作规范  儿科  第3部分：小儿针灸疗法》起草、修改草案，参与工作讨论等。</w:t>
            </w:r>
          </w:p>
        </w:tc>
      </w:tr>
    </w:tbl>
    <w:p w14:paraId="1CA1ABBF">
      <w:pPr>
        <w:rPr>
          <w:rFonts w:ascii="仿宋" w:hAnsi="仿宋" w:eastAsia="仿宋"/>
          <w:b/>
          <w:sz w:val="24"/>
          <w:szCs w:val="24"/>
        </w:rPr>
      </w:pPr>
      <w:r>
        <w:rPr>
          <w:rFonts w:ascii="仿宋" w:hAnsi="仿宋" w:eastAsia="仿宋"/>
          <w:b/>
          <w:sz w:val="24"/>
          <w:szCs w:val="24"/>
        </w:rPr>
        <w:t xml:space="preserve">3    </w:t>
      </w:r>
      <w:r>
        <w:rPr>
          <w:rFonts w:hint="eastAsia" w:ascii="仿宋" w:hAnsi="仿宋" w:eastAsia="仿宋"/>
          <w:b/>
          <w:sz w:val="24"/>
          <w:szCs w:val="24"/>
        </w:rPr>
        <w:t>咨询认证专家</w:t>
      </w:r>
    </w:p>
    <w:tbl>
      <w:tblPr>
        <w:tblStyle w:val="12"/>
        <w:tblW w:w="92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2"/>
        <w:gridCol w:w="787"/>
        <w:gridCol w:w="1281"/>
        <w:gridCol w:w="3949"/>
        <w:gridCol w:w="2225"/>
      </w:tblGrid>
      <w:tr w14:paraId="37172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558492DC">
            <w:pPr>
              <w:jc w:val="center"/>
              <w:rPr>
                <w:rFonts w:ascii="仿宋" w:hAnsi="仿宋" w:eastAsia="仿宋"/>
                <w:szCs w:val="21"/>
              </w:rPr>
            </w:pPr>
            <w:r>
              <w:rPr>
                <w:rFonts w:ascii="仿宋" w:hAnsi="仿宋" w:eastAsia="仿宋"/>
                <w:szCs w:val="21"/>
              </w:rPr>
              <w:t>姓名</w:t>
            </w:r>
          </w:p>
        </w:tc>
        <w:tc>
          <w:tcPr>
            <w:tcW w:w="787" w:type="dxa"/>
            <w:vAlign w:val="center"/>
          </w:tcPr>
          <w:p w14:paraId="115C3A14">
            <w:pPr>
              <w:jc w:val="center"/>
              <w:rPr>
                <w:rFonts w:ascii="仿宋" w:hAnsi="仿宋" w:eastAsia="仿宋"/>
                <w:szCs w:val="21"/>
              </w:rPr>
            </w:pPr>
            <w:r>
              <w:rPr>
                <w:rFonts w:ascii="仿宋" w:hAnsi="仿宋" w:eastAsia="仿宋"/>
                <w:szCs w:val="21"/>
              </w:rPr>
              <w:t>学位</w:t>
            </w:r>
          </w:p>
        </w:tc>
        <w:tc>
          <w:tcPr>
            <w:tcW w:w="1281" w:type="dxa"/>
            <w:vAlign w:val="center"/>
          </w:tcPr>
          <w:p w14:paraId="4F6AC762">
            <w:pPr>
              <w:jc w:val="center"/>
              <w:rPr>
                <w:rFonts w:ascii="仿宋" w:hAnsi="仿宋" w:eastAsia="仿宋"/>
                <w:szCs w:val="21"/>
              </w:rPr>
            </w:pPr>
            <w:r>
              <w:rPr>
                <w:rFonts w:ascii="仿宋" w:hAnsi="仿宋" w:eastAsia="仿宋"/>
                <w:szCs w:val="21"/>
              </w:rPr>
              <w:t>职称</w:t>
            </w:r>
          </w:p>
        </w:tc>
        <w:tc>
          <w:tcPr>
            <w:tcW w:w="3949" w:type="dxa"/>
            <w:vAlign w:val="center"/>
          </w:tcPr>
          <w:p w14:paraId="5B04CE46">
            <w:pPr>
              <w:jc w:val="center"/>
              <w:rPr>
                <w:rFonts w:ascii="仿宋" w:hAnsi="仿宋" w:eastAsia="仿宋"/>
                <w:szCs w:val="21"/>
              </w:rPr>
            </w:pPr>
            <w:r>
              <w:rPr>
                <w:rFonts w:ascii="仿宋" w:hAnsi="仿宋" w:eastAsia="仿宋"/>
                <w:szCs w:val="21"/>
              </w:rPr>
              <w:t>单位</w:t>
            </w:r>
          </w:p>
        </w:tc>
        <w:tc>
          <w:tcPr>
            <w:tcW w:w="2225" w:type="dxa"/>
            <w:vAlign w:val="center"/>
          </w:tcPr>
          <w:p w14:paraId="18A40BEA">
            <w:pPr>
              <w:jc w:val="center"/>
              <w:rPr>
                <w:rFonts w:ascii="仿宋" w:hAnsi="仿宋" w:eastAsia="仿宋"/>
                <w:szCs w:val="21"/>
              </w:rPr>
            </w:pPr>
            <w:r>
              <w:rPr>
                <w:rFonts w:hint="eastAsia" w:ascii="仿宋" w:hAnsi="仿宋" w:eastAsia="仿宋"/>
                <w:szCs w:val="21"/>
              </w:rPr>
              <w:t>承担工作</w:t>
            </w:r>
          </w:p>
        </w:tc>
      </w:tr>
      <w:tr w14:paraId="7EA3C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77F1E365">
            <w:pPr>
              <w:jc w:val="center"/>
              <w:rPr>
                <w:rFonts w:ascii="仿宋" w:hAnsi="仿宋" w:eastAsia="仿宋"/>
                <w:szCs w:val="21"/>
              </w:rPr>
            </w:pPr>
            <w:r>
              <w:rPr>
                <w:rFonts w:ascii="仿宋" w:hAnsi="仿宋" w:eastAsia="仿宋"/>
                <w:szCs w:val="21"/>
              </w:rPr>
              <w:t>刘</w:t>
            </w:r>
            <w:r>
              <w:rPr>
                <w:rFonts w:hint="eastAsia" w:ascii="仿宋" w:hAnsi="仿宋" w:eastAsia="仿宋"/>
                <w:szCs w:val="21"/>
              </w:rPr>
              <w:t xml:space="preserve"> </w:t>
            </w:r>
            <w:r>
              <w:rPr>
                <w:rFonts w:ascii="仿宋" w:hAnsi="仿宋" w:eastAsia="仿宋"/>
                <w:szCs w:val="21"/>
              </w:rPr>
              <w:t xml:space="preserve"> 英</w:t>
            </w:r>
          </w:p>
        </w:tc>
        <w:tc>
          <w:tcPr>
            <w:tcW w:w="787" w:type="dxa"/>
            <w:vAlign w:val="center"/>
          </w:tcPr>
          <w:p w14:paraId="1A9FF96B">
            <w:pPr>
              <w:jc w:val="center"/>
              <w:rPr>
                <w:rFonts w:ascii="仿宋" w:hAnsi="仿宋" w:eastAsia="仿宋"/>
                <w:szCs w:val="21"/>
              </w:rPr>
            </w:pPr>
            <w:r>
              <w:rPr>
                <w:rFonts w:ascii="仿宋" w:hAnsi="仿宋" w:eastAsia="仿宋"/>
                <w:szCs w:val="21"/>
              </w:rPr>
              <w:t>博士</w:t>
            </w:r>
          </w:p>
        </w:tc>
        <w:tc>
          <w:tcPr>
            <w:tcW w:w="1281" w:type="dxa"/>
            <w:vAlign w:val="center"/>
          </w:tcPr>
          <w:p w14:paraId="69B60565">
            <w:pPr>
              <w:jc w:val="center"/>
              <w:rPr>
                <w:rFonts w:ascii="仿宋" w:hAnsi="仿宋" w:eastAsia="仿宋"/>
                <w:szCs w:val="21"/>
              </w:rPr>
            </w:pPr>
            <w:r>
              <w:rPr>
                <w:rFonts w:ascii="仿宋" w:hAnsi="仿宋" w:eastAsia="仿宋"/>
                <w:szCs w:val="21"/>
              </w:rPr>
              <w:t>副教授、主任医师，博导</w:t>
            </w:r>
          </w:p>
        </w:tc>
        <w:tc>
          <w:tcPr>
            <w:tcW w:w="3949" w:type="dxa"/>
            <w:vAlign w:val="center"/>
          </w:tcPr>
          <w:p w14:paraId="7F560212">
            <w:pPr>
              <w:jc w:val="center"/>
              <w:rPr>
                <w:rFonts w:ascii="仿宋" w:hAnsi="仿宋" w:eastAsia="仿宋"/>
                <w:szCs w:val="21"/>
              </w:rPr>
            </w:pPr>
            <w:r>
              <w:rPr>
                <w:rFonts w:ascii="仿宋" w:hAnsi="仿宋" w:eastAsia="仿宋"/>
                <w:szCs w:val="21"/>
              </w:rPr>
              <w:t>江西中医药大学附属医院</w:t>
            </w:r>
          </w:p>
        </w:tc>
        <w:tc>
          <w:tcPr>
            <w:tcW w:w="2225" w:type="dxa"/>
            <w:vAlign w:val="center"/>
          </w:tcPr>
          <w:p w14:paraId="625F4C76">
            <w:pPr>
              <w:jc w:val="center"/>
              <w:rPr>
                <w:rFonts w:ascii="仿宋" w:hAnsi="仿宋" w:eastAsia="仿宋"/>
                <w:szCs w:val="21"/>
              </w:rPr>
            </w:pPr>
            <w:r>
              <w:rPr>
                <w:rFonts w:hint="eastAsia" w:ascii="仿宋" w:hAnsi="仿宋" w:eastAsia="仿宋"/>
                <w:szCs w:val="21"/>
              </w:rPr>
              <w:t>接受专家问卷调查。</w:t>
            </w:r>
          </w:p>
        </w:tc>
      </w:tr>
      <w:tr w14:paraId="46FAB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40FF478C">
            <w:pPr>
              <w:jc w:val="center"/>
              <w:rPr>
                <w:rFonts w:ascii="仿宋" w:hAnsi="仿宋" w:eastAsia="仿宋"/>
                <w:szCs w:val="21"/>
              </w:rPr>
            </w:pPr>
            <w:r>
              <w:rPr>
                <w:rFonts w:ascii="仿宋" w:hAnsi="仿宋" w:eastAsia="仿宋"/>
                <w:szCs w:val="21"/>
              </w:rPr>
              <w:t>熊</w:t>
            </w:r>
            <w:r>
              <w:rPr>
                <w:rFonts w:hint="eastAsia" w:ascii="仿宋" w:hAnsi="仿宋" w:eastAsia="仿宋"/>
                <w:szCs w:val="21"/>
              </w:rPr>
              <w:t xml:space="preserve"> </w:t>
            </w:r>
            <w:r>
              <w:rPr>
                <w:rFonts w:ascii="仿宋" w:hAnsi="仿宋" w:eastAsia="仿宋"/>
                <w:szCs w:val="21"/>
              </w:rPr>
              <w:t xml:space="preserve"> 磊</w:t>
            </w:r>
          </w:p>
        </w:tc>
        <w:tc>
          <w:tcPr>
            <w:tcW w:w="787" w:type="dxa"/>
            <w:vAlign w:val="center"/>
          </w:tcPr>
          <w:p w14:paraId="0FDBC0AA">
            <w:pPr>
              <w:jc w:val="center"/>
              <w:rPr>
                <w:rFonts w:ascii="仿宋" w:hAnsi="仿宋" w:eastAsia="仿宋"/>
                <w:szCs w:val="21"/>
              </w:rPr>
            </w:pPr>
            <w:r>
              <w:rPr>
                <w:rFonts w:ascii="仿宋" w:hAnsi="仿宋" w:eastAsia="仿宋"/>
                <w:szCs w:val="21"/>
              </w:rPr>
              <w:t>硕士</w:t>
            </w:r>
          </w:p>
        </w:tc>
        <w:tc>
          <w:tcPr>
            <w:tcW w:w="1281" w:type="dxa"/>
            <w:vAlign w:val="center"/>
          </w:tcPr>
          <w:p w14:paraId="612BD80E">
            <w:pPr>
              <w:jc w:val="center"/>
              <w:rPr>
                <w:rFonts w:ascii="仿宋" w:hAnsi="仿宋" w:eastAsia="仿宋"/>
                <w:szCs w:val="21"/>
              </w:rPr>
            </w:pPr>
            <w:r>
              <w:rPr>
                <w:rFonts w:ascii="仿宋" w:hAnsi="仿宋" w:eastAsia="仿宋"/>
                <w:szCs w:val="21"/>
              </w:rPr>
              <w:t>教授，博导</w:t>
            </w:r>
          </w:p>
        </w:tc>
        <w:tc>
          <w:tcPr>
            <w:tcW w:w="3949" w:type="dxa"/>
            <w:vAlign w:val="center"/>
          </w:tcPr>
          <w:p w14:paraId="4ADE8B0F">
            <w:pPr>
              <w:jc w:val="center"/>
              <w:rPr>
                <w:rFonts w:ascii="仿宋" w:hAnsi="仿宋" w:eastAsia="仿宋"/>
                <w:szCs w:val="21"/>
              </w:rPr>
            </w:pPr>
            <w:r>
              <w:rPr>
                <w:rFonts w:ascii="仿宋" w:hAnsi="仿宋" w:eastAsia="仿宋"/>
                <w:szCs w:val="21"/>
              </w:rPr>
              <w:t>云南中医药大学第一附属医院</w:t>
            </w:r>
          </w:p>
        </w:tc>
        <w:tc>
          <w:tcPr>
            <w:tcW w:w="2225" w:type="dxa"/>
            <w:vAlign w:val="center"/>
          </w:tcPr>
          <w:p w14:paraId="523CF19B">
            <w:pPr>
              <w:jc w:val="center"/>
              <w:rPr>
                <w:rFonts w:ascii="仿宋" w:hAnsi="仿宋" w:eastAsia="仿宋"/>
                <w:szCs w:val="21"/>
              </w:rPr>
            </w:pPr>
            <w:r>
              <w:rPr>
                <w:rFonts w:hint="eastAsia" w:ascii="仿宋" w:hAnsi="仿宋" w:eastAsia="仿宋"/>
                <w:szCs w:val="21"/>
              </w:rPr>
              <w:t>接受专家问卷调查。</w:t>
            </w:r>
          </w:p>
        </w:tc>
      </w:tr>
      <w:tr w14:paraId="0B04A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6CBCC7AE">
            <w:pPr>
              <w:jc w:val="center"/>
              <w:rPr>
                <w:rFonts w:ascii="仿宋" w:hAnsi="仿宋" w:eastAsia="仿宋"/>
                <w:szCs w:val="21"/>
              </w:rPr>
            </w:pPr>
            <w:r>
              <w:rPr>
                <w:rFonts w:ascii="仿宋" w:hAnsi="仿宋" w:eastAsia="仿宋"/>
                <w:szCs w:val="21"/>
              </w:rPr>
              <w:t>陈晓燕</w:t>
            </w:r>
          </w:p>
        </w:tc>
        <w:tc>
          <w:tcPr>
            <w:tcW w:w="787" w:type="dxa"/>
            <w:vAlign w:val="center"/>
          </w:tcPr>
          <w:p w14:paraId="51D03350">
            <w:pPr>
              <w:jc w:val="center"/>
              <w:rPr>
                <w:rFonts w:ascii="仿宋" w:hAnsi="仿宋" w:eastAsia="仿宋"/>
                <w:szCs w:val="21"/>
              </w:rPr>
            </w:pPr>
            <w:r>
              <w:rPr>
                <w:rFonts w:ascii="仿宋" w:hAnsi="仿宋" w:eastAsia="仿宋"/>
                <w:szCs w:val="21"/>
              </w:rPr>
              <w:t>硕士</w:t>
            </w:r>
          </w:p>
        </w:tc>
        <w:tc>
          <w:tcPr>
            <w:tcW w:w="1281" w:type="dxa"/>
            <w:vAlign w:val="center"/>
          </w:tcPr>
          <w:p w14:paraId="38FF94CE">
            <w:pPr>
              <w:jc w:val="center"/>
              <w:rPr>
                <w:rFonts w:ascii="仿宋" w:hAnsi="仿宋" w:eastAsia="仿宋"/>
                <w:szCs w:val="21"/>
              </w:rPr>
            </w:pPr>
            <w:r>
              <w:rPr>
                <w:rFonts w:ascii="仿宋" w:hAnsi="仿宋" w:eastAsia="仿宋"/>
                <w:szCs w:val="21"/>
              </w:rPr>
              <w:t>副主任医师</w:t>
            </w:r>
          </w:p>
        </w:tc>
        <w:tc>
          <w:tcPr>
            <w:tcW w:w="3949" w:type="dxa"/>
            <w:vAlign w:val="center"/>
          </w:tcPr>
          <w:p w14:paraId="3B72DB4D">
            <w:pPr>
              <w:jc w:val="center"/>
              <w:rPr>
                <w:rFonts w:ascii="仿宋" w:hAnsi="仿宋" w:eastAsia="仿宋"/>
                <w:szCs w:val="21"/>
              </w:rPr>
            </w:pPr>
            <w:r>
              <w:rPr>
                <w:rFonts w:ascii="仿宋" w:hAnsi="仿宋" w:eastAsia="仿宋"/>
                <w:szCs w:val="21"/>
              </w:rPr>
              <w:t>加拿大太平洋中医学院</w:t>
            </w:r>
          </w:p>
        </w:tc>
        <w:tc>
          <w:tcPr>
            <w:tcW w:w="2225" w:type="dxa"/>
            <w:vAlign w:val="center"/>
          </w:tcPr>
          <w:p w14:paraId="64194062">
            <w:pPr>
              <w:jc w:val="center"/>
              <w:rPr>
                <w:rFonts w:ascii="仿宋" w:hAnsi="仿宋" w:eastAsia="仿宋"/>
                <w:szCs w:val="21"/>
              </w:rPr>
            </w:pPr>
            <w:r>
              <w:rPr>
                <w:rFonts w:hint="eastAsia" w:ascii="仿宋" w:hAnsi="仿宋" w:eastAsia="仿宋"/>
                <w:szCs w:val="21"/>
              </w:rPr>
              <w:t>接受专家问卷调查。</w:t>
            </w:r>
          </w:p>
        </w:tc>
      </w:tr>
      <w:tr w14:paraId="433EE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1545E832">
            <w:pPr>
              <w:jc w:val="center"/>
              <w:rPr>
                <w:rFonts w:ascii="仿宋" w:hAnsi="仿宋" w:eastAsia="仿宋"/>
                <w:szCs w:val="21"/>
              </w:rPr>
            </w:pPr>
            <w:r>
              <w:rPr>
                <w:rFonts w:ascii="仿宋" w:hAnsi="仿宋" w:eastAsia="仿宋"/>
                <w:szCs w:val="21"/>
              </w:rPr>
              <w:t>陈秀珍</w:t>
            </w:r>
          </w:p>
        </w:tc>
        <w:tc>
          <w:tcPr>
            <w:tcW w:w="787" w:type="dxa"/>
            <w:vAlign w:val="center"/>
          </w:tcPr>
          <w:p w14:paraId="1E3BB81C">
            <w:pPr>
              <w:jc w:val="center"/>
              <w:rPr>
                <w:rFonts w:ascii="仿宋" w:hAnsi="仿宋" w:eastAsia="仿宋"/>
                <w:szCs w:val="21"/>
              </w:rPr>
            </w:pPr>
            <w:r>
              <w:rPr>
                <w:rFonts w:ascii="仿宋" w:hAnsi="仿宋" w:eastAsia="仿宋"/>
                <w:szCs w:val="21"/>
              </w:rPr>
              <w:t>硕士</w:t>
            </w:r>
          </w:p>
        </w:tc>
        <w:tc>
          <w:tcPr>
            <w:tcW w:w="1281" w:type="dxa"/>
            <w:vAlign w:val="center"/>
          </w:tcPr>
          <w:p w14:paraId="52E326EB">
            <w:pPr>
              <w:jc w:val="center"/>
              <w:rPr>
                <w:rFonts w:ascii="仿宋" w:hAnsi="仿宋" w:eastAsia="仿宋"/>
                <w:szCs w:val="21"/>
              </w:rPr>
            </w:pPr>
            <w:r>
              <w:rPr>
                <w:rFonts w:ascii="仿宋" w:hAnsi="仿宋" w:eastAsia="仿宋"/>
                <w:szCs w:val="21"/>
              </w:rPr>
              <w:t>主任</w:t>
            </w:r>
            <w:r>
              <w:rPr>
                <w:rFonts w:hint="eastAsia" w:ascii="仿宋" w:hAnsi="仿宋" w:eastAsia="仿宋"/>
                <w:szCs w:val="21"/>
              </w:rPr>
              <w:t>中</w:t>
            </w:r>
            <w:r>
              <w:rPr>
                <w:rFonts w:ascii="仿宋" w:hAnsi="仿宋" w:eastAsia="仿宋"/>
                <w:szCs w:val="21"/>
              </w:rPr>
              <w:t>医师</w:t>
            </w:r>
          </w:p>
        </w:tc>
        <w:tc>
          <w:tcPr>
            <w:tcW w:w="3949" w:type="dxa"/>
            <w:vAlign w:val="center"/>
          </w:tcPr>
          <w:p w14:paraId="5634460E">
            <w:pPr>
              <w:jc w:val="center"/>
              <w:rPr>
                <w:rFonts w:ascii="仿宋" w:hAnsi="仿宋" w:eastAsia="仿宋"/>
                <w:szCs w:val="21"/>
              </w:rPr>
            </w:pPr>
            <w:r>
              <w:rPr>
                <w:rFonts w:hint="eastAsia" w:ascii="仿宋" w:hAnsi="仿宋" w:eastAsia="仿宋"/>
                <w:szCs w:val="21"/>
              </w:rPr>
              <w:t>南京中医药大学附属</w:t>
            </w:r>
            <w:r>
              <w:rPr>
                <w:rFonts w:ascii="仿宋" w:hAnsi="仿宋" w:eastAsia="仿宋"/>
                <w:szCs w:val="21"/>
              </w:rPr>
              <w:t>医院</w:t>
            </w:r>
          </w:p>
        </w:tc>
        <w:tc>
          <w:tcPr>
            <w:tcW w:w="2225" w:type="dxa"/>
            <w:vAlign w:val="center"/>
          </w:tcPr>
          <w:p w14:paraId="5BC6A069">
            <w:pPr>
              <w:jc w:val="center"/>
              <w:rPr>
                <w:rFonts w:ascii="仿宋" w:hAnsi="仿宋" w:eastAsia="仿宋"/>
                <w:szCs w:val="21"/>
              </w:rPr>
            </w:pPr>
            <w:r>
              <w:rPr>
                <w:rFonts w:hint="eastAsia" w:ascii="仿宋" w:hAnsi="仿宋" w:eastAsia="仿宋"/>
                <w:szCs w:val="21"/>
              </w:rPr>
              <w:t>接受专家问卷调查。</w:t>
            </w:r>
          </w:p>
        </w:tc>
      </w:tr>
      <w:tr w14:paraId="5E8E4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2F1E9F39">
            <w:pPr>
              <w:jc w:val="center"/>
              <w:rPr>
                <w:rFonts w:ascii="仿宋" w:hAnsi="仿宋" w:eastAsia="仿宋"/>
                <w:szCs w:val="21"/>
              </w:rPr>
            </w:pPr>
            <w:r>
              <w:rPr>
                <w:rFonts w:ascii="仿宋" w:hAnsi="仿宋" w:eastAsia="仿宋"/>
                <w:szCs w:val="21"/>
              </w:rPr>
              <w:t>赵</w:t>
            </w:r>
            <w:r>
              <w:rPr>
                <w:rFonts w:hint="eastAsia" w:ascii="仿宋" w:hAnsi="仿宋" w:eastAsia="仿宋"/>
                <w:szCs w:val="21"/>
              </w:rPr>
              <w:t xml:space="preserve"> </w:t>
            </w:r>
            <w:r>
              <w:rPr>
                <w:rFonts w:ascii="仿宋" w:hAnsi="仿宋" w:eastAsia="仿宋"/>
                <w:szCs w:val="21"/>
              </w:rPr>
              <w:t xml:space="preserve"> 琼</w:t>
            </w:r>
          </w:p>
        </w:tc>
        <w:tc>
          <w:tcPr>
            <w:tcW w:w="787" w:type="dxa"/>
            <w:vAlign w:val="center"/>
          </w:tcPr>
          <w:p w14:paraId="01D30624">
            <w:pPr>
              <w:jc w:val="center"/>
              <w:rPr>
                <w:rFonts w:ascii="仿宋" w:hAnsi="仿宋" w:eastAsia="仿宋"/>
                <w:szCs w:val="21"/>
              </w:rPr>
            </w:pPr>
            <w:r>
              <w:rPr>
                <w:rFonts w:ascii="仿宋" w:hAnsi="仿宋" w:eastAsia="仿宋"/>
                <w:szCs w:val="21"/>
              </w:rPr>
              <w:t>博士</w:t>
            </w:r>
          </w:p>
        </w:tc>
        <w:tc>
          <w:tcPr>
            <w:tcW w:w="1281" w:type="dxa"/>
            <w:vAlign w:val="center"/>
          </w:tcPr>
          <w:p w14:paraId="2DA230D3">
            <w:pPr>
              <w:jc w:val="center"/>
              <w:rPr>
                <w:rFonts w:ascii="仿宋" w:hAnsi="仿宋" w:eastAsia="仿宋"/>
                <w:szCs w:val="21"/>
              </w:rPr>
            </w:pPr>
            <w:r>
              <w:rPr>
                <w:rFonts w:ascii="仿宋" w:hAnsi="仿宋" w:eastAsia="仿宋"/>
                <w:szCs w:val="21"/>
              </w:rPr>
              <w:t>主任医师、研究员，博导</w:t>
            </w:r>
          </w:p>
        </w:tc>
        <w:tc>
          <w:tcPr>
            <w:tcW w:w="3949" w:type="dxa"/>
            <w:vAlign w:val="center"/>
          </w:tcPr>
          <w:p w14:paraId="269BBAA2">
            <w:pPr>
              <w:jc w:val="center"/>
              <w:rPr>
                <w:rFonts w:ascii="仿宋" w:hAnsi="仿宋" w:eastAsia="仿宋"/>
                <w:szCs w:val="21"/>
              </w:rPr>
            </w:pPr>
            <w:r>
              <w:rPr>
                <w:rFonts w:ascii="仿宋" w:hAnsi="仿宋" w:eastAsia="仿宋"/>
                <w:szCs w:val="21"/>
              </w:rPr>
              <w:t>成都中医药大学附属医院</w:t>
            </w:r>
          </w:p>
        </w:tc>
        <w:tc>
          <w:tcPr>
            <w:tcW w:w="2225" w:type="dxa"/>
            <w:vAlign w:val="center"/>
          </w:tcPr>
          <w:p w14:paraId="23B0A58C">
            <w:pPr>
              <w:jc w:val="center"/>
              <w:rPr>
                <w:rFonts w:ascii="仿宋" w:hAnsi="仿宋" w:eastAsia="仿宋"/>
                <w:szCs w:val="21"/>
              </w:rPr>
            </w:pPr>
            <w:r>
              <w:rPr>
                <w:rFonts w:hint="eastAsia" w:ascii="仿宋" w:hAnsi="仿宋" w:eastAsia="仿宋"/>
                <w:szCs w:val="21"/>
              </w:rPr>
              <w:t>接受专家问卷调查。</w:t>
            </w:r>
          </w:p>
        </w:tc>
      </w:tr>
      <w:tr w14:paraId="2F436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06A2588B">
            <w:pPr>
              <w:jc w:val="center"/>
              <w:rPr>
                <w:rFonts w:ascii="仿宋" w:hAnsi="仿宋" w:eastAsia="仿宋"/>
                <w:szCs w:val="21"/>
              </w:rPr>
            </w:pPr>
            <w:r>
              <w:rPr>
                <w:rFonts w:ascii="仿宋" w:hAnsi="仿宋" w:eastAsia="仿宋"/>
                <w:szCs w:val="21"/>
              </w:rPr>
              <w:t>吴佳盛</w:t>
            </w:r>
          </w:p>
        </w:tc>
        <w:tc>
          <w:tcPr>
            <w:tcW w:w="787" w:type="dxa"/>
            <w:vAlign w:val="center"/>
          </w:tcPr>
          <w:p w14:paraId="4C78F659">
            <w:pPr>
              <w:jc w:val="center"/>
              <w:rPr>
                <w:rFonts w:ascii="仿宋" w:hAnsi="仿宋" w:eastAsia="仿宋"/>
                <w:szCs w:val="21"/>
              </w:rPr>
            </w:pPr>
            <w:r>
              <w:rPr>
                <w:rFonts w:ascii="仿宋" w:hAnsi="仿宋" w:eastAsia="仿宋"/>
                <w:szCs w:val="21"/>
              </w:rPr>
              <w:t>博士</w:t>
            </w:r>
          </w:p>
        </w:tc>
        <w:tc>
          <w:tcPr>
            <w:tcW w:w="1281" w:type="dxa"/>
            <w:vAlign w:val="center"/>
          </w:tcPr>
          <w:p w14:paraId="794B965F">
            <w:pPr>
              <w:jc w:val="center"/>
              <w:rPr>
                <w:rFonts w:ascii="仿宋" w:hAnsi="仿宋" w:eastAsia="仿宋"/>
                <w:szCs w:val="21"/>
              </w:rPr>
            </w:pPr>
            <w:r>
              <w:rPr>
                <w:rFonts w:hint="eastAsia" w:ascii="仿宋" w:hAnsi="仿宋" w:eastAsia="仿宋"/>
                <w:szCs w:val="21"/>
              </w:rPr>
              <w:t>中</w:t>
            </w:r>
            <w:r>
              <w:rPr>
                <w:rFonts w:ascii="仿宋" w:hAnsi="仿宋" w:eastAsia="仿宋"/>
                <w:szCs w:val="21"/>
              </w:rPr>
              <w:t>医师</w:t>
            </w:r>
          </w:p>
        </w:tc>
        <w:tc>
          <w:tcPr>
            <w:tcW w:w="3949" w:type="dxa"/>
            <w:vAlign w:val="center"/>
          </w:tcPr>
          <w:p w14:paraId="7F51F331">
            <w:pPr>
              <w:jc w:val="center"/>
              <w:rPr>
                <w:rFonts w:ascii="仿宋" w:hAnsi="仿宋" w:eastAsia="仿宋"/>
                <w:szCs w:val="21"/>
              </w:rPr>
            </w:pPr>
            <w:r>
              <w:rPr>
                <w:rFonts w:ascii="仿宋" w:hAnsi="仿宋" w:eastAsia="仿宋"/>
                <w:szCs w:val="21"/>
              </w:rPr>
              <w:t>新加坡中医师公会</w:t>
            </w:r>
          </w:p>
        </w:tc>
        <w:tc>
          <w:tcPr>
            <w:tcW w:w="2225" w:type="dxa"/>
            <w:vAlign w:val="center"/>
          </w:tcPr>
          <w:p w14:paraId="4FA93C04">
            <w:pPr>
              <w:jc w:val="center"/>
              <w:rPr>
                <w:rFonts w:ascii="仿宋" w:hAnsi="仿宋" w:eastAsia="仿宋"/>
                <w:szCs w:val="21"/>
              </w:rPr>
            </w:pPr>
            <w:r>
              <w:rPr>
                <w:rFonts w:hint="eastAsia" w:ascii="仿宋" w:hAnsi="仿宋" w:eastAsia="仿宋"/>
                <w:szCs w:val="21"/>
              </w:rPr>
              <w:t>接受专家问卷调查。</w:t>
            </w:r>
          </w:p>
        </w:tc>
      </w:tr>
      <w:tr w14:paraId="37FF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18BB43C1">
            <w:pPr>
              <w:jc w:val="center"/>
              <w:rPr>
                <w:rFonts w:ascii="仿宋" w:hAnsi="仿宋" w:eastAsia="仿宋"/>
                <w:szCs w:val="21"/>
              </w:rPr>
            </w:pPr>
            <w:r>
              <w:rPr>
                <w:rFonts w:ascii="仿宋" w:hAnsi="仿宋" w:eastAsia="仿宋"/>
                <w:szCs w:val="21"/>
              </w:rPr>
              <w:t>倪光夏</w:t>
            </w:r>
          </w:p>
        </w:tc>
        <w:tc>
          <w:tcPr>
            <w:tcW w:w="787" w:type="dxa"/>
            <w:vAlign w:val="center"/>
          </w:tcPr>
          <w:p w14:paraId="7D2843BF">
            <w:pPr>
              <w:jc w:val="center"/>
              <w:rPr>
                <w:rFonts w:ascii="仿宋" w:hAnsi="仿宋" w:eastAsia="仿宋"/>
                <w:szCs w:val="21"/>
              </w:rPr>
            </w:pPr>
            <w:r>
              <w:rPr>
                <w:rFonts w:ascii="仿宋" w:hAnsi="仿宋" w:eastAsia="仿宋"/>
                <w:szCs w:val="21"/>
              </w:rPr>
              <w:t>博士</w:t>
            </w:r>
          </w:p>
        </w:tc>
        <w:tc>
          <w:tcPr>
            <w:tcW w:w="1281" w:type="dxa"/>
            <w:vAlign w:val="center"/>
          </w:tcPr>
          <w:p w14:paraId="2FA8F084">
            <w:pPr>
              <w:jc w:val="center"/>
              <w:rPr>
                <w:rFonts w:ascii="仿宋" w:hAnsi="仿宋" w:eastAsia="仿宋"/>
                <w:szCs w:val="21"/>
              </w:rPr>
            </w:pPr>
            <w:r>
              <w:rPr>
                <w:rFonts w:ascii="仿宋" w:hAnsi="仿宋" w:eastAsia="仿宋"/>
                <w:szCs w:val="21"/>
              </w:rPr>
              <w:t>教授、主任医师，博导</w:t>
            </w:r>
          </w:p>
        </w:tc>
        <w:tc>
          <w:tcPr>
            <w:tcW w:w="3949" w:type="dxa"/>
            <w:vAlign w:val="center"/>
          </w:tcPr>
          <w:p w14:paraId="3ED61BE6">
            <w:pPr>
              <w:jc w:val="center"/>
              <w:rPr>
                <w:rFonts w:ascii="仿宋" w:hAnsi="仿宋" w:eastAsia="仿宋"/>
                <w:szCs w:val="21"/>
              </w:rPr>
            </w:pPr>
            <w:r>
              <w:rPr>
                <w:rFonts w:ascii="仿宋" w:hAnsi="仿宋" w:eastAsia="仿宋"/>
                <w:szCs w:val="21"/>
              </w:rPr>
              <w:t>南京中医药大学</w:t>
            </w:r>
          </w:p>
        </w:tc>
        <w:tc>
          <w:tcPr>
            <w:tcW w:w="2225" w:type="dxa"/>
            <w:vAlign w:val="center"/>
          </w:tcPr>
          <w:p w14:paraId="0C1F4C05">
            <w:pPr>
              <w:jc w:val="center"/>
              <w:rPr>
                <w:rFonts w:ascii="仿宋" w:hAnsi="仿宋" w:eastAsia="仿宋"/>
                <w:szCs w:val="21"/>
              </w:rPr>
            </w:pPr>
            <w:r>
              <w:rPr>
                <w:rFonts w:hint="eastAsia" w:ascii="仿宋" w:hAnsi="仿宋" w:eastAsia="仿宋"/>
                <w:szCs w:val="21"/>
              </w:rPr>
              <w:t>接受专家问卷调查。</w:t>
            </w:r>
          </w:p>
        </w:tc>
      </w:tr>
      <w:tr w14:paraId="673A2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684E0CFA">
            <w:pPr>
              <w:jc w:val="center"/>
              <w:rPr>
                <w:rFonts w:ascii="仿宋" w:hAnsi="仿宋" w:eastAsia="仿宋"/>
                <w:szCs w:val="21"/>
              </w:rPr>
            </w:pPr>
            <w:r>
              <w:rPr>
                <w:rFonts w:ascii="仿宋" w:hAnsi="仿宋" w:eastAsia="仿宋"/>
                <w:szCs w:val="21"/>
              </w:rPr>
              <w:t>王俊宏</w:t>
            </w:r>
          </w:p>
        </w:tc>
        <w:tc>
          <w:tcPr>
            <w:tcW w:w="787" w:type="dxa"/>
            <w:vAlign w:val="center"/>
          </w:tcPr>
          <w:p w14:paraId="58F324B9">
            <w:pPr>
              <w:jc w:val="center"/>
              <w:rPr>
                <w:rFonts w:ascii="仿宋" w:hAnsi="仿宋" w:eastAsia="仿宋"/>
                <w:szCs w:val="21"/>
              </w:rPr>
            </w:pPr>
            <w:r>
              <w:rPr>
                <w:rFonts w:ascii="仿宋" w:hAnsi="仿宋" w:eastAsia="仿宋"/>
                <w:szCs w:val="21"/>
              </w:rPr>
              <w:t>博士</w:t>
            </w:r>
          </w:p>
        </w:tc>
        <w:tc>
          <w:tcPr>
            <w:tcW w:w="1281" w:type="dxa"/>
            <w:vAlign w:val="center"/>
          </w:tcPr>
          <w:p w14:paraId="6A1A66F4">
            <w:pPr>
              <w:jc w:val="center"/>
              <w:rPr>
                <w:rFonts w:ascii="仿宋" w:hAnsi="仿宋" w:eastAsia="仿宋"/>
                <w:szCs w:val="21"/>
              </w:rPr>
            </w:pPr>
            <w:r>
              <w:rPr>
                <w:rFonts w:ascii="仿宋" w:hAnsi="仿宋" w:eastAsia="仿宋"/>
                <w:szCs w:val="21"/>
              </w:rPr>
              <w:t>教授、主任医师，博导</w:t>
            </w:r>
          </w:p>
        </w:tc>
        <w:tc>
          <w:tcPr>
            <w:tcW w:w="3949" w:type="dxa"/>
            <w:vAlign w:val="center"/>
          </w:tcPr>
          <w:p w14:paraId="1EE294D6">
            <w:pPr>
              <w:jc w:val="center"/>
              <w:rPr>
                <w:rFonts w:ascii="仿宋" w:hAnsi="仿宋" w:eastAsia="仿宋"/>
                <w:szCs w:val="21"/>
              </w:rPr>
            </w:pPr>
            <w:r>
              <w:rPr>
                <w:rFonts w:ascii="仿宋" w:hAnsi="仿宋" w:eastAsia="仿宋"/>
                <w:szCs w:val="21"/>
              </w:rPr>
              <w:t>北京中医药大学东直门医院</w:t>
            </w:r>
          </w:p>
        </w:tc>
        <w:tc>
          <w:tcPr>
            <w:tcW w:w="2225" w:type="dxa"/>
            <w:vAlign w:val="center"/>
          </w:tcPr>
          <w:p w14:paraId="1E0F4125">
            <w:pPr>
              <w:jc w:val="center"/>
              <w:rPr>
                <w:rFonts w:ascii="仿宋" w:hAnsi="仿宋" w:eastAsia="仿宋"/>
                <w:szCs w:val="21"/>
              </w:rPr>
            </w:pPr>
            <w:r>
              <w:rPr>
                <w:rFonts w:hint="eastAsia" w:ascii="仿宋" w:hAnsi="仿宋" w:eastAsia="仿宋"/>
                <w:szCs w:val="21"/>
              </w:rPr>
              <w:t>接受专家问卷调查。</w:t>
            </w:r>
          </w:p>
        </w:tc>
      </w:tr>
      <w:tr w14:paraId="7FA34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4654358C">
            <w:pPr>
              <w:jc w:val="center"/>
              <w:rPr>
                <w:rFonts w:ascii="仿宋" w:hAnsi="仿宋" w:eastAsia="仿宋"/>
                <w:szCs w:val="21"/>
              </w:rPr>
            </w:pPr>
            <w:r>
              <w:rPr>
                <w:rFonts w:ascii="仿宋" w:hAnsi="仿宋" w:eastAsia="仿宋"/>
                <w:szCs w:val="21"/>
              </w:rPr>
              <w:t>陈仁寿</w:t>
            </w:r>
          </w:p>
        </w:tc>
        <w:tc>
          <w:tcPr>
            <w:tcW w:w="787" w:type="dxa"/>
            <w:vAlign w:val="center"/>
          </w:tcPr>
          <w:p w14:paraId="0795EE9F">
            <w:pPr>
              <w:jc w:val="center"/>
              <w:rPr>
                <w:rFonts w:ascii="仿宋" w:hAnsi="仿宋" w:eastAsia="仿宋"/>
                <w:szCs w:val="21"/>
              </w:rPr>
            </w:pPr>
            <w:r>
              <w:rPr>
                <w:rFonts w:ascii="仿宋" w:hAnsi="仿宋" w:eastAsia="仿宋"/>
                <w:szCs w:val="21"/>
              </w:rPr>
              <w:t>博士</w:t>
            </w:r>
          </w:p>
        </w:tc>
        <w:tc>
          <w:tcPr>
            <w:tcW w:w="1281" w:type="dxa"/>
            <w:vAlign w:val="center"/>
          </w:tcPr>
          <w:p w14:paraId="09EAB92E">
            <w:pPr>
              <w:jc w:val="center"/>
              <w:rPr>
                <w:rFonts w:ascii="仿宋" w:hAnsi="仿宋" w:eastAsia="仿宋"/>
                <w:szCs w:val="21"/>
              </w:rPr>
            </w:pPr>
            <w:r>
              <w:rPr>
                <w:rFonts w:ascii="仿宋" w:hAnsi="仿宋" w:eastAsia="仿宋"/>
                <w:szCs w:val="21"/>
              </w:rPr>
              <w:t>教授，博导</w:t>
            </w:r>
          </w:p>
        </w:tc>
        <w:tc>
          <w:tcPr>
            <w:tcW w:w="3949" w:type="dxa"/>
            <w:vAlign w:val="center"/>
          </w:tcPr>
          <w:p w14:paraId="68654775">
            <w:pPr>
              <w:jc w:val="center"/>
              <w:rPr>
                <w:rFonts w:ascii="仿宋" w:hAnsi="仿宋" w:eastAsia="仿宋"/>
                <w:szCs w:val="21"/>
              </w:rPr>
            </w:pPr>
            <w:r>
              <w:rPr>
                <w:rFonts w:ascii="仿宋" w:hAnsi="仿宋" w:eastAsia="仿宋"/>
                <w:szCs w:val="21"/>
              </w:rPr>
              <w:t>南京中医药大学中医药文献研究院</w:t>
            </w:r>
          </w:p>
        </w:tc>
        <w:tc>
          <w:tcPr>
            <w:tcW w:w="2225" w:type="dxa"/>
            <w:vAlign w:val="center"/>
          </w:tcPr>
          <w:p w14:paraId="6D6C7221">
            <w:pPr>
              <w:jc w:val="center"/>
              <w:rPr>
                <w:rFonts w:ascii="仿宋" w:hAnsi="仿宋" w:eastAsia="仿宋"/>
                <w:szCs w:val="21"/>
              </w:rPr>
            </w:pPr>
            <w:r>
              <w:rPr>
                <w:rFonts w:hint="eastAsia" w:ascii="仿宋" w:hAnsi="仿宋" w:eastAsia="仿宋"/>
                <w:szCs w:val="21"/>
              </w:rPr>
              <w:t>接受专家问卷调查。</w:t>
            </w:r>
          </w:p>
        </w:tc>
      </w:tr>
      <w:tr w14:paraId="65B3B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259A41DB">
            <w:pPr>
              <w:jc w:val="center"/>
              <w:rPr>
                <w:rFonts w:ascii="仿宋" w:hAnsi="仿宋" w:eastAsia="仿宋"/>
                <w:szCs w:val="21"/>
              </w:rPr>
            </w:pPr>
            <w:r>
              <w:rPr>
                <w:rFonts w:ascii="仿宋" w:hAnsi="仿宋" w:eastAsia="仿宋"/>
                <w:szCs w:val="21"/>
              </w:rPr>
              <w:t>万力生</w:t>
            </w:r>
          </w:p>
        </w:tc>
        <w:tc>
          <w:tcPr>
            <w:tcW w:w="787" w:type="dxa"/>
            <w:vAlign w:val="center"/>
          </w:tcPr>
          <w:p w14:paraId="58488428">
            <w:pPr>
              <w:jc w:val="center"/>
              <w:rPr>
                <w:rFonts w:ascii="仿宋" w:hAnsi="仿宋" w:eastAsia="仿宋"/>
                <w:szCs w:val="21"/>
              </w:rPr>
            </w:pPr>
            <w:r>
              <w:rPr>
                <w:rFonts w:ascii="仿宋" w:hAnsi="仿宋" w:eastAsia="仿宋"/>
                <w:szCs w:val="21"/>
              </w:rPr>
              <w:t>博士</w:t>
            </w:r>
          </w:p>
        </w:tc>
        <w:tc>
          <w:tcPr>
            <w:tcW w:w="1281" w:type="dxa"/>
            <w:vAlign w:val="center"/>
          </w:tcPr>
          <w:p w14:paraId="3AD0792C">
            <w:pPr>
              <w:jc w:val="center"/>
              <w:rPr>
                <w:rFonts w:ascii="仿宋" w:hAnsi="仿宋" w:eastAsia="仿宋"/>
                <w:szCs w:val="21"/>
              </w:rPr>
            </w:pPr>
            <w:r>
              <w:rPr>
                <w:rFonts w:ascii="仿宋" w:hAnsi="仿宋" w:eastAsia="仿宋"/>
                <w:szCs w:val="21"/>
              </w:rPr>
              <w:t>教授、主任医师，博导</w:t>
            </w:r>
          </w:p>
        </w:tc>
        <w:tc>
          <w:tcPr>
            <w:tcW w:w="3949" w:type="dxa"/>
            <w:vAlign w:val="center"/>
          </w:tcPr>
          <w:p w14:paraId="65E7FA95">
            <w:pPr>
              <w:jc w:val="center"/>
              <w:rPr>
                <w:rFonts w:ascii="仿宋" w:hAnsi="仿宋" w:eastAsia="仿宋"/>
                <w:szCs w:val="21"/>
              </w:rPr>
            </w:pPr>
            <w:r>
              <w:rPr>
                <w:rFonts w:ascii="仿宋" w:hAnsi="仿宋" w:eastAsia="仿宋"/>
                <w:szCs w:val="21"/>
              </w:rPr>
              <w:t>深圳市儿童医院</w:t>
            </w:r>
          </w:p>
        </w:tc>
        <w:tc>
          <w:tcPr>
            <w:tcW w:w="2225" w:type="dxa"/>
            <w:vAlign w:val="center"/>
          </w:tcPr>
          <w:p w14:paraId="5125563A">
            <w:pPr>
              <w:jc w:val="center"/>
              <w:rPr>
                <w:rFonts w:ascii="仿宋" w:hAnsi="仿宋" w:eastAsia="仿宋"/>
                <w:szCs w:val="21"/>
              </w:rPr>
            </w:pPr>
            <w:r>
              <w:rPr>
                <w:rFonts w:hint="eastAsia" w:ascii="仿宋" w:hAnsi="仿宋" w:eastAsia="仿宋"/>
                <w:szCs w:val="21"/>
              </w:rPr>
              <w:t>接受专家问卷调查。</w:t>
            </w:r>
          </w:p>
        </w:tc>
      </w:tr>
      <w:tr w14:paraId="65FA5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4FD08636">
            <w:pPr>
              <w:jc w:val="center"/>
              <w:rPr>
                <w:rFonts w:ascii="仿宋" w:hAnsi="仿宋" w:eastAsia="仿宋"/>
                <w:szCs w:val="21"/>
              </w:rPr>
            </w:pPr>
            <w:r>
              <w:rPr>
                <w:rFonts w:ascii="仿宋" w:hAnsi="仿宋" w:eastAsia="仿宋"/>
                <w:szCs w:val="21"/>
              </w:rPr>
              <w:t>郑秀芬</w:t>
            </w:r>
          </w:p>
        </w:tc>
        <w:tc>
          <w:tcPr>
            <w:tcW w:w="787" w:type="dxa"/>
            <w:vAlign w:val="center"/>
          </w:tcPr>
          <w:p w14:paraId="7580B128">
            <w:pPr>
              <w:jc w:val="center"/>
              <w:rPr>
                <w:rFonts w:ascii="仿宋" w:hAnsi="仿宋" w:eastAsia="仿宋"/>
                <w:szCs w:val="21"/>
              </w:rPr>
            </w:pPr>
            <w:r>
              <w:rPr>
                <w:rFonts w:ascii="仿宋" w:hAnsi="仿宋" w:eastAsia="仿宋"/>
                <w:szCs w:val="21"/>
              </w:rPr>
              <w:t>博士</w:t>
            </w:r>
          </w:p>
        </w:tc>
        <w:tc>
          <w:tcPr>
            <w:tcW w:w="1281" w:type="dxa"/>
            <w:vAlign w:val="center"/>
          </w:tcPr>
          <w:p w14:paraId="37658557">
            <w:pPr>
              <w:jc w:val="center"/>
              <w:rPr>
                <w:rFonts w:ascii="仿宋" w:hAnsi="仿宋" w:eastAsia="仿宋"/>
                <w:szCs w:val="21"/>
              </w:rPr>
            </w:pPr>
            <w:r>
              <w:rPr>
                <w:rFonts w:ascii="仿宋" w:hAnsi="仿宋" w:eastAsia="仿宋"/>
                <w:szCs w:val="21"/>
              </w:rPr>
              <w:t>副教授，博导</w:t>
            </w:r>
          </w:p>
        </w:tc>
        <w:tc>
          <w:tcPr>
            <w:tcW w:w="3949" w:type="dxa"/>
            <w:vAlign w:val="center"/>
          </w:tcPr>
          <w:p w14:paraId="0ABFF77F">
            <w:pPr>
              <w:jc w:val="center"/>
              <w:rPr>
                <w:rFonts w:ascii="仿宋" w:hAnsi="仿宋" w:eastAsia="仿宋"/>
                <w:szCs w:val="21"/>
              </w:rPr>
            </w:pPr>
            <w:r>
              <w:rPr>
                <w:rFonts w:ascii="仿宋" w:hAnsi="仿宋" w:eastAsia="仿宋"/>
                <w:szCs w:val="21"/>
              </w:rPr>
              <w:t>马来西亚拉曼大学</w:t>
            </w:r>
          </w:p>
        </w:tc>
        <w:tc>
          <w:tcPr>
            <w:tcW w:w="2225" w:type="dxa"/>
            <w:vAlign w:val="center"/>
          </w:tcPr>
          <w:p w14:paraId="4A7DCEBC">
            <w:pPr>
              <w:jc w:val="center"/>
              <w:rPr>
                <w:rFonts w:ascii="仿宋" w:hAnsi="仿宋" w:eastAsia="仿宋"/>
                <w:szCs w:val="21"/>
              </w:rPr>
            </w:pPr>
            <w:r>
              <w:rPr>
                <w:rFonts w:hint="eastAsia" w:ascii="仿宋" w:hAnsi="仿宋" w:eastAsia="仿宋"/>
                <w:szCs w:val="21"/>
              </w:rPr>
              <w:t>接受专家问卷调查。</w:t>
            </w:r>
          </w:p>
        </w:tc>
      </w:tr>
      <w:tr w14:paraId="7017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3A3DC3C1">
            <w:pPr>
              <w:jc w:val="center"/>
              <w:rPr>
                <w:rFonts w:ascii="仿宋" w:hAnsi="仿宋" w:eastAsia="仿宋"/>
                <w:szCs w:val="21"/>
              </w:rPr>
            </w:pPr>
            <w:r>
              <w:rPr>
                <w:rFonts w:ascii="仿宋" w:hAnsi="仿宋" w:eastAsia="仿宋"/>
                <w:szCs w:val="21"/>
              </w:rPr>
              <w:t>阮红明</w:t>
            </w:r>
          </w:p>
        </w:tc>
        <w:tc>
          <w:tcPr>
            <w:tcW w:w="787" w:type="dxa"/>
            <w:vAlign w:val="center"/>
          </w:tcPr>
          <w:p w14:paraId="59429AD9">
            <w:pPr>
              <w:jc w:val="center"/>
              <w:rPr>
                <w:rFonts w:ascii="仿宋" w:hAnsi="仿宋" w:eastAsia="仿宋"/>
                <w:szCs w:val="21"/>
              </w:rPr>
            </w:pPr>
            <w:r>
              <w:rPr>
                <w:rFonts w:ascii="仿宋" w:hAnsi="仿宋" w:eastAsia="仿宋"/>
                <w:szCs w:val="21"/>
              </w:rPr>
              <w:t>博士</w:t>
            </w:r>
          </w:p>
        </w:tc>
        <w:tc>
          <w:tcPr>
            <w:tcW w:w="1281" w:type="dxa"/>
            <w:vAlign w:val="center"/>
          </w:tcPr>
          <w:p w14:paraId="7160686E">
            <w:pPr>
              <w:jc w:val="center"/>
              <w:rPr>
                <w:rFonts w:ascii="仿宋" w:hAnsi="仿宋" w:eastAsia="仿宋"/>
                <w:szCs w:val="21"/>
              </w:rPr>
            </w:pPr>
            <w:r>
              <w:rPr>
                <w:rFonts w:ascii="仿宋" w:hAnsi="仿宋" w:eastAsia="仿宋"/>
                <w:szCs w:val="21"/>
              </w:rPr>
              <w:t>主治医师，硕导</w:t>
            </w:r>
          </w:p>
        </w:tc>
        <w:tc>
          <w:tcPr>
            <w:tcW w:w="3949" w:type="dxa"/>
            <w:vAlign w:val="center"/>
          </w:tcPr>
          <w:p w14:paraId="000409AD">
            <w:pPr>
              <w:jc w:val="center"/>
              <w:rPr>
                <w:rFonts w:ascii="仿宋" w:hAnsi="仿宋" w:eastAsia="仿宋"/>
                <w:szCs w:val="21"/>
              </w:rPr>
            </w:pPr>
            <w:r>
              <w:rPr>
                <w:rFonts w:ascii="仿宋" w:hAnsi="仿宋" w:eastAsia="仿宋"/>
                <w:szCs w:val="21"/>
              </w:rPr>
              <w:t>越南中央儿童医院</w:t>
            </w:r>
          </w:p>
        </w:tc>
        <w:tc>
          <w:tcPr>
            <w:tcW w:w="2225" w:type="dxa"/>
            <w:vAlign w:val="center"/>
          </w:tcPr>
          <w:p w14:paraId="5D604DC7">
            <w:pPr>
              <w:jc w:val="center"/>
              <w:rPr>
                <w:rFonts w:ascii="仿宋" w:hAnsi="仿宋" w:eastAsia="仿宋"/>
                <w:szCs w:val="21"/>
              </w:rPr>
            </w:pPr>
            <w:r>
              <w:rPr>
                <w:rFonts w:hint="eastAsia" w:ascii="仿宋" w:hAnsi="仿宋" w:eastAsia="仿宋"/>
                <w:szCs w:val="21"/>
              </w:rPr>
              <w:t>接受专家问卷调查。</w:t>
            </w:r>
          </w:p>
        </w:tc>
      </w:tr>
      <w:tr w14:paraId="148C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0A149A7A">
            <w:pPr>
              <w:jc w:val="center"/>
              <w:rPr>
                <w:rFonts w:ascii="仿宋" w:hAnsi="仿宋" w:eastAsia="仿宋"/>
                <w:szCs w:val="21"/>
              </w:rPr>
            </w:pPr>
            <w:r>
              <w:rPr>
                <w:rFonts w:ascii="仿宋" w:hAnsi="仿宋" w:eastAsia="仿宋"/>
                <w:szCs w:val="21"/>
              </w:rPr>
              <w:t>杨</w:t>
            </w:r>
            <w:r>
              <w:rPr>
                <w:rFonts w:hint="eastAsia" w:ascii="仿宋" w:hAnsi="仿宋" w:eastAsia="仿宋"/>
                <w:szCs w:val="21"/>
              </w:rPr>
              <w:t xml:space="preserve"> </w:t>
            </w:r>
            <w:r>
              <w:rPr>
                <w:rFonts w:ascii="仿宋" w:hAnsi="仿宋" w:eastAsia="仿宋"/>
                <w:szCs w:val="21"/>
              </w:rPr>
              <w:t xml:space="preserve"> 燕</w:t>
            </w:r>
          </w:p>
        </w:tc>
        <w:tc>
          <w:tcPr>
            <w:tcW w:w="787" w:type="dxa"/>
            <w:vAlign w:val="center"/>
          </w:tcPr>
          <w:p w14:paraId="198BBD11">
            <w:pPr>
              <w:jc w:val="center"/>
              <w:rPr>
                <w:rFonts w:ascii="仿宋" w:hAnsi="仿宋" w:eastAsia="仿宋"/>
                <w:szCs w:val="21"/>
              </w:rPr>
            </w:pPr>
            <w:r>
              <w:rPr>
                <w:rFonts w:ascii="仿宋" w:hAnsi="仿宋" w:eastAsia="仿宋"/>
                <w:szCs w:val="21"/>
              </w:rPr>
              <w:t>博士</w:t>
            </w:r>
          </w:p>
        </w:tc>
        <w:tc>
          <w:tcPr>
            <w:tcW w:w="1281" w:type="dxa"/>
            <w:vAlign w:val="center"/>
          </w:tcPr>
          <w:p w14:paraId="50E8ACB7">
            <w:pPr>
              <w:jc w:val="center"/>
              <w:rPr>
                <w:rFonts w:ascii="仿宋" w:hAnsi="仿宋" w:eastAsia="仿宋"/>
                <w:szCs w:val="21"/>
              </w:rPr>
            </w:pPr>
            <w:r>
              <w:rPr>
                <w:rFonts w:ascii="仿宋" w:hAnsi="仿宋" w:eastAsia="仿宋"/>
                <w:szCs w:val="21"/>
              </w:rPr>
              <w:t>教授、主任医师，博导</w:t>
            </w:r>
          </w:p>
        </w:tc>
        <w:tc>
          <w:tcPr>
            <w:tcW w:w="3949" w:type="dxa"/>
            <w:vAlign w:val="center"/>
          </w:tcPr>
          <w:p w14:paraId="042C0B44">
            <w:pPr>
              <w:jc w:val="center"/>
              <w:rPr>
                <w:rFonts w:ascii="仿宋" w:hAnsi="仿宋" w:eastAsia="仿宋"/>
                <w:szCs w:val="21"/>
              </w:rPr>
            </w:pPr>
            <w:r>
              <w:rPr>
                <w:rFonts w:ascii="仿宋" w:hAnsi="仿宋" w:eastAsia="仿宋"/>
                <w:szCs w:val="21"/>
              </w:rPr>
              <w:t>首都医科大学附属北京儿童医院</w:t>
            </w:r>
          </w:p>
        </w:tc>
        <w:tc>
          <w:tcPr>
            <w:tcW w:w="2225" w:type="dxa"/>
            <w:vAlign w:val="center"/>
          </w:tcPr>
          <w:p w14:paraId="2EE2A5FF">
            <w:pPr>
              <w:jc w:val="center"/>
              <w:rPr>
                <w:rFonts w:ascii="仿宋" w:hAnsi="仿宋" w:eastAsia="仿宋"/>
                <w:szCs w:val="21"/>
              </w:rPr>
            </w:pPr>
            <w:r>
              <w:rPr>
                <w:rFonts w:hint="eastAsia" w:ascii="仿宋" w:hAnsi="仿宋" w:eastAsia="仿宋"/>
                <w:szCs w:val="21"/>
              </w:rPr>
              <w:t>接受专家问卷调查。</w:t>
            </w:r>
          </w:p>
        </w:tc>
      </w:tr>
      <w:tr w14:paraId="15077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6666FE57">
            <w:pPr>
              <w:jc w:val="center"/>
              <w:rPr>
                <w:rFonts w:ascii="仿宋" w:hAnsi="仿宋" w:eastAsia="仿宋"/>
                <w:szCs w:val="21"/>
              </w:rPr>
            </w:pPr>
            <w:r>
              <w:rPr>
                <w:rFonts w:ascii="仿宋" w:hAnsi="仿宋" w:eastAsia="仿宋"/>
                <w:szCs w:val="21"/>
              </w:rPr>
              <w:t>蔡承翰</w:t>
            </w:r>
          </w:p>
        </w:tc>
        <w:tc>
          <w:tcPr>
            <w:tcW w:w="787" w:type="dxa"/>
            <w:vAlign w:val="center"/>
          </w:tcPr>
          <w:p w14:paraId="61AE68DF">
            <w:pPr>
              <w:jc w:val="center"/>
              <w:rPr>
                <w:rFonts w:ascii="仿宋" w:hAnsi="仿宋" w:eastAsia="仿宋"/>
                <w:szCs w:val="21"/>
              </w:rPr>
            </w:pPr>
            <w:r>
              <w:rPr>
                <w:rFonts w:ascii="仿宋" w:hAnsi="仿宋" w:eastAsia="仿宋"/>
                <w:szCs w:val="21"/>
              </w:rPr>
              <w:t>硕士</w:t>
            </w:r>
          </w:p>
        </w:tc>
        <w:tc>
          <w:tcPr>
            <w:tcW w:w="1281" w:type="dxa"/>
            <w:vAlign w:val="center"/>
          </w:tcPr>
          <w:p w14:paraId="0546D094">
            <w:pPr>
              <w:jc w:val="center"/>
              <w:rPr>
                <w:rFonts w:ascii="仿宋" w:hAnsi="仿宋" w:eastAsia="仿宋"/>
                <w:szCs w:val="21"/>
              </w:rPr>
            </w:pPr>
            <w:r>
              <w:rPr>
                <w:rFonts w:ascii="仿宋" w:hAnsi="仿宋" w:eastAsia="仿宋"/>
                <w:szCs w:val="21"/>
              </w:rPr>
              <w:t>住院医师</w:t>
            </w:r>
          </w:p>
        </w:tc>
        <w:tc>
          <w:tcPr>
            <w:tcW w:w="3949" w:type="dxa"/>
            <w:vAlign w:val="center"/>
          </w:tcPr>
          <w:p w14:paraId="0E299C54">
            <w:pPr>
              <w:jc w:val="center"/>
              <w:rPr>
                <w:rFonts w:ascii="仿宋" w:hAnsi="仿宋" w:eastAsia="仿宋"/>
                <w:szCs w:val="21"/>
              </w:rPr>
            </w:pPr>
            <w:r>
              <w:rPr>
                <w:rFonts w:ascii="仿宋" w:hAnsi="仿宋" w:eastAsia="仿宋"/>
                <w:szCs w:val="21"/>
              </w:rPr>
              <w:t>厦门长庚医院</w:t>
            </w:r>
          </w:p>
        </w:tc>
        <w:tc>
          <w:tcPr>
            <w:tcW w:w="2225" w:type="dxa"/>
            <w:vAlign w:val="center"/>
          </w:tcPr>
          <w:p w14:paraId="53E87D3F">
            <w:pPr>
              <w:jc w:val="center"/>
              <w:rPr>
                <w:rFonts w:ascii="仿宋" w:hAnsi="仿宋" w:eastAsia="仿宋"/>
                <w:szCs w:val="21"/>
              </w:rPr>
            </w:pPr>
            <w:r>
              <w:rPr>
                <w:rFonts w:hint="eastAsia" w:ascii="仿宋" w:hAnsi="仿宋" w:eastAsia="仿宋"/>
                <w:szCs w:val="21"/>
              </w:rPr>
              <w:t>接受专家问卷调查。</w:t>
            </w:r>
          </w:p>
        </w:tc>
      </w:tr>
      <w:tr w14:paraId="5989B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5EA11C45">
            <w:pPr>
              <w:jc w:val="center"/>
              <w:rPr>
                <w:rFonts w:ascii="仿宋" w:hAnsi="仿宋" w:eastAsia="仿宋"/>
                <w:szCs w:val="21"/>
              </w:rPr>
            </w:pPr>
            <w:r>
              <w:rPr>
                <w:rFonts w:ascii="仿宋" w:hAnsi="仿宋" w:eastAsia="仿宋"/>
                <w:szCs w:val="21"/>
              </w:rPr>
              <w:t>崔</w:t>
            </w:r>
            <w:r>
              <w:rPr>
                <w:rFonts w:hint="eastAsia" w:ascii="仿宋" w:hAnsi="仿宋" w:eastAsia="仿宋"/>
                <w:szCs w:val="21"/>
              </w:rPr>
              <w:t xml:space="preserve"> </w:t>
            </w:r>
            <w:r>
              <w:rPr>
                <w:rFonts w:ascii="仿宋" w:hAnsi="仿宋" w:eastAsia="仿宋"/>
                <w:szCs w:val="21"/>
              </w:rPr>
              <w:t xml:space="preserve"> 霞</w:t>
            </w:r>
          </w:p>
        </w:tc>
        <w:tc>
          <w:tcPr>
            <w:tcW w:w="787" w:type="dxa"/>
            <w:vAlign w:val="center"/>
          </w:tcPr>
          <w:p w14:paraId="119B81C9">
            <w:pPr>
              <w:jc w:val="center"/>
              <w:rPr>
                <w:rFonts w:ascii="仿宋" w:hAnsi="仿宋" w:eastAsia="仿宋"/>
                <w:szCs w:val="21"/>
              </w:rPr>
            </w:pPr>
            <w:r>
              <w:rPr>
                <w:rFonts w:ascii="仿宋" w:hAnsi="仿宋" w:eastAsia="仿宋"/>
                <w:szCs w:val="21"/>
              </w:rPr>
              <w:t>博士</w:t>
            </w:r>
          </w:p>
        </w:tc>
        <w:tc>
          <w:tcPr>
            <w:tcW w:w="1281" w:type="dxa"/>
            <w:vAlign w:val="center"/>
          </w:tcPr>
          <w:p w14:paraId="50BCFFEE">
            <w:pPr>
              <w:jc w:val="center"/>
              <w:rPr>
                <w:rFonts w:ascii="仿宋" w:hAnsi="仿宋" w:eastAsia="仿宋"/>
                <w:szCs w:val="21"/>
              </w:rPr>
            </w:pPr>
            <w:r>
              <w:rPr>
                <w:rFonts w:ascii="仿宋" w:hAnsi="仿宋" w:eastAsia="仿宋"/>
                <w:szCs w:val="21"/>
              </w:rPr>
              <w:t>教授、主任医师，博导</w:t>
            </w:r>
          </w:p>
        </w:tc>
        <w:tc>
          <w:tcPr>
            <w:tcW w:w="3949" w:type="dxa"/>
            <w:vAlign w:val="center"/>
          </w:tcPr>
          <w:p w14:paraId="41EFD30E">
            <w:pPr>
              <w:jc w:val="center"/>
              <w:rPr>
                <w:rFonts w:ascii="仿宋" w:hAnsi="仿宋" w:eastAsia="仿宋"/>
                <w:szCs w:val="21"/>
              </w:rPr>
            </w:pPr>
            <w:r>
              <w:rPr>
                <w:rFonts w:ascii="仿宋" w:hAnsi="仿宋" w:eastAsia="仿宋"/>
                <w:szCs w:val="21"/>
              </w:rPr>
              <w:t>北京中医药大学第三附属医院</w:t>
            </w:r>
          </w:p>
        </w:tc>
        <w:tc>
          <w:tcPr>
            <w:tcW w:w="2225" w:type="dxa"/>
            <w:shd w:val="clear" w:color="auto" w:fill="auto"/>
            <w:vAlign w:val="center"/>
          </w:tcPr>
          <w:p w14:paraId="6EA12FD1">
            <w:pPr>
              <w:jc w:val="center"/>
              <w:rPr>
                <w:rFonts w:ascii="仿宋" w:hAnsi="仿宋" w:eastAsia="仿宋"/>
                <w:szCs w:val="21"/>
              </w:rPr>
            </w:pPr>
            <w:r>
              <w:rPr>
                <w:rFonts w:hint="eastAsia" w:ascii="仿宋" w:hAnsi="仿宋" w:eastAsia="仿宋"/>
                <w:szCs w:val="21"/>
              </w:rPr>
              <w:t>接受专家问卷调查。</w:t>
            </w:r>
          </w:p>
        </w:tc>
      </w:tr>
      <w:tr w14:paraId="1553A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0DE474A9">
            <w:pPr>
              <w:jc w:val="center"/>
              <w:rPr>
                <w:rFonts w:ascii="仿宋" w:hAnsi="仿宋" w:eastAsia="仿宋"/>
                <w:szCs w:val="21"/>
              </w:rPr>
            </w:pPr>
            <w:r>
              <w:rPr>
                <w:rFonts w:ascii="仿宋" w:hAnsi="仿宋" w:eastAsia="仿宋"/>
                <w:szCs w:val="21"/>
              </w:rPr>
              <w:t>翟文生</w:t>
            </w:r>
          </w:p>
        </w:tc>
        <w:tc>
          <w:tcPr>
            <w:tcW w:w="787" w:type="dxa"/>
            <w:vAlign w:val="center"/>
          </w:tcPr>
          <w:p w14:paraId="10FB0859">
            <w:pPr>
              <w:jc w:val="center"/>
              <w:rPr>
                <w:rFonts w:ascii="仿宋" w:hAnsi="仿宋" w:eastAsia="仿宋"/>
                <w:szCs w:val="21"/>
              </w:rPr>
            </w:pPr>
            <w:r>
              <w:rPr>
                <w:rFonts w:ascii="仿宋" w:hAnsi="仿宋" w:eastAsia="仿宋"/>
                <w:szCs w:val="21"/>
              </w:rPr>
              <w:t>博士</w:t>
            </w:r>
          </w:p>
        </w:tc>
        <w:tc>
          <w:tcPr>
            <w:tcW w:w="1281" w:type="dxa"/>
            <w:vAlign w:val="center"/>
          </w:tcPr>
          <w:p w14:paraId="0696EC09">
            <w:pPr>
              <w:jc w:val="center"/>
              <w:rPr>
                <w:rFonts w:ascii="仿宋" w:hAnsi="仿宋" w:eastAsia="仿宋"/>
                <w:szCs w:val="21"/>
              </w:rPr>
            </w:pPr>
            <w:r>
              <w:rPr>
                <w:rFonts w:ascii="仿宋" w:hAnsi="仿宋" w:eastAsia="仿宋"/>
                <w:szCs w:val="21"/>
              </w:rPr>
              <w:t>教授、主任医师，博导</w:t>
            </w:r>
          </w:p>
        </w:tc>
        <w:tc>
          <w:tcPr>
            <w:tcW w:w="3949" w:type="dxa"/>
            <w:vAlign w:val="center"/>
          </w:tcPr>
          <w:p w14:paraId="07605718">
            <w:pPr>
              <w:jc w:val="center"/>
              <w:rPr>
                <w:rFonts w:ascii="仿宋" w:hAnsi="仿宋" w:eastAsia="仿宋"/>
                <w:szCs w:val="21"/>
              </w:rPr>
            </w:pPr>
            <w:r>
              <w:rPr>
                <w:rFonts w:ascii="仿宋" w:hAnsi="仿宋" w:eastAsia="仿宋"/>
                <w:szCs w:val="21"/>
              </w:rPr>
              <w:t>河南中医药大学第一附属医院</w:t>
            </w:r>
          </w:p>
        </w:tc>
        <w:tc>
          <w:tcPr>
            <w:tcW w:w="2225" w:type="dxa"/>
            <w:shd w:val="clear" w:color="auto" w:fill="auto"/>
            <w:vAlign w:val="center"/>
          </w:tcPr>
          <w:p w14:paraId="3C33BB8D">
            <w:pPr>
              <w:jc w:val="center"/>
              <w:rPr>
                <w:rFonts w:ascii="仿宋" w:hAnsi="仿宋" w:eastAsia="仿宋"/>
                <w:szCs w:val="21"/>
              </w:rPr>
            </w:pPr>
            <w:r>
              <w:rPr>
                <w:rFonts w:hint="eastAsia" w:ascii="仿宋" w:hAnsi="仿宋" w:eastAsia="仿宋"/>
                <w:szCs w:val="21"/>
              </w:rPr>
              <w:t>接受专家问卷调查。</w:t>
            </w:r>
          </w:p>
        </w:tc>
      </w:tr>
      <w:tr w14:paraId="6A60E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315B521A">
            <w:pPr>
              <w:jc w:val="center"/>
              <w:rPr>
                <w:rFonts w:ascii="仿宋" w:hAnsi="仿宋" w:eastAsia="仿宋"/>
                <w:szCs w:val="21"/>
              </w:rPr>
            </w:pPr>
            <w:r>
              <w:rPr>
                <w:rFonts w:ascii="仿宋" w:hAnsi="仿宋" w:eastAsia="仿宋"/>
                <w:szCs w:val="21"/>
              </w:rPr>
              <w:t>韩新民</w:t>
            </w:r>
          </w:p>
        </w:tc>
        <w:tc>
          <w:tcPr>
            <w:tcW w:w="787" w:type="dxa"/>
            <w:vAlign w:val="center"/>
          </w:tcPr>
          <w:p w14:paraId="41D31C13">
            <w:pPr>
              <w:jc w:val="center"/>
              <w:rPr>
                <w:rFonts w:ascii="仿宋" w:hAnsi="仿宋" w:eastAsia="仿宋"/>
                <w:szCs w:val="21"/>
              </w:rPr>
            </w:pPr>
            <w:r>
              <w:rPr>
                <w:rFonts w:ascii="仿宋" w:hAnsi="仿宋" w:eastAsia="仿宋"/>
                <w:szCs w:val="21"/>
              </w:rPr>
              <w:t>博士</w:t>
            </w:r>
          </w:p>
        </w:tc>
        <w:tc>
          <w:tcPr>
            <w:tcW w:w="1281" w:type="dxa"/>
            <w:vAlign w:val="center"/>
          </w:tcPr>
          <w:p w14:paraId="7195828A">
            <w:pPr>
              <w:jc w:val="center"/>
              <w:rPr>
                <w:rFonts w:ascii="仿宋" w:hAnsi="仿宋" w:eastAsia="仿宋"/>
                <w:szCs w:val="21"/>
              </w:rPr>
            </w:pPr>
            <w:r>
              <w:rPr>
                <w:rFonts w:ascii="仿宋" w:hAnsi="仿宋" w:eastAsia="仿宋"/>
                <w:szCs w:val="21"/>
              </w:rPr>
              <w:t>教授、主任医师，博导</w:t>
            </w:r>
          </w:p>
        </w:tc>
        <w:tc>
          <w:tcPr>
            <w:tcW w:w="3949" w:type="dxa"/>
            <w:vAlign w:val="center"/>
          </w:tcPr>
          <w:p w14:paraId="3FB4B2D6">
            <w:pPr>
              <w:jc w:val="center"/>
              <w:rPr>
                <w:rFonts w:ascii="仿宋" w:hAnsi="仿宋" w:eastAsia="仿宋"/>
                <w:szCs w:val="21"/>
              </w:rPr>
            </w:pPr>
            <w:r>
              <w:rPr>
                <w:rFonts w:ascii="仿宋" w:hAnsi="仿宋" w:eastAsia="仿宋"/>
                <w:szCs w:val="21"/>
              </w:rPr>
              <w:t>南京中医药大学附属医院</w:t>
            </w:r>
          </w:p>
        </w:tc>
        <w:tc>
          <w:tcPr>
            <w:tcW w:w="2225" w:type="dxa"/>
            <w:shd w:val="clear" w:color="auto" w:fill="auto"/>
            <w:vAlign w:val="center"/>
          </w:tcPr>
          <w:p w14:paraId="4DAFA003">
            <w:pPr>
              <w:jc w:val="center"/>
              <w:rPr>
                <w:rFonts w:ascii="仿宋" w:hAnsi="仿宋" w:eastAsia="仿宋"/>
                <w:szCs w:val="21"/>
              </w:rPr>
            </w:pPr>
            <w:r>
              <w:rPr>
                <w:rFonts w:hint="eastAsia" w:ascii="仿宋" w:hAnsi="仿宋" w:eastAsia="仿宋"/>
                <w:szCs w:val="21"/>
              </w:rPr>
              <w:t>接受专家问卷调查。</w:t>
            </w:r>
          </w:p>
        </w:tc>
      </w:tr>
      <w:tr w14:paraId="3CD8A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4A49382D">
            <w:pPr>
              <w:jc w:val="center"/>
              <w:rPr>
                <w:rFonts w:ascii="仿宋" w:hAnsi="仿宋" w:eastAsia="仿宋"/>
                <w:szCs w:val="21"/>
              </w:rPr>
            </w:pPr>
            <w:r>
              <w:rPr>
                <w:rFonts w:ascii="仿宋" w:hAnsi="仿宋" w:eastAsia="仿宋"/>
                <w:szCs w:val="21"/>
              </w:rPr>
              <w:t>何</w:t>
            </w:r>
            <w:r>
              <w:rPr>
                <w:rFonts w:hint="eastAsia" w:ascii="仿宋" w:hAnsi="仿宋" w:eastAsia="仿宋"/>
                <w:szCs w:val="21"/>
              </w:rPr>
              <w:t xml:space="preserve"> </w:t>
            </w:r>
            <w:r>
              <w:rPr>
                <w:rFonts w:ascii="仿宋" w:hAnsi="仿宋" w:eastAsia="仿宋"/>
                <w:szCs w:val="21"/>
              </w:rPr>
              <w:t xml:space="preserve"> 丽</w:t>
            </w:r>
          </w:p>
        </w:tc>
        <w:tc>
          <w:tcPr>
            <w:tcW w:w="787" w:type="dxa"/>
            <w:vAlign w:val="center"/>
          </w:tcPr>
          <w:p w14:paraId="7F698398">
            <w:pPr>
              <w:jc w:val="center"/>
              <w:rPr>
                <w:rFonts w:ascii="仿宋" w:hAnsi="仿宋" w:eastAsia="仿宋"/>
                <w:szCs w:val="21"/>
              </w:rPr>
            </w:pPr>
            <w:r>
              <w:rPr>
                <w:rFonts w:ascii="仿宋" w:hAnsi="仿宋" w:eastAsia="仿宋"/>
                <w:szCs w:val="21"/>
              </w:rPr>
              <w:t>博士</w:t>
            </w:r>
          </w:p>
        </w:tc>
        <w:tc>
          <w:tcPr>
            <w:tcW w:w="1281" w:type="dxa"/>
            <w:vAlign w:val="center"/>
          </w:tcPr>
          <w:p w14:paraId="1274C35A">
            <w:pPr>
              <w:jc w:val="center"/>
              <w:rPr>
                <w:rFonts w:ascii="仿宋" w:hAnsi="仿宋" w:eastAsia="仿宋"/>
                <w:szCs w:val="21"/>
              </w:rPr>
            </w:pPr>
            <w:r>
              <w:rPr>
                <w:rFonts w:ascii="仿宋" w:hAnsi="仿宋" w:eastAsia="仿宋"/>
                <w:szCs w:val="21"/>
              </w:rPr>
              <w:t>主任医师，博导</w:t>
            </w:r>
          </w:p>
        </w:tc>
        <w:tc>
          <w:tcPr>
            <w:tcW w:w="3949" w:type="dxa"/>
            <w:vAlign w:val="center"/>
          </w:tcPr>
          <w:p w14:paraId="2EB3CC8C">
            <w:pPr>
              <w:jc w:val="center"/>
              <w:rPr>
                <w:rFonts w:ascii="仿宋" w:hAnsi="仿宋" w:eastAsia="仿宋"/>
                <w:szCs w:val="21"/>
              </w:rPr>
            </w:pPr>
            <w:r>
              <w:rPr>
                <w:rFonts w:ascii="仿宋" w:hAnsi="仿宋" w:eastAsia="仿宋"/>
                <w:szCs w:val="21"/>
              </w:rPr>
              <w:t>上海市儿童医院</w:t>
            </w:r>
          </w:p>
        </w:tc>
        <w:tc>
          <w:tcPr>
            <w:tcW w:w="2225" w:type="dxa"/>
            <w:shd w:val="clear" w:color="auto" w:fill="auto"/>
            <w:vAlign w:val="center"/>
          </w:tcPr>
          <w:p w14:paraId="058662D9">
            <w:pPr>
              <w:jc w:val="center"/>
              <w:rPr>
                <w:rFonts w:ascii="仿宋" w:hAnsi="仿宋" w:eastAsia="仿宋"/>
                <w:szCs w:val="21"/>
              </w:rPr>
            </w:pPr>
            <w:r>
              <w:rPr>
                <w:rFonts w:hint="eastAsia" w:ascii="仿宋" w:hAnsi="仿宋" w:eastAsia="仿宋"/>
                <w:szCs w:val="21"/>
              </w:rPr>
              <w:t>接受专家问卷调查。</w:t>
            </w:r>
          </w:p>
        </w:tc>
      </w:tr>
      <w:tr w14:paraId="40B4A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4529233E">
            <w:pPr>
              <w:jc w:val="center"/>
              <w:rPr>
                <w:rFonts w:ascii="仿宋" w:hAnsi="仿宋" w:eastAsia="仿宋"/>
                <w:szCs w:val="21"/>
              </w:rPr>
            </w:pPr>
            <w:r>
              <w:rPr>
                <w:rFonts w:ascii="仿宋" w:hAnsi="仿宋" w:eastAsia="仿宋"/>
                <w:szCs w:val="21"/>
              </w:rPr>
              <w:t>戎</w:t>
            </w:r>
            <w:r>
              <w:rPr>
                <w:rFonts w:hint="eastAsia" w:ascii="仿宋" w:hAnsi="仿宋" w:eastAsia="仿宋"/>
                <w:szCs w:val="21"/>
              </w:rPr>
              <w:t xml:space="preserve"> </w:t>
            </w:r>
            <w:r>
              <w:rPr>
                <w:rFonts w:ascii="仿宋" w:hAnsi="仿宋" w:eastAsia="仿宋"/>
                <w:szCs w:val="21"/>
              </w:rPr>
              <w:t xml:space="preserve"> 萍</w:t>
            </w:r>
          </w:p>
        </w:tc>
        <w:tc>
          <w:tcPr>
            <w:tcW w:w="787" w:type="dxa"/>
            <w:vAlign w:val="center"/>
          </w:tcPr>
          <w:p w14:paraId="5196C43B">
            <w:pPr>
              <w:jc w:val="center"/>
              <w:rPr>
                <w:rFonts w:ascii="仿宋" w:hAnsi="仿宋" w:eastAsia="仿宋"/>
                <w:szCs w:val="21"/>
              </w:rPr>
            </w:pPr>
            <w:r>
              <w:rPr>
                <w:rFonts w:ascii="仿宋" w:hAnsi="仿宋" w:eastAsia="仿宋"/>
                <w:szCs w:val="21"/>
              </w:rPr>
              <w:t>博士</w:t>
            </w:r>
          </w:p>
        </w:tc>
        <w:tc>
          <w:tcPr>
            <w:tcW w:w="1281" w:type="dxa"/>
            <w:vAlign w:val="center"/>
          </w:tcPr>
          <w:p w14:paraId="49407008">
            <w:pPr>
              <w:jc w:val="center"/>
              <w:rPr>
                <w:rFonts w:ascii="仿宋" w:hAnsi="仿宋" w:eastAsia="仿宋"/>
                <w:szCs w:val="21"/>
              </w:rPr>
            </w:pPr>
            <w:r>
              <w:rPr>
                <w:rFonts w:ascii="仿宋" w:hAnsi="仿宋" w:eastAsia="仿宋"/>
                <w:szCs w:val="21"/>
              </w:rPr>
              <w:t>主任医师，博导</w:t>
            </w:r>
          </w:p>
        </w:tc>
        <w:tc>
          <w:tcPr>
            <w:tcW w:w="3949" w:type="dxa"/>
            <w:vAlign w:val="center"/>
          </w:tcPr>
          <w:p w14:paraId="53F6DCAB">
            <w:pPr>
              <w:jc w:val="center"/>
              <w:rPr>
                <w:rFonts w:ascii="仿宋" w:hAnsi="仿宋" w:eastAsia="仿宋"/>
                <w:szCs w:val="21"/>
              </w:rPr>
            </w:pPr>
            <w:r>
              <w:rPr>
                <w:rFonts w:ascii="仿宋" w:hAnsi="仿宋" w:eastAsia="仿宋"/>
                <w:szCs w:val="21"/>
              </w:rPr>
              <w:t>天津中医药大学第一附属医院</w:t>
            </w:r>
          </w:p>
        </w:tc>
        <w:tc>
          <w:tcPr>
            <w:tcW w:w="2225" w:type="dxa"/>
            <w:shd w:val="clear" w:color="auto" w:fill="auto"/>
            <w:vAlign w:val="center"/>
          </w:tcPr>
          <w:p w14:paraId="0144F7D1">
            <w:pPr>
              <w:jc w:val="center"/>
              <w:rPr>
                <w:rFonts w:ascii="仿宋" w:hAnsi="仿宋" w:eastAsia="仿宋"/>
                <w:szCs w:val="21"/>
              </w:rPr>
            </w:pPr>
            <w:r>
              <w:rPr>
                <w:rFonts w:hint="eastAsia" w:ascii="仿宋" w:hAnsi="仿宋" w:eastAsia="仿宋"/>
                <w:szCs w:val="21"/>
              </w:rPr>
              <w:t>接受专家问卷调查。</w:t>
            </w:r>
          </w:p>
        </w:tc>
      </w:tr>
      <w:tr w14:paraId="7C22F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3A1EF1BB">
            <w:pPr>
              <w:jc w:val="center"/>
              <w:rPr>
                <w:rFonts w:ascii="仿宋" w:hAnsi="仿宋" w:eastAsia="仿宋"/>
                <w:szCs w:val="21"/>
              </w:rPr>
            </w:pPr>
            <w:r>
              <w:rPr>
                <w:rFonts w:ascii="仿宋" w:hAnsi="仿宋" w:eastAsia="仿宋"/>
                <w:szCs w:val="21"/>
              </w:rPr>
              <w:t>孙丽平</w:t>
            </w:r>
          </w:p>
        </w:tc>
        <w:tc>
          <w:tcPr>
            <w:tcW w:w="787" w:type="dxa"/>
            <w:vAlign w:val="center"/>
          </w:tcPr>
          <w:p w14:paraId="3B56ABE4">
            <w:pPr>
              <w:jc w:val="center"/>
              <w:rPr>
                <w:rFonts w:ascii="仿宋" w:hAnsi="仿宋" w:eastAsia="仿宋"/>
                <w:szCs w:val="21"/>
              </w:rPr>
            </w:pPr>
            <w:r>
              <w:rPr>
                <w:rFonts w:ascii="仿宋" w:hAnsi="仿宋" w:eastAsia="仿宋"/>
                <w:szCs w:val="21"/>
              </w:rPr>
              <w:t>博士</w:t>
            </w:r>
          </w:p>
        </w:tc>
        <w:tc>
          <w:tcPr>
            <w:tcW w:w="1281" w:type="dxa"/>
            <w:vAlign w:val="center"/>
          </w:tcPr>
          <w:p w14:paraId="0BEDE803">
            <w:pPr>
              <w:jc w:val="center"/>
              <w:rPr>
                <w:rFonts w:ascii="仿宋" w:hAnsi="仿宋" w:eastAsia="仿宋"/>
                <w:szCs w:val="21"/>
              </w:rPr>
            </w:pPr>
            <w:r>
              <w:rPr>
                <w:rFonts w:ascii="仿宋" w:hAnsi="仿宋" w:eastAsia="仿宋"/>
                <w:szCs w:val="21"/>
              </w:rPr>
              <w:t>教授、主任医师，博导</w:t>
            </w:r>
          </w:p>
        </w:tc>
        <w:tc>
          <w:tcPr>
            <w:tcW w:w="3949" w:type="dxa"/>
            <w:vAlign w:val="center"/>
          </w:tcPr>
          <w:p w14:paraId="74CAF402">
            <w:pPr>
              <w:jc w:val="center"/>
              <w:rPr>
                <w:rFonts w:ascii="仿宋" w:hAnsi="仿宋" w:eastAsia="仿宋"/>
                <w:szCs w:val="21"/>
              </w:rPr>
            </w:pPr>
            <w:r>
              <w:rPr>
                <w:rFonts w:ascii="仿宋" w:hAnsi="仿宋" w:eastAsia="仿宋"/>
                <w:szCs w:val="21"/>
              </w:rPr>
              <w:t>长春中医药大学附属医院</w:t>
            </w:r>
          </w:p>
        </w:tc>
        <w:tc>
          <w:tcPr>
            <w:tcW w:w="2225" w:type="dxa"/>
            <w:shd w:val="clear" w:color="auto" w:fill="auto"/>
            <w:vAlign w:val="center"/>
          </w:tcPr>
          <w:p w14:paraId="07FEC320">
            <w:pPr>
              <w:jc w:val="center"/>
              <w:rPr>
                <w:rFonts w:ascii="仿宋" w:hAnsi="仿宋" w:eastAsia="仿宋"/>
                <w:szCs w:val="21"/>
              </w:rPr>
            </w:pPr>
            <w:r>
              <w:rPr>
                <w:rFonts w:hint="eastAsia" w:ascii="仿宋" w:hAnsi="仿宋" w:eastAsia="仿宋"/>
                <w:szCs w:val="21"/>
              </w:rPr>
              <w:t>接受专家问卷调查。</w:t>
            </w:r>
          </w:p>
        </w:tc>
      </w:tr>
      <w:tr w14:paraId="5ECC0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4402AEA6">
            <w:pPr>
              <w:jc w:val="center"/>
              <w:rPr>
                <w:rFonts w:ascii="仿宋" w:hAnsi="仿宋" w:eastAsia="仿宋"/>
                <w:szCs w:val="21"/>
              </w:rPr>
            </w:pPr>
            <w:r>
              <w:rPr>
                <w:rFonts w:ascii="仿宋" w:hAnsi="仿宋" w:eastAsia="仿宋"/>
                <w:szCs w:val="21"/>
              </w:rPr>
              <w:t>孙香娟</w:t>
            </w:r>
          </w:p>
        </w:tc>
        <w:tc>
          <w:tcPr>
            <w:tcW w:w="787" w:type="dxa"/>
            <w:vAlign w:val="center"/>
          </w:tcPr>
          <w:p w14:paraId="0D97082A">
            <w:pPr>
              <w:jc w:val="center"/>
              <w:rPr>
                <w:rFonts w:ascii="仿宋" w:hAnsi="仿宋" w:eastAsia="仿宋"/>
                <w:szCs w:val="21"/>
              </w:rPr>
            </w:pPr>
            <w:r>
              <w:rPr>
                <w:rFonts w:ascii="仿宋" w:hAnsi="仿宋" w:eastAsia="仿宋"/>
                <w:szCs w:val="21"/>
              </w:rPr>
              <w:t>博士</w:t>
            </w:r>
          </w:p>
        </w:tc>
        <w:tc>
          <w:tcPr>
            <w:tcW w:w="1281" w:type="dxa"/>
            <w:vAlign w:val="center"/>
          </w:tcPr>
          <w:p w14:paraId="63D0EC06">
            <w:pPr>
              <w:jc w:val="center"/>
              <w:rPr>
                <w:rFonts w:ascii="仿宋" w:hAnsi="仿宋" w:eastAsia="仿宋"/>
                <w:szCs w:val="21"/>
              </w:rPr>
            </w:pPr>
            <w:r>
              <w:rPr>
                <w:rFonts w:ascii="仿宋" w:hAnsi="仿宋" w:eastAsia="仿宋"/>
                <w:szCs w:val="21"/>
              </w:rPr>
              <w:t>主任医师，硕导</w:t>
            </w:r>
          </w:p>
        </w:tc>
        <w:tc>
          <w:tcPr>
            <w:tcW w:w="3949" w:type="dxa"/>
            <w:vAlign w:val="center"/>
          </w:tcPr>
          <w:p w14:paraId="09DD0C8C">
            <w:pPr>
              <w:jc w:val="center"/>
              <w:rPr>
                <w:rFonts w:ascii="仿宋" w:hAnsi="仿宋" w:eastAsia="仿宋"/>
                <w:szCs w:val="21"/>
              </w:rPr>
            </w:pPr>
            <w:r>
              <w:rPr>
                <w:rFonts w:ascii="仿宋" w:hAnsi="仿宋" w:eastAsia="仿宋"/>
                <w:szCs w:val="21"/>
              </w:rPr>
              <w:t>成都中医药大学附属医院</w:t>
            </w:r>
          </w:p>
        </w:tc>
        <w:tc>
          <w:tcPr>
            <w:tcW w:w="2225" w:type="dxa"/>
            <w:shd w:val="clear" w:color="auto" w:fill="auto"/>
            <w:vAlign w:val="center"/>
          </w:tcPr>
          <w:p w14:paraId="42B4993C">
            <w:pPr>
              <w:jc w:val="center"/>
              <w:rPr>
                <w:rFonts w:ascii="仿宋" w:hAnsi="仿宋" w:eastAsia="仿宋"/>
                <w:szCs w:val="21"/>
              </w:rPr>
            </w:pPr>
            <w:r>
              <w:rPr>
                <w:rFonts w:hint="eastAsia" w:ascii="仿宋" w:hAnsi="仿宋" w:eastAsia="仿宋"/>
                <w:szCs w:val="21"/>
              </w:rPr>
              <w:t>接受专家问卷调查。</w:t>
            </w:r>
          </w:p>
        </w:tc>
      </w:tr>
      <w:tr w14:paraId="4170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246B3B65">
            <w:pPr>
              <w:jc w:val="center"/>
              <w:rPr>
                <w:rFonts w:ascii="仿宋" w:hAnsi="仿宋" w:eastAsia="仿宋"/>
                <w:szCs w:val="21"/>
              </w:rPr>
            </w:pPr>
            <w:r>
              <w:rPr>
                <w:rFonts w:ascii="仿宋" w:hAnsi="仿宋" w:eastAsia="仿宋"/>
                <w:szCs w:val="21"/>
              </w:rPr>
              <w:t>汪受传</w:t>
            </w:r>
          </w:p>
        </w:tc>
        <w:tc>
          <w:tcPr>
            <w:tcW w:w="787" w:type="dxa"/>
            <w:vAlign w:val="center"/>
          </w:tcPr>
          <w:p w14:paraId="0F53FECA">
            <w:pPr>
              <w:jc w:val="center"/>
              <w:rPr>
                <w:rFonts w:ascii="仿宋" w:hAnsi="仿宋" w:eastAsia="仿宋"/>
                <w:szCs w:val="21"/>
              </w:rPr>
            </w:pPr>
            <w:r>
              <w:rPr>
                <w:rFonts w:ascii="仿宋" w:hAnsi="仿宋" w:eastAsia="仿宋"/>
                <w:szCs w:val="21"/>
              </w:rPr>
              <w:t>硕士</w:t>
            </w:r>
          </w:p>
        </w:tc>
        <w:tc>
          <w:tcPr>
            <w:tcW w:w="1281" w:type="dxa"/>
            <w:vAlign w:val="center"/>
          </w:tcPr>
          <w:p w14:paraId="597207CC">
            <w:pPr>
              <w:jc w:val="center"/>
              <w:rPr>
                <w:rFonts w:ascii="仿宋" w:hAnsi="仿宋" w:eastAsia="仿宋"/>
                <w:szCs w:val="21"/>
              </w:rPr>
            </w:pPr>
            <w:r>
              <w:rPr>
                <w:rFonts w:ascii="仿宋" w:hAnsi="仿宋" w:eastAsia="仿宋"/>
                <w:szCs w:val="21"/>
              </w:rPr>
              <w:t>教授，博导</w:t>
            </w:r>
          </w:p>
        </w:tc>
        <w:tc>
          <w:tcPr>
            <w:tcW w:w="3949" w:type="dxa"/>
            <w:vAlign w:val="center"/>
          </w:tcPr>
          <w:p w14:paraId="653EBE04">
            <w:pPr>
              <w:jc w:val="center"/>
              <w:rPr>
                <w:rFonts w:ascii="仿宋" w:hAnsi="仿宋" w:eastAsia="仿宋"/>
                <w:szCs w:val="21"/>
              </w:rPr>
            </w:pPr>
            <w:r>
              <w:rPr>
                <w:rFonts w:ascii="仿宋" w:hAnsi="仿宋" w:eastAsia="仿宋"/>
                <w:szCs w:val="21"/>
              </w:rPr>
              <w:t>南京中医药大学附属医院</w:t>
            </w:r>
          </w:p>
        </w:tc>
        <w:tc>
          <w:tcPr>
            <w:tcW w:w="2225" w:type="dxa"/>
            <w:shd w:val="clear" w:color="auto" w:fill="auto"/>
            <w:vAlign w:val="center"/>
          </w:tcPr>
          <w:p w14:paraId="7BE8FF2A">
            <w:pPr>
              <w:jc w:val="center"/>
              <w:rPr>
                <w:rFonts w:ascii="仿宋" w:hAnsi="仿宋" w:eastAsia="仿宋"/>
                <w:szCs w:val="21"/>
              </w:rPr>
            </w:pPr>
            <w:r>
              <w:rPr>
                <w:rFonts w:hint="eastAsia" w:ascii="仿宋" w:hAnsi="仿宋" w:eastAsia="仿宋"/>
                <w:szCs w:val="21"/>
              </w:rPr>
              <w:t>接受专家问卷调查。</w:t>
            </w:r>
          </w:p>
        </w:tc>
      </w:tr>
      <w:tr w14:paraId="2905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70AB6897">
            <w:pPr>
              <w:jc w:val="center"/>
              <w:rPr>
                <w:rFonts w:ascii="仿宋" w:hAnsi="仿宋" w:eastAsia="仿宋"/>
                <w:szCs w:val="21"/>
              </w:rPr>
            </w:pPr>
            <w:r>
              <w:rPr>
                <w:rFonts w:ascii="仿宋" w:hAnsi="仿宋" w:eastAsia="仿宋"/>
                <w:szCs w:val="21"/>
              </w:rPr>
              <w:t>王孟清</w:t>
            </w:r>
          </w:p>
        </w:tc>
        <w:tc>
          <w:tcPr>
            <w:tcW w:w="787" w:type="dxa"/>
            <w:vAlign w:val="center"/>
          </w:tcPr>
          <w:p w14:paraId="14658FC5">
            <w:pPr>
              <w:jc w:val="center"/>
              <w:rPr>
                <w:rFonts w:ascii="仿宋" w:hAnsi="仿宋" w:eastAsia="仿宋"/>
                <w:szCs w:val="21"/>
              </w:rPr>
            </w:pPr>
            <w:r>
              <w:rPr>
                <w:rFonts w:ascii="仿宋" w:hAnsi="仿宋" w:eastAsia="仿宋"/>
                <w:szCs w:val="21"/>
              </w:rPr>
              <w:t>博士</w:t>
            </w:r>
          </w:p>
        </w:tc>
        <w:tc>
          <w:tcPr>
            <w:tcW w:w="1281" w:type="dxa"/>
            <w:vAlign w:val="center"/>
          </w:tcPr>
          <w:p w14:paraId="782A99B3">
            <w:pPr>
              <w:jc w:val="center"/>
              <w:rPr>
                <w:rFonts w:ascii="仿宋" w:hAnsi="仿宋" w:eastAsia="仿宋"/>
                <w:szCs w:val="21"/>
              </w:rPr>
            </w:pPr>
            <w:r>
              <w:rPr>
                <w:rFonts w:ascii="仿宋" w:hAnsi="仿宋" w:eastAsia="仿宋"/>
                <w:szCs w:val="21"/>
              </w:rPr>
              <w:t>教授、主任医师，博导</w:t>
            </w:r>
          </w:p>
        </w:tc>
        <w:tc>
          <w:tcPr>
            <w:tcW w:w="3949" w:type="dxa"/>
            <w:vAlign w:val="center"/>
          </w:tcPr>
          <w:p w14:paraId="26B7AE88">
            <w:pPr>
              <w:jc w:val="center"/>
              <w:rPr>
                <w:rFonts w:ascii="仿宋" w:hAnsi="仿宋" w:eastAsia="仿宋"/>
                <w:szCs w:val="21"/>
              </w:rPr>
            </w:pPr>
            <w:r>
              <w:rPr>
                <w:rFonts w:ascii="仿宋" w:hAnsi="仿宋" w:eastAsia="仿宋"/>
                <w:szCs w:val="21"/>
              </w:rPr>
              <w:t>湖南中医药大学第一附属医院</w:t>
            </w:r>
          </w:p>
        </w:tc>
        <w:tc>
          <w:tcPr>
            <w:tcW w:w="2225" w:type="dxa"/>
            <w:shd w:val="clear" w:color="auto" w:fill="auto"/>
            <w:vAlign w:val="center"/>
          </w:tcPr>
          <w:p w14:paraId="496E9E6C">
            <w:pPr>
              <w:jc w:val="center"/>
              <w:rPr>
                <w:rFonts w:ascii="仿宋" w:hAnsi="仿宋" w:eastAsia="仿宋"/>
                <w:szCs w:val="21"/>
              </w:rPr>
            </w:pPr>
            <w:r>
              <w:rPr>
                <w:rFonts w:hint="eastAsia" w:ascii="仿宋" w:hAnsi="仿宋" w:eastAsia="仿宋"/>
                <w:szCs w:val="21"/>
              </w:rPr>
              <w:t>接受专家问卷调查。</w:t>
            </w:r>
          </w:p>
        </w:tc>
      </w:tr>
      <w:tr w14:paraId="4ED9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48997CAC">
            <w:pPr>
              <w:jc w:val="center"/>
              <w:rPr>
                <w:rFonts w:ascii="仿宋" w:hAnsi="仿宋" w:eastAsia="仿宋"/>
                <w:szCs w:val="21"/>
              </w:rPr>
            </w:pPr>
            <w:r>
              <w:rPr>
                <w:rFonts w:ascii="仿宋" w:hAnsi="仿宋" w:eastAsia="仿宋"/>
                <w:szCs w:val="21"/>
              </w:rPr>
              <w:t>王明明</w:t>
            </w:r>
          </w:p>
        </w:tc>
        <w:tc>
          <w:tcPr>
            <w:tcW w:w="787" w:type="dxa"/>
            <w:vAlign w:val="center"/>
          </w:tcPr>
          <w:p w14:paraId="2BB09FD9">
            <w:pPr>
              <w:jc w:val="center"/>
              <w:rPr>
                <w:rFonts w:ascii="仿宋" w:hAnsi="仿宋" w:eastAsia="仿宋"/>
                <w:szCs w:val="21"/>
              </w:rPr>
            </w:pPr>
            <w:r>
              <w:rPr>
                <w:rFonts w:ascii="仿宋" w:hAnsi="仿宋" w:eastAsia="仿宋"/>
                <w:szCs w:val="21"/>
              </w:rPr>
              <w:t>博士</w:t>
            </w:r>
          </w:p>
        </w:tc>
        <w:tc>
          <w:tcPr>
            <w:tcW w:w="1281" w:type="dxa"/>
            <w:vAlign w:val="center"/>
          </w:tcPr>
          <w:p w14:paraId="74EF9578">
            <w:pPr>
              <w:jc w:val="center"/>
              <w:rPr>
                <w:rFonts w:ascii="仿宋" w:hAnsi="仿宋" w:eastAsia="仿宋"/>
                <w:szCs w:val="21"/>
              </w:rPr>
            </w:pPr>
            <w:r>
              <w:rPr>
                <w:rFonts w:ascii="仿宋" w:hAnsi="仿宋" w:eastAsia="仿宋"/>
                <w:szCs w:val="21"/>
              </w:rPr>
              <w:t>教授，硕导</w:t>
            </w:r>
          </w:p>
        </w:tc>
        <w:tc>
          <w:tcPr>
            <w:tcW w:w="3949" w:type="dxa"/>
            <w:vAlign w:val="center"/>
          </w:tcPr>
          <w:p w14:paraId="055A37EB">
            <w:pPr>
              <w:jc w:val="center"/>
              <w:rPr>
                <w:rFonts w:ascii="仿宋" w:hAnsi="仿宋" w:eastAsia="仿宋"/>
                <w:szCs w:val="21"/>
              </w:rPr>
            </w:pPr>
            <w:r>
              <w:rPr>
                <w:rFonts w:ascii="仿宋" w:hAnsi="仿宋" w:eastAsia="仿宋"/>
                <w:szCs w:val="21"/>
              </w:rPr>
              <w:t>南京中医药大学附属医院</w:t>
            </w:r>
          </w:p>
        </w:tc>
        <w:tc>
          <w:tcPr>
            <w:tcW w:w="2225" w:type="dxa"/>
            <w:shd w:val="clear" w:color="auto" w:fill="auto"/>
            <w:vAlign w:val="center"/>
          </w:tcPr>
          <w:p w14:paraId="08F747C0">
            <w:pPr>
              <w:jc w:val="center"/>
              <w:rPr>
                <w:rFonts w:ascii="仿宋" w:hAnsi="仿宋" w:eastAsia="仿宋"/>
                <w:szCs w:val="21"/>
              </w:rPr>
            </w:pPr>
            <w:r>
              <w:rPr>
                <w:rFonts w:hint="eastAsia" w:ascii="仿宋" w:hAnsi="仿宋" w:eastAsia="仿宋"/>
                <w:szCs w:val="21"/>
              </w:rPr>
              <w:t>接受专家问卷调查。</w:t>
            </w:r>
          </w:p>
        </w:tc>
      </w:tr>
      <w:tr w14:paraId="49164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74C54E9E">
            <w:pPr>
              <w:jc w:val="center"/>
              <w:rPr>
                <w:rFonts w:ascii="仿宋" w:hAnsi="仿宋" w:eastAsia="仿宋"/>
                <w:szCs w:val="21"/>
              </w:rPr>
            </w:pPr>
            <w:r>
              <w:rPr>
                <w:rFonts w:ascii="仿宋" w:hAnsi="仿宋" w:eastAsia="仿宋"/>
                <w:szCs w:val="21"/>
              </w:rPr>
              <w:t>王有鹏</w:t>
            </w:r>
          </w:p>
        </w:tc>
        <w:tc>
          <w:tcPr>
            <w:tcW w:w="787" w:type="dxa"/>
            <w:vAlign w:val="center"/>
          </w:tcPr>
          <w:p w14:paraId="06CBB046">
            <w:pPr>
              <w:jc w:val="center"/>
              <w:rPr>
                <w:rFonts w:ascii="仿宋" w:hAnsi="仿宋" w:eastAsia="仿宋"/>
                <w:szCs w:val="21"/>
              </w:rPr>
            </w:pPr>
            <w:r>
              <w:rPr>
                <w:rFonts w:ascii="仿宋" w:hAnsi="仿宋" w:eastAsia="仿宋"/>
                <w:szCs w:val="21"/>
              </w:rPr>
              <w:t>博士</w:t>
            </w:r>
          </w:p>
        </w:tc>
        <w:tc>
          <w:tcPr>
            <w:tcW w:w="1281" w:type="dxa"/>
            <w:vAlign w:val="center"/>
          </w:tcPr>
          <w:p w14:paraId="5A141549">
            <w:pPr>
              <w:jc w:val="center"/>
              <w:rPr>
                <w:rFonts w:ascii="仿宋" w:hAnsi="仿宋" w:eastAsia="仿宋"/>
                <w:szCs w:val="21"/>
              </w:rPr>
            </w:pPr>
            <w:r>
              <w:rPr>
                <w:rFonts w:ascii="仿宋" w:hAnsi="仿宋" w:eastAsia="仿宋"/>
                <w:szCs w:val="21"/>
              </w:rPr>
              <w:t>教授、主任医师，博导</w:t>
            </w:r>
          </w:p>
        </w:tc>
        <w:tc>
          <w:tcPr>
            <w:tcW w:w="3949" w:type="dxa"/>
            <w:vAlign w:val="center"/>
          </w:tcPr>
          <w:p w14:paraId="08180921">
            <w:pPr>
              <w:jc w:val="center"/>
              <w:rPr>
                <w:rFonts w:ascii="仿宋" w:hAnsi="仿宋" w:eastAsia="仿宋"/>
                <w:szCs w:val="21"/>
              </w:rPr>
            </w:pPr>
            <w:r>
              <w:rPr>
                <w:rFonts w:ascii="仿宋" w:hAnsi="仿宋" w:eastAsia="仿宋"/>
                <w:szCs w:val="21"/>
              </w:rPr>
              <w:t>黑龙江中医药大学附属第二医院</w:t>
            </w:r>
          </w:p>
        </w:tc>
        <w:tc>
          <w:tcPr>
            <w:tcW w:w="2225" w:type="dxa"/>
            <w:shd w:val="clear" w:color="auto" w:fill="auto"/>
            <w:vAlign w:val="center"/>
          </w:tcPr>
          <w:p w14:paraId="01A72F7C">
            <w:pPr>
              <w:jc w:val="center"/>
              <w:rPr>
                <w:rFonts w:ascii="仿宋" w:hAnsi="仿宋" w:eastAsia="仿宋"/>
                <w:szCs w:val="21"/>
              </w:rPr>
            </w:pPr>
            <w:r>
              <w:rPr>
                <w:rFonts w:hint="eastAsia" w:ascii="仿宋" w:hAnsi="仿宋" w:eastAsia="仿宋"/>
                <w:szCs w:val="21"/>
              </w:rPr>
              <w:t>接受专家问卷调查。</w:t>
            </w:r>
          </w:p>
        </w:tc>
      </w:tr>
      <w:tr w14:paraId="7CA0C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2D25E002">
            <w:pPr>
              <w:jc w:val="center"/>
              <w:rPr>
                <w:rFonts w:ascii="仿宋" w:hAnsi="仿宋" w:eastAsia="仿宋"/>
                <w:szCs w:val="21"/>
              </w:rPr>
            </w:pPr>
            <w:r>
              <w:rPr>
                <w:rFonts w:ascii="仿宋" w:hAnsi="仿宋" w:eastAsia="仿宋"/>
                <w:szCs w:val="21"/>
              </w:rPr>
              <w:t>徐伟英</w:t>
            </w:r>
          </w:p>
        </w:tc>
        <w:tc>
          <w:tcPr>
            <w:tcW w:w="787" w:type="dxa"/>
            <w:vAlign w:val="center"/>
          </w:tcPr>
          <w:p w14:paraId="61BFD335">
            <w:pPr>
              <w:jc w:val="center"/>
              <w:rPr>
                <w:rFonts w:ascii="仿宋" w:hAnsi="仿宋" w:eastAsia="仿宋"/>
                <w:szCs w:val="21"/>
              </w:rPr>
            </w:pPr>
            <w:r>
              <w:rPr>
                <w:rFonts w:ascii="仿宋" w:hAnsi="仿宋" w:eastAsia="仿宋"/>
                <w:szCs w:val="21"/>
              </w:rPr>
              <w:t>博士</w:t>
            </w:r>
          </w:p>
        </w:tc>
        <w:tc>
          <w:tcPr>
            <w:tcW w:w="1281" w:type="dxa"/>
            <w:vAlign w:val="center"/>
          </w:tcPr>
          <w:p w14:paraId="1B13E61F">
            <w:pPr>
              <w:jc w:val="center"/>
              <w:rPr>
                <w:rFonts w:ascii="仿宋" w:hAnsi="仿宋" w:eastAsia="仿宋"/>
                <w:szCs w:val="21"/>
              </w:rPr>
            </w:pPr>
            <w:r>
              <w:rPr>
                <w:rFonts w:ascii="仿宋" w:hAnsi="仿宋" w:eastAsia="仿宋"/>
                <w:szCs w:val="21"/>
              </w:rPr>
              <w:t>教授、主任医师</w:t>
            </w:r>
          </w:p>
        </w:tc>
        <w:tc>
          <w:tcPr>
            <w:tcW w:w="3949" w:type="dxa"/>
            <w:vAlign w:val="center"/>
          </w:tcPr>
          <w:p w14:paraId="1D9A7094">
            <w:pPr>
              <w:jc w:val="center"/>
              <w:rPr>
                <w:rFonts w:ascii="仿宋" w:hAnsi="仿宋" w:eastAsia="仿宋"/>
                <w:szCs w:val="21"/>
              </w:rPr>
            </w:pPr>
            <w:r>
              <w:rPr>
                <w:rFonts w:ascii="仿宋" w:hAnsi="仿宋" w:eastAsia="仿宋"/>
                <w:szCs w:val="21"/>
              </w:rPr>
              <w:t>澳门科技大学中医药学院</w:t>
            </w:r>
          </w:p>
        </w:tc>
        <w:tc>
          <w:tcPr>
            <w:tcW w:w="2225" w:type="dxa"/>
            <w:shd w:val="clear" w:color="auto" w:fill="auto"/>
            <w:vAlign w:val="center"/>
          </w:tcPr>
          <w:p w14:paraId="5E6A4BE2">
            <w:pPr>
              <w:jc w:val="center"/>
              <w:rPr>
                <w:rFonts w:ascii="仿宋" w:hAnsi="仿宋" w:eastAsia="仿宋"/>
                <w:szCs w:val="21"/>
              </w:rPr>
            </w:pPr>
            <w:r>
              <w:rPr>
                <w:rFonts w:hint="eastAsia" w:ascii="仿宋" w:hAnsi="仿宋" w:eastAsia="仿宋"/>
                <w:szCs w:val="21"/>
              </w:rPr>
              <w:t>接受专家问卷调查。</w:t>
            </w:r>
          </w:p>
        </w:tc>
      </w:tr>
      <w:tr w14:paraId="1643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63F2B1F7">
            <w:pPr>
              <w:jc w:val="center"/>
              <w:rPr>
                <w:rFonts w:ascii="仿宋" w:hAnsi="仿宋" w:eastAsia="仿宋"/>
                <w:szCs w:val="21"/>
              </w:rPr>
            </w:pPr>
            <w:r>
              <w:rPr>
                <w:rFonts w:ascii="仿宋" w:hAnsi="仿宋" w:eastAsia="仿宋"/>
                <w:szCs w:val="21"/>
              </w:rPr>
              <w:t>杨京华</w:t>
            </w:r>
          </w:p>
        </w:tc>
        <w:tc>
          <w:tcPr>
            <w:tcW w:w="787" w:type="dxa"/>
            <w:vAlign w:val="center"/>
          </w:tcPr>
          <w:p w14:paraId="19C2D925">
            <w:pPr>
              <w:jc w:val="center"/>
              <w:rPr>
                <w:rFonts w:ascii="仿宋" w:hAnsi="仿宋" w:eastAsia="仿宋"/>
                <w:szCs w:val="21"/>
              </w:rPr>
            </w:pPr>
            <w:r>
              <w:rPr>
                <w:rFonts w:ascii="仿宋" w:hAnsi="仿宋" w:eastAsia="仿宋"/>
                <w:szCs w:val="21"/>
              </w:rPr>
              <w:t>博士</w:t>
            </w:r>
          </w:p>
        </w:tc>
        <w:tc>
          <w:tcPr>
            <w:tcW w:w="1281" w:type="dxa"/>
            <w:vAlign w:val="center"/>
          </w:tcPr>
          <w:p w14:paraId="0936CD97">
            <w:pPr>
              <w:jc w:val="center"/>
              <w:rPr>
                <w:rFonts w:ascii="仿宋" w:hAnsi="仿宋" w:eastAsia="仿宋"/>
                <w:szCs w:val="21"/>
              </w:rPr>
            </w:pPr>
            <w:r>
              <w:rPr>
                <w:rFonts w:ascii="仿宋" w:hAnsi="仿宋" w:eastAsia="仿宋"/>
                <w:szCs w:val="21"/>
              </w:rPr>
              <w:t>主任医师，博导</w:t>
            </w:r>
          </w:p>
        </w:tc>
        <w:tc>
          <w:tcPr>
            <w:tcW w:w="3949" w:type="dxa"/>
            <w:vAlign w:val="center"/>
          </w:tcPr>
          <w:p w14:paraId="327817E6">
            <w:pPr>
              <w:jc w:val="center"/>
              <w:rPr>
                <w:rFonts w:ascii="仿宋" w:hAnsi="仿宋" w:eastAsia="仿宋"/>
                <w:szCs w:val="21"/>
              </w:rPr>
            </w:pPr>
            <w:r>
              <w:rPr>
                <w:rFonts w:ascii="仿宋" w:hAnsi="仿宋" w:eastAsia="仿宋"/>
                <w:szCs w:val="21"/>
              </w:rPr>
              <w:t>广州中医药大学第二临床医学院</w:t>
            </w:r>
          </w:p>
          <w:p w14:paraId="0C47B0B0">
            <w:pPr>
              <w:jc w:val="center"/>
              <w:rPr>
                <w:rFonts w:ascii="仿宋" w:hAnsi="仿宋" w:eastAsia="仿宋"/>
                <w:szCs w:val="21"/>
              </w:rPr>
            </w:pPr>
            <w:r>
              <w:rPr>
                <w:rFonts w:ascii="仿宋" w:hAnsi="仿宋" w:eastAsia="仿宋"/>
                <w:szCs w:val="21"/>
              </w:rPr>
              <w:t>(广东省中医院)</w:t>
            </w:r>
          </w:p>
        </w:tc>
        <w:tc>
          <w:tcPr>
            <w:tcW w:w="2225" w:type="dxa"/>
            <w:vAlign w:val="center"/>
          </w:tcPr>
          <w:p w14:paraId="7014D0AC">
            <w:pPr>
              <w:jc w:val="center"/>
              <w:rPr>
                <w:rFonts w:ascii="仿宋" w:hAnsi="仿宋" w:eastAsia="仿宋"/>
                <w:szCs w:val="21"/>
              </w:rPr>
            </w:pPr>
            <w:r>
              <w:rPr>
                <w:rFonts w:hint="eastAsia" w:ascii="仿宋" w:hAnsi="仿宋" w:eastAsia="仿宋"/>
                <w:szCs w:val="21"/>
              </w:rPr>
              <w:t>接受专家问卷调查。</w:t>
            </w:r>
          </w:p>
        </w:tc>
      </w:tr>
      <w:tr w14:paraId="4FF14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6EF64941">
            <w:pPr>
              <w:jc w:val="center"/>
              <w:rPr>
                <w:rFonts w:ascii="仿宋" w:hAnsi="仿宋" w:eastAsia="仿宋"/>
                <w:szCs w:val="21"/>
              </w:rPr>
            </w:pPr>
            <w:r>
              <w:rPr>
                <w:rFonts w:ascii="仿宋" w:hAnsi="仿宋" w:eastAsia="仿宋"/>
                <w:szCs w:val="21"/>
              </w:rPr>
              <w:t>张</w:t>
            </w:r>
            <w:r>
              <w:rPr>
                <w:rFonts w:hint="eastAsia" w:ascii="仿宋" w:hAnsi="仿宋" w:eastAsia="仿宋"/>
                <w:szCs w:val="21"/>
              </w:rPr>
              <w:t xml:space="preserve"> </w:t>
            </w:r>
            <w:r>
              <w:rPr>
                <w:rFonts w:ascii="仿宋" w:hAnsi="仿宋" w:eastAsia="仿宋"/>
                <w:szCs w:val="21"/>
              </w:rPr>
              <w:t xml:space="preserve"> 君</w:t>
            </w:r>
          </w:p>
        </w:tc>
        <w:tc>
          <w:tcPr>
            <w:tcW w:w="787" w:type="dxa"/>
            <w:vAlign w:val="center"/>
          </w:tcPr>
          <w:p w14:paraId="4AD58618">
            <w:pPr>
              <w:jc w:val="center"/>
              <w:rPr>
                <w:rFonts w:ascii="仿宋" w:hAnsi="仿宋" w:eastAsia="仿宋"/>
                <w:szCs w:val="21"/>
              </w:rPr>
            </w:pPr>
            <w:r>
              <w:rPr>
                <w:rFonts w:ascii="仿宋" w:hAnsi="仿宋" w:eastAsia="仿宋"/>
                <w:szCs w:val="21"/>
              </w:rPr>
              <w:t>硕士</w:t>
            </w:r>
          </w:p>
        </w:tc>
        <w:tc>
          <w:tcPr>
            <w:tcW w:w="1281" w:type="dxa"/>
            <w:vAlign w:val="center"/>
          </w:tcPr>
          <w:p w14:paraId="268B65FA">
            <w:pPr>
              <w:jc w:val="center"/>
              <w:rPr>
                <w:rFonts w:ascii="仿宋" w:hAnsi="仿宋" w:eastAsia="仿宋"/>
                <w:szCs w:val="21"/>
              </w:rPr>
            </w:pPr>
            <w:r>
              <w:rPr>
                <w:rFonts w:ascii="仿宋" w:hAnsi="仿宋" w:eastAsia="仿宋"/>
                <w:szCs w:val="21"/>
              </w:rPr>
              <w:t>教授、主任医师，博导</w:t>
            </w:r>
          </w:p>
        </w:tc>
        <w:tc>
          <w:tcPr>
            <w:tcW w:w="3949" w:type="dxa"/>
            <w:vAlign w:val="center"/>
          </w:tcPr>
          <w:p w14:paraId="6DA4AF75">
            <w:pPr>
              <w:jc w:val="center"/>
              <w:rPr>
                <w:rFonts w:ascii="仿宋" w:hAnsi="仿宋" w:eastAsia="仿宋"/>
                <w:szCs w:val="21"/>
              </w:rPr>
            </w:pPr>
            <w:r>
              <w:rPr>
                <w:rFonts w:ascii="仿宋" w:hAnsi="仿宋" w:eastAsia="仿宋"/>
                <w:szCs w:val="21"/>
              </w:rPr>
              <w:t>辽宁中医药大学附属医院</w:t>
            </w:r>
          </w:p>
        </w:tc>
        <w:tc>
          <w:tcPr>
            <w:tcW w:w="2225" w:type="dxa"/>
            <w:vAlign w:val="center"/>
          </w:tcPr>
          <w:p w14:paraId="314E8466">
            <w:pPr>
              <w:jc w:val="center"/>
              <w:rPr>
                <w:rFonts w:ascii="仿宋" w:hAnsi="仿宋" w:eastAsia="仿宋"/>
                <w:szCs w:val="21"/>
              </w:rPr>
            </w:pPr>
            <w:r>
              <w:rPr>
                <w:rFonts w:hint="eastAsia" w:ascii="仿宋" w:hAnsi="仿宋" w:eastAsia="仿宋"/>
                <w:szCs w:val="21"/>
              </w:rPr>
              <w:t>接受专家问卷调查。</w:t>
            </w:r>
          </w:p>
        </w:tc>
      </w:tr>
      <w:tr w14:paraId="6413D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640C324B">
            <w:pPr>
              <w:jc w:val="center"/>
              <w:rPr>
                <w:rFonts w:ascii="仿宋" w:hAnsi="仿宋" w:eastAsia="仿宋"/>
                <w:szCs w:val="21"/>
              </w:rPr>
            </w:pPr>
            <w:r>
              <w:rPr>
                <w:rFonts w:ascii="仿宋" w:hAnsi="仿宋" w:eastAsia="仿宋"/>
                <w:szCs w:val="21"/>
              </w:rPr>
              <w:t>张雅婷</w:t>
            </w:r>
          </w:p>
        </w:tc>
        <w:tc>
          <w:tcPr>
            <w:tcW w:w="787" w:type="dxa"/>
            <w:vAlign w:val="center"/>
          </w:tcPr>
          <w:p w14:paraId="725384B4">
            <w:pPr>
              <w:jc w:val="center"/>
              <w:rPr>
                <w:rFonts w:ascii="仿宋" w:hAnsi="仿宋" w:eastAsia="仿宋"/>
                <w:szCs w:val="21"/>
              </w:rPr>
            </w:pPr>
            <w:r>
              <w:rPr>
                <w:rFonts w:ascii="仿宋" w:hAnsi="仿宋" w:eastAsia="仿宋"/>
                <w:szCs w:val="21"/>
              </w:rPr>
              <w:t>博士</w:t>
            </w:r>
          </w:p>
        </w:tc>
        <w:tc>
          <w:tcPr>
            <w:tcW w:w="1281" w:type="dxa"/>
            <w:vAlign w:val="center"/>
          </w:tcPr>
          <w:p w14:paraId="31224E4F">
            <w:pPr>
              <w:jc w:val="center"/>
              <w:rPr>
                <w:rFonts w:ascii="仿宋" w:hAnsi="仿宋" w:eastAsia="仿宋"/>
                <w:szCs w:val="21"/>
              </w:rPr>
            </w:pPr>
            <w:r>
              <w:rPr>
                <w:rFonts w:ascii="仿宋" w:hAnsi="仿宋" w:eastAsia="仿宋"/>
                <w:szCs w:val="21"/>
              </w:rPr>
              <w:t>副主任医师</w:t>
            </w:r>
          </w:p>
        </w:tc>
        <w:tc>
          <w:tcPr>
            <w:tcW w:w="3949" w:type="dxa"/>
            <w:vAlign w:val="center"/>
          </w:tcPr>
          <w:p w14:paraId="1A5D1592">
            <w:pPr>
              <w:jc w:val="center"/>
              <w:rPr>
                <w:rFonts w:ascii="仿宋" w:hAnsi="仿宋" w:eastAsia="仿宋"/>
                <w:szCs w:val="21"/>
              </w:rPr>
            </w:pPr>
            <w:r>
              <w:rPr>
                <w:rFonts w:ascii="仿宋" w:hAnsi="仿宋" w:eastAsia="仿宋"/>
                <w:szCs w:val="21"/>
              </w:rPr>
              <w:t>厦门长庚医院</w:t>
            </w:r>
          </w:p>
        </w:tc>
        <w:tc>
          <w:tcPr>
            <w:tcW w:w="2225" w:type="dxa"/>
            <w:vAlign w:val="center"/>
          </w:tcPr>
          <w:p w14:paraId="49A58EFB">
            <w:pPr>
              <w:jc w:val="center"/>
              <w:rPr>
                <w:rFonts w:ascii="仿宋" w:hAnsi="仿宋" w:eastAsia="仿宋"/>
                <w:szCs w:val="21"/>
              </w:rPr>
            </w:pPr>
            <w:r>
              <w:rPr>
                <w:rFonts w:hint="eastAsia" w:ascii="仿宋" w:hAnsi="仿宋" w:eastAsia="仿宋"/>
                <w:szCs w:val="21"/>
              </w:rPr>
              <w:t>接受专家问卷调查。</w:t>
            </w:r>
          </w:p>
        </w:tc>
      </w:tr>
      <w:tr w14:paraId="129E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7D031A46">
            <w:pPr>
              <w:jc w:val="center"/>
              <w:rPr>
                <w:rFonts w:ascii="仿宋" w:hAnsi="仿宋" w:eastAsia="仿宋"/>
                <w:szCs w:val="21"/>
              </w:rPr>
            </w:pPr>
            <w:r>
              <w:rPr>
                <w:rFonts w:ascii="仿宋" w:hAnsi="仿宋" w:eastAsia="仿宋"/>
                <w:szCs w:val="21"/>
              </w:rPr>
              <w:t>乔木林</w:t>
            </w:r>
          </w:p>
        </w:tc>
        <w:tc>
          <w:tcPr>
            <w:tcW w:w="787" w:type="dxa"/>
            <w:vAlign w:val="center"/>
          </w:tcPr>
          <w:p w14:paraId="63D8F3DC">
            <w:pPr>
              <w:jc w:val="center"/>
              <w:rPr>
                <w:rFonts w:ascii="仿宋" w:hAnsi="仿宋" w:eastAsia="仿宋"/>
                <w:szCs w:val="21"/>
              </w:rPr>
            </w:pPr>
            <w:r>
              <w:rPr>
                <w:rFonts w:ascii="仿宋" w:hAnsi="仿宋" w:eastAsia="仿宋"/>
                <w:szCs w:val="21"/>
              </w:rPr>
              <w:t>硕士</w:t>
            </w:r>
          </w:p>
        </w:tc>
        <w:tc>
          <w:tcPr>
            <w:tcW w:w="1281" w:type="dxa"/>
            <w:vAlign w:val="center"/>
          </w:tcPr>
          <w:p w14:paraId="61E2C0F0">
            <w:pPr>
              <w:jc w:val="center"/>
              <w:rPr>
                <w:rFonts w:ascii="仿宋" w:hAnsi="仿宋" w:eastAsia="仿宋"/>
                <w:szCs w:val="21"/>
              </w:rPr>
            </w:pPr>
            <w:r>
              <w:rPr>
                <w:rFonts w:ascii="仿宋" w:hAnsi="仿宋" w:eastAsia="仿宋"/>
                <w:szCs w:val="21"/>
              </w:rPr>
              <w:t>教授</w:t>
            </w:r>
          </w:p>
        </w:tc>
        <w:tc>
          <w:tcPr>
            <w:tcW w:w="3949" w:type="dxa"/>
            <w:vAlign w:val="center"/>
          </w:tcPr>
          <w:p w14:paraId="53D5FB74">
            <w:pPr>
              <w:jc w:val="center"/>
              <w:rPr>
                <w:rFonts w:ascii="仿宋" w:hAnsi="仿宋" w:eastAsia="仿宋"/>
                <w:szCs w:val="21"/>
              </w:rPr>
            </w:pPr>
            <w:r>
              <w:rPr>
                <w:rFonts w:ascii="仿宋" w:hAnsi="仿宋" w:eastAsia="仿宋"/>
                <w:szCs w:val="21"/>
              </w:rPr>
              <w:t>澳大利亚Endeavour自然健康学院等</w:t>
            </w:r>
          </w:p>
        </w:tc>
        <w:tc>
          <w:tcPr>
            <w:tcW w:w="2225" w:type="dxa"/>
            <w:vAlign w:val="center"/>
          </w:tcPr>
          <w:p w14:paraId="29C312A1">
            <w:pPr>
              <w:jc w:val="center"/>
              <w:rPr>
                <w:rFonts w:ascii="仿宋" w:hAnsi="仿宋" w:eastAsia="仿宋"/>
                <w:szCs w:val="21"/>
              </w:rPr>
            </w:pPr>
            <w:r>
              <w:rPr>
                <w:rFonts w:hint="eastAsia" w:ascii="仿宋" w:hAnsi="仿宋" w:eastAsia="仿宋"/>
                <w:szCs w:val="21"/>
              </w:rPr>
              <w:t>接受专家问卷调查。</w:t>
            </w:r>
          </w:p>
        </w:tc>
      </w:tr>
      <w:tr w14:paraId="5E507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2AE899E5">
            <w:pPr>
              <w:jc w:val="center"/>
              <w:rPr>
                <w:rFonts w:ascii="仿宋" w:hAnsi="仿宋" w:eastAsia="仿宋"/>
                <w:szCs w:val="21"/>
              </w:rPr>
            </w:pPr>
            <w:r>
              <w:rPr>
                <w:rFonts w:ascii="仿宋" w:hAnsi="仿宋" w:eastAsia="仿宋"/>
                <w:szCs w:val="21"/>
              </w:rPr>
              <w:t>胡思源</w:t>
            </w:r>
          </w:p>
        </w:tc>
        <w:tc>
          <w:tcPr>
            <w:tcW w:w="787" w:type="dxa"/>
            <w:vAlign w:val="center"/>
          </w:tcPr>
          <w:p w14:paraId="2BC76DF5">
            <w:pPr>
              <w:jc w:val="center"/>
              <w:rPr>
                <w:rFonts w:ascii="仿宋" w:hAnsi="仿宋" w:eastAsia="仿宋"/>
                <w:szCs w:val="21"/>
              </w:rPr>
            </w:pPr>
            <w:r>
              <w:rPr>
                <w:rFonts w:ascii="仿宋" w:hAnsi="仿宋" w:eastAsia="仿宋"/>
                <w:szCs w:val="21"/>
              </w:rPr>
              <w:t>博士</w:t>
            </w:r>
          </w:p>
        </w:tc>
        <w:tc>
          <w:tcPr>
            <w:tcW w:w="1281" w:type="dxa"/>
            <w:vAlign w:val="center"/>
          </w:tcPr>
          <w:p w14:paraId="66CD273E">
            <w:pPr>
              <w:jc w:val="center"/>
              <w:rPr>
                <w:rFonts w:ascii="仿宋" w:hAnsi="仿宋" w:eastAsia="仿宋"/>
                <w:szCs w:val="21"/>
              </w:rPr>
            </w:pPr>
            <w:r>
              <w:rPr>
                <w:rFonts w:ascii="仿宋" w:hAnsi="仿宋" w:eastAsia="仿宋"/>
                <w:szCs w:val="21"/>
              </w:rPr>
              <w:t>教授、主任医师，博导</w:t>
            </w:r>
          </w:p>
        </w:tc>
        <w:tc>
          <w:tcPr>
            <w:tcW w:w="3949" w:type="dxa"/>
            <w:vAlign w:val="center"/>
          </w:tcPr>
          <w:p w14:paraId="5E7C90D2">
            <w:pPr>
              <w:jc w:val="center"/>
              <w:rPr>
                <w:rFonts w:ascii="仿宋" w:hAnsi="仿宋" w:eastAsia="仿宋"/>
                <w:szCs w:val="21"/>
              </w:rPr>
            </w:pPr>
            <w:r>
              <w:rPr>
                <w:rFonts w:ascii="仿宋" w:hAnsi="仿宋" w:eastAsia="仿宋"/>
                <w:szCs w:val="21"/>
              </w:rPr>
              <w:t>天津中医药大学第一附属医院</w:t>
            </w:r>
          </w:p>
        </w:tc>
        <w:tc>
          <w:tcPr>
            <w:tcW w:w="2225" w:type="dxa"/>
            <w:shd w:val="clear" w:color="auto" w:fill="auto"/>
            <w:vAlign w:val="center"/>
          </w:tcPr>
          <w:p w14:paraId="3230532E">
            <w:pPr>
              <w:jc w:val="center"/>
              <w:rPr>
                <w:rFonts w:ascii="仿宋" w:hAnsi="仿宋" w:eastAsia="仿宋"/>
                <w:szCs w:val="21"/>
              </w:rPr>
            </w:pPr>
            <w:r>
              <w:rPr>
                <w:rFonts w:hint="eastAsia" w:ascii="仿宋" w:hAnsi="仿宋" w:eastAsia="仿宋"/>
                <w:szCs w:val="21"/>
              </w:rPr>
              <w:t>接受专家问卷调查。</w:t>
            </w:r>
          </w:p>
        </w:tc>
      </w:tr>
      <w:tr w14:paraId="2FBAA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7949C90D">
            <w:pPr>
              <w:jc w:val="center"/>
              <w:rPr>
                <w:rFonts w:ascii="仿宋" w:hAnsi="仿宋" w:eastAsia="仿宋"/>
                <w:szCs w:val="21"/>
              </w:rPr>
            </w:pPr>
            <w:r>
              <w:rPr>
                <w:rFonts w:ascii="仿宋" w:hAnsi="仿宋" w:eastAsia="仿宋"/>
                <w:szCs w:val="21"/>
              </w:rPr>
              <w:t>秦艳虹</w:t>
            </w:r>
          </w:p>
        </w:tc>
        <w:tc>
          <w:tcPr>
            <w:tcW w:w="787" w:type="dxa"/>
            <w:vAlign w:val="center"/>
          </w:tcPr>
          <w:p w14:paraId="5FEDA1EA">
            <w:pPr>
              <w:jc w:val="center"/>
              <w:rPr>
                <w:rFonts w:ascii="仿宋" w:hAnsi="仿宋" w:eastAsia="仿宋"/>
                <w:szCs w:val="21"/>
              </w:rPr>
            </w:pPr>
            <w:r>
              <w:rPr>
                <w:rFonts w:ascii="仿宋" w:hAnsi="仿宋" w:eastAsia="仿宋"/>
                <w:szCs w:val="21"/>
              </w:rPr>
              <w:t>硕士</w:t>
            </w:r>
          </w:p>
        </w:tc>
        <w:tc>
          <w:tcPr>
            <w:tcW w:w="1281" w:type="dxa"/>
            <w:vAlign w:val="center"/>
          </w:tcPr>
          <w:p w14:paraId="6AE3DB2B">
            <w:pPr>
              <w:jc w:val="center"/>
              <w:rPr>
                <w:rFonts w:ascii="仿宋" w:hAnsi="仿宋" w:eastAsia="仿宋"/>
                <w:szCs w:val="21"/>
              </w:rPr>
            </w:pPr>
            <w:r>
              <w:rPr>
                <w:rFonts w:ascii="仿宋" w:hAnsi="仿宋" w:eastAsia="仿宋"/>
                <w:szCs w:val="21"/>
              </w:rPr>
              <w:t>教授、主任医师，博导</w:t>
            </w:r>
          </w:p>
        </w:tc>
        <w:tc>
          <w:tcPr>
            <w:tcW w:w="3949" w:type="dxa"/>
            <w:vAlign w:val="center"/>
          </w:tcPr>
          <w:p w14:paraId="44E6313A">
            <w:pPr>
              <w:jc w:val="center"/>
              <w:rPr>
                <w:rFonts w:ascii="仿宋" w:hAnsi="仿宋" w:eastAsia="仿宋"/>
                <w:szCs w:val="21"/>
              </w:rPr>
            </w:pPr>
            <w:r>
              <w:rPr>
                <w:rFonts w:ascii="仿宋" w:hAnsi="仿宋" w:eastAsia="仿宋"/>
                <w:szCs w:val="21"/>
              </w:rPr>
              <w:t>山西中医药大学附属医院</w:t>
            </w:r>
          </w:p>
        </w:tc>
        <w:tc>
          <w:tcPr>
            <w:tcW w:w="2225" w:type="dxa"/>
            <w:shd w:val="clear" w:color="auto" w:fill="auto"/>
            <w:vAlign w:val="center"/>
          </w:tcPr>
          <w:p w14:paraId="48048844">
            <w:pPr>
              <w:jc w:val="center"/>
              <w:rPr>
                <w:rFonts w:ascii="仿宋" w:hAnsi="仿宋" w:eastAsia="仿宋"/>
                <w:szCs w:val="21"/>
              </w:rPr>
            </w:pPr>
            <w:r>
              <w:rPr>
                <w:rFonts w:hint="eastAsia" w:ascii="仿宋" w:hAnsi="仿宋" w:eastAsia="仿宋"/>
                <w:szCs w:val="21"/>
              </w:rPr>
              <w:t>接受专家问卷调查。</w:t>
            </w:r>
          </w:p>
        </w:tc>
      </w:tr>
      <w:tr w14:paraId="34975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0CF6F1B8">
            <w:pPr>
              <w:jc w:val="center"/>
              <w:rPr>
                <w:rFonts w:ascii="仿宋" w:hAnsi="仿宋" w:eastAsia="仿宋"/>
                <w:szCs w:val="21"/>
              </w:rPr>
            </w:pPr>
            <w:r>
              <w:rPr>
                <w:rFonts w:ascii="仿宋" w:hAnsi="仿宋" w:eastAsia="仿宋"/>
                <w:szCs w:val="21"/>
              </w:rPr>
              <w:t>李江全</w:t>
            </w:r>
          </w:p>
        </w:tc>
        <w:tc>
          <w:tcPr>
            <w:tcW w:w="787" w:type="dxa"/>
            <w:vAlign w:val="center"/>
          </w:tcPr>
          <w:p w14:paraId="777E229F">
            <w:pPr>
              <w:jc w:val="center"/>
              <w:rPr>
                <w:rFonts w:ascii="仿宋" w:hAnsi="仿宋" w:eastAsia="仿宋"/>
                <w:szCs w:val="21"/>
              </w:rPr>
            </w:pPr>
            <w:r>
              <w:rPr>
                <w:rFonts w:ascii="仿宋" w:hAnsi="仿宋" w:eastAsia="仿宋"/>
                <w:szCs w:val="21"/>
              </w:rPr>
              <w:t>博士</w:t>
            </w:r>
          </w:p>
        </w:tc>
        <w:tc>
          <w:tcPr>
            <w:tcW w:w="1281" w:type="dxa"/>
            <w:vAlign w:val="center"/>
          </w:tcPr>
          <w:p w14:paraId="663494E2">
            <w:pPr>
              <w:jc w:val="center"/>
              <w:rPr>
                <w:rFonts w:ascii="仿宋" w:hAnsi="仿宋" w:eastAsia="仿宋"/>
                <w:szCs w:val="21"/>
              </w:rPr>
            </w:pPr>
            <w:r>
              <w:rPr>
                <w:rFonts w:ascii="仿宋" w:hAnsi="仿宋" w:eastAsia="仿宋"/>
                <w:szCs w:val="21"/>
              </w:rPr>
              <w:t>主任医师，硕导</w:t>
            </w:r>
          </w:p>
        </w:tc>
        <w:tc>
          <w:tcPr>
            <w:tcW w:w="3949" w:type="dxa"/>
            <w:vAlign w:val="center"/>
          </w:tcPr>
          <w:p w14:paraId="3AF85CEE">
            <w:pPr>
              <w:jc w:val="center"/>
              <w:rPr>
                <w:rFonts w:ascii="仿宋" w:hAnsi="仿宋" w:eastAsia="仿宋"/>
                <w:szCs w:val="21"/>
              </w:rPr>
            </w:pPr>
            <w:r>
              <w:rPr>
                <w:rFonts w:ascii="仿宋" w:hAnsi="仿宋" w:eastAsia="仿宋"/>
                <w:szCs w:val="21"/>
              </w:rPr>
              <w:t>南京中医药大学附属医院</w:t>
            </w:r>
          </w:p>
        </w:tc>
        <w:tc>
          <w:tcPr>
            <w:tcW w:w="2225" w:type="dxa"/>
            <w:shd w:val="clear" w:color="auto" w:fill="auto"/>
            <w:vAlign w:val="center"/>
          </w:tcPr>
          <w:p w14:paraId="7CE0731F">
            <w:pPr>
              <w:jc w:val="center"/>
              <w:rPr>
                <w:rFonts w:ascii="仿宋" w:hAnsi="仿宋" w:eastAsia="仿宋"/>
                <w:szCs w:val="21"/>
              </w:rPr>
            </w:pPr>
            <w:r>
              <w:rPr>
                <w:rFonts w:hint="eastAsia" w:ascii="仿宋" w:hAnsi="仿宋" w:eastAsia="仿宋"/>
                <w:szCs w:val="21"/>
              </w:rPr>
              <w:t>接受专家问卷调查。</w:t>
            </w:r>
          </w:p>
        </w:tc>
      </w:tr>
      <w:tr w14:paraId="3A0FE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18AFBA6F">
            <w:pPr>
              <w:jc w:val="center"/>
              <w:rPr>
                <w:rFonts w:ascii="仿宋" w:hAnsi="仿宋" w:eastAsia="仿宋"/>
                <w:szCs w:val="21"/>
              </w:rPr>
            </w:pPr>
            <w:r>
              <w:rPr>
                <w:rFonts w:ascii="仿宋" w:hAnsi="仿宋" w:eastAsia="仿宋"/>
                <w:szCs w:val="21"/>
              </w:rPr>
              <w:t>马丙祥</w:t>
            </w:r>
          </w:p>
        </w:tc>
        <w:tc>
          <w:tcPr>
            <w:tcW w:w="787" w:type="dxa"/>
            <w:vAlign w:val="center"/>
          </w:tcPr>
          <w:p w14:paraId="478D9366">
            <w:pPr>
              <w:jc w:val="center"/>
              <w:rPr>
                <w:rFonts w:ascii="仿宋" w:hAnsi="仿宋" w:eastAsia="仿宋"/>
                <w:szCs w:val="21"/>
              </w:rPr>
            </w:pPr>
            <w:r>
              <w:rPr>
                <w:rFonts w:ascii="仿宋" w:hAnsi="仿宋" w:eastAsia="仿宋"/>
                <w:szCs w:val="21"/>
              </w:rPr>
              <w:t>博士</w:t>
            </w:r>
          </w:p>
        </w:tc>
        <w:tc>
          <w:tcPr>
            <w:tcW w:w="1281" w:type="dxa"/>
            <w:vAlign w:val="center"/>
          </w:tcPr>
          <w:p w14:paraId="66A030A4">
            <w:pPr>
              <w:jc w:val="center"/>
              <w:rPr>
                <w:rFonts w:ascii="仿宋" w:hAnsi="仿宋" w:eastAsia="仿宋"/>
                <w:szCs w:val="21"/>
              </w:rPr>
            </w:pPr>
            <w:r>
              <w:rPr>
                <w:rFonts w:ascii="仿宋" w:hAnsi="仿宋" w:eastAsia="仿宋"/>
                <w:szCs w:val="21"/>
              </w:rPr>
              <w:t>教授、主任医师，博导</w:t>
            </w:r>
          </w:p>
        </w:tc>
        <w:tc>
          <w:tcPr>
            <w:tcW w:w="3949" w:type="dxa"/>
            <w:vAlign w:val="center"/>
          </w:tcPr>
          <w:p w14:paraId="4C6F72C8">
            <w:pPr>
              <w:jc w:val="center"/>
              <w:rPr>
                <w:rFonts w:ascii="仿宋" w:hAnsi="仿宋" w:eastAsia="仿宋"/>
                <w:szCs w:val="21"/>
              </w:rPr>
            </w:pPr>
            <w:r>
              <w:rPr>
                <w:rFonts w:ascii="仿宋" w:hAnsi="仿宋" w:eastAsia="仿宋"/>
                <w:szCs w:val="21"/>
              </w:rPr>
              <w:t>河南中医药大学第一附属医院</w:t>
            </w:r>
          </w:p>
        </w:tc>
        <w:tc>
          <w:tcPr>
            <w:tcW w:w="2225" w:type="dxa"/>
            <w:vAlign w:val="center"/>
          </w:tcPr>
          <w:p w14:paraId="61E0076A">
            <w:pPr>
              <w:jc w:val="center"/>
              <w:rPr>
                <w:rFonts w:ascii="仿宋" w:hAnsi="仿宋" w:eastAsia="仿宋"/>
                <w:szCs w:val="21"/>
              </w:rPr>
            </w:pPr>
            <w:r>
              <w:rPr>
                <w:rFonts w:hint="eastAsia" w:ascii="仿宋" w:hAnsi="仿宋" w:eastAsia="仿宋"/>
                <w:szCs w:val="21"/>
              </w:rPr>
              <w:t>接受专家问卷调查。</w:t>
            </w:r>
          </w:p>
        </w:tc>
      </w:tr>
    </w:tbl>
    <w:p w14:paraId="179C3EF8">
      <w:pPr>
        <w:widowControl/>
        <w:jc w:val="left"/>
        <w:rPr>
          <w:rFonts w:ascii="仿宋" w:hAnsi="仿宋" w:eastAsia="仿宋"/>
          <w:b/>
          <w:sz w:val="24"/>
          <w:szCs w:val="24"/>
        </w:rPr>
      </w:pPr>
      <w:r>
        <w:rPr>
          <w:rFonts w:ascii="仿宋" w:hAnsi="仿宋" w:eastAsia="仿宋"/>
          <w:b/>
          <w:sz w:val="24"/>
          <w:szCs w:val="24"/>
        </w:rPr>
        <w:br w:type="page"/>
      </w:r>
    </w:p>
    <w:p w14:paraId="33F1EDBA">
      <w:pPr>
        <w:spacing w:line="360" w:lineRule="auto"/>
        <w:rPr>
          <w:rFonts w:ascii="仿宋" w:hAnsi="仿宋" w:eastAsia="仿宋"/>
          <w:b/>
          <w:sz w:val="24"/>
          <w:szCs w:val="24"/>
        </w:rPr>
      </w:pPr>
      <w:r>
        <w:rPr>
          <w:rFonts w:hint="eastAsia" w:ascii="仿宋" w:hAnsi="仿宋" w:eastAsia="仿宋"/>
          <w:b/>
          <w:sz w:val="24"/>
          <w:szCs w:val="24"/>
        </w:rPr>
        <w:t>4</w:t>
      </w:r>
      <w:r>
        <w:rPr>
          <w:rFonts w:ascii="仿宋" w:hAnsi="仿宋" w:eastAsia="仿宋"/>
          <w:b/>
          <w:sz w:val="24"/>
          <w:szCs w:val="24"/>
        </w:rPr>
        <w:t xml:space="preserve">  </w:t>
      </w:r>
      <w:r>
        <w:rPr>
          <w:rFonts w:hint="eastAsia" w:ascii="仿宋" w:hAnsi="仿宋" w:eastAsia="仿宋"/>
          <w:b/>
          <w:sz w:val="24"/>
          <w:szCs w:val="24"/>
        </w:rPr>
        <w:t>专家指导组成员</w:t>
      </w:r>
    </w:p>
    <w:tbl>
      <w:tblPr>
        <w:tblStyle w:val="12"/>
        <w:tblW w:w="92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703"/>
        <w:gridCol w:w="1354"/>
        <w:gridCol w:w="2994"/>
        <w:gridCol w:w="3260"/>
      </w:tblGrid>
      <w:tr w14:paraId="2B679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0C5A9852">
            <w:pPr>
              <w:jc w:val="center"/>
              <w:rPr>
                <w:rFonts w:ascii="仿宋" w:hAnsi="仿宋" w:eastAsia="仿宋"/>
                <w:szCs w:val="21"/>
              </w:rPr>
            </w:pPr>
            <w:r>
              <w:rPr>
                <w:rFonts w:hint="eastAsia" w:ascii="仿宋" w:hAnsi="仿宋" w:eastAsia="仿宋"/>
                <w:szCs w:val="21"/>
              </w:rPr>
              <w:t>姓</w:t>
            </w:r>
            <w:r>
              <w:rPr>
                <w:rFonts w:ascii="仿宋" w:hAnsi="仿宋" w:eastAsia="仿宋"/>
                <w:szCs w:val="21"/>
              </w:rPr>
              <w:t xml:space="preserve">  </w:t>
            </w:r>
            <w:r>
              <w:rPr>
                <w:rFonts w:hint="eastAsia" w:ascii="仿宋" w:hAnsi="仿宋" w:eastAsia="仿宋"/>
                <w:szCs w:val="21"/>
              </w:rPr>
              <w:t>名</w:t>
            </w:r>
          </w:p>
        </w:tc>
        <w:tc>
          <w:tcPr>
            <w:tcW w:w="703" w:type="dxa"/>
            <w:noWrap w:val="0"/>
            <w:vAlign w:val="center"/>
          </w:tcPr>
          <w:p w14:paraId="7BD0E4ED">
            <w:pPr>
              <w:jc w:val="center"/>
              <w:rPr>
                <w:rFonts w:ascii="仿宋" w:hAnsi="仿宋" w:eastAsia="仿宋"/>
                <w:szCs w:val="21"/>
              </w:rPr>
            </w:pPr>
            <w:r>
              <w:rPr>
                <w:rFonts w:hint="eastAsia" w:ascii="仿宋" w:hAnsi="仿宋" w:eastAsia="仿宋"/>
                <w:szCs w:val="21"/>
              </w:rPr>
              <w:t>学位</w:t>
            </w:r>
          </w:p>
        </w:tc>
        <w:tc>
          <w:tcPr>
            <w:tcW w:w="1354" w:type="dxa"/>
            <w:noWrap w:val="0"/>
            <w:vAlign w:val="center"/>
          </w:tcPr>
          <w:p w14:paraId="526E5637">
            <w:pPr>
              <w:jc w:val="center"/>
              <w:rPr>
                <w:rFonts w:ascii="仿宋" w:hAnsi="仿宋" w:eastAsia="仿宋"/>
                <w:szCs w:val="21"/>
              </w:rPr>
            </w:pPr>
            <w:r>
              <w:rPr>
                <w:rFonts w:hint="eastAsia" w:ascii="仿宋" w:hAnsi="仿宋" w:eastAsia="仿宋"/>
                <w:szCs w:val="21"/>
              </w:rPr>
              <w:t>职  称</w:t>
            </w:r>
          </w:p>
        </w:tc>
        <w:tc>
          <w:tcPr>
            <w:tcW w:w="2994" w:type="dxa"/>
            <w:noWrap w:val="0"/>
            <w:vAlign w:val="center"/>
          </w:tcPr>
          <w:p w14:paraId="0927AF2A">
            <w:pPr>
              <w:jc w:val="center"/>
              <w:rPr>
                <w:rFonts w:ascii="仿宋" w:hAnsi="仿宋" w:eastAsia="仿宋"/>
                <w:szCs w:val="21"/>
              </w:rPr>
            </w:pPr>
            <w:r>
              <w:rPr>
                <w:rFonts w:hint="eastAsia" w:ascii="仿宋" w:hAnsi="仿宋" w:eastAsia="仿宋"/>
              </w:rPr>
              <w:t>单  位</w:t>
            </w:r>
          </w:p>
        </w:tc>
        <w:tc>
          <w:tcPr>
            <w:tcW w:w="3260" w:type="dxa"/>
            <w:noWrap w:val="0"/>
            <w:vAlign w:val="center"/>
          </w:tcPr>
          <w:p w14:paraId="05EDE11D">
            <w:pPr>
              <w:jc w:val="center"/>
              <w:rPr>
                <w:rFonts w:ascii="仿宋" w:hAnsi="仿宋" w:eastAsia="仿宋"/>
                <w:szCs w:val="21"/>
              </w:rPr>
            </w:pPr>
            <w:r>
              <w:rPr>
                <w:rFonts w:hint="eastAsia" w:ascii="仿宋" w:hAnsi="仿宋" w:eastAsia="仿宋"/>
                <w:szCs w:val="21"/>
              </w:rPr>
              <w:t>承担工作</w:t>
            </w:r>
          </w:p>
        </w:tc>
      </w:tr>
      <w:tr w14:paraId="6D913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2E987720">
            <w:pPr>
              <w:jc w:val="center"/>
              <w:rPr>
                <w:rFonts w:hint="eastAsia" w:ascii="仿宋" w:hAnsi="仿宋" w:eastAsia="仿宋"/>
                <w:szCs w:val="21"/>
              </w:rPr>
            </w:pPr>
            <w:r>
              <w:rPr>
                <w:rFonts w:hint="eastAsia" w:ascii="仿宋" w:hAnsi="仿宋" w:eastAsia="仿宋"/>
                <w:szCs w:val="21"/>
              </w:rPr>
              <w:t>丁  樱</w:t>
            </w:r>
          </w:p>
        </w:tc>
        <w:tc>
          <w:tcPr>
            <w:tcW w:w="703" w:type="dxa"/>
            <w:noWrap w:val="0"/>
            <w:vAlign w:val="center"/>
          </w:tcPr>
          <w:p w14:paraId="1A5B0B38">
            <w:pPr>
              <w:jc w:val="center"/>
              <w:rPr>
                <w:rFonts w:hint="eastAsia" w:ascii="仿宋" w:hAnsi="仿宋" w:eastAsia="仿宋"/>
                <w:szCs w:val="21"/>
              </w:rPr>
            </w:pPr>
            <w:r>
              <w:rPr>
                <w:rFonts w:hint="eastAsia" w:ascii="仿宋" w:hAnsi="仿宋" w:eastAsia="仿宋"/>
                <w:szCs w:val="21"/>
              </w:rPr>
              <w:t>学士</w:t>
            </w:r>
          </w:p>
        </w:tc>
        <w:tc>
          <w:tcPr>
            <w:tcW w:w="1354" w:type="dxa"/>
            <w:noWrap w:val="0"/>
            <w:vAlign w:val="center"/>
          </w:tcPr>
          <w:p w14:paraId="5148ADB2">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5FBCE50E">
            <w:pPr>
              <w:jc w:val="center"/>
              <w:rPr>
                <w:rFonts w:hint="eastAsia" w:ascii="仿宋" w:hAnsi="仿宋" w:eastAsia="仿宋"/>
                <w:szCs w:val="21"/>
              </w:rPr>
            </w:pPr>
            <w:r>
              <w:rPr>
                <w:rFonts w:hint="eastAsia" w:ascii="仿宋" w:hAnsi="仿宋" w:eastAsia="仿宋"/>
                <w:szCs w:val="21"/>
              </w:rPr>
              <w:t>河南中医药大学</w:t>
            </w:r>
          </w:p>
          <w:p w14:paraId="183C56A5">
            <w:pPr>
              <w:jc w:val="center"/>
              <w:rPr>
                <w:rFonts w:hint="eastAsia" w:ascii="仿宋" w:hAnsi="仿宋" w:eastAsia="仿宋"/>
              </w:rPr>
            </w:pPr>
            <w:r>
              <w:rPr>
                <w:rFonts w:hint="eastAsia" w:ascii="仿宋" w:hAnsi="仿宋" w:eastAsia="仿宋"/>
                <w:szCs w:val="21"/>
              </w:rPr>
              <w:t>第一附属医院儿科医院</w:t>
            </w:r>
          </w:p>
        </w:tc>
        <w:tc>
          <w:tcPr>
            <w:tcW w:w="3260" w:type="dxa"/>
            <w:noWrap w:val="0"/>
            <w:vAlign w:val="center"/>
          </w:tcPr>
          <w:p w14:paraId="1D04B665">
            <w:pPr>
              <w:jc w:val="center"/>
              <w:rPr>
                <w:rFonts w:hint="eastAsia" w:ascii="仿宋" w:hAnsi="仿宋" w:eastAsia="仿宋"/>
                <w:szCs w:val="21"/>
              </w:rPr>
            </w:pPr>
            <w:r>
              <w:rPr>
                <w:rFonts w:hint="eastAsia" w:ascii="仿宋" w:hAnsi="仿宋" w:eastAsia="仿宋"/>
                <w:szCs w:val="21"/>
              </w:rPr>
              <w:t>指导标准制订，参加专家论证会。</w:t>
            </w:r>
          </w:p>
        </w:tc>
      </w:tr>
      <w:tr w14:paraId="133A6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4C66A534">
            <w:pPr>
              <w:jc w:val="center"/>
              <w:rPr>
                <w:rFonts w:hint="eastAsia" w:ascii="仿宋" w:hAnsi="仿宋" w:eastAsia="仿宋"/>
                <w:szCs w:val="21"/>
              </w:rPr>
            </w:pPr>
            <w:r>
              <w:rPr>
                <w:rFonts w:hint="eastAsia" w:ascii="仿宋" w:hAnsi="仿宋" w:eastAsia="仿宋"/>
                <w:szCs w:val="21"/>
              </w:rPr>
              <w:t>万力生</w:t>
            </w:r>
          </w:p>
        </w:tc>
        <w:tc>
          <w:tcPr>
            <w:tcW w:w="703" w:type="dxa"/>
            <w:noWrap w:val="0"/>
            <w:vAlign w:val="center"/>
          </w:tcPr>
          <w:p w14:paraId="7C47E036">
            <w:pPr>
              <w:jc w:val="center"/>
              <w:rPr>
                <w:rFonts w:hint="eastAsia" w:ascii="仿宋" w:hAnsi="仿宋" w:eastAsia="仿宋"/>
                <w:szCs w:val="21"/>
              </w:rPr>
            </w:pPr>
            <w:r>
              <w:rPr>
                <w:rFonts w:hint="eastAsia" w:ascii="仿宋" w:hAnsi="仿宋" w:eastAsia="仿宋"/>
                <w:szCs w:val="21"/>
              </w:rPr>
              <w:t>博士</w:t>
            </w:r>
          </w:p>
        </w:tc>
        <w:tc>
          <w:tcPr>
            <w:tcW w:w="1354" w:type="dxa"/>
            <w:noWrap w:val="0"/>
            <w:vAlign w:val="center"/>
          </w:tcPr>
          <w:p w14:paraId="219FC92C">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44F428DD">
            <w:pPr>
              <w:jc w:val="center"/>
              <w:rPr>
                <w:rFonts w:hint="eastAsia" w:ascii="仿宋" w:hAnsi="仿宋" w:eastAsia="仿宋"/>
              </w:rPr>
            </w:pPr>
            <w:r>
              <w:rPr>
                <w:rFonts w:hint="eastAsia" w:ascii="仿宋" w:hAnsi="仿宋" w:eastAsia="仿宋"/>
              </w:rPr>
              <w:t>深圳市中医院</w:t>
            </w:r>
          </w:p>
        </w:tc>
        <w:tc>
          <w:tcPr>
            <w:tcW w:w="3260" w:type="dxa"/>
            <w:noWrap w:val="0"/>
            <w:vAlign w:val="center"/>
          </w:tcPr>
          <w:p w14:paraId="089ED088">
            <w:pPr>
              <w:jc w:val="center"/>
              <w:rPr>
                <w:rFonts w:hint="eastAsia" w:ascii="仿宋" w:hAnsi="仿宋" w:eastAsia="仿宋"/>
                <w:szCs w:val="21"/>
              </w:rPr>
            </w:pPr>
            <w:r>
              <w:rPr>
                <w:rFonts w:hint="eastAsia" w:ascii="仿宋" w:hAnsi="仿宋" w:eastAsia="仿宋"/>
                <w:szCs w:val="21"/>
              </w:rPr>
              <w:t>指导标准制订，参加专家论证会。</w:t>
            </w:r>
          </w:p>
        </w:tc>
      </w:tr>
      <w:tr w14:paraId="77D14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48DEEFDB">
            <w:pPr>
              <w:jc w:val="center"/>
              <w:rPr>
                <w:rFonts w:hint="eastAsia" w:ascii="仿宋" w:hAnsi="仿宋" w:eastAsia="仿宋"/>
                <w:szCs w:val="21"/>
              </w:rPr>
            </w:pPr>
            <w:r>
              <w:rPr>
                <w:rFonts w:hint="eastAsia" w:ascii="仿宋" w:hAnsi="仿宋" w:eastAsia="仿宋"/>
                <w:szCs w:val="21"/>
              </w:rPr>
              <w:t>马  融</w:t>
            </w:r>
          </w:p>
        </w:tc>
        <w:tc>
          <w:tcPr>
            <w:tcW w:w="703" w:type="dxa"/>
            <w:noWrap w:val="0"/>
            <w:vAlign w:val="center"/>
          </w:tcPr>
          <w:p w14:paraId="6D118D3D">
            <w:pPr>
              <w:jc w:val="center"/>
              <w:rPr>
                <w:rFonts w:hint="eastAsia" w:ascii="仿宋" w:hAnsi="仿宋" w:eastAsia="仿宋"/>
                <w:szCs w:val="21"/>
              </w:rPr>
            </w:pPr>
            <w:r>
              <w:rPr>
                <w:rFonts w:hint="eastAsia" w:ascii="仿宋" w:hAnsi="仿宋" w:eastAsia="仿宋"/>
                <w:szCs w:val="21"/>
              </w:rPr>
              <w:t>博士</w:t>
            </w:r>
          </w:p>
        </w:tc>
        <w:tc>
          <w:tcPr>
            <w:tcW w:w="1354" w:type="dxa"/>
            <w:noWrap w:val="0"/>
            <w:vAlign w:val="center"/>
          </w:tcPr>
          <w:p w14:paraId="7911196C">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5DC39BA1">
            <w:pPr>
              <w:jc w:val="center"/>
              <w:rPr>
                <w:rFonts w:hint="eastAsia" w:ascii="仿宋" w:hAnsi="仿宋" w:eastAsia="仿宋"/>
              </w:rPr>
            </w:pPr>
            <w:r>
              <w:rPr>
                <w:rFonts w:hint="eastAsia" w:ascii="仿宋" w:hAnsi="仿宋" w:eastAsia="仿宋"/>
              </w:rPr>
              <w:t>天津中医药大学</w:t>
            </w:r>
          </w:p>
          <w:p w14:paraId="3B7521E4">
            <w:pPr>
              <w:jc w:val="center"/>
              <w:rPr>
                <w:rFonts w:hint="eastAsia" w:ascii="仿宋" w:hAnsi="仿宋" w:eastAsia="仿宋"/>
              </w:rPr>
            </w:pPr>
            <w:r>
              <w:rPr>
                <w:rFonts w:hint="eastAsia" w:ascii="仿宋" w:hAnsi="仿宋" w:eastAsia="仿宋"/>
              </w:rPr>
              <w:t>第一附属医院</w:t>
            </w:r>
          </w:p>
        </w:tc>
        <w:tc>
          <w:tcPr>
            <w:tcW w:w="3260" w:type="dxa"/>
            <w:noWrap w:val="0"/>
            <w:vAlign w:val="center"/>
          </w:tcPr>
          <w:p w14:paraId="516E05A6">
            <w:pPr>
              <w:jc w:val="center"/>
              <w:rPr>
                <w:rFonts w:hint="eastAsia" w:ascii="仿宋" w:hAnsi="仿宋" w:eastAsia="仿宋"/>
                <w:szCs w:val="21"/>
              </w:rPr>
            </w:pPr>
            <w:r>
              <w:rPr>
                <w:rFonts w:hint="eastAsia" w:ascii="仿宋" w:hAnsi="仿宋" w:eastAsia="仿宋"/>
                <w:szCs w:val="21"/>
              </w:rPr>
              <w:t>指导标准制订，参加专家论证会。</w:t>
            </w:r>
          </w:p>
        </w:tc>
      </w:tr>
      <w:tr w14:paraId="1ED06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71004E3C">
            <w:pPr>
              <w:jc w:val="center"/>
              <w:rPr>
                <w:rFonts w:hint="eastAsia" w:ascii="仿宋" w:hAnsi="仿宋" w:eastAsia="仿宋"/>
                <w:szCs w:val="21"/>
              </w:rPr>
            </w:pPr>
            <w:r>
              <w:rPr>
                <w:rFonts w:hint="eastAsia" w:ascii="仿宋" w:hAnsi="仿宋" w:eastAsia="仿宋"/>
                <w:szCs w:val="21"/>
              </w:rPr>
              <w:t>王有鹏</w:t>
            </w:r>
          </w:p>
        </w:tc>
        <w:tc>
          <w:tcPr>
            <w:tcW w:w="703" w:type="dxa"/>
            <w:noWrap w:val="0"/>
            <w:vAlign w:val="center"/>
          </w:tcPr>
          <w:p w14:paraId="1DEBF160">
            <w:pPr>
              <w:jc w:val="center"/>
              <w:rPr>
                <w:rFonts w:hint="eastAsia" w:ascii="仿宋" w:hAnsi="仿宋" w:eastAsia="仿宋"/>
                <w:szCs w:val="21"/>
              </w:rPr>
            </w:pPr>
            <w:r>
              <w:rPr>
                <w:rFonts w:hint="eastAsia" w:ascii="仿宋" w:hAnsi="仿宋" w:eastAsia="仿宋"/>
                <w:szCs w:val="21"/>
              </w:rPr>
              <w:t>博士</w:t>
            </w:r>
          </w:p>
        </w:tc>
        <w:tc>
          <w:tcPr>
            <w:tcW w:w="1354" w:type="dxa"/>
            <w:noWrap w:val="0"/>
            <w:vAlign w:val="center"/>
          </w:tcPr>
          <w:p w14:paraId="1EF613C0">
            <w:pPr>
              <w:jc w:val="center"/>
              <w:rPr>
                <w:rFonts w:hint="eastAsia" w:ascii="仿宋" w:hAnsi="仿宋" w:eastAsia="仿宋"/>
                <w:szCs w:val="21"/>
              </w:rPr>
            </w:pPr>
            <w:r>
              <w:rPr>
                <w:rFonts w:hint="eastAsia" w:ascii="仿宋" w:hAnsi="仿宋" w:eastAsia="仿宋"/>
                <w:szCs w:val="21"/>
              </w:rPr>
              <w:t>教授、主任医师，博导</w:t>
            </w:r>
          </w:p>
        </w:tc>
        <w:tc>
          <w:tcPr>
            <w:tcW w:w="2994" w:type="dxa"/>
            <w:noWrap w:val="0"/>
            <w:vAlign w:val="center"/>
          </w:tcPr>
          <w:p w14:paraId="5182AF31">
            <w:pPr>
              <w:jc w:val="center"/>
              <w:rPr>
                <w:rFonts w:hint="eastAsia" w:ascii="仿宋" w:hAnsi="仿宋" w:eastAsia="仿宋"/>
              </w:rPr>
            </w:pPr>
            <w:r>
              <w:rPr>
                <w:rFonts w:hint="eastAsia" w:ascii="仿宋" w:hAnsi="仿宋" w:eastAsia="仿宋"/>
              </w:rPr>
              <w:t>黑龙江中医药大学</w:t>
            </w:r>
          </w:p>
          <w:p w14:paraId="1A7181DD">
            <w:pPr>
              <w:jc w:val="center"/>
              <w:rPr>
                <w:rFonts w:hint="eastAsia" w:ascii="仿宋" w:hAnsi="仿宋" w:eastAsia="仿宋"/>
              </w:rPr>
            </w:pPr>
            <w:r>
              <w:rPr>
                <w:rFonts w:hint="eastAsia" w:ascii="仿宋" w:hAnsi="仿宋" w:eastAsia="仿宋"/>
              </w:rPr>
              <w:t>附属第二医院</w:t>
            </w:r>
          </w:p>
        </w:tc>
        <w:tc>
          <w:tcPr>
            <w:tcW w:w="3260" w:type="dxa"/>
            <w:noWrap w:val="0"/>
            <w:vAlign w:val="center"/>
          </w:tcPr>
          <w:p w14:paraId="74E4CADF">
            <w:pPr>
              <w:jc w:val="center"/>
              <w:rPr>
                <w:rFonts w:hint="eastAsia" w:ascii="仿宋" w:hAnsi="仿宋" w:eastAsia="仿宋"/>
                <w:szCs w:val="21"/>
              </w:rPr>
            </w:pPr>
            <w:r>
              <w:rPr>
                <w:rFonts w:hint="eastAsia" w:ascii="仿宋" w:hAnsi="仿宋" w:eastAsia="仿宋"/>
                <w:szCs w:val="21"/>
              </w:rPr>
              <w:t>指导标准制订，参加专家论证会。</w:t>
            </w:r>
          </w:p>
        </w:tc>
      </w:tr>
      <w:tr w14:paraId="7199A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35425C42">
            <w:pPr>
              <w:jc w:val="center"/>
              <w:rPr>
                <w:rFonts w:hint="eastAsia" w:ascii="仿宋" w:hAnsi="仿宋" w:eastAsia="仿宋"/>
                <w:szCs w:val="21"/>
              </w:rPr>
            </w:pPr>
            <w:r>
              <w:rPr>
                <w:rFonts w:hint="eastAsia" w:ascii="仿宋" w:hAnsi="仿宋" w:eastAsia="仿宋"/>
                <w:szCs w:val="21"/>
              </w:rPr>
              <w:t>王丽丽</w:t>
            </w:r>
          </w:p>
        </w:tc>
        <w:tc>
          <w:tcPr>
            <w:tcW w:w="703" w:type="dxa"/>
            <w:noWrap w:val="0"/>
            <w:vAlign w:val="center"/>
          </w:tcPr>
          <w:p w14:paraId="6008AB7F">
            <w:pPr>
              <w:jc w:val="center"/>
              <w:rPr>
                <w:rFonts w:hint="eastAsia" w:ascii="仿宋" w:hAnsi="仿宋" w:eastAsia="仿宋"/>
                <w:szCs w:val="21"/>
              </w:rPr>
            </w:pPr>
            <w:r>
              <w:rPr>
                <w:rFonts w:hint="eastAsia" w:ascii="仿宋" w:hAnsi="仿宋" w:eastAsia="仿宋"/>
                <w:szCs w:val="21"/>
              </w:rPr>
              <w:t>硕士</w:t>
            </w:r>
          </w:p>
        </w:tc>
        <w:tc>
          <w:tcPr>
            <w:tcW w:w="1354" w:type="dxa"/>
            <w:noWrap w:val="0"/>
            <w:vAlign w:val="center"/>
          </w:tcPr>
          <w:p w14:paraId="5F036439">
            <w:pPr>
              <w:jc w:val="center"/>
              <w:rPr>
                <w:rFonts w:ascii="仿宋" w:hAnsi="仿宋" w:eastAsia="仿宋"/>
                <w:szCs w:val="21"/>
              </w:rPr>
            </w:pPr>
            <w:r>
              <w:rPr>
                <w:rFonts w:hint="eastAsia" w:ascii="仿宋" w:hAnsi="仿宋" w:eastAsia="仿宋"/>
                <w:szCs w:val="21"/>
              </w:rPr>
              <w:t>副编审</w:t>
            </w:r>
          </w:p>
        </w:tc>
        <w:tc>
          <w:tcPr>
            <w:tcW w:w="2994" w:type="dxa"/>
            <w:noWrap w:val="0"/>
            <w:vAlign w:val="center"/>
          </w:tcPr>
          <w:p w14:paraId="5086500D">
            <w:pPr>
              <w:jc w:val="center"/>
              <w:rPr>
                <w:rFonts w:hint="eastAsia" w:ascii="仿宋" w:hAnsi="仿宋" w:eastAsia="仿宋" w:cs="Calibri"/>
                <w:szCs w:val="21"/>
              </w:rPr>
            </w:pPr>
            <w:r>
              <w:rPr>
                <w:rFonts w:hint="eastAsia" w:ascii="仿宋" w:hAnsi="仿宋" w:eastAsia="仿宋" w:cs="Calibri"/>
                <w:szCs w:val="21"/>
              </w:rPr>
              <w:t>世界中医药学会联合会</w:t>
            </w:r>
          </w:p>
          <w:p w14:paraId="613F62BC">
            <w:pPr>
              <w:jc w:val="center"/>
              <w:rPr>
                <w:rFonts w:hint="eastAsia" w:ascii="仿宋" w:hAnsi="仿宋" w:eastAsia="仿宋"/>
              </w:rPr>
            </w:pPr>
            <w:r>
              <w:rPr>
                <w:rFonts w:hint="eastAsia" w:ascii="仿宋" w:hAnsi="仿宋" w:eastAsia="仿宋" w:cs="Calibri"/>
                <w:szCs w:val="21"/>
              </w:rPr>
              <w:t>国际标准部</w:t>
            </w:r>
          </w:p>
        </w:tc>
        <w:tc>
          <w:tcPr>
            <w:tcW w:w="3260" w:type="dxa"/>
            <w:noWrap w:val="0"/>
            <w:vAlign w:val="center"/>
          </w:tcPr>
          <w:p w14:paraId="6A88EB85">
            <w:pPr>
              <w:jc w:val="center"/>
              <w:rPr>
                <w:rFonts w:hint="eastAsia" w:ascii="仿宋" w:hAnsi="仿宋" w:eastAsia="仿宋"/>
                <w:szCs w:val="21"/>
              </w:rPr>
            </w:pPr>
            <w:r>
              <w:rPr>
                <w:rFonts w:hint="eastAsia" w:ascii="仿宋" w:hAnsi="仿宋" w:eastAsia="仿宋"/>
                <w:szCs w:val="21"/>
              </w:rPr>
              <w:t>指导标准制订，参加专家论证会。</w:t>
            </w:r>
          </w:p>
        </w:tc>
      </w:tr>
      <w:tr w14:paraId="087FA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66D13DA2">
            <w:pPr>
              <w:jc w:val="center"/>
              <w:rPr>
                <w:rFonts w:hint="eastAsia" w:ascii="仿宋" w:hAnsi="仿宋" w:eastAsia="仿宋"/>
                <w:szCs w:val="21"/>
              </w:rPr>
            </w:pPr>
            <w:r>
              <w:rPr>
                <w:rFonts w:hint="eastAsia" w:ascii="仿宋" w:hAnsi="仿宋" w:eastAsia="仿宋"/>
                <w:szCs w:val="21"/>
              </w:rPr>
              <w:t>王素梅</w:t>
            </w:r>
          </w:p>
        </w:tc>
        <w:tc>
          <w:tcPr>
            <w:tcW w:w="703" w:type="dxa"/>
            <w:noWrap w:val="0"/>
            <w:vAlign w:val="center"/>
          </w:tcPr>
          <w:p w14:paraId="6E8977E5">
            <w:pPr>
              <w:jc w:val="center"/>
              <w:rPr>
                <w:rFonts w:hint="eastAsia" w:ascii="仿宋" w:hAnsi="仿宋" w:eastAsia="仿宋"/>
                <w:szCs w:val="21"/>
              </w:rPr>
            </w:pPr>
            <w:r>
              <w:rPr>
                <w:rFonts w:hint="eastAsia" w:ascii="仿宋" w:hAnsi="仿宋" w:eastAsia="仿宋"/>
                <w:szCs w:val="21"/>
              </w:rPr>
              <w:t>学士</w:t>
            </w:r>
          </w:p>
        </w:tc>
        <w:tc>
          <w:tcPr>
            <w:tcW w:w="1354" w:type="dxa"/>
            <w:noWrap w:val="0"/>
            <w:vAlign w:val="center"/>
          </w:tcPr>
          <w:p w14:paraId="40A21357">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73B5393E">
            <w:pPr>
              <w:jc w:val="center"/>
              <w:rPr>
                <w:rFonts w:hint="eastAsia" w:ascii="仿宋" w:hAnsi="仿宋" w:eastAsia="仿宋"/>
              </w:rPr>
            </w:pPr>
            <w:r>
              <w:rPr>
                <w:rFonts w:hint="eastAsia" w:ascii="仿宋" w:hAnsi="仿宋" w:eastAsia="仿宋"/>
                <w:szCs w:val="21"/>
              </w:rPr>
              <w:t>北京中医药大学东方医院</w:t>
            </w:r>
          </w:p>
        </w:tc>
        <w:tc>
          <w:tcPr>
            <w:tcW w:w="3260" w:type="dxa"/>
            <w:noWrap w:val="0"/>
            <w:vAlign w:val="center"/>
          </w:tcPr>
          <w:p w14:paraId="574BB1A5">
            <w:pPr>
              <w:jc w:val="center"/>
              <w:rPr>
                <w:rFonts w:hint="eastAsia" w:ascii="仿宋" w:hAnsi="仿宋" w:eastAsia="仿宋"/>
                <w:szCs w:val="21"/>
              </w:rPr>
            </w:pPr>
            <w:r>
              <w:rPr>
                <w:rFonts w:hint="eastAsia" w:ascii="仿宋" w:hAnsi="仿宋" w:eastAsia="仿宋"/>
                <w:szCs w:val="21"/>
              </w:rPr>
              <w:t>指导标准制订，参加专家论证会。</w:t>
            </w:r>
          </w:p>
        </w:tc>
      </w:tr>
      <w:tr w14:paraId="5B606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49248784">
            <w:pPr>
              <w:jc w:val="center"/>
              <w:rPr>
                <w:rFonts w:hint="eastAsia" w:ascii="仿宋" w:hAnsi="仿宋" w:eastAsia="仿宋"/>
                <w:szCs w:val="21"/>
              </w:rPr>
            </w:pPr>
            <w:r>
              <w:rPr>
                <w:rFonts w:hint="eastAsia" w:ascii="仿宋" w:hAnsi="仿宋" w:eastAsia="仿宋"/>
                <w:szCs w:val="21"/>
              </w:rPr>
              <w:t>史正刚</w:t>
            </w:r>
          </w:p>
        </w:tc>
        <w:tc>
          <w:tcPr>
            <w:tcW w:w="703" w:type="dxa"/>
            <w:noWrap w:val="0"/>
            <w:vAlign w:val="center"/>
          </w:tcPr>
          <w:p w14:paraId="29394360">
            <w:pPr>
              <w:jc w:val="center"/>
              <w:rPr>
                <w:rFonts w:hint="eastAsia" w:ascii="仿宋" w:hAnsi="仿宋" w:eastAsia="仿宋"/>
                <w:szCs w:val="21"/>
              </w:rPr>
            </w:pPr>
            <w:r>
              <w:rPr>
                <w:rFonts w:hint="eastAsia" w:ascii="仿宋" w:hAnsi="仿宋" w:eastAsia="仿宋"/>
                <w:szCs w:val="21"/>
              </w:rPr>
              <w:t>博士</w:t>
            </w:r>
          </w:p>
        </w:tc>
        <w:tc>
          <w:tcPr>
            <w:tcW w:w="1354" w:type="dxa"/>
            <w:noWrap w:val="0"/>
            <w:vAlign w:val="center"/>
          </w:tcPr>
          <w:p w14:paraId="06116EB9">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475147E2">
            <w:pPr>
              <w:jc w:val="center"/>
              <w:rPr>
                <w:rFonts w:hint="eastAsia" w:ascii="仿宋" w:hAnsi="仿宋" w:eastAsia="仿宋"/>
              </w:rPr>
            </w:pPr>
            <w:r>
              <w:rPr>
                <w:rFonts w:hint="eastAsia" w:ascii="仿宋" w:hAnsi="仿宋" w:eastAsia="仿宋"/>
              </w:rPr>
              <w:t>甘肃中医药大学</w:t>
            </w:r>
          </w:p>
        </w:tc>
        <w:tc>
          <w:tcPr>
            <w:tcW w:w="3260" w:type="dxa"/>
            <w:noWrap w:val="0"/>
            <w:vAlign w:val="center"/>
          </w:tcPr>
          <w:p w14:paraId="3544314C">
            <w:pPr>
              <w:jc w:val="center"/>
              <w:rPr>
                <w:rFonts w:hint="eastAsia" w:ascii="仿宋" w:hAnsi="仿宋" w:eastAsia="仿宋"/>
                <w:szCs w:val="21"/>
              </w:rPr>
            </w:pPr>
            <w:r>
              <w:rPr>
                <w:rFonts w:hint="eastAsia" w:ascii="仿宋" w:hAnsi="仿宋" w:eastAsia="仿宋"/>
                <w:szCs w:val="21"/>
              </w:rPr>
              <w:t>指导标准制订，参加专家论证会。</w:t>
            </w:r>
          </w:p>
        </w:tc>
      </w:tr>
      <w:tr w14:paraId="30B7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118B2778">
            <w:pPr>
              <w:jc w:val="center"/>
              <w:rPr>
                <w:rFonts w:hint="eastAsia" w:ascii="仿宋" w:hAnsi="仿宋" w:eastAsia="仿宋"/>
                <w:szCs w:val="21"/>
              </w:rPr>
            </w:pPr>
            <w:r>
              <w:rPr>
                <w:rFonts w:hint="eastAsia" w:ascii="仿宋" w:hAnsi="仿宋" w:eastAsia="仿宋"/>
                <w:szCs w:val="21"/>
              </w:rPr>
              <w:t>刘建忠</w:t>
            </w:r>
          </w:p>
        </w:tc>
        <w:tc>
          <w:tcPr>
            <w:tcW w:w="703" w:type="dxa"/>
            <w:noWrap w:val="0"/>
            <w:vAlign w:val="center"/>
          </w:tcPr>
          <w:p w14:paraId="3C6D82F1">
            <w:pPr>
              <w:jc w:val="center"/>
              <w:rPr>
                <w:rFonts w:hint="eastAsia" w:ascii="仿宋" w:hAnsi="仿宋" w:eastAsia="仿宋"/>
                <w:szCs w:val="21"/>
              </w:rPr>
            </w:pPr>
            <w:r>
              <w:rPr>
                <w:rFonts w:hint="eastAsia" w:ascii="仿宋" w:hAnsi="仿宋" w:eastAsia="仿宋"/>
                <w:szCs w:val="21"/>
              </w:rPr>
              <w:t>博士</w:t>
            </w:r>
          </w:p>
        </w:tc>
        <w:tc>
          <w:tcPr>
            <w:tcW w:w="1354" w:type="dxa"/>
            <w:noWrap w:val="0"/>
            <w:vAlign w:val="center"/>
          </w:tcPr>
          <w:p w14:paraId="1BC7A9A8">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4DC91B4F">
            <w:pPr>
              <w:jc w:val="center"/>
              <w:rPr>
                <w:rFonts w:hint="eastAsia" w:ascii="仿宋" w:hAnsi="仿宋" w:eastAsia="仿宋"/>
              </w:rPr>
            </w:pPr>
            <w:r>
              <w:rPr>
                <w:rFonts w:hint="eastAsia" w:ascii="仿宋" w:hAnsi="仿宋" w:eastAsia="仿宋"/>
              </w:rPr>
              <w:t>湖北中医药大学</w:t>
            </w:r>
          </w:p>
        </w:tc>
        <w:tc>
          <w:tcPr>
            <w:tcW w:w="3260" w:type="dxa"/>
            <w:noWrap w:val="0"/>
            <w:vAlign w:val="center"/>
          </w:tcPr>
          <w:p w14:paraId="3CCA4238">
            <w:pPr>
              <w:jc w:val="center"/>
              <w:rPr>
                <w:rFonts w:hint="eastAsia" w:ascii="仿宋" w:hAnsi="仿宋" w:eastAsia="仿宋"/>
                <w:szCs w:val="21"/>
              </w:rPr>
            </w:pPr>
            <w:r>
              <w:rPr>
                <w:rFonts w:hint="eastAsia" w:ascii="仿宋" w:hAnsi="仿宋" w:eastAsia="仿宋"/>
                <w:szCs w:val="21"/>
              </w:rPr>
              <w:t>指导标准制订，参加专家论证会。</w:t>
            </w:r>
          </w:p>
        </w:tc>
      </w:tr>
      <w:tr w14:paraId="7924A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7EC3A81C">
            <w:pPr>
              <w:jc w:val="center"/>
              <w:rPr>
                <w:rFonts w:hint="eastAsia" w:ascii="仿宋" w:hAnsi="仿宋" w:eastAsia="仿宋"/>
                <w:szCs w:val="21"/>
              </w:rPr>
            </w:pPr>
            <w:r>
              <w:rPr>
                <w:rFonts w:hint="eastAsia" w:ascii="仿宋" w:hAnsi="仿宋" w:eastAsia="仿宋"/>
                <w:szCs w:val="21"/>
              </w:rPr>
              <w:t>张葆青</w:t>
            </w:r>
          </w:p>
        </w:tc>
        <w:tc>
          <w:tcPr>
            <w:tcW w:w="703" w:type="dxa"/>
            <w:noWrap w:val="0"/>
            <w:vAlign w:val="center"/>
          </w:tcPr>
          <w:p w14:paraId="64D73A79">
            <w:pPr>
              <w:jc w:val="center"/>
              <w:rPr>
                <w:rFonts w:hint="eastAsia" w:ascii="仿宋" w:hAnsi="仿宋" w:eastAsia="仿宋"/>
                <w:szCs w:val="21"/>
              </w:rPr>
            </w:pPr>
            <w:r>
              <w:rPr>
                <w:rFonts w:hint="eastAsia" w:ascii="仿宋" w:hAnsi="仿宋" w:eastAsia="仿宋"/>
                <w:szCs w:val="21"/>
              </w:rPr>
              <w:t>博士</w:t>
            </w:r>
          </w:p>
        </w:tc>
        <w:tc>
          <w:tcPr>
            <w:tcW w:w="1354" w:type="dxa"/>
            <w:noWrap w:val="0"/>
            <w:vAlign w:val="center"/>
          </w:tcPr>
          <w:p w14:paraId="5F4588F9">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2720C943">
            <w:pPr>
              <w:jc w:val="center"/>
              <w:rPr>
                <w:rFonts w:hint="eastAsia" w:ascii="仿宋" w:hAnsi="仿宋" w:eastAsia="仿宋"/>
              </w:rPr>
            </w:pPr>
            <w:r>
              <w:rPr>
                <w:rFonts w:hint="eastAsia" w:ascii="仿宋" w:hAnsi="仿宋" w:eastAsia="仿宋"/>
              </w:rPr>
              <w:t>山东中医药大学附属医院</w:t>
            </w:r>
          </w:p>
        </w:tc>
        <w:tc>
          <w:tcPr>
            <w:tcW w:w="3260" w:type="dxa"/>
            <w:noWrap w:val="0"/>
            <w:vAlign w:val="center"/>
          </w:tcPr>
          <w:p w14:paraId="6B0AADB5">
            <w:pPr>
              <w:jc w:val="center"/>
              <w:rPr>
                <w:rFonts w:hint="eastAsia" w:ascii="仿宋" w:hAnsi="仿宋" w:eastAsia="仿宋"/>
                <w:szCs w:val="21"/>
              </w:rPr>
            </w:pPr>
            <w:r>
              <w:rPr>
                <w:rFonts w:hint="eastAsia" w:ascii="仿宋" w:hAnsi="仿宋" w:eastAsia="仿宋"/>
                <w:szCs w:val="21"/>
              </w:rPr>
              <w:t>指导标准制订，参加专家论证会。</w:t>
            </w:r>
          </w:p>
        </w:tc>
      </w:tr>
      <w:tr w14:paraId="491C1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425832B3">
            <w:pPr>
              <w:jc w:val="center"/>
              <w:rPr>
                <w:rFonts w:hint="eastAsia" w:ascii="仿宋" w:hAnsi="仿宋" w:eastAsia="仿宋"/>
                <w:szCs w:val="21"/>
              </w:rPr>
            </w:pPr>
            <w:r>
              <w:rPr>
                <w:rFonts w:hint="eastAsia" w:ascii="仿宋" w:hAnsi="仿宋" w:eastAsia="仿宋"/>
                <w:szCs w:val="21"/>
              </w:rPr>
              <w:t>俞  建</w:t>
            </w:r>
          </w:p>
        </w:tc>
        <w:tc>
          <w:tcPr>
            <w:tcW w:w="703" w:type="dxa"/>
            <w:noWrap w:val="0"/>
            <w:vAlign w:val="center"/>
          </w:tcPr>
          <w:p w14:paraId="285EBB70">
            <w:pPr>
              <w:jc w:val="center"/>
              <w:rPr>
                <w:rFonts w:hint="eastAsia" w:ascii="仿宋" w:hAnsi="仿宋" w:eastAsia="仿宋"/>
                <w:szCs w:val="21"/>
              </w:rPr>
            </w:pPr>
            <w:r>
              <w:rPr>
                <w:rFonts w:hint="eastAsia" w:ascii="仿宋" w:hAnsi="仿宋" w:eastAsia="仿宋"/>
                <w:szCs w:val="21"/>
              </w:rPr>
              <w:t>博士</w:t>
            </w:r>
          </w:p>
        </w:tc>
        <w:tc>
          <w:tcPr>
            <w:tcW w:w="1354" w:type="dxa"/>
            <w:noWrap w:val="0"/>
            <w:vAlign w:val="center"/>
          </w:tcPr>
          <w:p w14:paraId="618E8603">
            <w:pPr>
              <w:jc w:val="center"/>
              <w:rPr>
                <w:rFonts w:hint="eastAsia" w:ascii="仿宋" w:hAnsi="仿宋" w:eastAsia="仿宋"/>
                <w:szCs w:val="21"/>
              </w:rPr>
            </w:pPr>
            <w:r>
              <w:rPr>
                <w:rFonts w:hint="eastAsia" w:ascii="仿宋" w:hAnsi="仿宋" w:eastAsia="仿宋"/>
                <w:kern w:val="0"/>
                <w:szCs w:val="21"/>
              </w:rPr>
              <w:t>教授、主任医师，硕导</w:t>
            </w:r>
          </w:p>
        </w:tc>
        <w:tc>
          <w:tcPr>
            <w:tcW w:w="2994" w:type="dxa"/>
            <w:noWrap w:val="0"/>
            <w:vAlign w:val="center"/>
          </w:tcPr>
          <w:p w14:paraId="427A7841">
            <w:pPr>
              <w:jc w:val="center"/>
              <w:rPr>
                <w:rFonts w:hint="eastAsia" w:ascii="仿宋" w:hAnsi="仿宋" w:eastAsia="仿宋"/>
              </w:rPr>
            </w:pPr>
            <w:r>
              <w:rPr>
                <w:rFonts w:hint="eastAsia" w:ascii="仿宋" w:hAnsi="仿宋" w:eastAsia="仿宋"/>
                <w:szCs w:val="21"/>
              </w:rPr>
              <w:t>复旦大学附属儿科医院</w:t>
            </w:r>
          </w:p>
        </w:tc>
        <w:tc>
          <w:tcPr>
            <w:tcW w:w="3260" w:type="dxa"/>
            <w:noWrap w:val="0"/>
            <w:vAlign w:val="center"/>
          </w:tcPr>
          <w:p w14:paraId="40607037">
            <w:pPr>
              <w:jc w:val="center"/>
              <w:rPr>
                <w:rFonts w:hint="eastAsia" w:ascii="仿宋" w:hAnsi="仿宋" w:eastAsia="仿宋"/>
                <w:szCs w:val="21"/>
              </w:rPr>
            </w:pPr>
            <w:r>
              <w:rPr>
                <w:rFonts w:hint="eastAsia" w:ascii="仿宋" w:hAnsi="仿宋" w:eastAsia="仿宋"/>
                <w:szCs w:val="21"/>
              </w:rPr>
              <w:t>指导标准制订，参加专家论证会。</w:t>
            </w:r>
          </w:p>
        </w:tc>
      </w:tr>
      <w:tr w14:paraId="25FD7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1B889AF4">
            <w:pPr>
              <w:jc w:val="center"/>
              <w:rPr>
                <w:rFonts w:hint="eastAsia" w:ascii="仿宋" w:hAnsi="仿宋" w:eastAsia="仿宋"/>
                <w:szCs w:val="21"/>
              </w:rPr>
            </w:pPr>
            <w:r>
              <w:rPr>
                <w:rFonts w:hint="eastAsia" w:ascii="仿宋" w:hAnsi="仿宋" w:eastAsia="仿宋"/>
                <w:szCs w:val="21"/>
              </w:rPr>
              <w:t>虞坚尔</w:t>
            </w:r>
          </w:p>
        </w:tc>
        <w:tc>
          <w:tcPr>
            <w:tcW w:w="703" w:type="dxa"/>
            <w:noWrap w:val="0"/>
            <w:vAlign w:val="center"/>
          </w:tcPr>
          <w:p w14:paraId="471C6E98">
            <w:pPr>
              <w:jc w:val="center"/>
              <w:rPr>
                <w:rFonts w:hint="eastAsia" w:ascii="仿宋" w:hAnsi="仿宋" w:eastAsia="仿宋"/>
                <w:szCs w:val="21"/>
              </w:rPr>
            </w:pPr>
            <w:r>
              <w:rPr>
                <w:rFonts w:hint="eastAsia" w:ascii="仿宋" w:hAnsi="仿宋" w:eastAsia="仿宋"/>
                <w:szCs w:val="21"/>
              </w:rPr>
              <w:t>硕士</w:t>
            </w:r>
          </w:p>
        </w:tc>
        <w:tc>
          <w:tcPr>
            <w:tcW w:w="1354" w:type="dxa"/>
            <w:noWrap w:val="0"/>
            <w:vAlign w:val="center"/>
          </w:tcPr>
          <w:p w14:paraId="79C17610">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3681F57D">
            <w:pPr>
              <w:jc w:val="center"/>
              <w:rPr>
                <w:rFonts w:hint="eastAsia" w:ascii="仿宋" w:hAnsi="仿宋" w:eastAsia="仿宋"/>
              </w:rPr>
            </w:pPr>
            <w:r>
              <w:rPr>
                <w:rFonts w:hint="eastAsia" w:ascii="仿宋" w:hAnsi="仿宋" w:eastAsia="仿宋"/>
              </w:rPr>
              <w:t>上海市中医医院</w:t>
            </w:r>
          </w:p>
        </w:tc>
        <w:tc>
          <w:tcPr>
            <w:tcW w:w="3260" w:type="dxa"/>
            <w:noWrap w:val="0"/>
            <w:vAlign w:val="center"/>
          </w:tcPr>
          <w:p w14:paraId="30C0630A">
            <w:pPr>
              <w:jc w:val="center"/>
              <w:rPr>
                <w:rFonts w:hint="eastAsia" w:ascii="仿宋" w:hAnsi="仿宋" w:eastAsia="仿宋"/>
                <w:szCs w:val="21"/>
              </w:rPr>
            </w:pPr>
            <w:r>
              <w:rPr>
                <w:rFonts w:hint="eastAsia" w:ascii="仿宋" w:hAnsi="仿宋" w:eastAsia="仿宋"/>
                <w:szCs w:val="21"/>
              </w:rPr>
              <w:t>指导标准制订，参加专家论证会。</w:t>
            </w:r>
          </w:p>
        </w:tc>
      </w:tr>
      <w:tr w14:paraId="7FB2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0EBA6169">
            <w:pPr>
              <w:jc w:val="center"/>
              <w:rPr>
                <w:rFonts w:hint="eastAsia" w:ascii="仿宋" w:hAnsi="仿宋" w:eastAsia="仿宋"/>
                <w:szCs w:val="21"/>
              </w:rPr>
            </w:pPr>
            <w:r>
              <w:rPr>
                <w:rFonts w:hint="eastAsia" w:ascii="仿宋" w:hAnsi="仿宋" w:eastAsia="仿宋"/>
                <w:szCs w:val="21"/>
              </w:rPr>
              <w:t>熊  磊</w:t>
            </w:r>
          </w:p>
        </w:tc>
        <w:tc>
          <w:tcPr>
            <w:tcW w:w="703" w:type="dxa"/>
            <w:noWrap w:val="0"/>
            <w:vAlign w:val="center"/>
          </w:tcPr>
          <w:p w14:paraId="1001FB8C">
            <w:pPr>
              <w:jc w:val="center"/>
              <w:rPr>
                <w:rFonts w:hint="eastAsia" w:ascii="仿宋" w:hAnsi="仿宋" w:eastAsia="仿宋"/>
                <w:szCs w:val="21"/>
              </w:rPr>
            </w:pPr>
            <w:r>
              <w:rPr>
                <w:rFonts w:hint="eastAsia" w:ascii="仿宋" w:hAnsi="仿宋" w:eastAsia="仿宋"/>
                <w:szCs w:val="21"/>
              </w:rPr>
              <w:t>硕士</w:t>
            </w:r>
          </w:p>
        </w:tc>
        <w:tc>
          <w:tcPr>
            <w:tcW w:w="1354" w:type="dxa"/>
            <w:noWrap w:val="0"/>
            <w:vAlign w:val="center"/>
          </w:tcPr>
          <w:p w14:paraId="756F2A18">
            <w:pPr>
              <w:jc w:val="center"/>
              <w:rPr>
                <w:rFonts w:hint="eastAsia" w:ascii="仿宋" w:hAnsi="仿宋" w:eastAsia="仿宋"/>
                <w:szCs w:val="21"/>
              </w:rPr>
            </w:pPr>
            <w:r>
              <w:rPr>
                <w:rFonts w:hint="eastAsia" w:ascii="仿宋" w:hAnsi="仿宋" w:eastAsia="仿宋"/>
                <w:kern w:val="0"/>
                <w:szCs w:val="21"/>
              </w:rPr>
              <w:t>教授，博导</w:t>
            </w:r>
          </w:p>
        </w:tc>
        <w:tc>
          <w:tcPr>
            <w:tcW w:w="2994" w:type="dxa"/>
            <w:noWrap w:val="0"/>
            <w:vAlign w:val="center"/>
          </w:tcPr>
          <w:p w14:paraId="6B5672F4">
            <w:pPr>
              <w:jc w:val="center"/>
              <w:rPr>
                <w:rFonts w:hint="eastAsia" w:ascii="仿宋" w:hAnsi="仿宋" w:eastAsia="仿宋"/>
              </w:rPr>
            </w:pPr>
            <w:r>
              <w:rPr>
                <w:rFonts w:hint="eastAsia" w:ascii="仿宋" w:hAnsi="仿宋" w:eastAsia="仿宋"/>
              </w:rPr>
              <w:t>云南中医药大学第一附属医院</w:t>
            </w:r>
          </w:p>
        </w:tc>
        <w:tc>
          <w:tcPr>
            <w:tcW w:w="3260" w:type="dxa"/>
            <w:noWrap w:val="0"/>
            <w:vAlign w:val="center"/>
          </w:tcPr>
          <w:p w14:paraId="2EA5CCD7">
            <w:pPr>
              <w:jc w:val="center"/>
              <w:rPr>
                <w:rFonts w:hint="eastAsia" w:ascii="仿宋" w:hAnsi="仿宋" w:eastAsia="仿宋"/>
                <w:szCs w:val="21"/>
              </w:rPr>
            </w:pPr>
            <w:r>
              <w:rPr>
                <w:rFonts w:hint="eastAsia" w:ascii="仿宋" w:hAnsi="仿宋" w:eastAsia="仿宋"/>
                <w:szCs w:val="21"/>
              </w:rPr>
              <w:t>指导标准制订，参加专家论证会。</w:t>
            </w:r>
          </w:p>
        </w:tc>
      </w:tr>
      <w:tr w14:paraId="17D76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7734B362">
            <w:pPr>
              <w:jc w:val="center"/>
              <w:rPr>
                <w:rFonts w:hint="eastAsia" w:ascii="仿宋" w:hAnsi="仿宋" w:eastAsia="仿宋"/>
                <w:szCs w:val="21"/>
              </w:rPr>
            </w:pPr>
            <w:r>
              <w:rPr>
                <w:rFonts w:hint="eastAsia" w:ascii="仿宋" w:hAnsi="仿宋" w:eastAsia="仿宋"/>
                <w:szCs w:val="21"/>
              </w:rPr>
              <w:t>戴启刚</w:t>
            </w:r>
          </w:p>
        </w:tc>
        <w:tc>
          <w:tcPr>
            <w:tcW w:w="703" w:type="dxa"/>
            <w:noWrap w:val="0"/>
            <w:vAlign w:val="center"/>
          </w:tcPr>
          <w:p w14:paraId="49729228">
            <w:pPr>
              <w:jc w:val="center"/>
              <w:rPr>
                <w:rFonts w:hint="eastAsia" w:ascii="仿宋" w:hAnsi="仿宋" w:eastAsia="仿宋"/>
                <w:szCs w:val="21"/>
              </w:rPr>
            </w:pPr>
            <w:r>
              <w:rPr>
                <w:rFonts w:hint="eastAsia" w:ascii="仿宋" w:hAnsi="仿宋" w:eastAsia="仿宋"/>
              </w:rPr>
              <w:t>博士</w:t>
            </w:r>
          </w:p>
        </w:tc>
        <w:tc>
          <w:tcPr>
            <w:tcW w:w="1354" w:type="dxa"/>
            <w:noWrap w:val="0"/>
            <w:vAlign w:val="center"/>
          </w:tcPr>
          <w:p w14:paraId="4C194EAC">
            <w:pPr>
              <w:jc w:val="center"/>
              <w:rPr>
                <w:rFonts w:hint="eastAsia" w:ascii="仿宋" w:hAnsi="仿宋" w:eastAsia="仿宋"/>
                <w:szCs w:val="21"/>
              </w:rPr>
            </w:pPr>
            <w:r>
              <w:rPr>
                <w:rFonts w:hint="eastAsia" w:ascii="仿宋" w:hAnsi="仿宋" w:eastAsia="仿宋"/>
                <w:szCs w:val="21"/>
              </w:rPr>
              <w:t>主任医师，硕导</w:t>
            </w:r>
          </w:p>
        </w:tc>
        <w:tc>
          <w:tcPr>
            <w:tcW w:w="2994" w:type="dxa"/>
            <w:noWrap w:val="0"/>
            <w:vAlign w:val="center"/>
          </w:tcPr>
          <w:p w14:paraId="77A2315B">
            <w:pPr>
              <w:jc w:val="center"/>
              <w:rPr>
                <w:rFonts w:hint="default" w:ascii="仿宋" w:hAnsi="仿宋" w:eastAsia="仿宋"/>
                <w:lang w:val="en-US" w:eastAsia="zh-CN"/>
              </w:rPr>
            </w:pPr>
            <w:r>
              <w:rPr>
                <w:rFonts w:hint="eastAsia" w:ascii="仿宋" w:hAnsi="仿宋" w:eastAsia="仿宋"/>
                <w:szCs w:val="21"/>
              </w:rPr>
              <w:t>南京中医药大学</w:t>
            </w:r>
            <w:r>
              <w:rPr>
                <w:rFonts w:hint="eastAsia" w:ascii="仿宋" w:hAnsi="仿宋" w:eastAsia="仿宋"/>
                <w:szCs w:val="21"/>
                <w:lang w:val="en-US" w:eastAsia="zh-CN"/>
              </w:rPr>
              <w:t>附属医院</w:t>
            </w:r>
          </w:p>
        </w:tc>
        <w:tc>
          <w:tcPr>
            <w:tcW w:w="3260" w:type="dxa"/>
            <w:noWrap w:val="0"/>
            <w:vAlign w:val="center"/>
          </w:tcPr>
          <w:p w14:paraId="652CF39C">
            <w:pPr>
              <w:jc w:val="center"/>
              <w:rPr>
                <w:rFonts w:hint="eastAsia" w:ascii="仿宋" w:hAnsi="仿宋" w:eastAsia="仿宋"/>
                <w:szCs w:val="21"/>
              </w:rPr>
            </w:pPr>
            <w:r>
              <w:rPr>
                <w:rFonts w:hint="eastAsia" w:ascii="仿宋" w:hAnsi="仿宋" w:eastAsia="仿宋"/>
                <w:szCs w:val="21"/>
              </w:rPr>
              <w:t>指导标准制订，参加专家论证会。</w:t>
            </w:r>
          </w:p>
        </w:tc>
      </w:tr>
    </w:tbl>
    <w:p w14:paraId="34683F32">
      <w:pPr>
        <w:spacing w:line="400" w:lineRule="exact"/>
        <w:rPr>
          <w:rFonts w:ascii="仿宋" w:hAnsi="仿宋" w:eastAsia="仿宋"/>
          <w:sz w:val="24"/>
          <w:szCs w:val="24"/>
        </w:rPr>
      </w:pPr>
      <w:r>
        <w:rPr>
          <w:rFonts w:hint="eastAsia" w:ascii="仿宋" w:hAnsi="仿宋" w:eastAsia="仿宋"/>
          <w:b/>
          <w:sz w:val="24"/>
          <w:szCs w:val="24"/>
        </w:rPr>
        <w:t>（四）主要工作过程</w:t>
      </w:r>
    </w:p>
    <w:p w14:paraId="5778AF68">
      <w:pPr>
        <w:spacing w:line="400" w:lineRule="exact"/>
        <w:ind w:firstLine="470" w:firstLineChars="196"/>
        <w:rPr>
          <w:rFonts w:ascii="仿宋" w:hAnsi="仿宋" w:eastAsia="仿宋"/>
          <w:sz w:val="24"/>
          <w:szCs w:val="24"/>
        </w:rPr>
      </w:pPr>
      <w:r>
        <w:rPr>
          <w:rFonts w:hint="eastAsia" w:ascii="仿宋" w:hAnsi="仿宋" w:eastAsia="仿宋"/>
          <w:sz w:val="24"/>
          <w:szCs w:val="24"/>
        </w:rPr>
        <w:t>本标准编制过程严格遵循世界中联SCM 1.1-2021《标准化工作导则  第1部分：标准制修订与发布》的要求，确保转化工作的科学性、规范性和国际适配性。本标准的编制过程历经以下阶段：</w:t>
      </w:r>
    </w:p>
    <w:p w14:paraId="43C16B55">
      <w:pPr>
        <w:spacing w:line="400" w:lineRule="exact"/>
        <w:ind w:firstLine="470" w:firstLineChars="196"/>
        <w:rPr>
          <w:rFonts w:ascii="仿宋" w:hAnsi="仿宋" w:eastAsia="仿宋"/>
          <w:sz w:val="24"/>
          <w:szCs w:val="24"/>
        </w:rPr>
      </w:pPr>
      <w:r>
        <w:rPr>
          <w:rFonts w:hint="eastAsia" w:ascii="仿宋" w:hAnsi="仿宋" w:eastAsia="仿宋"/>
          <w:sz w:val="24"/>
          <w:szCs w:val="24"/>
        </w:rPr>
        <w:t>准备阶段（2025年4月-9月）：2025年4月，项目组组建，由汪受传教授担任负责人。按世界中联要求撰写立项申报书及草案，5月上报立项申报书和修改草案。世界中联接收立项书和草案，邀请专家评议，8月专家意见返回，项目组讨论回复，对不接受的意见说明理由。9月世界中联发布本项目立项通知。正式转化工作从9月下旬开始，按照世界中联标准制修订要求开展。</w:t>
      </w:r>
    </w:p>
    <w:p w14:paraId="566FB75B">
      <w:pPr>
        <w:spacing w:line="400" w:lineRule="exact"/>
        <w:ind w:firstLine="470" w:firstLineChars="196"/>
        <w:rPr>
          <w:rFonts w:ascii="仿宋" w:hAnsi="仿宋" w:eastAsia="仿宋"/>
          <w:sz w:val="24"/>
          <w:szCs w:val="24"/>
        </w:rPr>
      </w:pPr>
      <w:r>
        <w:rPr>
          <w:rFonts w:hint="eastAsia" w:ascii="仿宋" w:hAnsi="仿宋" w:eastAsia="仿宋"/>
          <w:sz w:val="24"/>
          <w:szCs w:val="24"/>
        </w:rPr>
        <w:t>文献研究（2025年9月-10月）：系统检索</w:t>
      </w:r>
      <w:r>
        <w:rPr>
          <w:rFonts w:hint="eastAsia" w:ascii="仿宋" w:hAnsi="仿宋" w:eastAsia="仿宋"/>
          <w:sz w:val="24"/>
          <w:szCs w:val="24"/>
          <w:lang w:eastAsia="zh-CN"/>
        </w:rPr>
        <w:t>海内外</w:t>
      </w:r>
      <w:r>
        <w:rPr>
          <w:rFonts w:hint="eastAsia" w:ascii="仿宋" w:hAnsi="仿宋" w:eastAsia="仿宋"/>
          <w:sz w:val="24"/>
          <w:szCs w:val="24"/>
        </w:rPr>
        <w:t>相关标准、指南及研究文献。检索范围包括WHO、ISO/TC249发布的国际标准，《中华人民共和国药典 2025版》，世界中医药学会联合会、中华中医药学会等发布的团体标准，以及PubMed、知网等数据库中的儿科给药相关研究，检索关键词包括Acupuncture、Moxibustion、Three-edged needle、Bloodletting Therapy、Acupoint、Meridian、Pediatric、Child、Infant、Newborn、Adolescent等，并结合中医术语如针刺、针灸、针法、艾灸、灸法、三棱针等。检索结果经初筛、复筛后纳入关键证据，支持标准条文的优化与对标，为专家问卷调查提供了证据基础。</w:t>
      </w:r>
    </w:p>
    <w:p w14:paraId="18B87182">
      <w:pPr>
        <w:spacing w:line="400" w:lineRule="exact"/>
        <w:ind w:firstLine="470" w:firstLineChars="196"/>
        <w:rPr>
          <w:rFonts w:ascii="仿宋" w:hAnsi="仿宋" w:eastAsia="仿宋"/>
          <w:sz w:val="24"/>
          <w:szCs w:val="24"/>
        </w:rPr>
      </w:pPr>
      <w:r>
        <w:rPr>
          <w:rFonts w:hint="eastAsia" w:ascii="仿宋" w:hAnsi="仿宋" w:eastAsia="仿宋"/>
          <w:sz w:val="24"/>
          <w:szCs w:val="24"/>
        </w:rPr>
        <w:t>专家问卷调查（2025年10月-11月）：开展专家问卷调查。在原国家标准基础上，结合文献检索证据，针对与原标准差异较大的条目（如术语定义、操作步骤、禁忌症等），编制专家调查问卷，涵盖术语定义、操作步骤、注意事项、禁忌等54个核心条目。向34位海内外专家发放问卷，涵盖中国内地、中国澳门、中国台湾、新加坡、马来西亚、澳大利亚、越南、加拿大等多个国家与地区，回收答卷34份，专家积极系数达100%。经统计分析，50项内容获超过50%专家支持形成共识，4项存在争议条目及5个开放性问题提交专家论证会重点讨论。</w:t>
      </w:r>
    </w:p>
    <w:p w14:paraId="18D02BE1">
      <w:pPr>
        <w:spacing w:line="400" w:lineRule="exact"/>
        <w:ind w:firstLine="470" w:firstLineChars="196"/>
        <w:rPr>
          <w:rFonts w:ascii="仿宋" w:hAnsi="仿宋" w:eastAsia="仿宋"/>
          <w:sz w:val="24"/>
          <w:szCs w:val="24"/>
        </w:rPr>
      </w:pPr>
      <w:r>
        <w:rPr>
          <w:rFonts w:hint="eastAsia" w:ascii="仿宋" w:hAnsi="仿宋" w:eastAsia="仿宋"/>
          <w:sz w:val="24"/>
          <w:szCs w:val="24"/>
        </w:rPr>
        <w:t>专家论证会（2025年12月3日）：召开线上与线下结合的专家论证会，汇报本项目开展以来的工作情况，重点将专家调查答卷中未达成一致的条目汇总进行讨论。会议采取“会前函审+会中论证+会后书面确认”模式，提前将提请专家讨论的问题发送给专家，包括争议条目以及项目组的初步意见，对争议条目逐项评分并充分研讨，形成一致修改意见。同时论证了开放性问题，包括地方法规限制说明、特殊人群保护、术语国际化等关键问题。</w:t>
      </w:r>
    </w:p>
    <w:p w14:paraId="455ED0C3">
      <w:pPr>
        <w:spacing w:line="400" w:lineRule="exact"/>
        <w:ind w:firstLine="470" w:firstLineChars="196"/>
        <w:rPr>
          <w:rFonts w:ascii="仿宋" w:hAnsi="仿宋" w:eastAsia="仿宋"/>
          <w:sz w:val="24"/>
          <w:szCs w:val="24"/>
        </w:rPr>
      </w:pPr>
      <w:r>
        <w:rPr>
          <w:rFonts w:hint="eastAsia" w:ascii="仿宋" w:hAnsi="仿宋" w:eastAsia="仿宋"/>
          <w:sz w:val="24"/>
          <w:szCs w:val="24"/>
        </w:rPr>
        <w:t>五项目组集体研讨协调会（2025年12月13日）：小儿针灸疗法方法、小儿常用外治法、小儿针灸疗法、小儿推拿疗法、小儿拔罐疗法五项目组主要成员共同参加会议，总结前期工作，汇总问卷专家、论证专家的意见，统一规范标准中共性的内容，讨论确定若干争议条目，议定下一步项目研究总结、需向世界中联国际标准部提交的材料及时间节点。</w:t>
      </w:r>
    </w:p>
    <w:p w14:paraId="7663C455">
      <w:pPr>
        <w:spacing w:line="400" w:lineRule="exact"/>
        <w:ind w:firstLine="470" w:firstLineChars="196"/>
        <w:rPr>
          <w:rFonts w:ascii="仿宋" w:hAnsi="仿宋" w:eastAsia="仿宋"/>
          <w:sz w:val="24"/>
          <w:szCs w:val="24"/>
        </w:rPr>
      </w:pPr>
      <w:r>
        <w:rPr>
          <w:rFonts w:hint="eastAsia" w:ascii="仿宋" w:hAnsi="仿宋" w:eastAsia="仿宋"/>
          <w:sz w:val="24"/>
          <w:szCs w:val="24"/>
        </w:rPr>
        <w:t>标准修订与完善（2025年12月13日-22日）：项目组根据文献检索、专家问卷、专家论证会、专家指导组、项目组会议等意见，对草案逐条修订，形成修改对照表。</w:t>
      </w:r>
    </w:p>
    <w:p w14:paraId="45CCC2F4">
      <w:pPr>
        <w:spacing w:line="400" w:lineRule="exact"/>
        <w:ind w:firstLine="470" w:firstLineChars="196"/>
        <w:rPr>
          <w:rFonts w:ascii="仿宋" w:hAnsi="仿宋" w:eastAsia="仿宋"/>
          <w:sz w:val="24"/>
          <w:szCs w:val="24"/>
        </w:rPr>
      </w:pPr>
      <w:r>
        <w:rPr>
          <w:rFonts w:hint="eastAsia" w:ascii="仿宋" w:hAnsi="仿宋" w:eastAsia="仿宋"/>
          <w:sz w:val="24"/>
          <w:szCs w:val="24"/>
        </w:rPr>
        <w:t>编制说明撰写与上报（2025年12月22日-</w:t>
      </w:r>
      <w:r>
        <w:rPr>
          <w:rFonts w:hint="eastAsia" w:ascii="仿宋" w:hAnsi="仿宋" w:eastAsia="仿宋"/>
          <w:sz w:val="24"/>
          <w:szCs w:val="24"/>
          <w:lang w:val="en-US" w:eastAsia="zh-CN"/>
        </w:rPr>
        <w:t>31</w:t>
      </w:r>
      <w:r>
        <w:rPr>
          <w:rFonts w:hint="eastAsia" w:ascii="仿宋" w:hAnsi="仿宋" w:eastAsia="仿宋"/>
          <w:sz w:val="24"/>
          <w:szCs w:val="24"/>
        </w:rPr>
        <w:t>日）：完成《国际中医技术操作规范 儿科 第3部分：小儿针灸疗法》草案及编制说明，提交世界中联国际标准部审查。</w:t>
      </w:r>
    </w:p>
    <w:p w14:paraId="6CF77966">
      <w:pPr>
        <w:spacing w:line="400" w:lineRule="exact"/>
        <w:ind w:firstLine="470" w:firstLineChars="196"/>
        <w:rPr>
          <w:rFonts w:ascii="仿宋" w:hAnsi="仿宋" w:eastAsia="仿宋"/>
          <w:sz w:val="24"/>
          <w:szCs w:val="24"/>
        </w:rPr>
      </w:pPr>
      <w:r>
        <w:rPr>
          <w:rFonts w:hint="eastAsia" w:ascii="仿宋" w:hAnsi="仿宋" w:eastAsia="仿宋"/>
          <w:sz w:val="24"/>
          <w:szCs w:val="24"/>
        </w:rPr>
        <w:t>本次标准修订的编制过程如下图所示：</w:t>
      </w:r>
    </w:p>
    <w:p w14:paraId="641BE4A0">
      <w:pPr>
        <w:spacing w:before="312" w:beforeLines="100" w:line="400" w:lineRule="exact"/>
        <w:rPr>
          <w:rFonts w:ascii="仿宋" w:hAnsi="仿宋" w:eastAsia="仿宋"/>
          <w:sz w:val="24"/>
          <w:szCs w:val="24"/>
        </w:rPr>
      </w:pPr>
      <w:r>
        <w:rPr>
          <w:rFonts w:ascii="Times New Roman" w:hAnsi="Times New Roman"/>
          <w:b/>
          <w:sz w:val="24"/>
          <w:szCs w:val="24"/>
        </w:rPr>
        <w:br w:type="page"/>
      </w:r>
      <w:r>
        <mc:AlternateContent>
          <mc:Choice Requires="wpg">
            <w:drawing>
              <wp:anchor distT="0" distB="0" distL="114300" distR="114300" simplePos="0" relativeHeight="251660288" behindDoc="0" locked="0" layoutInCell="1" allowOverlap="1">
                <wp:simplePos x="0" y="0"/>
                <wp:positionH relativeFrom="column">
                  <wp:posOffset>55245</wp:posOffset>
                </wp:positionH>
                <wp:positionV relativeFrom="paragraph">
                  <wp:posOffset>6350</wp:posOffset>
                </wp:positionV>
                <wp:extent cx="6186805" cy="6254750"/>
                <wp:effectExtent l="5080" t="5080" r="8890" b="7620"/>
                <wp:wrapSquare wrapText="bothSides"/>
                <wp:docPr id="1" name="组合 1"/>
                <wp:cNvGraphicFramePr/>
                <a:graphic xmlns:a="http://schemas.openxmlformats.org/drawingml/2006/main">
                  <a:graphicData uri="http://schemas.microsoft.com/office/word/2010/wordprocessingGroup">
                    <wpg:wgp>
                      <wpg:cNvGrpSpPr/>
                      <wpg:grpSpPr>
                        <a:xfrm>
                          <a:off x="0" y="0"/>
                          <a:ext cx="6186805" cy="6254750"/>
                          <a:chOff x="1138" y="1634"/>
                          <a:chExt cx="9743" cy="11214"/>
                        </a:xfrm>
                        <a:effectLst/>
                      </wpg:grpSpPr>
                      <wps:wsp>
                        <wps:cNvPr id="2065853655" name="文本框 35"/>
                        <wps:cNvSpPr txBox="1">
                          <a:spLocks noChangeArrowheads="1"/>
                        </wps:cNvSpPr>
                        <wps:spPr bwMode="auto">
                          <a:xfrm>
                            <a:off x="1138" y="12223"/>
                            <a:ext cx="3911" cy="625"/>
                          </a:xfrm>
                          <a:prstGeom prst="rect">
                            <a:avLst/>
                          </a:prstGeom>
                          <a:solidFill>
                            <a:srgbClr val="FFFFFF"/>
                          </a:solidFill>
                          <a:ln w="9525">
                            <a:solidFill>
                              <a:srgbClr val="000000"/>
                            </a:solidFill>
                            <a:miter lim="800000"/>
                          </a:ln>
                          <a:effectLst/>
                        </wps:spPr>
                        <wps:txbx>
                          <w:txbxContent>
                            <w:p w14:paraId="471F56C4">
                              <w:pPr>
                                <w:jc w:val="center"/>
                                <w:rPr>
                                  <w:rFonts w:ascii="仿宋" w:hAnsi="仿宋" w:eastAsia="仿宋"/>
                                </w:rPr>
                              </w:pPr>
                              <w:r>
                                <w:rPr>
                                  <w:rFonts w:hint="eastAsia" w:ascii="仿宋" w:hAnsi="仿宋" w:eastAsia="仿宋"/>
                                </w:rPr>
                                <w:t>形成国际组织标准定稿并发布实施</w:t>
                              </w:r>
                            </w:p>
                          </w:txbxContent>
                        </wps:txbx>
                        <wps:bodyPr rot="0" vert="horz" wrap="square" lIns="91440" tIns="45720" rIns="91440" bIns="45720" anchor="t" anchorCtr="0" upright="1">
                          <a:noAutofit/>
                        </wps:bodyPr>
                      </wps:wsp>
                      <wps:wsp>
                        <wps:cNvPr id="1765678853" name="直线 71"/>
                        <wps:cNvCnPr>
                          <a:cxnSpLocks noChangeShapeType="1"/>
                          <a:stCxn id="291503170" idx="2"/>
                        </wps:cNvCnPr>
                        <wps:spPr bwMode="auto">
                          <a:xfrm flipH="1">
                            <a:off x="3824" y="11497"/>
                            <a:ext cx="4505" cy="708"/>
                          </a:xfrm>
                          <a:prstGeom prst="line">
                            <a:avLst/>
                          </a:prstGeom>
                          <a:noFill/>
                          <a:ln w="9525">
                            <a:solidFill>
                              <a:srgbClr val="000000"/>
                            </a:solidFill>
                            <a:round/>
                            <a:tailEnd type="triangle" w="med" len="med"/>
                          </a:ln>
                          <a:effectLst/>
                        </wps:spPr>
                        <wps:bodyPr/>
                      </wps:wsp>
                      <wpg:grpSp>
                        <wpg:cNvPr id="585286906" name="组合 31"/>
                        <wpg:cNvGrpSpPr/>
                        <wpg:grpSpPr>
                          <a:xfrm>
                            <a:off x="1138" y="1634"/>
                            <a:ext cx="9743" cy="7427"/>
                            <a:chOff x="0" y="0"/>
                            <a:chExt cx="60248" cy="38021"/>
                          </a:xfrm>
                          <a:effectLst/>
                        </wpg:grpSpPr>
                        <wps:wsp>
                          <wps:cNvPr id="1069975778" name="Line 4"/>
                          <wps:cNvCnPr>
                            <a:cxnSpLocks noChangeShapeType="1"/>
                          </wps:cNvCnPr>
                          <wps:spPr bwMode="auto">
                            <a:xfrm>
                              <a:off x="12673" y="2647"/>
                              <a:ext cx="10" cy="1914"/>
                            </a:xfrm>
                            <a:prstGeom prst="line">
                              <a:avLst/>
                            </a:prstGeom>
                            <a:noFill/>
                            <a:ln w="9525">
                              <a:solidFill>
                                <a:srgbClr val="000000"/>
                              </a:solidFill>
                              <a:round/>
                              <a:tailEnd type="triangle" w="med" len="med"/>
                            </a:ln>
                            <a:effectLst/>
                          </wps:spPr>
                          <wps:bodyPr/>
                        </wps:wsp>
                        <wps:wsp>
                          <wps:cNvPr id="538172148" name="Text Box 5"/>
                          <wps:cNvSpPr txBox="1">
                            <a:spLocks noChangeArrowheads="1"/>
                          </wps:cNvSpPr>
                          <wps:spPr bwMode="auto">
                            <a:xfrm>
                              <a:off x="0" y="4762"/>
                              <a:ext cx="24191" cy="2895"/>
                            </a:xfrm>
                            <a:prstGeom prst="rect">
                              <a:avLst/>
                            </a:prstGeom>
                            <a:solidFill>
                              <a:srgbClr val="FFFFFF"/>
                            </a:solidFill>
                            <a:ln w="9525">
                              <a:solidFill>
                                <a:srgbClr val="000000"/>
                              </a:solidFill>
                              <a:miter lim="800000"/>
                            </a:ln>
                            <a:effectLst/>
                          </wps:spPr>
                          <wps:txbx>
                            <w:txbxContent>
                              <w:p w14:paraId="5CC7D5BC">
                                <w:pPr>
                                  <w:jc w:val="center"/>
                                  <w:rPr>
                                    <w:rFonts w:ascii="仿宋" w:hAnsi="仿宋" w:eastAsia="仿宋"/>
                                  </w:rPr>
                                </w:pPr>
                                <w:r>
                                  <w:rPr>
                                    <w:rFonts w:hint="eastAsia" w:ascii="仿宋" w:hAnsi="仿宋" w:eastAsia="仿宋"/>
                                  </w:rPr>
                                  <w:t>多源文献检索</w:t>
                                </w:r>
                              </w:p>
                            </w:txbxContent>
                          </wps:txbx>
                          <wps:bodyPr rot="0" vert="horz" wrap="square" lIns="91440" tIns="45720" rIns="91440" bIns="45720" anchor="ctr" anchorCtr="0" upright="1">
                            <a:noAutofit/>
                          </wps:bodyPr>
                        </wps:wsp>
                        <wps:wsp>
                          <wps:cNvPr id="612638181" name="Line 6"/>
                          <wps:cNvCnPr>
                            <a:cxnSpLocks noChangeShapeType="1"/>
                          </wps:cNvCnPr>
                          <wps:spPr bwMode="auto">
                            <a:xfrm>
                              <a:off x="24185" y="6143"/>
                              <a:ext cx="4755" cy="82"/>
                            </a:xfrm>
                            <a:prstGeom prst="line">
                              <a:avLst/>
                            </a:prstGeom>
                            <a:noFill/>
                            <a:ln w="9525">
                              <a:solidFill>
                                <a:srgbClr val="000000"/>
                              </a:solidFill>
                              <a:round/>
                              <a:tailEnd type="triangle" w="med" len="med"/>
                            </a:ln>
                            <a:effectLst/>
                          </wps:spPr>
                          <wps:bodyPr/>
                        </wps:wsp>
                        <wps:wsp>
                          <wps:cNvPr id="1751809201" name="Text Box 7"/>
                          <wps:cNvSpPr txBox="1">
                            <a:spLocks noChangeArrowheads="1"/>
                          </wps:cNvSpPr>
                          <wps:spPr bwMode="auto">
                            <a:xfrm>
                              <a:off x="29119" y="4762"/>
                              <a:ext cx="31064" cy="2870"/>
                            </a:xfrm>
                            <a:prstGeom prst="rect">
                              <a:avLst/>
                            </a:prstGeom>
                            <a:solidFill>
                              <a:srgbClr val="FFFFFF"/>
                            </a:solidFill>
                            <a:ln w="9525">
                              <a:solidFill>
                                <a:srgbClr val="000000"/>
                              </a:solidFill>
                              <a:miter lim="800000"/>
                            </a:ln>
                            <a:effectLst/>
                          </wps:spPr>
                          <wps:txbx>
                            <w:txbxContent>
                              <w:p w14:paraId="626ABBB4">
                                <w:pPr>
                                  <w:ind w:firstLine="105" w:firstLineChars="50"/>
                                  <w:jc w:val="center"/>
                                  <w:rPr>
                                    <w:rFonts w:ascii="仿宋" w:hAnsi="仿宋" w:eastAsia="仿宋"/>
                                  </w:rPr>
                                </w:pPr>
                                <w:r>
                                  <w:rPr>
                                    <w:rFonts w:hint="eastAsia" w:ascii="仿宋" w:hAnsi="仿宋" w:eastAsia="仿宋"/>
                                  </w:rPr>
                                  <w:t>国家标准及文献内容对比分析</w:t>
                                </w:r>
                              </w:p>
                            </w:txbxContent>
                          </wps:txbx>
                          <wps:bodyPr rot="0" vert="horz" wrap="square" lIns="91440" tIns="45720" rIns="91440" bIns="45720" anchor="ctr" anchorCtr="0" upright="1">
                            <a:noAutofit/>
                          </wps:bodyPr>
                        </wps:wsp>
                        <wps:wsp>
                          <wps:cNvPr id="1991092526" name="Text Box 8"/>
                          <wps:cNvSpPr txBox="1">
                            <a:spLocks noChangeArrowheads="1"/>
                          </wps:cNvSpPr>
                          <wps:spPr bwMode="auto">
                            <a:xfrm>
                              <a:off x="0" y="17145"/>
                              <a:ext cx="24265" cy="2857"/>
                            </a:xfrm>
                            <a:prstGeom prst="rect">
                              <a:avLst/>
                            </a:prstGeom>
                            <a:solidFill>
                              <a:srgbClr val="FFFFFF"/>
                            </a:solidFill>
                            <a:ln w="9525">
                              <a:solidFill>
                                <a:srgbClr val="000000"/>
                              </a:solidFill>
                              <a:miter lim="800000"/>
                            </a:ln>
                            <a:effectLst/>
                          </wps:spPr>
                          <wps:txbx>
                            <w:txbxContent>
                              <w:p w14:paraId="1319C8E0">
                                <w:pPr>
                                  <w:jc w:val="center"/>
                                  <w:rPr>
                                    <w:rFonts w:ascii="仿宋" w:hAnsi="仿宋" w:eastAsia="仿宋"/>
                                  </w:rPr>
                                </w:pPr>
                                <w:r>
                                  <w:rPr>
                                    <w:rFonts w:hint="eastAsia" w:ascii="仿宋" w:hAnsi="仿宋" w:eastAsia="仿宋"/>
                                  </w:rPr>
                                  <w:t>问卷回收并统计，汇总专家意见</w:t>
                                </w:r>
                              </w:p>
                            </w:txbxContent>
                          </wps:txbx>
                          <wps:bodyPr rot="0" vert="horz" wrap="square" lIns="91440" tIns="45720" rIns="91440" bIns="45720" anchor="ctr" anchorCtr="0" upright="1">
                            <a:noAutofit/>
                          </wps:bodyPr>
                        </wps:wsp>
                        <wps:wsp>
                          <wps:cNvPr id="2004226974" name="Line 9"/>
                          <wps:cNvCnPr>
                            <a:cxnSpLocks noChangeShapeType="1"/>
                          </wps:cNvCnPr>
                          <wps:spPr bwMode="auto">
                            <a:xfrm flipH="1">
                              <a:off x="14819" y="7632"/>
                              <a:ext cx="30520" cy="2682"/>
                            </a:xfrm>
                            <a:prstGeom prst="line">
                              <a:avLst/>
                            </a:prstGeom>
                            <a:noFill/>
                            <a:ln w="9525">
                              <a:solidFill>
                                <a:srgbClr val="000000"/>
                              </a:solidFill>
                              <a:round/>
                              <a:tailEnd type="triangle" w="med" len="med"/>
                            </a:ln>
                            <a:effectLst/>
                          </wps:spPr>
                          <wps:bodyPr/>
                        </wps:wsp>
                        <wps:wsp>
                          <wps:cNvPr id="2061637231" name="Line 10"/>
                          <wps:cNvCnPr>
                            <a:cxnSpLocks noChangeShapeType="1"/>
                          </wps:cNvCnPr>
                          <wps:spPr bwMode="auto">
                            <a:xfrm flipH="1">
                              <a:off x="14668" y="13335"/>
                              <a:ext cx="30757" cy="3827"/>
                            </a:xfrm>
                            <a:prstGeom prst="line">
                              <a:avLst/>
                            </a:prstGeom>
                            <a:noFill/>
                            <a:ln w="9525">
                              <a:solidFill>
                                <a:srgbClr val="000000"/>
                              </a:solidFill>
                              <a:round/>
                              <a:tailEnd type="triangle" w="med" len="med"/>
                            </a:ln>
                            <a:effectLst/>
                          </wps:spPr>
                          <wps:bodyPr/>
                        </wps:wsp>
                        <wps:wsp>
                          <wps:cNvPr id="167321421" name="Text Box 11"/>
                          <wps:cNvSpPr txBox="1">
                            <a:spLocks noChangeArrowheads="1"/>
                          </wps:cNvSpPr>
                          <wps:spPr bwMode="auto">
                            <a:xfrm>
                              <a:off x="29119" y="17145"/>
                              <a:ext cx="31129" cy="2859"/>
                            </a:xfrm>
                            <a:prstGeom prst="rect">
                              <a:avLst/>
                            </a:prstGeom>
                            <a:solidFill>
                              <a:srgbClr val="FFFFFF"/>
                            </a:solidFill>
                            <a:ln w="9525">
                              <a:solidFill>
                                <a:srgbClr val="000000"/>
                              </a:solidFill>
                              <a:miter lim="800000"/>
                            </a:ln>
                            <a:effectLst/>
                          </wps:spPr>
                          <wps:txbx>
                            <w:txbxContent>
                              <w:p w14:paraId="10F49096">
                                <w:pPr>
                                  <w:jc w:val="center"/>
                                  <w:rPr>
                                    <w:rFonts w:ascii="仿宋" w:hAnsi="仿宋" w:eastAsia="仿宋"/>
                                  </w:rPr>
                                </w:pPr>
                                <w:r>
                                  <w:rPr>
                                    <w:rFonts w:hint="eastAsia" w:ascii="仿宋" w:hAnsi="仿宋" w:eastAsia="仿宋"/>
                                  </w:rPr>
                                  <w:t>筛选争议条目并形成征求意见函</w:t>
                                </w:r>
                              </w:p>
                            </w:txbxContent>
                          </wps:txbx>
                          <wps:bodyPr rot="0" vert="horz" wrap="square" lIns="91440" tIns="45720" rIns="91440" bIns="45720" anchor="ctr" anchorCtr="0" upright="1">
                            <a:noAutofit/>
                          </wps:bodyPr>
                        </wps:wsp>
                        <wps:wsp>
                          <wps:cNvPr id="368671248" name="Line 12"/>
                          <wps:cNvCnPr>
                            <a:cxnSpLocks noChangeShapeType="1"/>
                          </wps:cNvCnPr>
                          <wps:spPr bwMode="auto">
                            <a:xfrm flipH="1">
                              <a:off x="13335" y="20002"/>
                              <a:ext cx="33445" cy="3827"/>
                            </a:xfrm>
                            <a:prstGeom prst="line">
                              <a:avLst/>
                            </a:prstGeom>
                            <a:noFill/>
                            <a:ln w="9525">
                              <a:solidFill>
                                <a:srgbClr val="000000"/>
                              </a:solidFill>
                              <a:round/>
                              <a:tailEnd type="triangle" w="med" len="med"/>
                            </a:ln>
                            <a:effectLst/>
                          </wps:spPr>
                          <wps:bodyPr/>
                        </wps:wsp>
                        <wps:wsp>
                          <wps:cNvPr id="2139413283" name="Text Box 13"/>
                          <wps:cNvSpPr txBox="1">
                            <a:spLocks noChangeArrowheads="1"/>
                          </wps:cNvSpPr>
                          <wps:spPr bwMode="auto">
                            <a:xfrm>
                              <a:off x="0" y="23812"/>
                              <a:ext cx="24485" cy="2870"/>
                            </a:xfrm>
                            <a:prstGeom prst="rect">
                              <a:avLst/>
                            </a:prstGeom>
                            <a:solidFill>
                              <a:srgbClr val="FFFFFF"/>
                            </a:solidFill>
                            <a:ln w="9525">
                              <a:solidFill>
                                <a:srgbClr val="000000"/>
                              </a:solidFill>
                              <a:miter lim="800000"/>
                            </a:ln>
                            <a:effectLst/>
                          </wps:spPr>
                          <wps:txbx>
                            <w:txbxContent>
                              <w:p w14:paraId="1C8878F0">
                                <w:pPr>
                                  <w:jc w:val="center"/>
                                  <w:rPr>
                                    <w:rFonts w:ascii="仿宋" w:hAnsi="仿宋" w:eastAsia="仿宋"/>
                                  </w:rPr>
                                </w:pPr>
                                <w:r>
                                  <w:rPr>
                                    <w:rFonts w:hint="eastAsia" w:ascii="仿宋" w:hAnsi="仿宋" w:eastAsia="仿宋"/>
                                  </w:rPr>
                                  <w:t>发放征求意见函，准备专家论证会</w:t>
                                </w:r>
                              </w:p>
                              <w:p w14:paraId="2B071A1B">
                                <w:pPr>
                                  <w:jc w:val="center"/>
                                  <w:rPr>
                                    <w:rFonts w:ascii="仿宋" w:hAnsi="仿宋" w:eastAsia="仿宋"/>
                                  </w:rPr>
                                </w:pPr>
                              </w:p>
                            </w:txbxContent>
                          </wps:txbx>
                          <wps:bodyPr rot="0" vert="horz" wrap="square" lIns="91440" tIns="45720" rIns="91440" bIns="45720" anchor="ctr" anchorCtr="0" upright="1">
                            <a:noAutofit/>
                          </wps:bodyPr>
                        </wps:wsp>
                        <wps:wsp>
                          <wps:cNvPr id="1235521942" name="Text Box 14"/>
                          <wps:cNvSpPr txBox="1">
                            <a:spLocks noChangeArrowheads="1"/>
                          </wps:cNvSpPr>
                          <wps:spPr bwMode="auto">
                            <a:xfrm>
                              <a:off x="0" y="10477"/>
                              <a:ext cx="24185" cy="2870"/>
                            </a:xfrm>
                            <a:prstGeom prst="rect">
                              <a:avLst/>
                            </a:prstGeom>
                            <a:solidFill>
                              <a:srgbClr val="FFFFFF"/>
                            </a:solidFill>
                            <a:ln w="9525">
                              <a:solidFill>
                                <a:srgbClr val="000000"/>
                              </a:solidFill>
                              <a:miter lim="800000"/>
                            </a:ln>
                            <a:effectLst/>
                          </wps:spPr>
                          <wps:txbx>
                            <w:txbxContent>
                              <w:p w14:paraId="40694FD6">
                                <w:pPr>
                                  <w:ind w:right="-120" w:rightChars="-57"/>
                                  <w:jc w:val="center"/>
                                  <w:rPr>
                                    <w:rFonts w:ascii="仿宋" w:hAnsi="仿宋" w:eastAsia="仿宋"/>
                                  </w:rPr>
                                </w:pPr>
                                <w:r>
                                  <w:rPr>
                                    <w:rFonts w:hint="eastAsia" w:ascii="仿宋" w:hAnsi="仿宋" w:eastAsia="仿宋"/>
                                  </w:rPr>
                                  <w:t>制作专家调查问卷</w:t>
                                </w:r>
                              </w:p>
                            </w:txbxContent>
                          </wps:txbx>
                          <wps:bodyPr rot="0" vert="horz" wrap="square" lIns="91440" tIns="45720" rIns="91440" bIns="45720" anchor="ctr" anchorCtr="0" upright="1">
                            <a:noAutofit/>
                          </wps:bodyPr>
                        </wps:wsp>
                        <wps:wsp>
                          <wps:cNvPr id="1332472643" name="Text Box 15"/>
                          <wps:cNvSpPr txBox="1">
                            <a:spLocks noChangeArrowheads="1"/>
                          </wps:cNvSpPr>
                          <wps:spPr bwMode="auto">
                            <a:xfrm>
                              <a:off x="28940" y="10477"/>
                              <a:ext cx="31258" cy="2870"/>
                            </a:xfrm>
                            <a:prstGeom prst="rect">
                              <a:avLst/>
                            </a:prstGeom>
                            <a:solidFill>
                              <a:srgbClr val="FFFFFF"/>
                            </a:solidFill>
                            <a:ln w="9525">
                              <a:solidFill>
                                <a:srgbClr val="000000"/>
                              </a:solidFill>
                              <a:miter lim="800000"/>
                            </a:ln>
                            <a:effectLst/>
                          </wps:spPr>
                          <wps:txbx>
                            <w:txbxContent>
                              <w:p w14:paraId="28043A44">
                                <w:pPr>
                                  <w:jc w:val="center"/>
                                  <w:rPr>
                                    <w:rFonts w:ascii="仿宋" w:hAnsi="仿宋" w:eastAsia="仿宋"/>
                                  </w:rPr>
                                </w:pPr>
                                <w:r>
                                  <w:rPr>
                                    <w:rFonts w:hint="eastAsia" w:ascii="仿宋" w:hAnsi="仿宋" w:eastAsia="仿宋"/>
                                  </w:rPr>
                                  <w:t>问卷发放，征求相关专家意见</w:t>
                                </w:r>
                              </w:p>
                            </w:txbxContent>
                          </wps:txbx>
                          <wps:bodyPr rot="0" vert="horz" wrap="square" lIns="91440" tIns="45720" rIns="91440" bIns="45720" anchor="ctr" anchorCtr="0" upright="1">
                            <a:noAutofit/>
                          </wps:bodyPr>
                        </wps:wsp>
                        <wps:wsp>
                          <wps:cNvPr id="1111402716" name="Line 16"/>
                          <wps:cNvCnPr>
                            <a:cxnSpLocks noChangeShapeType="1"/>
                          </wps:cNvCnPr>
                          <wps:spPr bwMode="auto">
                            <a:xfrm>
                              <a:off x="24265" y="18674"/>
                              <a:ext cx="4881" cy="8"/>
                            </a:xfrm>
                            <a:prstGeom prst="line">
                              <a:avLst/>
                            </a:prstGeom>
                            <a:noFill/>
                            <a:ln w="9525">
                              <a:solidFill>
                                <a:srgbClr val="000000"/>
                              </a:solidFill>
                              <a:round/>
                              <a:tailEnd type="triangle" w="med" len="med"/>
                            </a:ln>
                            <a:effectLst/>
                          </wps:spPr>
                          <wps:bodyPr/>
                        </wps:wsp>
                        <wps:wsp>
                          <wps:cNvPr id="1546072193" name="Line 17"/>
                          <wps:cNvCnPr>
                            <a:cxnSpLocks noChangeShapeType="1"/>
                            <a:stCxn id="2139413283" idx="3"/>
                            <a:endCxn id="291503170" idx="1"/>
                          </wps:cNvCnPr>
                          <wps:spPr bwMode="auto">
                            <a:xfrm flipV="1">
                              <a:off x="24485" y="25241"/>
                              <a:ext cx="4756" cy="6"/>
                            </a:xfrm>
                            <a:prstGeom prst="line">
                              <a:avLst/>
                            </a:prstGeom>
                            <a:noFill/>
                            <a:ln w="9525">
                              <a:solidFill>
                                <a:srgbClr val="000000"/>
                              </a:solidFill>
                              <a:round/>
                              <a:tailEnd type="triangle" w="med" len="med"/>
                            </a:ln>
                            <a:effectLst/>
                          </wps:spPr>
                          <wps:bodyPr/>
                        </wps:wsp>
                        <wps:wsp>
                          <wps:cNvPr id="291503170" name="Text Box 18"/>
                          <wps:cNvSpPr txBox="1">
                            <a:spLocks noChangeArrowheads="1"/>
                          </wps:cNvSpPr>
                          <wps:spPr bwMode="auto">
                            <a:xfrm>
                              <a:off x="29241" y="23907"/>
                              <a:ext cx="30899" cy="2870"/>
                            </a:xfrm>
                            <a:prstGeom prst="rect">
                              <a:avLst/>
                            </a:prstGeom>
                            <a:solidFill>
                              <a:srgbClr val="FFFFFF"/>
                            </a:solidFill>
                            <a:ln w="9525">
                              <a:solidFill>
                                <a:srgbClr val="000000"/>
                              </a:solidFill>
                              <a:miter lim="800000"/>
                            </a:ln>
                            <a:effectLst/>
                          </wps:spPr>
                          <wps:txbx>
                            <w:txbxContent>
                              <w:p w14:paraId="20ACB3D0">
                                <w:pPr>
                                  <w:jc w:val="center"/>
                                  <w:rPr>
                                    <w:rFonts w:ascii="仿宋" w:hAnsi="仿宋" w:eastAsia="仿宋"/>
                                  </w:rPr>
                                </w:pPr>
                                <w:r>
                                  <w:rPr>
                                    <w:rFonts w:hint="eastAsia" w:ascii="仿宋" w:hAnsi="仿宋" w:eastAsia="仿宋"/>
                                  </w:rPr>
                                  <w:t>专家论证会（集中说明与征求修改意见）</w:t>
                                </w:r>
                              </w:p>
                            </w:txbxContent>
                          </wps:txbx>
                          <wps:bodyPr rot="0" vert="horz" wrap="square" lIns="91440" tIns="45720" rIns="91440" bIns="45720" anchor="ctr" anchorCtr="0" upright="1">
                            <a:noAutofit/>
                          </wps:bodyPr>
                        </wps:wsp>
                        <wps:wsp>
                          <wps:cNvPr id="1888629549" name="Line 19"/>
                          <wps:cNvCnPr>
                            <a:cxnSpLocks noChangeShapeType="1"/>
                          </wps:cNvCnPr>
                          <wps:spPr bwMode="auto">
                            <a:xfrm flipV="1">
                              <a:off x="24265" y="11914"/>
                              <a:ext cx="4717" cy="115"/>
                            </a:xfrm>
                            <a:prstGeom prst="line">
                              <a:avLst/>
                            </a:prstGeom>
                            <a:noFill/>
                            <a:ln w="9525">
                              <a:solidFill>
                                <a:srgbClr val="000000"/>
                              </a:solidFill>
                              <a:round/>
                              <a:tailEnd type="triangle" w="med" len="med"/>
                            </a:ln>
                            <a:effectLst/>
                          </wps:spPr>
                          <wps:bodyPr/>
                        </wps:wsp>
                        <wps:wsp>
                          <wps:cNvPr id="1737523713" name="Text Box 20"/>
                          <wps:cNvSpPr txBox="1">
                            <a:spLocks noChangeArrowheads="1"/>
                          </wps:cNvSpPr>
                          <wps:spPr bwMode="auto">
                            <a:xfrm>
                              <a:off x="0" y="0"/>
                              <a:ext cx="24185" cy="2870"/>
                            </a:xfrm>
                            <a:prstGeom prst="rect">
                              <a:avLst/>
                            </a:prstGeom>
                            <a:solidFill>
                              <a:srgbClr val="FFFFFF"/>
                            </a:solidFill>
                            <a:ln w="9525">
                              <a:solidFill>
                                <a:srgbClr val="000000"/>
                              </a:solidFill>
                              <a:miter lim="800000"/>
                            </a:ln>
                            <a:effectLst/>
                          </wps:spPr>
                          <wps:txbx>
                            <w:txbxContent>
                              <w:p w14:paraId="7308E2A8">
                                <w:pPr>
                                  <w:jc w:val="center"/>
                                  <w:rPr>
                                    <w:rFonts w:ascii="仿宋" w:hAnsi="仿宋" w:eastAsia="仿宋"/>
                                  </w:rPr>
                                </w:pPr>
                                <w:r>
                                  <w:rPr>
                                    <w:rFonts w:hint="eastAsia" w:ascii="仿宋" w:hAnsi="仿宋" w:eastAsia="仿宋"/>
                                  </w:rPr>
                                  <w:t>文献研究与多源文献检索</w:t>
                                </w:r>
                              </w:p>
                            </w:txbxContent>
                          </wps:txbx>
                          <wps:bodyPr rot="0" vert="horz" wrap="square" lIns="91440" tIns="45720" rIns="91440" bIns="45720" anchor="ctr" anchorCtr="0" upright="1">
                            <a:noAutofit/>
                          </wps:bodyPr>
                        </wps:wsp>
                        <wps:wsp>
                          <wps:cNvPr id="117648117" name="Line 12"/>
                          <wps:cNvCnPr>
                            <a:cxnSpLocks noChangeShapeType="1"/>
                          </wps:cNvCnPr>
                          <wps:spPr bwMode="auto">
                            <a:xfrm flipH="1">
                              <a:off x="14192" y="26860"/>
                              <a:ext cx="33445" cy="3827"/>
                            </a:xfrm>
                            <a:prstGeom prst="line">
                              <a:avLst/>
                            </a:prstGeom>
                            <a:noFill/>
                            <a:ln w="9525">
                              <a:solidFill>
                                <a:srgbClr val="000000"/>
                              </a:solidFill>
                              <a:round/>
                              <a:tailEnd type="triangle" w="med" len="med"/>
                            </a:ln>
                            <a:effectLst/>
                          </wps:spPr>
                          <wps:bodyPr/>
                        </wps:wsp>
                        <wps:wsp>
                          <wps:cNvPr id="1587569273" name="Text Box 13"/>
                          <wps:cNvSpPr txBox="1">
                            <a:spLocks noChangeArrowheads="1"/>
                          </wps:cNvSpPr>
                          <wps:spPr bwMode="auto">
                            <a:xfrm>
                              <a:off x="95" y="31051"/>
                              <a:ext cx="24485" cy="2870"/>
                            </a:xfrm>
                            <a:prstGeom prst="rect">
                              <a:avLst/>
                            </a:prstGeom>
                            <a:solidFill>
                              <a:srgbClr val="FFFFFF"/>
                            </a:solidFill>
                            <a:ln w="9525">
                              <a:solidFill>
                                <a:srgbClr val="000000"/>
                              </a:solidFill>
                              <a:miter lim="800000"/>
                            </a:ln>
                            <a:effectLst/>
                          </wps:spPr>
                          <wps:txbx>
                            <w:txbxContent>
                              <w:p w14:paraId="5B6E4F1E">
                                <w:pPr>
                                  <w:jc w:val="center"/>
                                  <w:rPr>
                                    <w:rFonts w:ascii="仿宋" w:hAnsi="仿宋" w:eastAsia="仿宋"/>
                                  </w:rPr>
                                </w:pPr>
                                <w:r>
                                  <w:rPr>
                                    <w:rFonts w:hint="eastAsia" w:ascii="仿宋" w:hAnsi="仿宋" w:eastAsia="仿宋"/>
                                  </w:rPr>
                                  <w:t>汇总专家意见并形成会议纪要</w:t>
                                </w:r>
                              </w:p>
                            </w:txbxContent>
                          </wps:txbx>
                          <wps:bodyPr rot="0" vert="horz" wrap="square" lIns="91440" tIns="45720" rIns="91440" bIns="45720" anchor="ctr" anchorCtr="0" upright="1">
                            <a:noAutofit/>
                          </wps:bodyPr>
                        </wps:wsp>
                        <wps:wsp>
                          <wps:cNvPr id="1051613089" name="Line 17"/>
                          <wps:cNvCnPr>
                            <a:cxnSpLocks noChangeShapeType="1"/>
                            <a:stCxn id="1587569273" idx="3"/>
                          </wps:cNvCnPr>
                          <wps:spPr bwMode="auto">
                            <a:xfrm flipV="1">
                              <a:off x="24580" y="32480"/>
                              <a:ext cx="4757" cy="6"/>
                            </a:xfrm>
                            <a:prstGeom prst="line">
                              <a:avLst/>
                            </a:prstGeom>
                            <a:noFill/>
                            <a:ln w="9525">
                              <a:solidFill>
                                <a:srgbClr val="000000"/>
                              </a:solidFill>
                              <a:round/>
                              <a:tailEnd type="triangle" w="med" len="med"/>
                            </a:ln>
                            <a:effectLst/>
                          </wps:spPr>
                          <wps:bodyPr/>
                        </wps:wsp>
                        <wps:wsp>
                          <wps:cNvPr id="334982093" name="Text Box 18"/>
                          <wps:cNvSpPr txBox="1">
                            <a:spLocks noChangeArrowheads="1"/>
                          </wps:cNvSpPr>
                          <wps:spPr bwMode="auto">
                            <a:xfrm>
                              <a:off x="29337" y="31146"/>
                              <a:ext cx="30899" cy="2864"/>
                            </a:xfrm>
                            <a:prstGeom prst="rect">
                              <a:avLst/>
                            </a:prstGeom>
                            <a:solidFill>
                              <a:srgbClr val="FFFFFF"/>
                            </a:solidFill>
                            <a:ln w="9525">
                              <a:solidFill>
                                <a:srgbClr val="000000"/>
                              </a:solidFill>
                              <a:miter lim="800000"/>
                            </a:ln>
                            <a:effectLst/>
                          </wps:spPr>
                          <wps:txbx>
                            <w:txbxContent>
                              <w:p w14:paraId="0F63A931">
                                <w:pPr>
                                  <w:jc w:val="center"/>
                                  <w:rPr>
                                    <w:rFonts w:ascii="仿宋" w:hAnsi="仿宋" w:eastAsia="仿宋"/>
                                  </w:rPr>
                                </w:pPr>
                                <w:r>
                                  <w:rPr>
                                    <w:rFonts w:hint="eastAsia" w:ascii="仿宋" w:hAnsi="仿宋" w:eastAsia="仿宋"/>
                                  </w:rPr>
                                  <w:t>专家指导组审核</w:t>
                                </w:r>
                              </w:p>
                            </w:txbxContent>
                          </wps:txbx>
                          <wps:bodyPr rot="0" vert="horz" wrap="square" lIns="91440" tIns="45720" rIns="91440" bIns="45720" anchor="ctr" anchorCtr="0" upright="1">
                            <a:noAutofit/>
                          </wps:bodyPr>
                        </wps:wsp>
                        <wps:wsp>
                          <wps:cNvPr id="951595155" name="Line 12"/>
                          <wps:cNvCnPr>
                            <a:cxnSpLocks noChangeShapeType="1"/>
                          </wps:cNvCnPr>
                          <wps:spPr bwMode="auto">
                            <a:xfrm flipH="1">
                              <a:off x="14478" y="34194"/>
                              <a:ext cx="33445" cy="3827"/>
                            </a:xfrm>
                            <a:prstGeom prst="line">
                              <a:avLst/>
                            </a:prstGeom>
                            <a:noFill/>
                            <a:ln w="9525">
                              <a:solidFill>
                                <a:srgbClr val="000000"/>
                              </a:solidFill>
                              <a:round/>
                              <a:tailEnd type="triangle" w="med" len="med"/>
                            </a:ln>
                            <a:effectLst/>
                          </wps:spPr>
                          <wps:bodyPr/>
                        </wps:wsp>
                      </wpg:grpSp>
                      <wps:wsp>
                        <wps:cNvPr id="182085625" name="Text Box 13"/>
                        <wps:cNvSpPr txBox="1">
                          <a:spLocks noChangeArrowheads="1"/>
                        </wps:cNvSpPr>
                        <wps:spPr bwMode="auto">
                          <a:xfrm>
                            <a:off x="1143" y="9147"/>
                            <a:ext cx="3983" cy="573"/>
                          </a:xfrm>
                          <a:prstGeom prst="rect">
                            <a:avLst/>
                          </a:prstGeom>
                          <a:solidFill>
                            <a:srgbClr val="FFFFFF"/>
                          </a:solidFill>
                          <a:ln w="9525">
                            <a:solidFill>
                              <a:srgbClr val="000000"/>
                            </a:solidFill>
                            <a:miter lim="800000"/>
                          </a:ln>
                          <a:effectLst/>
                        </wps:spPr>
                        <wps:txbx>
                          <w:txbxContent>
                            <w:p w14:paraId="2C68A1C9">
                              <w:pPr>
                                <w:jc w:val="center"/>
                                <w:rPr>
                                  <w:rFonts w:ascii="仿宋" w:hAnsi="仿宋" w:eastAsia="仿宋"/>
                                </w:rPr>
                              </w:pPr>
                              <w:r>
                                <w:rPr>
                                  <w:rFonts w:hint="eastAsia" w:ascii="仿宋" w:hAnsi="仿宋" w:eastAsia="仿宋"/>
                                </w:rPr>
                                <w:t>召开项目组协调会议</w:t>
                              </w:r>
                            </w:p>
                            <w:p w14:paraId="73722ADD">
                              <w:pPr>
                                <w:jc w:val="center"/>
                                <w:rPr>
                                  <w:rFonts w:ascii="仿宋" w:hAnsi="仿宋" w:eastAsia="仿宋"/>
                                </w:rPr>
                              </w:pPr>
                            </w:p>
                            <w:p w14:paraId="7FAD34E4">
                              <w:pPr>
                                <w:jc w:val="left"/>
                                <w:rPr>
                                  <w:rFonts w:ascii="仿宋" w:hAnsi="仿宋" w:eastAsia="仿宋"/>
                                </w:rPr>
                              </w:pPr>
                            </w:p>
                          </w:txbxContent>
                        </wps:txbx>
                        <wps:bodyPr rot="0" vert="horz" wrap="square" lIns="91440" tIns="45720" rIns="91440" bIns="45720" anchor="ctr" anchorCtr="0" upright="1">
                          <a:noAutofit/>
                        </wps:bodyPr>
                      </wps:wsp>
                      <wps:wsp>
                        <wps:cNvPr id="79282628" name="Line 17"/>
                        <wps:cNvCnPr>
                          <a:cxnSpLocks noChangeShapeType="1"/>
                        </wps:cNvCnPr>
                        <wps:spPr bwMode="auto">
                          <a:xfrm>
                            <a:off x="5125" y="9427"/>
                            <a:ext cx="712" cy="0"/>
                          </a:xfrm>
                          <a:prstGeom prst="line">
                            <a:avLst/>
                          </a:prstGeom>
                          <a:noFill/>
                          <a:ln w="9525">
                            <a:solidFill>
                              <a:srgbClr val="000000"/>
                            </a:solidFill>
                            <a:round/>
                            <a:tailEnd type="triangle" w="med" len="med"/>
                          </a:ln>
                          <a:effectLst/>
                        </wps:spPr>
                        <wps:bodyPr/>
                      </wps:wsp>
                      <wps:wsp>
                        <wps:cNvPr id="1537673530" name="Text Box 18"/>
                        <wps:cNvSpPr txBox="1">
                          <a:spLocks noChangeArrowheads="1"/>
                        </wps:cNvSpPr>
                        <wps:spPr bwMode="auto">
                          <a:xfrm>
                            <a:off x="5837" y="9147"/>
                            <a:ext cx="5026" cy="620"/>
                          </a:xfrm>
                          <a:prstGeom prst="rect">
                            <a:avLst/>
                          </a:prstGeom>
                          <a:solidFill>
                            <a:srgbClr val="FFFFFF"/>
                          </a:solidFill>
                          <a:ln w="9525">
                            <a:solidFill>
                              <a:srgbClr val="000000"/>
                            </a:solidFill>
                            <a:miter lim="800000"/>
                          </a:ln>
                          <a:effectLst/>
                        </wps:spPr>
                        <wps:txbx>
                          <w:txbxContent>
                            <w:p w14:paraId="57CCB0F7">
                              <w:pPr>
                                <w:jc w:val="center"/>
                                <w:rPr>
                                  <w:rFonts w:ascii="仿宋" w:hAnsi="仿宋" w:eastAsia="仿宋"/>
                                </w:rPr>
                              </w:pPr>
                              <w:r>
                                <w:rPr>
                                  <w:rFonts w:hint="eastAsia" w:ascii="仿宋" w:hAnsi="仿宋" w:eastAsia="仿宋"/>
                                </w:rPr>
                                <w:t>形成小儿针灸疗法标准草案、编制说明</w:t>
                              </w:r>
                            </w:p>
                          </w:txbxContent>
                        </wps:txbx>
                        <wps:bodyPr rot="0" vert="horz" wrap="square" lIns="91440" tIns="45720" rIns="91440" bIns="45720" anchor="ctr" anchorCtr="0" upright="1">
                          <a:noAutofit/>
                        </wps:bodyPr>
                      </wps:wsp>
                      <wps:wsp>
                        <wps:cNvPr id="1577914109" name="Line 12"/>
                        <wps:cNvCnPr>
                          <a:cxnSpLocks noChangeShapeType="1"/>
                        </wps:cNvCnPr>
                        <wps:spPr bwMode="auto">
                          <a:xfrm flipH="1">
                            <a:off x="3534" y="9767"/>
                            <a:ext cx="5392" cy="1061"/>
                          </a:xfrm>
                          <a:prstGeom prst="line">
                            <a:avLst/>
                          </a:prstGeom>
                          <a:noFill/>
                          <a:ln w="9525">
                            <a:solidFill>
                              <a:srgbClr val="000000"/>
                            </a:solidFill>
                            <a:round/>
                            <a:tailEnd type="triangle" w="med" len="med"/>
                          </a:ln>
                          <a:effectLst/>
                        </wps:spPr>
                        <wps:bodyPr/>
                      </wps:wsp>
                      <wps:wsp>
                        <wps:cNvPr id="1649009730" name="Text Box 13"/>
                        <wps:cNvSpPr txBox="1">
                          <a:spLocks noChangeArrowheads="1"/>
                        </wps:cNvSpPr>
                        <wps:spPr bwMode="auto">
                          <a:xfrm>
                            <a:off x="1143" y="10877"/>
                            <a:ext cx="3907" cy="592"/>
                          </a:xfrm>
                          <a:prstGeom prst="rect">
                            <a:avLst/>
                          </a:prstGeom>
                          <a:solidFill>
                            <a:srgbClr val="FFFFFF"/>
                          </a:solidFill>
                          <a:ln w="9525">
                            <a:solidFill>
                              <a:srgbClr val="000000"/>
                            </a:solidFill>
                            <a:miter lim="800000"/>
                          </a:ln>
                          <a:effectLst/>
                        </wps:spPr>
                        <wps:txbx>
                          <w:txbxContent>
                            <w:p w14:paraId="3EB67281">
                              <w:pPr>
                                <w:jc w:val="center"/>
                                <w:rPr>
                                  <w:rFonts w:ascii="仿宋" w:hAnsi="仿宋" w:eastAsia="仿宋"/>
                                </w:rPr>
                              </w:pPr>
                              <w:r>
                                <w:rPr>
                                  <w:rFonts w:hint="eastAsia" w:ascii="仿宋" w:hAnsi="仿宋" w:eastAsia="仿宋"/>
                                </w:rPr>
                                <w:t>呈报世界中联审核</w:t>
                              </w:r>
                            </w:p>
                          </w:txbxContent>
                        </wps:txbx>
                        <wps:bodyPr rot="0" vert="horz" wrap="square" lIns="91440" tIns="45720" rIns="91440" bIns="45720" anchor="ctr" anchorCtr="0" upright="1">
                          <a:noAutofit/>
                        </wps:bodyPr>
                      </wps:wsp>
                      <wps:wsp>
                        <wps:cNvPr id="2064607103" name="Line 17"/>
                        <wps:cNvCnPr>
                          <a:cxnSpLocks noChangeShapeType="1"/>
                          <a:endCxn id="1583492487" idx="1"/>
                        </wps:cNvCnPr>
                        <wps:spPr bwMode="auto">
                          <a:xfrm>
                            <a:off x="5050" y="11178"/>
                            <a:ext cx="797" cy="9"/>
                          </a:xfrm>
                          <a:prstGeom prst="line">
                            <a:avLst/>
                          </a:prstGeom>
                          <a:noFill/>
                          <a:ln w="9525">
                            <a:solidFill>
                              <a:srgbClr val="000000"/>
                            </a:solidFill>
                            <a:round/>
                            <a:tailEnd type="triangle" w="med" len="med"/>
                          </a:ln>
                          <a:effectLst/>
                        </wps:spPr>
                        <wps:bodyPr/>
                      </wps:wsp>
                      <wps:wsp>
                        <wps:cNvPr id="1583492487" name="Text Box 18"/>
                        <wps:cNvSpPr txBox="1">
                          <a:spLocks noChangeArrowheads="1"/>
                        </wps:cNvSpPr>
                        <wps:spPr bwMode="auto">
                          <a:xfrm>
                            <a:off x="5847" y="10877"/>
                            <a:ext cx="4963" cy="620"/>
                          </a:xfrm>
                          <a:prstGeom prst="rect">
                            <a:avLst/>
                          </a:prstGeom>
                          <a:solidFill>
                            <a:srgbClr val="FFFFFF"/>
                          </a:solidFill>
                          <a:ln w="9525">
                            <a:solidFill>
                              <a:srgbClr val="000000"/>
                            </a:solidFill>
                            <a:miter lim="800000"/>
                          </a:ln>
                          <a:effectLst/>
                        </wps:spPr>
                        <wps:txbx>
                          <w:txbxContent>
                            <w:p w14:paraId="44F145F0">
                              <w:pPr>
                                <w:jc w:val="center"/>
                                <w:rPr>
                                  <w:rFonts w:ascii="仿宋" w:hAnsi="仿宋" w:eastAsia="仿宋"/>
                                </w:rPr>
                              </w:pPr>
                              <w:r>
                                <w:rPr>
                                  <w:rFonts w:hint="eastAsia" w:ascii="仿宋" w:hAnsi="仿宋" w:eastAsia="仿宋"/>
                                </w:rPr>
                                <w:t>公开征求意见并修改完善</w:t>
                              </w:r>
                            </w:p>
                          </w:txbxContent>
                        </wps:txbx>
                        <wps:bodyPr rot="0" vert="horz" wrap="square" lIns="91440" tIns="45720" rIns="91440" bIns="45720" anchor="ctr" anchorCtr="0" upright="1">
                          <a:noAutofit/>
                        </wps:bodyPr>
                      </wps:wsp>
                    </wpg:wgp>
                  </a:graphicData>
                </a:graphic>
              </wp:anchor>
            </w:drawing>
          </mc:Choice>
          <mc:Fallback>
            <w:pict>
              <v:group id="_x0000_s1026" o:spid="_x0000_s1026" o:spt="203" style="position:absolute;left:0pt;margin-left:4.35pt;margin-top:0.5pt;height:492.5pt;width:487.15pt;mso-wrap-distance-bottom:0pt;mso-wrap-distance-left:9pt;mso-wrap-distance-right:9pt;mso-wrap-distance-top:0pt;z-index:251660288;mso-width-relative:page;mso-height-relative:page;" coordorigin="1138,1634" coordsize="9743,11214" o:gfxdata="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">
                <o:lock v:ext="edit" aspectratio="f"/>
                <v:shape id="文本框 35" o:spid="_x0000_s1026" o:spt="202" type="#_x0000_t202" style="position:absolute;left:1138;top:12223;height:625;width:3911;" fillcolor="#FFFFFF" filled="t" stroked="t" coordsize="21600,21600" o:gfxdata="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Mm+k7zFAAAA4wAAAA8AAAAAAAAAAQAgAAAAIgAAAGRycy9kb3ducmV2LnhtbFBLAQIUABQAAAAI&#10;AIdO4kAzLwWeOwAAADkAAAAQAAAAAAAAAAEAIAAAABQBAABkcnMvc2hhcGV4bWwueG1sUEsFBgAA&#10;AAAGAAYAWwEAAL4DAAAAAA==&#10;">
                  <v:fill on="t" focussize="0,0"/>
                  <v:stroke color="#000000" miterlimit="8" joinstyle="miter"/>
                  <v:imagedata o:title=""/>
                  <o:lock v:ext="edit" aspectratio="f"/>
                  <v:textbox>
                    <w:txbxContent>
                      <w:p w14:paraId="471F56C4">
                        <w:pPr>
                          <w:jc w:val="center"/>
                          <w:rPr>
                            <w:rFonts w:ascii="仿宋" w:hAnsi="仿宋" w:eastAsia="仿宋"/>
                          </w:rPr>
                        </w:pPr>
                        <w:r>
                          <w:rPr>
                            <w:rFonts w:hint="eastAsia" w:ascii="仿宋" w:hAnsi="仿宋" w:eastAsia="仿宋"/>
                          </w:rPr>
                          <w:t>形成国际组织标准定稿并发布实施</w:t>
                        </w:r>
                      </w:p>
                    </w:txbxContent>
                  </v:textbox>
                </v:shape>
                <v:line id="直线 71" o:spid="_x0000_s1026" o:spt="20" style="position:absolute;left:3824;top:11497;flip:x;height:708;width:4505;" filled="f" stroked="t" coordsize="21600,21600" o:gfxdata="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I2N&#10;XQ/CAAAA4wAAAA8AAAAAAAAAAQAgAAAAIgAAAGRycy9kb3ducmV2LnhtbFBLAQIUABQAAAAIAIdO&#10;4kAzLwWeOwAAADkAAAAQAAAAAAAAAAEAIAAAABEBAABkcnMvc2hhcGV4bWwueG1sUEsFBgAAAAAG&#10;AAYAWwEAALsDAAAAAA==&#10;">
                  <v:fill on="f" focussize="0,0"/>
                  <v:stroke color="#000000" joinstyle="round" endarrow="block"/>
                  <v:imagedata o:title=""/>
                  <o:lock v:ext="edit" aspectratio="f"/>
                </v:line>
                <v:group id="组合 31" o:spid="_x0000_s1026" o:spt="203" style="position:absolute;left:1138;top:1634;height:7427;width:9743;" coordsize="60248,38021" o:gfxdata="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">
                  <o:lock v:ext="edit" aspectratio="f"/>
                  <v:line id="Line 4" o:spid="_x0000_s1026" o:spt="20" style="position:absolute;left:12673;top:2647;height:1914;width:10;" filled="f" stroked="t" coordsize="21600,21600" o:gfxdata="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">
                    <v:fill on="f" focussize="0,0"/>
                    <v:stroke color="#000000" joinstyle="round" endarrow="block"/>
                    <v:imagedata o:title=""/>
                    <o:lock v:ext="edit" aspectratio="f"/>
                  </v:line>
                  <v:shape id="Text Box 5" o:spid="_x0000_s1026" o:spt="202" type="#_x0000_t202" style="position:absolute;left:0;top:4762;height:2895;width:24191;v-text-anchor:middle;" fillcolor="#FFFFFF" filled="t" stroked="t" coordsize="21600,21600" o:gfxdata="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T3iVi/&#10;AAAA4g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5CC7D5BC">
                          <w:pPr>
                            <w:jc w:val="center"/>
                            <w:rPr>
                              <w:rFonts w:ascii="仿宋" w:hAnsi="仿宋" w:eastAsia="仿宋"/>
                            </w:rPr>
                          </w:pPr>
                          <w:r>
                            <w:rPr>
                              <w:rFonts w:hint="eastAsia" w:ascii="仿宋" w:hAnsi="仿宋" w:eastAsia="仿宋"/>
                            </w:rPr>
                            <w:t>多源文献检索</w:t>
                          </w:r>
                        </w:p>
                      </w:txbxContent>
                    </v:textbox>
                  </v:shape>
                  <v:line id="Line 6" o:spid="_x0000_s1026" o:spt="20" style="position:absolute;left:24185;top:6143;height:82;width:4755;" filled="f" stroked="t" coordsize="21600,21600" o:gfxdata="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pOkzQsQAAADiAAAADwAAAAAAAAABACAAAAAiAAAAZHJzL2Rvd25yZXYueG1sUEsBAhQAFAAAAAgA&#10;h07iQDMvBZ47AAAAOQAAABAAAAAAAAAAAQAgAAAAEwEAAGRycy9zaGFwZXhtbC54bWxQSwUGAAAA&#10;AAYABgBbAQAAvQMAAAAA&#10;">
                    <v:fill on="f" focussize="0,0"/>
                    <v:stroke color="#000000" joinstyle="round" endarrow="block"/>
                    <v:imagedata o:title=""/>
                    <o:lock v:ext="edit" aspectratio="f"/>
                  </v:line>
                  <v:shape id="Text Box 7" o:spid="_x0000_s1026" o:spt="202" type="#_x0000_t202" style="position:absolute;left:29119;top:4762;height:2870;width:31064;v-text-anchor:middle;" fillcolor="#FFFFFF" filled="t" stroked="t" coordsize="21600,21600" o:gfxdata="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ZQnf74A&#10;AADj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626ABBB4">
                          <w:pPr>
                            <w:ind w:firstLine="105" w:firstLineChars="50"/>
                            <w:jc w:val="center"/>
                            <w:rPr>
                              <w:rFonts w:ascii="仿宋" w:hAnsi="仿宋" w:eastAsia="仿宋"/>
                            </w:rPr>
                          </w:pPr>
                          <w:r>
                            <w:rPr>
                              <w:rFonts w:hint="eastAsia" w:ascii="仿宋" w:hAnsi="仿宋" w:eastAsia="仿宋"/>
                            </w:rPr>
                            <w:t>国家标准及文献内容对比分析</w:t>
                          </w:r>
                        </w:p>
                      </w:txbxContent>
                    </v:textbox>
                  </v:shape>
                  <v:shape id="Text Box 8" o:spid="_x0000_s1026" o:spt="202" type="#_x0000_t202" style="position:absolute;left:0;top:17145;height:2857;width:24265;v-text-anchor:middle;" fillcolor="#FFFFFF" filled="t" stroked="t" coordsize="21600,21600" o:gfxdata="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PegBK/&#10;AAAA4w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1319C8E0">
                          <w:pPr>
                            <w:jc w:val="center"/>
                            <w:rPr>
                              <w:rFonts w:ascii="仿宋" w:hAnsi="仿宋" w:eastAsia="仿宋"/>
                            </w:rPr>
                          </w:pPr>
                          <w:r>
                            <w:rPr>
                              <w:rFonts w:hint="eastAsia" w:ascii="仿宋" w:hAnsi="仿宋" w:eastAsia="仿宋"/>
                            </w:rPr>
                            <w:t>问卷回收并统计，汇总专家意见</w:t>
                          </w:r>
                        </w:p>
                      </w:txbxContent>
                    </v:textbox>
                  </v:shape>
                  <v:line id="Line 9" o:spid="_x0000_s1026" o:spt="20" style="position:absolute;left:14819;top:7632;flip:x;height:2682;width:30520;" filled="f" stroked="t" coordsize="21600,21600" o:gfxdata="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EUtgisQAAADjAAAADwAAAAAAAAABACAAAAAiAAAAZHJzL2Rvd25yZXYueG1sUEsBAhQAFAAAAAgA&#10;h07iQDMvBZ47AAAAOQAAABAAAAAAAAAAAQAgAAAAEwEAAGRycy9zaGFwZXhtbC54bWxQSwUGAAAA&#10;AAYABgBbAQAAvQMAAAAA&#10;">
                    <v:fill on="f" focussize="0,0"/>
                    <v:stroke color="#000000" joinstyle="round" endarrow="block"/>
                    <v:imagedata o:title=""/>
                    <o:lock v:ext="edit" aspectratio="f"/>
                  </v:line>
                  <v:line id="Line 10" o:spid="_x0000_s1026" o:spt="20" style="position:absolute;left:14668;top:13335;flip:x;height:3827;width:30757;" filled="f" stroked="t" coordsize="21600,21600" o:gfxdata="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Dhq/4DFAAAA4wAAAA8AAAAAAAAAAQAgAAAAIgAAAGRycy9kb3ducmV2LnhtbFBLAQIUABQAAAAI&#10;AIdO4kAzLwWeOwAAADkAAAAQAAAAAAAAAAEAIAAAABQBAABkcnMvc2hhcGV4bWwueG1sUEsFBgAA&#10;AAAGAAYAWwEAAL4DAAAAAA==&#10;">
                    <v:fill on="f" focussize="0,0"/>
                    <v:stroke color="#000000" joinstyle="round" endarrow="block"/>
                    <v:imagedata o:title=""/>
                    <o:lock v:ext="edit" aspectratio="f"/>
                  </v:line>
                  <v:shape id="Text Box 11" o:spid="_x0000_s1026" o:spt="202" type="#_x0000_t202" style="position:absolute;left:29119;top:17145;height:2859;width:31129;v-text-anchor:middle;" fillcolor="#FFFFFF" filled="t" stroked="t" coordsize="21600,21600" o:gfxdata="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plm2L4A&#10;AADi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10F49096">
                          <w:pPr>
                            <w:jc w:val="center"/>
                            <w:rPr>
                              <w:rFonts w:ascii="仿宋" w:hAnsi="仿宋" w:eastAsia="仿宋"/>
                            </w:rPr>
                          </w:pPr>
                          <w:r>
                            <w:rPr>
                              <w:rFonts w:hint="eastAsia" w:ascii="仿宋" w:hAnsi="仿宋" w:eastAsia="仿宋"/>
                            </w:rPr>
                            <w:t>筛选争议条目并形成征求意见函</w:t>
                          </w:r>
                        </w:p>
                      </w:txbxContent>
                    </v:textbox>
                  </v:shape>
                  <v:line id="Line 12" o:spid="_x0000_s1026" o:spt="20" style="position:absolute;left:13335;top:20002;flip:x;height:3827;width:33445;" filled="f" stroked="t" coordsize="21600,21600" o:gfxdata="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o1&#10;0frCAAAA4gAAAA8AAAAAAAAAAQAgAAAAIgAAAGRycy9kb3ducmV2LnhtbFBLAQIUABQAAAAIAIdO&#10;4kAzLwWeOwAAADkAAAAQAAAAAAAAAAEAIAAAABEBAABkcnMvc2hhcGV4bWwueG1sUEsFBgAAAAAG&#10;AAYAWwEAALsDAAAAAA==&#10;">
                    <v:fill on="f" focussize="0,0"/>
                    <v:stroke color="#000000" joinstyle="round" endarrow="block"/>
                    <v:imagedata o:title=""/>
                    <o:lock v:ext="edit" aspectratio="f"/>
                  </v:line>
                  <v:shape id="Text Box 13" o:spid="_x0000_s1026" o:spt="202" type="#_x0000_t202" style="position:absolute;left:0;top:23812;height:2870;width:24485;v-text-anchor:middle;" fillcolor="#FFFFFF" filled="t" stroked="t" coordsize="21600,21600" o:gfxdata="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KTn&#10;0ODCAAAA4wAAAA8AAAAAAAAAAQAgAAAAIgAAAGRycy9kb3ducmV2LnhtbFBLAQIUABQAAAAIAIdO&#10;4kAzLwWeOwAAADkAAAAQAAAAAAAAAAEAIAAAABEBAABkcnMvc2hhcGV4bWwueG1sUEsFBgAAAAAG&#10;AAYAWwEAALsDAAAAAA==&#10;">
                    <v:fill on="t" focussize="0,0"/>
                    <v:stroke color="#000000" miterlimit="8" joinstyle="miter"/>
                    <v:imagedata o:title=""/>
                    <o:lock v:ext="edit" aspectratio="f"/>
                    <v:textbox>
                      <w:txbxContent>
                        <w:p w14:paraId="1C8878F0">
                          <w:pPr>
                            <w:jc w:val="center"/>
                            <w:rPr>
                              <w:rFonts w:ascii="仿宋" w:hAnsi="仿宋" w:eastAsia="仿宋"/>
                            </w:rPr>
                          </w:pPr>
                          <w:r>
                            <w:rPr>
                              <w:rFonts w:hint="eastAsia" w:ascii="仿宋" w:hAnsi="仿宋" w:eastAsia="仿宋"/>
                            </w:rPr>
                            <w:t>发放征求意见函，准备专家论证会</w:t>
                          </w:r>
                        </w:p>
                        <w:p w14:paraId="2B071A1B">
                          <w:pPr>
                            <w:jc w:val="center"/>
                            <w:rPr>
                              <w:rFonts w:ascii="仿宋" w:hAnsi="仿宋" w:eastAsia="仿宋"/>
                            </w:rPr>
                          </w:pPr>
                        </w:p>
                      </w:txbxContent>
                    </v:textbox>
                  </v:shape>
                  <v:shape id="Text Box 14" o:spid="_x0000_s1026" o:spt="202" type="#_x0000_t202" style="position:absolute;left:0;top:10477;height:2870;width:24185;v-text-anchor:middle;" fillcolor="#FFFFFF" filled="t" stroked="t" coordsize="21600,21600" o:gfxdata="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5RUWC/&#10;AAAA4w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40694FD6">
                          <w:pPr>
                            <w:ind w:right="-120" w:rightChars="-57"/>
                            <w:jc w:val="center"/>
                            <w:rPr>
                              <w:rFonts w:ascii="仿宋" w:hAnsi="仿宋" w:eastAsia="仿宋"/>
                            </w:rPr>
                          </w:pPr>
                          <w:r>
                            <w:rPr>
                              <w:rFonts w:hint="eastAsia" w:ascii="仿宋" w:hAnsi="仿宋" w:eastAsia="仿宋"/>
                            </w:rPr>
                            <w:t>制作专家调查问卷</w:t>
                          </w:r>
                        </w:p>
                      </w:txbxContent>
                    </v:textbox>
                  </v:shape>
                  <v:shape id="Text Box 15" o:spid="_x0000_s1026" o:spt="202" type="#_x0000_t202" style="position:absolute;left:28940;top:10477;height:2870;width:31258;v-text-anchor:middle;" fillcolor="#FFFFFF" filled="t" stroked="t" coordsize="21600,21600" o:gfxdata="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nkq8W/&#10;AAAA4w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28043A44">
                          <w:pPr>
                            <w:jc w:val="center"/>
                            <w:rPr>
                              <w:rFonts w:ascii="仿宋" w:hAnsi="仿宋" w:eastAsia="仿宋"/>
                            </w:rPr>
                          </w:pPr>
                          <w:r>
                            <w:rPr>
                              <w:rFonts w:hint="eastAsia" w:ascii="仿宋" w:hAnsi="仿宋" w:eastAsia="仿宋"/>
                            </w:rPr>
                            <w:t>问卷发放，征求相关专家意见</w:t>
                          </w:r>
                        </w:p>
                      </w:txbxContent>
                    </v:textbox>
                  </v:shape>
                  <v:line id="Line 16" o:spid="_x0000_s1026" o:spt="20" style="position:absolute;left:24265;top:18674;height:8;width:4881;" filled="f" stroked="t" coordsize="21600,21600" o:gfxdata="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VV4Ig8QAAADjAAAADwAAAAAAAAABACAAAAAiAAAAZHJzL2Rvd25yZXYueG1sUEsBAhQAFAAAAAgA&#10;h07iQDMvBZ47AAAAOQAAABAAAAAAAAAAAQAgAAAAEwEAAGRycy9zaGFwZXhtbC54bWxQSwUGAAAA&#10;AAYABgBbAQAAvQMAAAAA&#10;">
                    <v:fill on="f" focussize="0,0"/>
                    <v:stroke color="#000000" joinstyle="round" endarrow="block"/>
                    <v:imagedata o:title=""/>
                    <o:lock v:ext="edit" aspectratio="f"/>
                  </v:line>
                  <v:line id="Line 17" o:spid="_x0000_s1026" o:spt="20" style="position:absolute;left:24485;top:25241;flip:y;height:6;width:4756;" filled="f" stroked="t" coordsize="21600,21600" o:gfxdata="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Des&#10;dq/CAAAA4wAAAA8AAAAAAAAAAQAgAAAAIgAAAGRycy9kb3ducmV2LnhtbFBLAQIUABQAAAAIAIdO&#10;4kAzLwWeOwAAADkAAAAQAAAAAAAAAAEAIAAAABEBAABkcnMvc2hhcGV4bWwueG1sUEsFBgAAAAAG&#10;AAYAWwEAALsDAAAAAA==&#10;">
                    <v:fill on="f" focussize="0,0"/>
                    <v:stroke color="#000000" joinstyle="round" endarrow="block"/>
                    <v:imagedata o:title=""/>
                    <o:lock v:ext="edit" aspectratio="f"/>
                  </v:line>
                  <v:shape id="Text Box 18" o:spid="_x0000_s1026" o:spt="202" type="#_x0000_t202" style="position:absolute;left:29241;top:23907;height:2870;width:30899;v-text-anchor:middle;" fillcolor="#FFFFFF" filled="t" stroked="t" coordsize="21600,21600" o:gfxdata="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cTBew&#10;wAAAAOIAAAAPAAAAAAAAAAEAIAAAACIAAABkcnMvZG93bnJldi54bWxQSwECFAAUAAAACACHTuJA&#10;My8FnjsAAAA5AAAAEAAAAAAAAAABACAAAAAPAQAAZHJzL3NoYXBleG1sLnhtbFBLBQYAAAAABgAG&#10;AFsBAAC5AwAAAAA=&#10;">
                    <v:fill on="t" focussize="0,0"/>
                    <v:stroke color="#000000" miterlimit="8" joinstyle="miter"/>
                    <v:imagedata o:title=""/>
                    <o:lock v:ext="edit" aspectratio="f"/>
                    <v:textbox>
                      <w:txbxContent>
                        <w:p w14:paraId="20ACB3D0">
                          <w:pPr>
                            <w:jc w:val="center"/>
                            <w:rPr>
                              <w:rFonts w:ascii="仿宋" w:hAnsi="仿宋" w:eastAsia="仿宋"/>
                            </w:rPr>
                          </w:pPr>
                          <w:r>
                            <w:rPr>
                              <w:rFonts w:hint="eastAsia" w:ascii="仿宋" w:hAnsi="仿宋" w:eastAsia="仿宋"/>
                            </w:rPr>
                            <w:t>专家论证会（集中说明与征求修改意见）</w:t>
                          </w:r>
                        </w:p>
                      </w:txbxContent>
                    </v:textbox>
                  </v:shape>
                  <v:line id="Line 19" o:spid="_x0000_s1026" o:spt="20" style="position:absolute;left:24265;top:11914;flip:y;height:115;width:4717;" filled="f" stroked="t" coordsize="21600,21600" o:gfxdata="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JBj&#10;7VfCAAAA4wAAAA8AAAAAAAAAAQAgAAAAIgAAAGRycy9kb3ducmV2LnhtbFBLAQIUABQAAAAIAIdO&#10;4kAzLwWeOwAAADkAAAAQAAAAAAAAAAEAIAAAABEBAABkcnMvc2hhcGV4bWwueG1sUEsFBgAAAAAG&#10;AAYAWwEAALsDAAAAAA==&#10;">
                    <v:fill on="f" focussize="0,0"/>
                    <v:stroke color="#000000" joinstyle="round" endarrow="block"/>
                    <v:imagedata o:title=""/>
                    <o:lock v:ext="edit" aspectratio="f"/>
                  </v:line>
                  <v:shape id="Text Box 20" o:spid="_x0000_s1026" o:spt="202" type="#_x0000_t202" style="position:absolute;left:0;top:0;height:2870;width:24185;v-text-anchor:middle;" fillcolor="#FFFFFF" filled="t" stroked="t" coordsize="21600,21600" o:gfxdata="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xmKu/&#10;AAAA4w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7308E2A8">
                          <w:pPr>
                            <w:jc w:val="center"/>
                            <w:rPr>
                              <w:rFonts w:ascii="仿宋" w:hAnsi="仿宋" w:eastAsia="仿宋"/>
                            </w:rPr>
                          </w:pPr>
                          <w:r>
                            <w:rPr>
                              <w:rFonts w:hint="eastAsia" w:ascii="仿宋" w:hAnsi="仿宋" w:eastAsia="仿宋"/>
                            </w:rPr>
                            <w:t>文献研究与多源文献检索</w:t>
                          </w:r>
                        </w:p>
                      </w:txbxContent>
                    </v:textbox>
                  </v:shape>
                  <v:line id="Line 12" o:spid="_x0000_s1026" o:spt="20" style="position:absolute;left:14192;top:26860;flip:x;height:3827;width:33445;" filled="f" stroked="t" coordsize="21600,21600" o:gfxdata="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ocY+wMQAAADiAAAADwAAAAAAAAABACAAAAAiAAAAZHJzL2Rvd25yZXYueG1sUEsBAhQAFAAAAAgA&#10;h07iQDMvBZ47AAAAOQAAABAAAAAAAAAAAQAgAAAAEwEAAGRycy9zaGFwZXhtbC54bWxQSwUGAAAA&#10;AAYABgBbAQAAvQMAAAAA&#10;">
                    <v:fill on="f" focussize="0,0"/>
                    <v:stroke color="#000000" joinstyle="round" endarrow="block"/>
                    <v:imagedata o:title=""/>
                    <o:lock v:ext="edit" aspectratio="f"/>
                  </v:line>
                  <v:shape id="Text Box 13" o:spid="_x0000_s1026" o:spt="202" type="#_x0000_t202" style="position:absolute;left:95;top:31051;height:2870;width:24485;v-text-anchor:middle;" fillcolor="#FFFFFF" filled="t" stroked="t" coordsize="21600,21600" o:gfxdata="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unNlc&#10;wAAAAOMAAAAPAAAAAAAAAAEAIAAAACIAAABkcnMvZG93bnJldi54bWxQSwECFAAUAAAACACHTuJA&#10;My8FnjsAAAA5AAAAEAAAAAAAAAABACAAAAAPAQAAZHJzL3NoYXBleG1sLnhtbFBLBQYAAAAABgAG&#10;AFsBAAC5AwAAAAA=&#10;">
                    <v:fill on="t" focussize="0,0"/>
                    <v:stroke color="#000000" miterlimit="8" joinstyle="miter"/>
                    <v:imagedata o:title=""/>
                    <o:lock v:ext="edit" aspectratio="f"/>
                    <v:textbox>
                      <w:txbxContent>
                        <w:p w14:paraId="5B6E4F1E">
                          <w:pPr>
                            <w:jc w:val="center"/>
                            <w:rPr>
                              <w:rFonts w:ascii="仿宋" w:hAnsi="仿宋" w:eastAsia="仿宋"/>
                            </w:rPr>
                          </w:pPr>
                          <w:r>
                            <w:rPr>
                              <w:rFonts w:hint="eastAsia" w:ascii="仿宋" w:hAnsi="仿宋" w:eastAsia="仿宋"/>
                            </w:rPr>
                            <w:t>汇总专家意见并形成会议纪要</w:t>
                          </w:r>
                        </w:p>
                      </w:txbxContent>
                    </v:textbox>
                  </v:shape>
                  <v:line id="Line 17" o:spid="_x0000_s1026" o:spt="20" style="position:absolute;left:24580;top:32480;flip:y;height:6;width:4757;" filled="f" stroked="t" coordsize="21600,21600" o:gfxdata="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iPA&#10;VcEAAADjAAAADwAAAAAAAAABACAAAAAiAAAAZHJzL2Rvd25yZXYueG1sUEsBAhQAFAAAAAgAh07i&#10;QDMvBZ47AAAAOQAAABAAAAAAAAAAAQAgAAAAEAEAAGRycy9zaGFwZXhtbC54bWxQSwUGAAAAAAYA&#10;BgBbAQAAugMAAAAA&#10;">
                    <v:fill on="f" focussize="0,0"/>
                    <v:stroke color="#000000" joinstyle="round" endarrow="block"/>
                    <v:imagedata o:title=""/>
                    <o:lock v:ext="edit" aspectratio="f"/>
                  </v:line>
                  <v:shape id="Text Box 18" o:spid="_x0000_s1026" o:spt="202" type="#_x0000_t202" style="position:absolute;left:29337;top:31146;height:2864;width:30899;v-text-anchor:middle;" fillcolor="#FFFFFF" filled="t" stroked="t" coordsize="21600,21600" o:gfxdata="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R4Y&#10;A8EAAADiAAAADwAAAAAAAAABACAAAAAiAAAAZHJzL2Rvd25yZXYueG1sUEsBAhQAFAAAAAgAh07i&#10;QDMvBZ47AAAAOQAAABAAAAAAAAAAAQAgAAAAEAEAAGRycy9zaGFwZXhtbC54bWxQSwUGAAAAAAYA&#10;BgBbAQAAugMAAAAA&#10;">
                    <v:fill on="t" focussize="0,0"/>
                    <v:stroke color="#000000" miterlimit="8" joinstyle="miter"/>
                    <v:imagedata o:title=""/>
                    <o:lock v:ext="edit" aspectratio="f"/>
                    <v:textbox>
                      <w:txbxContent>
                        <w:p w14:paraId="0F63A931">
                          <w:pPr>
                            <w:jc w:val="center"/>
                            <w:rPr>
                              <w:rFonts w:ascii="仿宋" w:hAnsi="仿宋" w:eastAsia="仿宋"/>
                            </w:rPr>
                          </w:pPr>
                          <w:r>
                            <w:rPr>
                              <w:rFonts w:hint="eastAsia" w:ascii="仿宋" w:hAnsi="仿宋" w:eastAsia="仿宋"/>
                            </w:rPr>
                            <w:t>专家指导组审核</w:t>
                          </w:r>
                        </w:p>
                      </w:txbxContent>
                    </v:textbox>
                  </v:shape>
                  <v:line id="Line 12" o:spid="_x0000_s1026" o:spt="20" style="position:absolute;left:14478;top:34194;flip:x;height:3827;width:33445;" filled="f" stroked="t" coordsize="21600,21600" o:gfxdata="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D6t&#10;MMEAAADiAAAADwAAAAAAAAABACAAAAAiAAAAZHJzL2Rvd25yZXYueG1sUEsBAhQAFAAAAAgAh07i&#10;QDMvBZ47AAAAOQAAABAAAAAAAAAAAQAgAAAAEAEAAGRycy9zaGFwZXhtbC54bWxQSwUGAAAAAAYA&#10;BgBbAQAAugMAAAAA&#10;">
                    <v:fill on="f" focussize="0,0"/>
                    <v:stroke color="#000000" joinstyle="round" endarrow="block"/>
                    <v:imagedata o:title=""/>
                    <o:lock v:ext="edit" aspectratio="f"/>
                  </v:line>
                </v:group>
                <v:shape id="Text Box 13" o:spid="_x0000_s1026" o:spt="202" type="#_x0000_t202" style="position:absolute;left:1143;top:9147;height:573;width:3983;v-text-anchor:middle;" fillcolor="#FFFFFF" filled="t" stroked="t" coordsize="21600,21600" o:gfxdata="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ldxnvQAA&#10;AOI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2C68A1C9">
                        <w:pPr>
                          <w:jc w:val="center"/>
                          <w:rPr>
                            <w:rFonts w:ascii="仿宋" w:hAnsi="仿宋" w:eastAsia="仿宋"/>
                          </w:rPr>
                        </w:pPr>
                        <w:r>
                          <w:rPr>
                            <w:rFonts w:hint="eastAsia" w:ascii="仿宋" w:hAnsi="仿宋" w:eastAsia="仿宋"/>
                          </w:rPr>
                          <w:t>召开项目组协调会议</w:t>
                        </w:r>
                      </w:p>
                      <w:p w14:paraId="73722ADD">
                        <w:pPr>
                          <w:jc w:val="center"/>
                          <w:rPr>
                            <w:rFonts w:ascii="仿宋" w:hAnsi="仿宋" w:eastAsia="仿宋"/>
                          </w:rPr>
                        </w:pPr>
                      </w:p>
                      <w:p w14:paraId="7FAD34E4">
                        <w:pPr>
                          <w:jc w:val="left"/>
                          <w:rPr>
                            <w:rFonts w:ascii="仿宋" w:hAnsi="仿宋" w:eastAsia="仿宋"/>
                          </w:rPr>
                        </w:pPr>
                      </w:p>
                    </w:txbxContent>
                  </v:textbox>
                </v:shape>
                <v:line id="Line 17" o:spid="_x0000_s1026" o:spt="20" style="position:absolute;left:5125;top:9427;height:0;width:712;" filled="f" stroked="t" coordsize="21600,21600" o:gfxdata="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5l8I&#10;XMEAAADhAAAADwAAAAAAAAABACAAAAAiAAAAZHJzL2Rvd25yZXYueG1sUEsBAhQAFAAAAAgAh07i&#10;QDMvBZ47AAAAOQAAABAAAAAAAAAAAQAgAAAAEAEAAGRycy9zaGFwZXhtbC54bWxQSwUGAAAAAAYA&#10;BgBbAQAAugMAAAAA&#10;">
                  <v:fill on="f" focussize="0,0"/>
                  <v:stroke color="#000000" joinstyle="round" endarrow="block"/>
                  <v:imagedata o:title=""/>
                  <o:lock v:ext="edit" aspectratio="f"/>
                </v:line>
                <v:shape id="Text Box 18" o:spid="_x0000_s1026" o:spt="202" type="#_x0000_t202" style="position:absolute;left:5837;top:9147;height:620;width:5026;v-text-anchor:middle;" fillcolor="#FFFFFF" filled="t" stroked="t" coordsize="21600,21600" o:gfxdata="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n&#10;ojm+wwAAAOMAAAAPAAAAAAAAAAEAIAAAACIAAABkcnMvZG93bnJldi54bWxQSwECFAAUAAAACACH&#10;TuJAMy8FnjsAAAA5AAAAEAAAAAAAAAABACAAAAASAQAAZHJzL3NoYXBleG1sLnhtbFBLBQYAAAAA&#10;BgAGAFsBAAC8AwAAAAA=&#10;">
                  <v:fill on="t" focussize="0,0"/>
                  <v:stroke color="#000000" miterlimit="8" joinstyle="miter"/>
                  <v:imagedata o:title=""/>
                  <o:lock v:ext="edit" aspectratio="f"/>
                  <v:textbox>
                    <w:txbxContent>
                      <w:p w14:paraId="57CCB0F7">
                        <w:pPr>
                          <w:jc w:val="center"/>
                          <w:rPr>
                            <w:rFonts w:ascii="仿宋" w:hAnsi="仿宋" w:eastAsia="仿宋"/>
                          </w:rPr>
                        </w:pPr>
                        <w:r>
                          <w:rPr>
                            <w:rFonts w:hint="eastAsia" w:ascii="仿宋" w:hAnsi="仿宋" w:eastAsia="仿宋"/>
                          </w:rPr>
                          <w:t>形成小儿针灸疗法标准草案、编制说明</w:t>
                        </w:r>
                      </w:p>
                    </w:txbxContent>
                  </v:textbox>
                </v:shape>
                <v:line id="Line 12" o:spid="_x0000_s1026" o:spt="20" style="position:absolute;left:3534;top:9767;flip:x;height:1061;width:5392;" filled="f" stroked="t" coordsize="21600,21600" o:gfxdata="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D1H&#10;DZ7CAAAA4wAAAA8AAAAAAAAAAQAgAAAAIgAAAGRycy9kb3ducmV2LnhtbFBLAQIUABQAAAAIAIdO&#10;4kAzLwWeOwAAADkAAAAQAAAAAAAAAAEAIAAAABEBAABkcnMvc2hhcGV4bWwueG1sUEsFBgAAAAAG&#10;AAYAWwEAALsDAAAAAA==&#10;">
                  <v:fill on="f" focussize="0,0"/>
                  <v:stroke color="#000000" joinstyle="round" endarrow="block"/>
                  <v:imagedata o:title=""/>
                  <o:lock v:ext="edit" aspectratio="f"/>
                </v:line>
                <v:shape id="Text Box 13" o:spid="_x0000_s1026" o:spt="202" type="#_x0000_t202" style="position:absolute;left:1143;top:10877;height:592;width:3907;v-text-anchor:middle;" fillcolor="#FFFFFF" filled="t" stroked="t" coordsize="21600,21600" o:gfxdata="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OmA&#10;L57CAAAA4wAAAA8AAAAAAAAAAQAgAAAAIgAAAGRycy9kb3ducmV2LnhtbFBLAQIUABQAAAAIAIdO&#10;4kAzLwWeOwAAADkAAAAQAAAAAAAAAAEAIAAAABEBAABkcnMvc2hhcGV4bWwueG1sUEsFBgAAAAAG&#10;AAYAWwEAALsDAAAAAA==&#10;">
                  <v:fill on="t" focussize="0,0"/>
                  <v:stroke color="#000000" miterlimit="8" joinstyle="miter"/>
                  <v:imagedata o:title=""/>
                  <o:lock v:ext="edit" aspectratio="f"/>
                  <v:textbox>
                    <w:txbxContent>
                      <w:p w14:paraId="3EB67281">
                        <w:pPr>
                          <w:jc w:val="center"/>
                          <w:rPr>
                            <w:rFonts w:ascii="仿宋" w:hAnsi="仿宋" w:eastAsia="仿宋"/>
                          </w:rPr>
                        </w:pPr>
                        <w:r>
                          <w:rPr>
                            <w:rFonts w:hint="eastAsia" w:ascii="仿宋" w:hAnsi="仿宋" w:eastAsia="仿宋"/>
                          </w:rPr>
                          <w:t>呈报世界中联审核</w:t>
                        </w:r>
                      </w:p>
                    </w:txbxContent>
                  </v:textbox>
                </v:shape>
                <v:line id="Line 17" o:spid="_x0000_s1026" o:spt="20" style="position:absolute;left:5050;top:11178;height:9;width:797;" filled="f" stroked="t" coordsize="21600,21600" o:gfxdata="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AzxvlpxgAAAOMAAAAPAAAAAAAAAAEAIAAAACIAAABkcnMvZG93bnJldi54bWxQSwECFAAUAAAA&#10;CACHTuJAMy8FnjsAAAA5AAAAEAAAAAAAAAABACAAAAAVAQAAZHJzL3NoYXBleG1sLnhtbFBLBQYA&#10;AAAABgAGAFsBAAC/AwAAAAA=&#10;">
                  <v:fill on="f" focussize="0,0"/>
                  <v:stroke color="#000000" joinstyle="round" endarrow="block"/>
                  <v:imagedata o:title=""/>
                  <o:lock v:ext="edit" aspectratio="f"/>
                </v:line>
                <v:shape id="Text Box 18" o:spid="_x0000_s1026" o:spt="202" type="#_x0000_t202" style="position:absolute;left:5847;top:10877;height:620;width:4963;v-text-anchor:middle;" fillcolor="#FFFFFF" filled="t" stroked="t" coordsize="21600,21600" o:gfxdata="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T5H1c&#10;wAAAAOMAAAAPAAAAAAAAAAEAIAAAACIAAABkcnMvZG93bnJldi54bWxQSwECFAAUAAAACACHTuJA&#10;My8FnjsAAAA5AAAAEAAAAAAAAAABACAAAAAPAQAAZHJzL3NoYXBleG1sLnhtbFBLBQYAAAAABgAG&#10;AFsBAAC5AwAAAAA=&#10;">
                  <v:fill on="t" focussize="0,0"/>
                  <v:stroke color="#000000" miterlimit="8" joinstyle="miter"/>
                  <v:imagedata o:title=""/>
                  <o:lock v:ext="edit" aspectratio="f"/>
                  <v:textbox>
                    <w:txbxContent>
                      <w:p w14:paraId="44F145F0">
                        <w:pPr>
                          <w:jc w:val="center"/>
                          <w:rPr>
                            <w:rFonts w:ascii="仿宋" w:hAnsi="仿宋" w:eastAsia="仿宋"/>
                          </w:rPr>
                        </w:pPr>
                        <w:r>
                          <w:rPr>
                            <w:rFonts w:hint="eastAsia" w:ascii="仿宋" w:hAnsi="仿宋" w:eastAsia="仿宋"/>
                          </w:rPr>
                          <w:t>公开征求意见并修改完善</w:t>
                        </w:r>
                      </w:p>
                    </w:txbxContent>
                  </v:textbox>
                </v:shape>
                <w10:wrap type="square"/>
              </v:group>
            </w:pict>
          </mc:Fallback>
        </mc:AlternateContent>
      </w:r>
      <w:r>
        <w:rPr>
          <w:rFonts w:hint="eastAsia" w:ascii="仿宋" w:hAnsi="仿宋" w:eastAsia="仿宋"/>
          <w:sz w:val="24"/>
          <w:szCs w:val="24"/>
        </w:rPr>
        <w:t xml:space="preserve"> </w:t>
      </w:r>
    </w:p>
    <w:p w14:paraId="3D07A141">
      <w:pPr>
        <w:keepNext/>
        <w:keepLines/>
        <w:spacing w:line="400" w:lineRule="exact"/>
        <w:outlineLvl w:val="0"/>
        <w:rPr>
          <w:rFonts w:ascii="黑体" w:hAnsi="黑体" w:eastAsia="黑体"/>
          <w:b/>
          <w:bCs/>
          <w:sz w:val="24"/>
          <w:szCs w:val="24"/>
        </w:rPr>
      </w:pPr>
      <w:bookmarkStart w:id="1" w:name="_Toc23545"/>
      <w:r>
        <w:rPr>
          <w:rFonts w:hint="eastAsia" w:ascii="黑体" w:hAnsi="黑体" w:eastAsia="黑体"/>
          <w:b/>
          <w:bCs/>
          <w:sz w:val="24"/>
          <w:szCs w:val="24"/>
        </w:rPr>
        <w:t>二、标准编制原则和确定标准主要内容的论据</w:t>
      </w:r>
      <w:bookmarkEnd w:id="1"/>
    </w:p>
    <w:p w14:paraId="51B7C88D">
      <w:pPr>
        <w:spacing w:line="400" w:lineRule="exact"/>
        <w:rPr>
          <w:rFonts w:ascii="仿宋" w:hAnsi="仿宋" w:eastAsia="仿宋"/>
          <w:b/>
          <w:sz w:val="24"/>
          <w:szCs w:val="24"/>
        </w:rPr>
      </w:pPr>
      <w:r>
        <w:rPr>
          <w:rFonts w:hint="eastAsia" w:ascii="仿宋" w:hAnsi="仿宋" w:eastAsia="仿宋"/>
          <w:b/>
          <w:sz w:val="24"/>
          <w:szCs w:val="24"/>
        </w:rPr>
        <w:t>（一）标准编制原则</w:t>
      </w:r>
    </w:p>
    <w:p w14:paraId="5FC14050">
      <w:pPr>
        <w:spacing w:line="400" w:lineRule="exact"/>
        <w:ind w:firstLine="480" w:firstLineChars="200"/>
        <w:rPr>
          <w:rFonts w:ascii="仿宋" w:hAnsi="仿宋" w:eastAsia="仿宋"/>
          <w:bCs/>
          <w:sz w:val="24"/>
          <w:szCs w:val="24"/>
        </w:rPr>
      </w:pPr>
      <w:r>
        <w:rPr>
          <w:rFonts w:hint="eastAsia" w:ascii="仿宋" w:hAnsi="仿宋" w:eastAsia="仿宋"/>
          <w:bCs/>
          <w:sz w:val="24"/>
          <w:szCs w:val="24"/>
        </w:rPr>
        <w:t>本标准编制遵循“科学性、实用性、规范性、国际性”四项原则，力求达到能够为全球中医儿科医师实际应用，能被国际社会广泛接受和认可，并与国际医疗技术规范接轨的目标。</w:t>
      </w:r>
    </w:p>
    <w:p w14:paraId="75A1D3AA">
      <w:pPr>
        <w:spacing w:line="400" w:lineRule="exact"/>
        <w:rPr>
          <w:rFonts w:ascii="仿宋" w:hAnsi="仿宋" w:eastAsia="仿宋"/>
          <w:b/>
          <w:sz w:val="24"/>
          <w:szCs w:val="24"/>
        </w:rPr>
      </w:pPr>
      <w:r>
        <w:rPr>
          <w:rFonts w:hint="eastAsia" w:ascii="仿宋" w:hAnsi="仿宋" w:eastAsia="仿宋"/>
          <w:b/>
          <w:sz w:val="24"/>
          <w:szCs w:val="24"/>
        </w:rPr>
        <w:t>1  科学性</w:t>
      </w:r>
    </w:p>
    <w:p w14:paraId="7A6BF275">
      <w:pPr>
        <w:spacing w:line="400" w:lineRule="exact"/>
        <w:ind w:firstLine="480" w:firstLineChars="200"/>
        <w:rPr>
          <w:rFonts w:ascii="仿宋" w:hAnsi="仿宋" w:eastAsia="仿宋"/>
          <w:bCs/>
          <w:sz w:val="24"/>
          <w:szCs w:val="24"/>
        </w:rPr>
      </w:pPr>
      <w:r>
        <w:rPr>
          <w:rFonts w:hint="eastAsia" w:ascii="仿宋" w:hAnsi="仿宋" w:eastAsia="仿宋"/>
          <w:bCs/>
          <w:sz w:val="24"/>
          <w:szCs w:val="24"/>
        </w:rPr>
        <w:t>本标准的编制通过系统文献研究，广泛检索并整合</w:t>
      </w:r>
      <w:r>
        <w:rPr>
          <w:rFonts w:hint="eastAsia" w:ascii="仿宋" w:hAnsi="仿宋" w:eastAsia="仿宋"/>
          <w:bCs/>
          <w:sz w:val="24"/>
          <w:szCs w:val="24"/>
          <w:lang w:eastAsia="zh-CN"/>
        </w:rPr>
        <w:t>海内外</w:t>
      </w:r>
      <w:r>
        <w:rPr>
          <w:rFonts w:hint="eastAsia" w:ascii="仿宋" w:hAnsi="仿宋" w:eastAsia="仿宋"/>
          <w:bCs/>
          <w:sz w:val="24"/>
          <w:szCs w:val="24"/>
        </w:rPr>
        <w:t>权威标准、指南和临床证据，包括WHO、ISO等国际标准、指南。同时，结合专家问卷调查（34位专家）和专家论证会（13位专家）的共识意见，确保技术条目（如术语定义、操作步骤、禁忌症）具有可靠的证据支撑，避免主观经验偏差，促进标准内容的客观性和可验证性。专家论证会邀请中医儿科、中西医结合儿科、西医儿科、标准化专家共同参与，确保技术内容的科学严谨。</w:t>
      </w:r>
    </w:p>
    <w:p w14:paraId="702DB9DD">
      <w:pPr>
        <w:spacing w:line="400" w:lineRule="exact"/>
        <w:rPr>
          <w:rFonts w:ascii="仿宋" w:hAnsi="仿宋" w:eastAsia="仿宋"/>
          <w:b/>
          <w:sz w:val="24"/>
          <w:szCs w:val="24"/>
        </w:rPr>
      </w:pPr>
      <w:r>
        <w:rPr>
          <w:rFonts w:hint="eastAsia" w:ascii="仿宋" w:hAnsi="仿宋" w:eastAsia="仿宋"/>
          <w:b/>
          <w:sz w:val="24"/>
          <w:szCs w:val="24"/>
        </w:rPr>
        <w:t>2  实用性</w:t>
      </w:r>
    </w:p>
    <w:p w14:paraId="48AE35B4">
      <w:pPr>
        <w:spacing w:line="400" w:lineRule="exact"/>
        <w:ind w:firstLine="480" w:firstLineChars="200"/>
        <w:rPr>
          <w:rFonts w:ascii="仿宋" w:hAnsi="仿宋" w:eastAsia="仿宋"/>
          <w:bCs/>
          <w:sz w:val="24"/>
          <w:szCs w:val="24"/>
        </w:rPr>
      </w:pPr>
      <w:r>
        <w:rPr>
          <w:rFonts w:hint="eastAsia" w:ascii="仿宋" w:hAnsi="仿宋" w:eastAsia="仿宋"/>
          <w:bCs/>
          <w:sz w:val="24"/>
          <w:szCs w:val="24"/>
        </w:rPr>
        <w:t>本标准旨在规范全球中医儿科针灸疗法操作，直接服务于儿科临床。针对中医儿科临床实际需求，优化操作细节，如针具选择、刺四缝疗程、施术后注意事项等。基于原国家标准GB/Z 40893.3-2021的框架，结合文献研究、专家共识，使标准易于操作，适用于中医医疗、教学、科研等领域，提高临床依从性和疗效保障。标准内容充分参考了原国家标准实施3年多来的临床反馈及海外推广应用经验，确保标准内容贴合临床实际，易于操作执行。</w:t>
      </w:r>
    </w:p>
    <w:p w14:paraId="465E43AC">
      <w:pPr>
        <w:spacing w:line="400" w:lineRule="exact"/>
        <w:rPr>
          <w:rFonts w:ascii="仿宋" w:hAnsi="仿宋" w:eastAsia="仿宋"/>
          <w:b/>
          <w:sz w:val="24"/>
          <w:szCs w:val="24"/>
        </w:rPr>
      </w:pPr>
      <w:r>
        <w:rPr>
          <w:rFonts w:hint="eastAsia" w:ascii="仿宋" w:hAnsi="仿宋" w:eastAsia="仿宋"/>
          <w:b/>
          <w:sz w:val="24"/>
          <w:szCs w:val="24"/>
        </w:rPr>
        <w:t>3  规范性</w:t>
      </w:r>
    </w:p>
    <w:p w14:paraId="3D8969F6">
      <w:pPr>
        <w:spacing w:line="400" w:lineRule="exact"/>
        <w:ind w:firstLine="480" w:firstLineChars="200"/>
        <w:rPr>
          <w:rFonts w:ascii="仿宋" w:hAnsi="仿宋" w:eastAsia="仿宋"/>
          <w:bCs/>
          <w:sz w:val="24"/>
          <w:szCs w:val="24"/>
        </w:rPr>
      </w:pPr>
      <w:r>
        <w:rPr>
          <w:rFonts w:hint="eastAsia" w:ascii="仿宋" w:hAnsi="仿宋" w:eastAsia="仿宋"/>
          <w:bCs/>
          <w:sz w:val="24"/>
          <w:szCs w:val="24"/>
        </w:rPr>
        <w:t>严格遵守</w:t>
      </w:r>
      <w:r>
        <w:rPr>
          <w:rFonts w:hint="eastAsia" w:ascii="仿宋" w:hAnsi="仿宋" w:eastAsia="仿宋"/>
          <w:sz w:val="24"/>
          <w:szCs w:val="24"/>
        </w:rPr>
        <w:t>世界中联</w:t>
      </w:r>
      <w:r>
        <w:rPr>
          <w:rFonts w:hint="eastAsia" w:ascii="仿宋" w:hAnsi="仿宋" w:eastAsia="仿宋"/>
          <w:bCs/>
          <w:sz w:val="24"/>
          <w:szCs w:val="24"/>
        </w:rPr>
        <w:t>SCM1.1-2021《标准化工作导则第1部分：标准制修订与发布》的程序要求，包括文献研究、专家调查、论证会和内部协调会议等环节。统一术语定义、标准化操作步骤，确保标准文本结构清晰、一致性强，便于国际组织审核和全球应用。</w:t>
      </w:r>
    </w:p>
    <w:p w14:paraId="01923593">
      <w:pPr>
        <w:spacing w:line="400" w:lineRule="exact"/>
        <w:rPr>
          <w:rFonts w:ascii="仿宋" w:hAnsi="仿宋" w:eastAsia="仿宋"/>
          <w:b/>
          <w:sz w:val="24"/>
          <w:szCs w:val="24"/>
        </w:rPr>
      </w:pPr>
      <w:r>
        <w:rPr>
          <w:rFonts w:hint="eastAsia" w:ascii="仿宋" w:hAnsi="仿宋" w:eastAsia="仿宋"/>
          <w:b/>
          <w:sz w:val="24"/>
          <w:szCs w:val="24"/>
        </w:rPr>
        <w:t>4  国际适配性</w:t>
      </w:r>
    </w:p>
    <w:p w14:paraId="5572719E">
      <w:pPr>
        <w:spacing w:line="400" w:lineRule="exact"/>
        <w:ind w:firstLine="480" w:firstLineChars="200"/>
        <w:rPr>
          <w:rFonts w:ascii="仿宋" w:hAnsi="仿宋" w:eastAsia="仿宋"/>
          <w:bCs/>
          <w:sz w:val="24"/>
          <w:szCs w:val="24"/>
        </w:rPr>
      </w:pPr>
      <w:r>
        <w:rPr>
          <w:rFonts w:hint="eastAsia" w:ascii="仿宋" w:hAnsi="仿宋" w:eastAsia="仿宋"/>
          <w:bCs/>
          <w:sz w:val="24"/>
          <w:szCs w:val="24"/>
        </w:rPr>
        <w:t>兼顾中医特色与国际法规要求，覆盖多国专家意见（包括中国内地、中国澳门、中国台湾、新加坡、马来西亚、澳大利亚、越南、加拿大等），充分考虑不同国家法律法规、医疗体系和文化背景差异。在“范围”部分明确“本标准所涉及侵入性操作，实施者应遵守所在国家或地区的法律法规及执业范围要求”。在术语定义、操作步骤中吸纳WHO、ISO等技术规范，利于标准在全球范围内的推广应用，适应不同国家和地区的医疗环境，推动中医儿科技术的国际化发展。</w:t>
      </w:r>
    </w:p>
    <w:p w14:paraId="77BCF844">
      <w:pPr>
        <w:spacing w:line="400" w:lineRule="exact"/>
        <w:rPr>
          <w:rFonts w:ascii="仿宋" w:hAnsi="仿宋" w:eastAsia="仿宋"/>
          <w:b/>
          <w:sz w:val="24"/>
          <w:szCs w:val="24"/>
        </w:rPr>
      </w:pPr>
      <w:r>
        <w:rPr>
          <w:rFonts w:hint="eastAsia" w:ascii="仿宋" w:hAnsi="仿宋" w:eastAsia="仿宋"/>
          <w:b/>
          <w:sz w:val="24"/>
          <w:szCs w:val="24"/>
        </w:rPr>
        <w:t>（二）确定标准主要内容的方法和论据</w:t>
      </w:r>
    </w:p>
    <w:p w14:paraId="5FA53B13">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b/>
          <w:sz w:val="24"/>
          <w:szCs w:val="24"/>
        </w:rPr>
      </w:pPr>
      <w:r>
        <w:rPr>
          <w:rFonts w:ascii="仿宋" w:hAnsi="仿宋" w:eastAsia="仿宋"/>
          <w:b/>
          <w:sz w:val="24"/>
          <w:szCs w:val="24"/>
        </w:rPr>
        <w:t xml:space="preserve">1  </w:t>
      </w:r>
      <w:r>
        <w:rPr>
          <w:rFonts w:hint="eastAsia" w:ascii="仿宋" w:hAnsi="仿宋" w:eastAsia="仿宋"/>
          <w:b/>
          <w:sz w:val="24"/>
          <w:szCs w:val="24"/>
        </w:rPr>
        <w:t>标准的主要内容</w:t>
      </w:r>
    </w:p>
    <w:p w14:paraId="0E613BB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本项目《国际中医技术操作规范 儿科 第3部分：小儿针灸疗法》共有18个组成部分：范围、规范性引用文件、术语和定义、</w:t>
      </w:r>
      <w:r>
        <w:fldChar w:fldCharType="begin"/>
      </w:r>
      <w:r>
        <w:instrText xml:space="preserve"> HYPERLINK \l "_Toc31929" </w:instrText>
      </w:r>
      <w:r>
        <w:fldChar w:fldCharType="separate"/>
      </w:r>
      <w:r>
        <w:rPr>
          <w:rFonts w:hint="eastAsia" w:ascii="仿宋" w:hAnsi="仿宋" w:eastAsia="仿宋"/>
          <w:sz w:val="24"/>
          <w:szCs w:val="24"/>
        </w:rPr>
        <w:t>小儿毫针疗法操作步骤与要求、</w:t>
      </w:r>
      <w:r>
        <w:rPr>
          <w:rFonts w:hint="eastAsia" w:ascii="仿宋" w:hAnsi="仿宋" w:eastAsia="仿宋"/>
          <w:sz w:val="24"/>
          <w:szCs w:val="24"/>
        </w:rPr>
        <w:fldChar w:fldCharType="end"/>
      </w:r>
      <w:r>
        <w:fldChar w:fldCharType="begin"/>
      </w:r>
      <w:r>
        <w:instrText xml:space="preserve"> HYPERLINK \l "_Toc2652" </w:instrText>
      </w:r>
      <w:r>
        <w:fldChar w:fldCharType="separate"/>
      </w:r>
      <w:r>
        <w:rPr>
          <w:rFonts w:hint="eastAsia" w:ascii="仿宋" w:hAnsi="仿宋" w:eastAsia="仿宋"/>
          <w:sz w:val="24"/>
          <w:szCs w:val="24"/>
        </w:rPr>
        <w:t>小儿三棱针疗法操作步骤与要求</w:t>
      </w:r>
      <w:r>
        <w:rPr>
          <w:rFonts w:hint="eastAsia" w:ascii="仿宋" w:hAnsi="仿宋" w:eastAsia="仿宋"/>
          <w:sz w:val="24"/>
          <w:szCs w:val="24"/>
        </w:rPr>
        <w:fldChar w:fldCharType="end"/>
      </w:r>
      <w:r>
        <w:fldChar w:fldCharType="begin"/>
      </w:r>
      <w:r>
        <w:instrText xml:space="preserve"> HYPERLINK \l "_Toc1645" </w:instrText>
      </w:r>
      <w:r>
        <w:fldChar w:fldCharType="separate"/>
      </w:r>
      <w:r>
        <w:rPr>
          <w:rFonts w:hint="eastAsia" w:ascii="仿宋" w:hAnsi="仿宋" w:eastAsia="仿宋"/>
          <w:sz w:val="24"/>
          <w:szCs w:val="24"/>
        </w:rPr>
        <w:t>、刺四缝疗法操作步骤与要求、</w:t>
      </w:r>
      <w:r>
        <w:rPr>
          <w:rFonts w:hint="eastAsia" w:ascii="仿宋" w:hAnsi="仿宋" w:eastAsia="仿宋"/>
          <w:sz w:val="24"/>
          <w:szCs w:val="24"/>
        </w:rPr>
        <w:fldChar w:fldCharType="end"/>
      </w:r>
      <w:r>
        <w:fldChar w:fldCharType="begin"/>
      </w:r>
      <w:r>
        <w:instrText xml:space="preserve"> HYPERLINK \l "_Toc11582" </w:instrText>
      </w:r>
      <w:r>
        <w:fldChar w:fldCharType="separate"/>
      </w:r>
      <w:r>
        <w:rPr>
          <w:rFonts w:hint="eastAsia" w:ascii="仿宋" w:hAnsi="仿宋" w:eastAsia="仿宋"/>
          <w:sz w:val="24"/>
          <w:szCs w:val="24"/>
        </w:rPr>
        <w:t>小儿艾灸疗法操作步骤与要求</w:t>
      </w:r>
      <w:r>
        <w:rPr>
          <w:rFonts w:hint="eastAsia" w:ascii="仿宋" w:hAnsi="仿宋" w:eastAsia="仿宋"/>
          <w:sz w:val="24"/>
          <w:szCs w:val="24"/>
        </w:rPr>
        <w:fldChar w:fldCharType="end"/>
      </w:r>
      <w:r>
        <w:fldChar w:fldCharType="begin"/>
      </w:r>
      <w:r>
        <w:instrText xml:space="preserve"> HYPERLINK \l "_Toc2545" </w:instrText>
      </w:r>
      <w:r>
        <w:fldChar w:fldCharType="separate"/>
      </w:r>
      <w:r>
        <w:rPr>
          <w:rFonts w:hint="eastAsia" w:ascii="仿宋" w:hAnsi="仿宋" w:eastAsia="仿宋"/>
          <w:sz w:val="24"/>
          <w:szCs w:val="24"/>
        </w:rPr>
        <w:t>、注意事项和禁忌</w:t>
      </w:r>
      <w:r>
        <w:rPr>
          <w:rFonts w:hint="eastAsia" w:ascii="仿宋" w:hAnsi="仿宋" w:eastAsia="仿宋"/>
          <w:sz w:val="24"/>
          <w:szCs w:val="24"/>
        </w:rPr>
        <w:fldChar w:fldCharType="end"/>
      </w:r>
      <w:r>
        <w:rPr>
          <w:rFonts w:hint="eastAsia" w:ascii="仿宋" w:hAnsi="仿宋" w:eastAsia="仿宋"/>
          <w:sz w:val="24"/>
          <w:szCs w:val="24"/>
        </w:rPr>
        <w:t>、</w:t>
      </w:r>
      <w:r>
        <w:fldChar w:fldCharType="begin"/>
      </w:r>
      <w:r>
        <w:instrText xml:space="preserve"> HYPERLINK \l "_Toc22993" </w:instrText>
      </w:r>
      <w:r>
        <w:fldChar w:fldCharType="separate"/>
      </w:r>
      <w:r>
        <w:rPr>
          <w:rFonts w:hint="eastAsia" w:ascii="仿宋" w:hAnsi="仿宋" w:eastAsia="仿宋"/>
          <w:sz w:val="24"/>
          <w:szCs w:val="24"/>
        </w:rPr>
        <w:t>附录Ａ 常用毫针</w:t>
      </w:r>
      <w:r>
        <w:rPr>
          <w:rFonts w:hint="eastAsia" w:ascii="仿宋" w:hAnsi="仿宋" w:eastAsia="仿宋"/>
          <w:sz w:val="24"/>
          <w:szCs w:val="24"/>
        </w:rPr>
        <w:fldChar w:fldCharType="end"/>
      </w:r>
      <w:r>
        <w:rPr>
          <w:rFonts w:hint="eastAsia" w:ascii="仿宋" w:hAnsi="仿宋" w:eastAsia="仿宋"/>
          <w:sz w:val="24"/>
          <w:szCs w:val="24"/>
        </w:rPr>
        <w:t>、</w:t>
      </w:r>
      <w:r>
        <w:fldChar w:fldCharType="begin"/>
      </w:r>
      <w:r>
        <w:instrText xml:space="preserve"> HYPERLINK \l "_Toc27637" </w:instrText>
      </w:r>
      <w:r>
        <w:fldChar w:fldCharType="separate"/>
      </w:r>
      <w:r>
        <w:rPr>
          <w:rFonts w:hint="eastAsia" w:ascii="仿宋" w:hAnsi="仿宋" w:eastAsia="仿宋"/>
          <w:sz w:val="24"/>
          <w:szCs w:val="24"/>
        </w:rPr>
        <w:t>附录Ｂ 针刺手法</w:t>
      </w:r>
      <w:r>
        <w:rPr>
          <w:rFonts w:hint="eastAsia" w:ascii="仿宋" w:hAnsi="仿宋" w:eastAsia="仿宋"/>
          <w:sz w:val="24"/>
          <w:szCs w:val="24"/>
        </w:rPr>
        <w:fldChar w:fldCharType="end"/>
      </w:r>
      <w:r>
        <w:rPr>
          <w:rFonts w:hint="eastAsia" w:ascii="仿宋" w:hAnsi="仿宋" w:eastAsia="仿宋"/>
          <w:sz w:val="24"/>
          <w:szCs w:val="24"/>
        </w:rPr>
        <w:t>、附录Ｃ 刺四缝疗程、附录Ｄ 常用间接灸、附录Ｅ 常用温灸器、附录Ｆ 常用艾条、附录Ｇ 艾灸量、治疗时间及疗程、晕灸的处理办法、附录Ｈ 小儿针灸疗法注意事项、附录Ｉ 小儿针灸疗法禁忌、参考文献等。</w:t>
      </w:r>
    </w:p>
    <w:p w14:paraId="64E7621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（1）范围</w:t>
      </w:r>
    </w:p>
    <w:p w14:paraId="1B285F8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（2）规范性引用文件</w:t>
      </w:r>
    </w:p>
    <w:p w14:paraId="10BBA8F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（3）术语和定义</w:t>
      </w:r>
    </w:p>
    <w:p w14:paraId="4CBF167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（4）小儿毫针疗法操作步骤与要求</w:t>
      </w:r>
    </w:p>
    <w:p w14:paraId="71460BC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（5）小儿三棱针疗法操作步骤与要求</w:t>
      </w:r>
    </w:p>
    <w:p w14:paraId="47212DC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（6）刺四缝疗法操作步骤与要求</w:t>
      </w:r>
    </w:p>
    <w:p w14:paraId="5A7093C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（7）小儿艾灸疗法操作步骤与要求</w:t>
      </w:r>
    </w:p>
    <w:p w14:paraId="595D8B7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（8）注意事项和禁忌</w:t>
      </w:r>
    </w:p>
    <w:p w14:paraId="0153955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（9）附录Ａ 常用毫针</w:t>
      </w:r>
    </w:p>
    <w:p w14:paraId="6A9D08E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（10）附录Ｂ 针刺手法</w:t>
      </w:r>
    </w:p>
    <w:p w14:paraId="0974F70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（11）附录Ｃ 刺四缝疗程</w:t>
      </w:r>
    </w:p>
    <w:p w14:paraId="36E4870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（12）附录Ｄ 常用间接灸</w:t>
      </w:r>
    </w:p>
    <w:p w14:paraId="6BBF7F0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（13）附录Ｅ 常用温灸器</w:t>
      </w:r>
    </w:p>
    <w:p w14:paraId="49833E4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（14）附录Ｆ 常用艾条</w:t>
      </w:r>
    </w:p>
    <w:p w14:paraId="6086505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（15）附录Ｇ 艾灸量、治疗时间及疗程、晕灸的处理办法</w:t>
      </w:r>
    </w:p>
    <w:p w14:paraId="39D9B95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（16）附录Ｈ 小儿针灸疗法注意事项</w:t>
      </w:r>
    </w:p>
    <w:p w14:paraId="5B690F5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（17）附录Ｉ 小儿针灸疗法禁忌</w:t>
      </w:r>
    </w:p>
    <w:p w14:paraId="678424F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（18）参考文献</w:t>
      </w:r>
    </w:p>
    <w:p w14:paraId="0377157C">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b/>
          <w:sz w:val="24"/>
          <w:szCs w:val="24"/>
        </w:rPr>
      </w:pPr>
      <w:r>
        <w:rPr>
          <w:rFonts w:ascii="仿宋" w:hAnsi="仿宋" w:eastAsia="仿宋"/>
          <w:b/>
          <w:sz w:val="24"/>
          <w:szCs w:val="24"/>
        </w:rPr>
        <w:t xml:space="preserve">2  </w:t>
      </w:r>
      <w:r>
        <w:rPr>
          <w:rFonts w:hint="eastAsia" w:ascii="仿宋" w:hAnsi="仿宋" w:eastAsia="仿宋"/>
          <w:b/>
          <w:sz w:val="24"/>
          <w:szCs w:val="24"/>
        </w:rPr>
        <w:t>确定标准主要内容的方法</w:t>
      </w:r>
    </w:p>
    <w:p w14:paraId="29AF55BB">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ascii="仿宋" w:hAnsi="仿宋" w:eastAsia="仿宋"/>
          <w:b/>
          <w:sz w:val="24"/>
          <w:szCs w:val="24"/>
        </w:rPr>
      </w:pPr>
      <w:r>
        <w:rPr>
          <w:rFonts w:hint="eastAsia" w:ascii="仿宋" w:hAnsi="仿宋" w:eastAsia="仿宋"/>
          <w:b/>
          <w:sz w:val="24"/>
          <w:szCs w:val="24"/>
        </w:rPr>
        <w:t>（</w:t>
      </w:r>
      <w:r>
        <w:rPr>
          <w:rFonts w:ascii="仿宋" w:hAnsi="仿宋" w:eastAsia="仿宋"/>
          <w:b/>
          <w:sz w:val="24"/>
          <w:szCs w:val="24"/>
        </w:rPr>
        <w:t>1</w:t>
      </w:r>
      <w:r>
        <w:rPr>
          <w:rFonts w:hint="eastAsia" w:ascii="仿宋" w:hAnsi="仿宋" w:eastAsia="仿宋"/>
          <w:b/>
          <w:sz w:val="24"/>
          <w:szCs w:val="24"/>
        </w:rPr>
        <w:t>）文献的收集和筛选</w:t>
      </w:r>
    </w:p>
    <w:p w14:paraId="58B5D8E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cs="宋体"/>
          <w:sz w:val="24"/>
          <w:szCs w:val="24"/>
        </w:rPr>
      </w:pPr>
      <w:r>
        <w:rPr>
          <w:rFonts w:hint="eastAsia" w:ascii="仿宋" w:hAnsi="仿宋" w:eastAsia="仿宋" w:cs="宋体"/>
          <w:sz w:val="24"/>
          <w:szCs w:val="24"/>
        </w:rPr>
        <w:t>文献收集工作于2025年9-10月开展，旨在为国家标准向国际标准的转化提供证据支撑。项目组通过</w:t>
      </w:r>
      <w:r>
        <w:rPr>
          <w:rFonts w:hint="eastAsia" w:ascii="仿宋" w:hAnsi="仿宋" w:eastAsia="仿宋" w:cs="宋体"/>
          <w:sz w:val="24"/>
          <w:szCs w:val="24"/>
          <w:lang w:eastAsia="zh-CN"/>
        </w:rPr>
        <w:t>海内外</w:t>
      </w:r>
      <w:r>
        <w:rPr>
          <w:rFonts w:hint="eastAsia" w:ascii="仿宋" w:hAnsi="仿宋" w:eastAsia="仿宋" w:cs="宋体"/>
          <w:sz w:val="24"/>
          <w:szCs w:val="24"/>
        </w:rPr>
        <w:t>权威数据库和标准平台进行系统检索，包括国际标准（如ISO/TC249、WHO IRIS）、国内标准（如国家标准全文公开系统、全国标准信息公共服务平台）、文献数据库（如PubMed、中国知网）以及国外组织机构发布的指南和共识。检索策略采用关键词组合方式，英文关键词包括Acupuncture、Moxibustion、Three-edged needle、Bloodletting Therapy、Acupoint、Meridian、Pediatric、Child、Infant、Newborn、Adolescent；中文关键词包括针刺、针灸、针法、艾灸、灸法、三棱针、刺络、放血、穴位、腧穴、经络、儿童、小儿、儿科、婴儿、幼儿、婴幼儿、新生儿、青少年。</w:t>
      </w:r>
    </w:p>
    <w:p w14:paraId="35BF267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cs="宋体"/>
          <w:sz w:val="24"/>
          <w:szCs w:val="24"/>
        </w:rPr>
      </w:pPr>
      <w:r>
        <w:rPr>
          <w:rFonts w:hint="eastAsia" w:ascii="仿宋" w:hAnsi="仿宋" w:eastAsia="仿宋" w:cs="宋体"/>
          <w:sz w:val="24"/>
          <w:szCs w:val="24"/>
        </w:rPr>
        <w:t>检索来源覆盖：①国内标准：国家标准、行业标准、团体标准、地方标准，以及《中华人民共和国药典》（2025版）。②国际（组织）标准：ISO、WHO指南、WFCMS标准等。③文献库：PubMed、中国知网等数据库中的指南、共识和临床研究。</w:t>
      </w:r>
    </w:p>
    <w:p w14:paraId="4655C56E">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ascii="仿宋" w:hAnsi="仿宋" w:eastAsia="仿宋"/>
          <w:b/>
          <w:sz w:val="24"/>
          <w:szCs w:val="24"/>
        </w:rPr>
      </w:pPr>
      <w:r>
        <w:rPr>
          <w:rFonts w:hint="eastAsia" w:ascii="仿宋" w:hAnsi="仿宋" w:eastAsia="仿宋"/>
          <w:b/>
          <w:sz w:val="24"/>
          <w:szCs w:val="24"/>
        </w:rPr>
        <w:t>（</w:t>
      </w:r>
      <w:r>
        <w:rPr>
          <w:rFonts w:ascii="仿宋" w:hAnsi="仿宋" w:eastAsia="仿宋"/>
          <w:b/>
          <w:sz w:val="24"/>
          <w:szCs w:val="24"/>
        </w:rPr>
        <w:t>2</w:t>
      </w:r>
      <w:r>
        <w:rPr>
          <w:rFonts w:hint="eastAsia" w:ascii="仿宋" w:hAnsi="仿宋" w:eastAsia="仿宋"/>
          <w:b/>
          <w:sz w:val="24"/>
          <w:szCs w:val="24"/>
        </w:rPr>
        <w:t>）文献评价</w:t>
      </w:r>
    </w:p>
    <w:p w14:paraId="622D17F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文献评价采用质性评估方法，重点考察证据的权威性、适用性和与中医儿科的适配度，而非量化分级，因为检索文献主要为标准、指南和共识类文件，这些文件通常由国际或国家权威机构发布，具有较高的可靠性和公信力。文献分类如下：①标准类：包括强制性和推荐性标准，如ISO 17218：2014 Sterile acupuncture needles for Single-use、GB/Z 40893.3-2021（原国家标准），这些文件权威性高，直接用于条文对标。②指南与共识类：如WHO“WHO国际针灸标准穴位”，ISO技术标准“ISO/TS 16843-3：2017 Health informatics — Categorial structures for representation of acupuncture — Part 3： Moxibustion”这些由国际组织或专业机构发布，强调临床安全和操作规范，适用于国际转化。③文献类：中国知网、PubMed、读秀等数据库中临床研究和综述，如雷火神针操作、艾灸治疗时间及疗程等，这些证据补充操作细节，但优先级低于标准和指南。</w:t>
      </w:r>
    </w:p>
    <w:p w14:paraId="265E7449">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ascii="仿宋" w:hAnsi="仿宋" w:eastAsia="仿宋"/>
          <w:b/>
          <w:sz w:val="24"/>
          <w:szCs w:val="24"/>
        </w:rPr>
      </w:pPr>
      <w:r>
        <w:rPr>
          <w:rFonts w:hint="eastAsia" w:ascii="仿宋" w:hAnsi="仿宋" w:eastAsia="仿宋"/>
          <w:b/>
          <w:sz w:val="24"/>
          <w:szCs w:val="24"/>
        </w:rPr>
        <w:t>（</w:t>
      </w:r>
      <w:r>
        <w:rPr>
          <w:rFonts w:ascii="仿宋" w:hAnsi="仿宋" w:eastAsia="仿宋"/>
          <w:b/>
          <w:sz w:val="24"/>
          <w:szCs w:val="24"/>
        </w:rPr>
        <w:t>3</w:t>
      </w:r>
      <w:r>
        <w:rPr>
          <w:rFonts w:hint="eastAsia" w:ascii="仿宋" w:hAnsi="仿宋" w:eastAsia="仿宋"/>
          <w:b/>
          <w:sz w:val="24"/>
          <w:szCs w:val="24"/>
        </w:rPr>
        <w:t>）文献研究</w:t>
      </w:r>
    </w:p>
    <w:p w14:paraId="003C9D2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bCs/>
          <w:sz w:val="24"/>
          <w:szCs w:val="24"/>
        </w:rPr>
      </w:pPr>
      <w:r>
        <w:rPr>
          <w:rFonts w:hint="eastAsia" w:ascii="仿宋" w:hAnsi="仿宋" w:eastAsia="仿宋"/>
          <w:bCs/>
          <w:sz w:val="24"/>
          <w:szCs w:val="24"/>
        </w:rPr>
        <w:t>在文献评价基础上，项目组对纳入证据仔细阅读分析，重点与原国家标准GB/Z 40893.3-2021的相关内容进行比较，关注与国标条文不同的表述。按照主题和条文分类，形成条文对照表。同一条文若有多个不同表述，则全部列出，以供后续问卷和论证参考。通过对照表，项目组识别出需优化的条目，形成问卷基础。</w:t>
      </w:r>
    </w:p>
    <w:p w14:paraId="2DF6BAEF">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ascii="仿宋" w:hAnsi="仿宋" w:eastAsia="仿宋"/>
          <w:b/>
          <w:sz w:val="24"/>
          <w:szCs w:val="24"/>
        </w:rPr>
      </w:pPr>
      <w:r>
        <w:rPr>
          <w:rFonts w:hint="eastAsia" w:ascii="仿宋" w:hAnsi="仿宋" w:eastAsia="仿宋"/>
          <w:b/>
          <w:sz w:val="24"/>
          <w:szCs w:val="24"/>
        </w:rPr>
        <w:t>（</w:t>
      </w:r>
      <w:r>
        <w:rPr>
          <w:rFonts w:ascii="仿宋" w:hAnsi="仿宋" w:eastAsia="仿宋"/>
          <w:b/>
          <w:sz w:val="24"/>
          <w:szCs w:val="24"/>
        </w:rPr>
        <w:t>4</w:t>
      </w:r>
      <w:r>
        <w:rPr>
          <w:rFonts w:hint="eastAsia" w:ascii="仿宋" w:hAnsi="仿宋" w:eastAsia="仿宋"/>
          <w:b/>
          <w:sz w:val="24"/>
          <w:szCs w:val="24"/>
        </w:rPr>
        <w:t>）问卷调查</w:t>
      </w:r>
    </w:p>
    <w:p w14:paraId="3A37578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为广泛征求意见，项目组于2025年10月编制专家调查问卷，基于文献研究结果和对照表，针对差异条目（如术语定义、操作步骤、禁忌）设置单选选项和开放意见。专家遴选标准包括：</w:t>
      </w:r>
      <w:r>
        <w:rPr>
          <w:rFonts w:hint="eastAsia" w:ascii="宋体" w:hAnsi="宋体" w:cs="宋体"/>
          <w:sz w:val="24"/>
          <w:szCs w:val="24"/>
        </w:rPr>
        <w:t>①</w:t>
      </w:r>
      <w:r>
        <w:rPr>
          <w:rFonts w:hint="eastAsia" w:ascii="仿宋" w:hAnsi="仿宋" w:eastAsia="仿宋"/>
          <w:sz w:val="24"/>
          <w:szCs w:val="24"/>
        </w:rPr>
        <w:t>具备中医儿科或相关领域高级专业技术职称背景（如教授、主任医师）；</w:t>
      </w:r>
      <w:r>
        <w:rPr>
          <w:rFonts w:hint="eastAsia" w:ascii="宋体" w:hAnsi="宋体" w:cs="宋体"/>
          <w:sz w:val="24"/>
          <w:szCs w:val="24"/>
        </w:rPr>
        <w:t>②</w:t>
      </w:r>
      <w:r>
        <w:rPr>
          <w:rFonts w:hint="eastAsia" w:ascii="仿宋" w:hAnsi="仿宋" w:eastAsia="仿宋"/>
          <w:sz w:val="24"/>
          <w:szCs w:val="24"/>
        </w:rPr>
        <w:t>临床或教学经验丰富，中国大陆专家从事本专业20年以上、海外专家10年以上；</w:t>
      </w:r>
      <w:r>
        <w:rPr>
          <w:rFonts w:hint="eastAsia" w:ascii="宋体" w:hAnsi="宋体" w:cs="宋体"/>
          <w:sz w:val="24"/>
          <w:szCs w:val="24"/>
        </w:rPr>
        <w:t>③</w:t>
      </w:r>
      <w:r>
        <w:rPr>
          <w:rFonts w:hint="eastAsia" w:ascii="仿宋" w:hAnsi="仿宋" w:eastAsia="仿宋"/>
          <w:sz w:val="24"/>
          <w:szCs w:val="24"/>
        </w:rPr>
        <w:t>熟悉中医儿科针灸操作技术；</w:t>
      </w:r>
      <w:r>
        <w:rPr>
          <w:rFonts w:hint="eastAsia" w:ascii="宋体" w:hAnsi="宋体" w:cs="宋体"/>
          <w:sz w:val="24"/>
          <w:szCs w:val="24"/>
        </w:rPr>
        <w:t>④</w:t>
      </w:r>
      <w:r>
        <w:rPr>
          <w:rFonts w:hint="eastAsia" w:ascii="仿宋" w:hAnsi="仿宋" w:eastAsia="仿宋"/>
          <w:sz w:val="24"/>
          <w:szCs w:val="24"/>
        </w:rPr>
        <w:t>覆盖不同国家和地区，确保国际代表性。最终遴选中国内地专家26位，中国澳门1位，中国台湾2位，新加坡1位，马来西亚1位，澳大利亚1位，越南1位，加拿大1位，涵盖高等中医药院校、医院和海外中医机构，权威性强、地域代表广。</w:t>
      </w:r>
    </w:p>
    <w:p w14:paraId="54AAC4F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问卷于10月24日发送、11月12日截止回收，共发出问卷34份、回收答卷34份，专家积极系数100%。统计采用均值、不重要百分比、等级和、变异系数等指标，共识筛选方法为：选项支持率超过50%视为初步共识，分歧条目提交论证会。结果详见“附件1专家调查问卷报告”，高度一致条目直接纳入，其余条目形成9项争议点，联合开放性问题共同提请专家论证。</w:t>
      </w:r>
    </w:p>
    <w:p w14:paraId="56EBE6AB">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ascii="仿宋" w:hAnsi="仿宋" w:eastAsia="仿宋"/>
          <w:b/>
          <w:sz w:val="24"/>
          <w:szCs w:val="24"/>
        </w:rPr>
      </w:pPr>
      <w:r>
        <w:rPr>
          <w:rFonts w:hint="eastAsia" w:ascii="仿宋" w:hAnsi="仿宋" w:eastAsia="仿宋"/>
          <w:b/>
          <w:sz w:val="24"/>
          <w:szCs w:val="24"/>
        </w:rPr>
        <w:t>（5）专家论证会</w:t>
      </w:r>
    </w:p>
    <w:p w14:paraId="344D77A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2025年12月3日召开专家论证会，聚焦问卷分歧条目。邀请13位国内权威儿科专家及标准化专家。会前发送征求意见函（含9项争议条目、开放性问题及项目组建议），会中讨论，会后1周内返回书面意见。会议采纳整合意见，结果详见“附件2专家论证会会议纪要”。</w:t>
      </w:r>
    </w:p>
    <w:p w14:paraId="2623A5BC">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ascii="仿宋" w:hAnsi="仿宋" w:eastAsia="仿宋"/>
          <w:b/>
          <w:sz w:val="24"/>
          <w:szCs w:val="24"/>
        </w:rPr>
      </w:pPr>
      <w:r>
        <w:rPr>
          <w:rFonts w:hint="eastAsia" w:ascii="仿宋" w:hAnsi="仿宋" w:eastAsia="仿宋"/>
          <w:b/>
          <w:sz w:val="24"/>
          <w:szCs w:val="24"/>
        </w:rPr>
        <w:t>（6）专家审核</w:t>
      </w:r>
    </w:p>
    <w:p w14:paraId="69F0D3C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专家指导组审核稿形成后，由本项目专家指导组（丁樱、万力生、马融、王有鹏、王丽丽、王素梅、史正刚、刘建忠、虞坚尔、熊磊、张葆青、俞建、戴启刚）进行审核。审核重点验证内容的科学性、国际适配性和一致性，形成标准送审草案。</w:t>
      </w:r>
    </w:p>
    <w:p w14:paraId="606C3819">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b/>
          <w:sz w:val="24"/>
          <w:szCs w:val="24"/>
        </w:rPr>
      </w:pPr>
      <w:r>
        <w:rPr>
          <w:rFonts w:ascii="仿宋" w:hAnsi="仿宋" w:eastAsia="仿宋"/>
          <w:b/>
          <w:sz w:val="24"/>
          <w:szCs w:val="24"/>
        </w:rPr>
        <w:t xml:space="preserve">3  </w:t>
      </w:r>
      <w:r>
        <w:rPr>
          <w:rFonts w:hint="eastAsia" w:ascii="仿宋" w:hAnsi="仿宋" w:eastAsia="仿宋"/>
          <w:b/>
          <w:sz w:val="24"/>
          <w:szCs w:val="24"/>
        </w:rPr>
        <w:t>确定标准主要内容的论据</w:t>
      </w:r>
    </w:p>
    <w:p w14:paraId="5E84365C">
      <w:pPr>
        <w:spacing w:line="400" w:lineRule="exact"/>
        <w:ind w:firstLine="480" w:firstLineChars="200"/>
        <w:rPr>
          <w:rFonts w:ascii="仿宋" w:hAnsi="仿宋" w:eastAsia="仿宋" w:cs="Calibri"/>
          <w:sz w:val="24"/>
          <w:szCs w:val="21"/>
        </w:rPr>
      </w:pPr>
      <w:r>
        <w:rPr>
          <w:rFonts w:hint="eastAsia" w:ascii="仿宋" w:hAnsi="仿宋" w:eastAsia="仿宋" w:cs="Calibri"/>
          <w:sz w:val="24"/>
          <w:szCs w:val="21"/>
        </w:rPr>
        <w:t>本标准制订各阶段的程序、技术方法及要求符合前列各相关规范性文件的要求，包括世界中联SCM1.1-2021《标准化工作导则第1部分：标准制修订与发布》、原国家标准GB/Z 40893.3-2021《中医技术操作规范 儿科 第3部分：小儿针灸疗法》，以及文献研究、专家问卷调查和专家论证会等过程，确保内容基于循证和专家共识。</w:t>
      </w:r>
    </w:p>
    <w:p w14:paraId="125CB027">
      <w:pPr>
        <w:spacing w:line="400" w:lineRule="exact"/>
        <w:ind w:firstLine="480" w:firstLineChars="200"/>
        <w:rPr>
          <w:rFonts w:ascii="仿宋" w:hAnsi="仿宋" w:eastAsia="仿宋" w:cs="Calibri"/>
          <w:sz w:val="24"/>
          <w:szCs w:val="21"/>
        </w:rPr>
      </w:pPr>
      <w:r>
        <w:rPr>
          <w:rFonts w:hint="eastAsia" w:ascii="仿宋" w:hAnsi="仿宋" w:eastAsia="仿宋" w:cs="Calibri"/>
          <w:sz w:val="24"/>
          <w:szCs w:val="21"/>
        </w:rPr>
        <w:t>所有的名词术语要求规范，中医药学名词术语基于相关中国国家标准，如GB/T 12346-2021《经穴名称与定位》、GB/T 40997-2021《经外奇穴名称与定位》等。其他科学技术术语、名词及名称采用全国科学技术名词审定委员会公布的名词。中药名以《中华人民共和国药典 2025年版》为准。</w:t>
      </w:r>
    </w:p>
    <w:p w14:paraId="292E900B">
      <w:pPr>
        <w:keepNext/>
        <w:keepLines/>
        <w:spacing w:line="400" w:lineRule="exact"/>
        <w:outlineLvl w:val="0"/>
        <w:rPr>
          <w:rFonts w:ascii="黑体" w:hAnsi="黑体" w:eastAsia="黑体"/>
          <w:b/>
          <w:bCs/>
          <w:sz w:val="24"/>
          <w:szCs w:val="24"/>
        </w:rPr>
      </w:pPr>
      <w:bookmarkStart w:id="2" w:name="_Toc5377"/>
      <w:r>
        <w:rPr>
          <w:rFonts w:hint="eastAsia" w:ascii="黑体" w:hAnsi="黑体" w:eastAsia="黑体"/>
          <w:b/>
          <w:bCs/>
          <w:sz w:val="24"/>
          <w:szCs w:val="24"/>
        </w:rPr>
        <w:t>三、与相关法律、法规和标准的关系</w:t>
      </w:r>
      <w:bookmarkEnd w:id="2"/>
    </w:p>
    <w:p w14:paraId="5B358A45">
      <w:pPr>
        <w:spacing w:line="400" w:lineRule="exact"/>
        <w:ind w:firstLine="480" w:firstLineChars="200"/>
        <w:rPr>
          <w:rFonts w:ascii="仿宋" w:hAnsi="仿宋" w:eastAsia="仿宋"/>
          <w:sz w:val="24"/>
          <w:szCs w:val="24"/>
        </w:rPr>
      </w:pPr>
      <w:r>
        <w:rPr>
          <w:rFonts w:hint="eastAsia" w:ascii="仿宋" w:hAnsi="仿宋" w:eastAsia="仿宋"/>
          <w:sz w:val="24"/>
          <w:szCs w:val="24"/>
        </w:rPr>
        <w:t>本标准作为国际组织标准，在制定过程中系统梳理并协调了相关法律、法规以及</w:t>
      </w:r>
      <w:r>
        <w:rPr>
          <w:rFonts w:hint="eastAsia" w:ascii="仿宋" w:hAnsi="仿宋" w:eastAsia="仿宋"/>
          <w:sz w:val="24"/>
          <w:szCs w:val="24"/>
          <w:lang w:eastAsia="zh-CN"/>
        </w:rPr>
        <w:t>海内外</w:t>
      </w:r>
      <w:r>
        <w:rPr>
          <w:rFonts w:hint="eastAsia" w:ascii="仿宋" w:hAnsi="仿宋" w:eastAsia="仿宋"/>
          <w:sz w:val="24"/>
          <w:szCs w:val="24"/>
        </w:rPr>
        <w:t>强制性、推荐性标准之间的关系。标准既遵循既有规范的基本要求，又在充分调研、专家论证和国际对标的基础上，对部分内容进行了有依据、有边界的技术性调整，确保其科学性、安全性、规范性及国际适用性。</w:t>
      </w:r>
      <w:r>
        <w:rPr>
          <w:rFonts w:ascii="仿宋" w:hAnsi="仿宋" w:eastAsia="仿宋"/>
          <w:sz w:val="24"/>
          <w:szCs w:val="24"/>
        </w:rPr>
        <w:t xml:space="preserve"> </w:t>
      </w:r>
    </w:p>
    <w:p w14:paraId="6F32C644">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outlineLvl w:val="2"/>
        <w:rPr>
          <w:rFonts w:ascii="仿宋" w:hAnsi="仿宋" w:eastAsia="仿宋"/>
          <w:b/>
          <w:bCs/>
          <w:sz w:val="24"/>
          <w:szCs w:val="24"/>
        </w:rPr>
      </w:pPr>
      <w:r>
        <w:rPr>
          <w:rFonts w:hint="eastAsia" w:ascii="仿宋" w:hAnsi="仿宋" w:eastAsia="仿宋"/>
          <w:b/>
          <w:bCs/>
          <w:sz w:val="24"/>
          <w:szCs w:val="24"/>
        </w:rPr>
        <w:t>与法律、法规的关系</w:t>
      </w:r>
    </w:p>
    <w:p w14:paraId="613A59D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本标准在编制和应用过程中，充分尊重并遵守各国及地区现行的医疗卫生法律法规和执业管理制度。标准所涉及的毫针、三棱针、刺四缝、艾灸操作等均明确提出应在符合法律法规、执业范围和人员资质要求的前提下实施。</w:t>
      </w:r>
    </w:p>
    <w:p w14:paraId="6B88C0E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经专家论证，本标准在“范围”“前言”等显著位置明确提出了属地法律法规优先原则，即标准仅提供技术操作层面的参考，不对具体执业资格或管理制度作统一规定，以保障国际推广和应用过程中的合法性与可行性。</w:t>
      </w:r>
    </w:p>
    <w:p w14:paraId="33346B23">
      <w:pPr>
        <w:keepNext w:val="0"/>
        <w:keepLines w:val="0"/>
        <w:pageBreakBefore w:val="0"/>
        <w:widowControl w:val="0"/>
        <w:kinsoku/>
        <w:wordWrap/>
        <w:overflowPunct/>
        <w:topLinePunct w:val="0"/>
        <w:autoSpaceDE/>
        <w:autoSpaceDN/>
        <w:bidi w:val="0"/>
        <w:adjustRightInd/>
        <w:snapToGrid/>
        <w:spacing w:line="400" w:lineRule="exact"/>
        <w:textAlignment w:val="auto"/>
        <w:outlineLvl w:val="2"/>
        <w:rPr>
          <w:rFonts w:ascii="仿宋" w:hAnsi="仿宋" w:eastAsia="仿宋"/>
          <w:b/>
          <w:bCs/>
          <w:sz w:val="24"/>
          <w:szCs w:val="24"/>
        </w:rPr>
      </w:pPr>
      <w:r>
        <w:rPr>
          <w:rFonts w:hint="eastAsia" w:ascii="仿宋" w:hAnsi="仿宋" w:eastAsia="仿宋"/>
          <w:b/>
          <w:bCs/>
          <w:sz w:val="24"/>
          <w:szCs w:val="24"/>
        </w:rPr>
        <w:t>（二）与强制性标准的关系</w:t>
      </w:r>
    </w:p>
    <w:p w14:paraId="450C618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hAnsi="仿宋" w:eastAsia="仿宋"/>
          <w:sz w:val="24"/>
          <w:szCs w:val="24"/>
        </w:rPr>
      </w:pPr>
      <w:r>
        <w:rPr>
          <w:rFonts w:hint="eastAsia" w:ascii="仿宋" w:hAnsi="仿宋" w:eastAsia="仿宋"/>
          <w:sz w:val="24"/>
          <w:szCs w:val="24"/>
        </w:rPr>
        <w:t>本标准在编制过程中严格遵循相关强制性国家标准和国际通行安全规范，不与任何现行强制性标准相冲突。在涉及环境卫生、器具安全、消毒防护等内容时，直接引用或遵循强制性标准的基本要求，例如：医疗机构消毒及手卫生相关规范等。相关条款在标准中均作为安全底线执行。如本标准内容与实施地的强制性标准或法律法规存在不一致，应以当地法律法规和强制性标准为准。</w:t>
      </w:r>
    </w:p>
    <w:p w14:paraId="420AC26B">
      <w:pPr>
        <w:spacing w:line="400" w:lineRule="exact"/>
        <w:outlineLvl w:val="2"/>
        <w:rPr>
          <w:rFonts w:ascii="仿宋" w:hAnsi="仿宋" w:eastAsia="仿宋"/>
          <w:b/>
          <w:bCs/>
          <w:sz w:val="24"/>
          <w:szCs w:val="24"/>
        </w:rPr>
      </w:pPr>
      <w:r>
        <w:rPr>
          <w:rFonts w:hint="eastAsia" w:ascii="仿宋" w:hAnsi="仿宋" w:eastAsia="仿宋"/>
          <w:b/>
          <w:bCs/>
          <w:sz w:val="24"/>
          <w:szCs w:val="24"/>
        </w:rPr>
        <w:t>（三）与非强制性国家标准、国际标准及团体标准的关系及修改依据说明</w:t>
      </w:r>
    </w:p>
    <w:p w14:paraId="7FD3A7FF">
      <w:pPr>
        <w:spacing w:line="400" w:lineRule="exact"/>
        <w:ind w:firstLine="480" w:firstLineChars="200"/>
        <w:rPr>
          <w:rFonts w:ascii="仿宋" w:hAnsi="仿宋" w:eastAsia="仿宋"/>
          <w:sz w:val="24"/>
          <w:szCs w:val="24"/>
        </w:rPr>
      </w:pPr>
      <w:r>
        <w:rPr>
          <w:rFonts w:hint="eastAsia" w:ascii="仿宋" w:hAnsi="仿宋" w:eastAsia="仿宋"/>
          <w:sz w:val="24"/>
          <w:szCs w:val="24"/>
        </w:rPr>
        <w:t>本标准以GB/Z 40893.3—2021《中医技术操作规范 儿科 第3部分：小儿针灸疗法》为基础，通过专家问卷调查、专家论证和国际对标，对部分内容进行了系统优化和技术性细化。上述修改并非实质性改变技术内涵，而是在保持原标准核心框架和基本原则一致的前提下，增强其国际通用性和操作安全性。</w:t>
      </w:r>
    </w:p>
    <w:p w14:paraId="765174C9">
      <w:pPr>
        <w:spacing w:line="400" w:lineRule="exact"/>
        <w:ind w:firstLine="482" w:firstLineChars="200"/>
        <w:rPr>
          <w:rFonts w:ascii="仿宋" w:hAnsi="仿宋" w:eastAsia="仿宋"/>
          <w:b/>
          <w:bCs/>
          <w:sz w:val="24"/>
          <w:szCs w:val="24"/>
        </w:rPr>
      </w:pPr>
      <w:r>
        <w:rPr>
          <w:rFonts w:hint="eastAsia" w:ascii="仿宋" w:hAnsi="仿宋" w:eastAsia="仿宋"/>
          <w:b/>
          <w:bCs/>
          <w:sz w:val="24"/>
          <w:szCs w:val="24"/>
        </w:rPr>
        <w:t>1. 采纳其他国家标准表述，实现术语与核心操作标准化</w:t>
      </w:r>
    </w:p>
    <w:p w14:paraId="469B06E4">
      <w:pPr>
        <w:spacing w:line="400" w:lineRule="exact"/>
        <w:ind w:firstLine="480" w:firstLineChars="200"/>
        <w:rPr>
          <w:rFonts w:ascii="仿宋" w:hAnsi="仿宋" w:eastAsia="仿宋"/>
          <w:sz w:val="24"/>
          <w:szCs w:val="24"/>
        </w:rPr>
      </w:pPr>
      <w:r>
        <w:rPr>
          <w:rFonts w:hint="eastAsia" w:ascii="仿宋" w:hAnsi="仿宋" w:eastAsia="仿宋"/>
          <w:sz w:val="24"/>
          <w:szCs w:val="24"/>
        </w:rPr>
        <w:t>对于多数技术定义和基础操作，专家意见倾向于采纳表述更为经典或通用的其他国家标准条文，以实现体系内一致性。</w:t>
      </w:r>
    </w:p>
    <w:p w14:paraId="6EFD465A">
      <w:pPr>
        <w:spacing w:line="400" w:lineRule="exact"/>
        <w:ind w:firstLine="480" w:firstLineChars="200"/>
        <w:rPr>
          <w:rFonts w:ascii="仿宋" w:hAnsi="仿宋" w:eastAsia="仿宋"/>
          <w:sz w:val="24"/>
          <w:szCs w:val="24"/>
        </w:rPr>
      </w:pPr>
      <w:r>
        <w:rPr>
          <w:rFonts w:hint="eastAsia" w:ascii="仿宋" w:hAnsi="仿宋" w:eastAsia="仿宋"/>
          <w:sz w:val="24"/>
          <w:szCs w:val="24"/>
        </w:rPr>
        <w:t>术语定义统一：如“得气”（采纳GB/T 21709.20经典定义，均值0.88，共识度高）、“晕针”（采纳GB/T 33415定义，均值0.62）、“爪切进针法”（取代“指切进针法”，均值0.55）、“横刺”（取代“平刺”，均值0.50，与“沿用原文”选项持平，基于协调性采纳）、“管针进针法”（取代“针管进针法”，均值0.68）。</w:t>
      </w:r>
    </w:p>
    <w:p w14:paraId="69A9AA8C">
      <w:pPr>
        <w:spacing w:line="400" w:lineRule="exact"/>
        <w:ind w:firstLine="480" w:firstLineChars="200"/>
        <w:rPr>
          <w:rFonts w:ascii="仿宋" w:hAnsi="仿宋" w:eastAsia="仿宋"/>
          <w:sz w:val="24"/>
          <w:szCs w:val="24"/>
        </w:rPr>
      </w:pPr>
      <w:r>
        <w:rPr>
          <w:rFonts w:hint="eastAsia" w:ascii="仿宋" w:hAnsi="仿宋" w:eastAsia="仿宋"/>
          <w:sz w:val="24"/>
          <w:szCs w:val="24"/>
        </w:rPr>
        <w:t>操作描述规范化：如多数毫针基本手法（循法、摇法、飞法、震颤法、单式补泻手法）及三棱针的刺络法，专家均倾向于沿用2021年国家标准的详细描述。而出针、三棱针散刺法及部分进针法（夹持、舒张、提捏）的选项均值在0.5上下波动，共识度相对较低，需综合研判。对于隔姜灸、隔盐灸、隔附子饼灸，专家意见倾向于沿用2021年国家标准的儿科针对性描述。</w:t>
      </w:r>
    </w:p>
    <w:p w14:paraId="308BC5EE">
      <w:pPr>
        <w:spacing w:line="400" w:lineRule="exact"/>
        <w:ind w:firstLine="482" w:firstLineChars="200"/>
        <w:rPr>
          <w:rFonts w:ascii="仿宋" w:hAnsi="仿宋" w:eastAsia="仿宋"/>
          <w:b/>
          <w:bCs/>
          <w:sz w:val="24"/>
          <w:szCs w:val="24"/>
        </w:rPr>
      </w:pPr>
      <w:r>
        <w:rPr>
          <w:rFonts w:hint="eastAsia" w:ascii="仿宋" w:hAnsi="仿宋" w:eastAsia="仿宋"/>
          <w:b/>
          <w:bCs/>
          <w:sz w:val="24"/>
          <w:szCs w:val="24"/>
        </w:rPr>
        <w:t>2. 沿用并优化2021年国家标准，保持儿科针对性</w:t>
      </w:r>
    </w:p>
    <w:p w14:paraId="559B1950">
      <w:pPr>
        <w:spacing w:line="400" w:lineRule="exact"/>
        <w:ind w:firstLine="480" w:firstLineChars="200"/>
        <w:rPr>
          <w:rFonts w:ascii="仿宋" w:hAnsi="仿宋" w:eastAsia="仿宋"/>
          <w:sz w:val="24"/>
          <w:szCs w:val="24"/>
        </w:rPr>
      </w:pPr>
      <w:r>
        <w:rPr>
          <w:rFonts w:hint="eastAsia" w:ascii="仿宋" w:hAnsi="仿宋" w:eastAsia="仿宋"/>
          <w:sz w:val="24"/>
          <w:szCs w:val="24"/>
        </w:rPr>
        <w:t>对于诸多体现儿科特点的操作细节，专家共识明确支持保留或优化原标准内容，而非完全通用化。</w:t>
      </w:r>
    </w:p>
    <w:p w14:paraId="4AE0F1A5">
      <w:pPr>
        <w:spacing w:line="400" w:lineRule="exact"/>
        <w:ind w:firstLine="480" w:firstLineChars="200"/>
        <w:rPr>
          <w:rFonts w:ascii="仿宋" w:hAnsi="仿宋" w:eastAsia="仿宋"/>
          <w:sz w:val="24"/>
          <w:szCs w:val="24"/>
        </w:rPr>
      </w:pPr>
      <w:r>
        <w:rPr>
          <w:rFonts w:hint="eastAsia" w:ascii="仿宋" w:hAnsi="仿宋" w:eastAsia="仿宋"/>
          <w:sz w:val="24"/>
          <w:szCs w:val="24"/>
        </w:rPr>
        <w:t>小儿特异性描述：如留针时间（采纳原标准年龄分层描述）、体位选择（采纳原标准针对患儿和医师的描述）、针具选择（三棱针强调“儿科多用小号”）。</w:t>
      </w:r>
    </w:p>
    <w:p w14:paraId="21FC0822">
      <w:pPr>
        <w:spacing w:line="400" w:lineRule="exact"/>
        <w:ind w:firstLine="480" w:firstLineChars="200"/>
        <w:rPr>
          <w:rFonts w:ascii="仿宋" w:hAnsi="仿宋" w:eastAsia="仿宋"/>
          <w:sz w:val="24"/>
          <w:szCs w:val="24"/>
        </w:rPr>
      </w:pPr>
      <w:r>
        <w:rPr>
          <w:rFonts w:hint="eastAsia" w:ascii="仿宋" w:hAnsi="仿宋" w:eastAsia="仿宋"/>
          <w:sz w:val="24"/>
          <w:szCs w:val="24"/>
        </w:rPr>
        <w:t>参数安全精细化：如三棱针点刺深度，采纳了基于儿科临床研究提出的更宽泛、更安全的范围“0.5 mm～5 mm”。</w:t>
      </w:r>
    </w:p>
    <w:p w14:paraId="6C2A84FA">
      <w:pPr>
        <w:spacing w:line="400" w:lineRule="exact"/>
        <w:ind w:firstLine="480" w:firstLineChars="200"/>
        <w:rPr>
          <w:rFonts w:ascii="仿宋" w:hAnsi="仿宋" w:eastAsia="仿宋"/>
          <w:sz w:val="24"/>
          <w:szCs w:val="24"/>
        </w:rPr>
      </w:pPr>
      <w:r>
        <w:rPr>
          <w:rFonts w:hint="eastAsia" w:ascii="仿宋" w:hAnsi="仿宋" w:eastAsia="仿宋"/>
          <w:sz w:val="24"/>
          <w:szCs w:val="24"/>
        </w:rPr>
        <w:t>禁忌明确化：关于囟门未闭合时的针刺禁忌，优化为“囟门附近的腧穴不宜针刺”（采纳GB/T 21709.20表述，均值0.74），较原“头顶部腧穴不可直刺”更具操作性。</w:t>
      </w:r>
    </w:p>
    <w:p w14:paraId="1F770D40">
      <w:pPr>
        <w:spacing w:line="400" w:lineRule="exact"/>
        <w:ind w:firstLine="482" w:firstLineChars="200"/>
        <w:rPr>
          <w:rFonts w:ascii="仿宋" w:hAnsi="仿宋" w:eastAsia="仿宋"/>
          <w:b/>
          <w:bCs/>
          <w:sz w:val="24"/>
          <w:szCs w:val="24"/>
        </w:rPr>
      </w:pPr>
      <w:r>
        <w:rPr>
          <w:rFonts w:hint="eastAsia" w:ascii="仿宋" w:hAnsi="仿宋" w:eastAsia="仿宋"/>
          <w:b/>
          <w:bCs/>
          <w:sz w:val="24"/>
          <w:szCs w:val="24"/>
        </w:rPr>
        <w:t>3. 基于新证据与共识，更新技术参数与处方</w:t>
      </w:r>
    </w:p>
    <w:p w14:paraId="6C9E682B">
      <w:pPr>
        <w:spacing w:line="400" w:lineRule="exact"/>
        <w:ind w:firstLine="480" w:firstLineChars="200"/>
        <w:rPr>
          <w:rFonts w:ascii="仿宋" w:hAnsi="仿宋" w:eastAsia="仿宋"/>
          <w:sz w:val="24"/>
          <w:szCs w:val="24"/>
        </w:rPr>
      </w:pPr>
      <w:r>
        <w:rPr>
          <w:rFonts w:hint="eastAsia" w:ascii="仿宋" w:hAnsi="仿宋" w:eastAsia="仿宋"/>
          <w:sz w:val="24"/>
          <w:szCs w:val="24"/>
        </w:rPr>
        <w:t>针对艾灸时间调整，考虑小儿耐受性，采纳了更短的单穴艾灸时间“每穴3～10 min”，取代原“5 min～30 min”。</w:t>
      </w:r>
    </w:p>
    <w:p w14:paraId="3B76D0C7">
      <w:pPr>
        <w:spacing w:line="400" w:lineRule="exact"/>
        <w:ind w:firstLine="480" w:firstLineChars="200"/>
        <w:rPr>
          <w:rFonts w:ascii="仿宋" w:hAnsi="仿宋" w:eastAsia="仿宋"/>
          <w:sz w:val="24"/>
          <w:szCs w:val="24"/>
        </w:rPr>
      </w:pPr>
      <w:r>
        <w:rPr>
          <w:rFonts w:hint="eastAsia" w:ascii="仿宋" w:hAnsi="仿宋" w:eastAsia="仿宋"/>
          <w:sz w:val="24"/>
          <w:szCs w:val="24"/>
        </w:rPr>
        <w:t>针具规格补充：在附录中增加更细的34号和36号毫针规格，以满足儿科临床对微创针具的需求。</w:t>
      </w:r>
    </w:p>
    <w:p w14:paraId="6DAD562F">
      <w:pPr>
        <w:spacing w:line="400" w:lineRule="exact"/>
        <w:ind w:firstLine="480" w:firstLineChars="200"/>
        <w:rPr>
          <w:rFonts w:ascii="仿宋" w:hAnsi="仿宋" w:eastAsia="仿宋"/>
          <w:sz w:val="24"/>
          <w:szCs w:val="24"/>
        </w:rPr>
      </w:pPr>
      <w:r>
        <w:rPr>
          <w:rFonts w:hint="eastAsia" w:ascii="仿宋" w:hAnsi="仿宋" w:eastAsia="仿宋"/>
          <w:sz w:val="24"/>
          <w:szCs w:val="24"/>
        </w:rPr>
        <w:t>处方现代化更新：鉴于动物保护法规，在雷火神针配方中，以极高共识度采纳了删除穿山甲并参考GB/T 21709.1的优化处方。</w:t>
      </w:r>
    </w:p>
    <w:p w14:paraId="58E9BB05">
      <w:pPr>
        <w:spacing w:line="400" w:lineRule="exact"/>
        <w:ind w:firstLine="482" w:firstLineChars="200"/>
        <w:rPr>
          <w:rFonts w:ascii="仿宋" w:hAnsi="仿宋" w:eastAsia="仿宋"/>
          <w:b/>
          <w:bCs/>
          <w:sz w:val="24"/>
          <w:szCs w:val="24"/>
        </w:rPr>
      </w:pPr>
      <w:r>
        <w:rPr>
          <w:rFonts w:hint="eastAsia" w:ascii="仿宋" w:hAnsi="仿宋" w:eastAsia="仿宋"/>
          <w:b/>
          <w:bCs/>
          <w:sz w:val="24"/>
          <w:szCs w:val="24"/>
        </w:rPr>
        <w:t>4. 综合多方意见，形成最优技术描述</w:t>
      </w:r>
    </w:p>
    <w:p w14:paraId="3CF8951D">
      <w:pPr>
        <w:spacing w:line="400" w:lineRule="exact"/>
        <w:ind w:firstLine="480" w:firstLineChars="200"/>
        <w:rPr>
          <w:rFonts w:ascii="仿宋" w:hAnsi="仿宋" w:eastAsia="仿宋"/>
          <w:sz w:val="24"/>
          <w:szCs w:val="24"/>
        </w:rPr>
      </w:pPr>
      <w:r>
        <w:rPr>
          <w:rFonts w:hint="eastAsia" w:ascii="仿宋" w:hAnsi="仿宋" w:eastAsia="仿宋"/>
          <w:sz w:val="24"/>
          <w:szCs w:val="24"/>
        </w:rPr>
        <w:t>对于选项复杂或专家意见分散的条目，采取整合多方优点的策略。实按灸法共识度低。结合专家意见，决定综合各标准优点，形成更详尽、安全的操作描述。刺四缝疗程显示专家更倾向于“十四五”规划教材《中医儿科学》中更具灵活性的疗程方案，进行适应性修改“每周刺1～2次,病重者可隔日刺1次,待病情好转后减为每周1次、10天1次或15天1次,最多不超过10次”。</w:t>
      </w:r>
    </w:p>
    <w:p w14:paraId="34EB3939">
      <w:pPr>
        <w:spacing w:line="400" w:lineRule="exact"/>
        <w:outlineLvl w:val="2"/>
        <w:rPr>
          <w:rFonts w:ascii="仿宋" w:hAnsi="仿宋" w:eastAsia="仿宋"/>
          <w:b/>
          <w:bCs/>
          <w:sz w:val="24"/>
          <w:szCs w:val="24"/>
        </w:rPr>
      </w:pPr>
      <w:r>
        <w:rPr>
          <w:rFonts w:hint="eastAsia" w:ascii="仿宋" w:hAnsi="仿宋" w:eastAsia="仿宋"/>
          <w:b/>
          <w:bCs/>
          <w:sz w:val="24"/>
          <w:szCs w:val="24"/>
        </w:rPr>
        <w:t xml:space="preserve">（四）与疾病分类及临床诊疗指南类文件的关系  </w:t>
      </w:r>
    </w:p>
    <w:p w14:paraId="114E84CD">
      <w:pPr>
        <w:spacing w:line="400" w:lineRule="exact"/>
        <w:ind w:firstLine="480" w:firstLineChars="200"/>
        <w:rPr>
          <w:rFonts w:ascii="仿宋" w:hAnsi="仿宋" w:eastAsia="仿宋"/>
          <w:sz w:val="24"/>
          <w:szCs w:val="24"/>
        </w:rPr>
      </w:pPr>
      <w:r>
        <w:rPr>
          <w:rFonts w:hint="eastAsia" w:ascii="仿宋" w:hAnsi="仿宋" w:eastAsia="仿宋"/>
          <w:sz w:val="24"/>
          <w:szCs w:val="24"/>
        </w:rPr>
        <w:t>WHO ICD-11编码用于疾病分类、诊疗原则及治疗策略的指导，本标准主要涉及间接灸操作适应疾病。《中医儿科临床诊疗指南》等文件主要作为背景性与参考性依据，在本标准中并未直接引用，不直接规范中医儿科针灸的具体操作技术。</w:t>
      </w:r>
    </w:p>
    <w:p w14:paraId="47B66075">
      <w:pPr>
        <w:spacing w:line="400" w:lineRule="exact"/>
        <w:ind w:firstLine="480" w:firstLineChars="200"/>
        <w:rPr>
          <w:rFonts w:ascii="仿宋" w:hAnsi="仿宋" w:eastAsia="仿宋"/>
          <w:sz w:val="24"/>
          <w:szCs w:val="24"/>
        </w:rPr>
      </w:pPr>
      <w:r>
        <w:rPr>
          <w:rFonts w:hint="eastAsia" w:ascii="仿宋" w:hAnsi="仿宋" w:eastAsia="仿宋"/>
          <w:sz w:val="24"/>
          <w:szCs w:val="24"/>
        </w:rPr>
        <w:t>本标准不以具体疾病诊断为前提，也不对治疗方案作出规定，保持技术操作规范的独立性和通用性。</w:t>
      </w:r>
    </w:p>
    <w:p w14:paraId="6AC87898">
      <w:pPr>
        <w:spacing w:line="400" w:lineRule="exact"/>
        <w:outlineLvl w:val="2"/>
        <w:rPr>
          <w:rFonts w:ascii="仿宋" w:hAnsi="仿宋" w:eastAsia="仿宋"/>
          <w:b/>
          <w:bCs/>
          <w:sz w:val="24"/>
          <w:szCs w:val="24"/>
        </w:rPr>
      </w:pPr>
      <w:r>
        <w:rPr>
          <w:rFonts w:hint="eastAsia" w:ascii="仿宋" w:hAnsi="仿宋" w:eastAsia="仿宋"/>
          <w:b/>
          <w:bCs/>
          <w:sz w:val="24"/>
          <w:szCs w:val="24"/>
        </w:rPr>
        <w:t>（五）标准适用原则与协调说明</w:t>
      </w:r>
    </w:p>
    <w:p w14:paraId="3698A726">
      <w:pPr>
        <w:spacing w:line="400" w:lineRule="exact"/>
        <w:ind w:firstLine="480" w:firstLineChars="200"/>
        <w:rPr>
          <w:rFonts w:ascii="仿宋" w:hAnsi="仿宋" w:eastAsia="仿宋"/>
          <w:sz w:val="24"/>
          <w:szCs w:val="24"/>
        </w:rPr>
      </w:pPr>
      <w:r>
        <w:rPr>
          <w:rFonts w:hint="eastAsia" w:ascii="仿宋" w:hAnsi="仿宋" w:eastAsia="仿宋"/>
          <w:sz w:val="24"/>
          <w:szCs w:val="24"/>
        </w:rPr>
        <w:t>本标准定位为中医儿科针灸操作技术操作规范，不涉及疾病诊断、疗效评价或具体处方用药选择。在标准实施过程中，应遵循法律法规优先、强制性标准优先、属地管理优先的原则。在符合上述前提条件下，本标准可作为中医儿科临床实践、教学、科研及国际交流中的技术参考文件。</w:t>
      </w:r>
    </w:p>
    <w:p w14:paraId="7B3052FA">
      <w:pPr>
        <w:ind w:firstLine="480" w:firstLineChars="200"/>
        <w:rPr>
          <w:rFonts w:ascii="仿宋" w:hAnsi="仿宋" w:eastAsia="仿宋"/>
          <w:sz w:val="24"/>
          <w:szCs w:val="24"/>
        </w:rPr>
      </w:pPr>
    </w:p>
    <w:p w14:paraId="72F95229">
      <w:pPr>
        <w:keepNext/>
        <w:keepLines/>
        <w:spacing w:line="400" w:lineRule="exact"/>
        <w:outlineLvl w:val="0"/>
        <w:rPr>
          <w:rFonts w:ascii="黑体" w:hAnsi="黑体" w:eastAsia="黑体"/>
          <w:b/>
          <w:bCs/>
          <w:sz w:val="24"/>
          <w:szCs w:val="24"/>
        </w:rPr>
      </w:pPr>
      <w:bookmarkStart w:id="3" w:name="_Toc20720"/>
      <w:r>
        <w:rPr>
          <w:rFonts w:hint="eastAsia" w:ascii="黑体" w:hAnsi="黑体" w:eastAsia="黑体"/>
          <w:b/>
          <w:bCs/>
          <w:sz w:val="24"/>
          <w:szCs w:val="24"/>
        </w:rPr>
        <w:t>四、重大分析意见的处理经过和依据</w:t>
      </w:r>
      <w:bookmarkEnd w:id="3"/>
    </w:p>
    <w:p w14:paraId="5C431A3B">
      <w:pPr>
        <w:spacing w:line="400" w:lineRule="exact"/>
        <w:ind w:firstLine="480" w:firstLineChars="200"/>
        <w:rPr>
          <w:rFonts w:ascii="仿宋" w:hAnsi="仿宋" w:eastAsia="仿宋"/>
          <w:sz w:val="24"/>
          <w:szCs w:val="24"/>
        </w:rPr>
      </w:pPr>
      <w:r>
        <w:rPr>
          <w:rFonts w:hint="eastAsia" w:ascii="仿宋" w:hAnsi="仿宋" w:eastAsia="仿宋"/>
          <w:sz w:val="24"/>
          <w:szCs w:val="24"/>
        </w:rPr>
        <w:t>在《中医技术操作规范 儿科 第3部分：小儿针灸疗法》由国家标准向国际组织标准转化过程中，项目工作组围绕标准的技术内容、适用范围及安全性等关键问题，依次开展了专家问卷调查、专家论证会论证及专家指导组审核等工作，对专家提出的重大意见进行系统梳理、集中分析和规范处理，形成了本标准的最终文本。现将相关意见的处理经过和依据说明如下。</w:t>
      </w:r>
    </w:p>
    <w:p w14:paraId="2E69050F">
      <w:pPr>
        <w:spacing w:line="400" w:lineRule="exact"/>
        <w:rPr>
          <w:rFonts w:ascii="仿宋" w:hAnsi="仿宋" w:eastAsia="仿宋"/>
          <w:b/>
          <w:sz w:val="24"/>
          <w:szCs w:val="24"/>
        </w:rPr>
      </w:pPr>
      <w:r>
        <w:rPr>
          <w:rFonts w:hint="eastAsia" w:ascii="仿宋" w:hAnsi="仿宋" w:eastAsia="仿宋"/>
          <w:b/>
          <w:sz w:val="24"/>
          <w:szCs w:val="24"/>
        </w:rPr>
        <w:t>（一）专家问卷调查意见的汇总与处理</w:t>
      </w:r>
    </w:p>
    <w:p w14:paraId="4F386818">
      <w:pPr>
        <w:spacing w:line="400" w:lineRule="exact"/>
        <w:ind w:firstLine="480" w:firstLineChars="200"/>
        <w:rPr>
          <w:rFonts w:ascii="仿宋" w:hAnsi="仿宋" w:eastAsia="仿宋"/>
          <w:sz w:val="24"/>
          <w:szCs w:val="24"/>
        </w:rPr>
      </w:pPr>
      <w:r>
        <w:rPr>
          <w:rFonts w:hint="eastAsia" w:ascii="仿宋" w:hAnsi="仿宋" w:eastAsia="仿宋"/>
          <w:sz w:val="24"/>
          <w:szCs w:val="24"/>
        </w:rPr>
        <w:t>在文献研究和原国家标准的基础上，项目工作组组织开展了专家问卷调查，广泛征求</w:t>
      </w:r>
      <w:r>
        <w:rPr>
          <w:rFonts w:hint="eastAsia" w:ascii="仿宋" w:hAnsi="仿宋" w:eastAsia="仿宋"/>
          <w:sz w:val="24"/>
          <w:szCs w:val="24"/>
          <w:lang w:eastAsia="zh-CN"/>
        </w:rPr>
        <w:t>海内外</w:t>
      </w:r>
      <w:r>
        <w:rPr>
          <w:rFonts w:hint="eastAsia" w:ascii="仿宋" w:hAnsi="仿宋" w:eastAsia="仿宋"/>
          <w:sz w:val="24"/>
          <w:szCs w:val="24"/>
        </w:rPr>
        <w:t>中医儿科及相关领域专家对《国际中医技术操作规范·儿科·小儿针灸疗法》条文内容的意见。问卷围绕术语定义、技术操作步骤、注意事项与禁忌等方面设置条目，并辅以开放性问题，用于收集专家意见。</w:t>
      </w:r>
    </w:p>
    <w:p w14:paraId="3A9ED5EE">
      <w:pPr>
        <w:spacing w:line="400" w:lineRule="exact"/>
        <w:ind w:firstLine="480" w:firstLineChars="200"/>
        <w:rPr>
          <w:rFonts w:ascii="仿宋" w:hAnsi="仿宋" w:eastAsia="仿宋"/>
          <w:sz w:val="24"/>
          <w:szCs w:val="24"/>
        </w:rPr>
      </w:pPr>
      <w:r>
        <w:rPr>
          <w:rFonts w:hint="eastAsia" w:ascii="仿宋" w:hAnsi="仿宋" w:eastAsia="仿宋"/>
          <w:sz w:val="24"/>
          <w:szCs w:val="24"/>
        </w:rPr>
        <w:t>本次调查问卷发放数34份，回收有效答卷数为34份，专家积极系数100%，参与专家来自中国内地、中国澳门、中国台湾、新加坡、马来西亚、澳大利亚、越南、加拿大等多个国家和地区，具有较高的权威性和国际代表性。根据既定统计与处理原则，对专家意见进行了系统分析和分类处理，具体情况如下。</w:t>
      </w:r>
    </w:p>
    <w:p w14:paraId="054B1D74">
      <w:pPr>
        <w:spacing w:line="400" w:lineRule="exact"/>
        <w:rPr>
          <w:rFonts w:ascii="仿宋" w:hAnsi="仿宋" w:eastAsia="仿宋"/>
          <w:b/>
          <w:bCs/>
          <w:sz w:val="24"/>
          <w:szCs w:val="24"/>
        </w:rPr>
      </w:pPr>
      <w:r>
        <w:rPr>
          <w:rFonts w:hint="eastAsia" w:ascii="仿宋" w:hAnsi="仿宋" w:eastAsia="仿宋"/>
          <w:b/>
          <w:bCs/>
          <w:sz w:val="24"/>
          <w:szCs w:val="24"/>
        </w:rPr>
        <w:t>1  已形成较高共识的意见及处理情况</w:t>
      </w:r>
    </w:p>
    <w:p w14:paraId="35375206">
      <w:pPr>
        <w:spacing w:line="400" w:lineRule="exact"/>
        <w:ind w:firstLine="480" w:firstLineChars="200"/>
        <w:rPr>
          <w:rFonts w:ascii="仿宋" w:hAnsi="仿宋" w:eastAsia="仿宋"/>
          <w:sz w:val="24"/>
          <w:szCs w:val="24"/>
        </w:rPr>
      </w:pPr>
      <w:r>
        <w:rPr>
          <w:rFonts w:hint="eastAsia" w:ascii="仿宋" w:hAnsi="仿宋" w:eastAsia="仿宋"/>
          <w:sz w:val="24"/>
          <w:szCs w:val="24"/>
        </w:rPr>
        <w:t>根据统计方法，凡某一选项获得超过50%专家支持（等级和大于答卷总数一半）的，列为专家共识意见，项目工作组原则上予以采纳，并据此对标准条文进行相应修改或完善。</w:t>
      </w:r>
    </w:p>
    <w:p w14:paraId="7CE1300B">
      <w:pPr>
        <w:spacing w:line="400" w:lineRule="exact"/>
        <w:ind w:firstLine="480" w:firstLineChars="200"/>
        <w:rPr>
          <w:rFonts w:ascii="仿宋" w:hAnsi="仿宋" w:eastAsia="仿宋"/>
          <w:sz w:val="24"/>
          <w:szCs w:val="24"/>
        </w:rPr>
      </w:pPr>
      <w:r>
        <w:rPr>
          <w:rFonts w:hint="eastAsia" w:ascii="仿宋" w:hAnsi="仿宋" w:eastAsia="仿宋"/>
          <w:sz w:val="24"/>
          <w:szCs w:val="24"/>
        </w:rPr>
        <w:t>专家达成较高一致性的意见主要集中在以下几个方面：</w:t>
      </w:r>
    </w:p>
    <w:p w14:paraId="58A9F44D">
      <w:pPr>
        <w:spacing w:line="400" w:lineRule="exact"/>
        <w:ind w:firstLine="480" w:firstLineChars="200"/>
        <w:rPr>
          <w:rFonts w:ascii="仿宋" w:hAnsi="仿宋" w:eastAsia="仿宋"/>
          <w:sz w:val="24"/>
          <w:szCs w:val="24"/>
        </w:rPr>
      </w:pPr>
      <w:r>
        <w:rPr>
          <w:rFonts w:hint="eastAsia" w:ascii="仿宋" w:hAnsi="仿宋" w:eastAsia="仿宋"/>
          <w:sz w:val="24"/>
          <w:szCs w:val="24"/>
        </w:rPr>
        <w:t>一是针灸操作术语与定义的规范化表达。 专家一致同意对“得气”“晕针”“留针”以及“直刺”“斜刺”“平刺”等基础定义进行完善。同时，根据专家建议规范了进针法的命名，如将“指切进针法”定名为“爪切进针法”，将“针管进针法”定名为“管针进针法”，并对夹持、舒张、提捏等进针法的定义进行了统一。</w:t>
      </w:r>
    </w:p>
    <w:p w14:paraId="16AA4358">
      <w:pPr>
        <w:spacing w:line="400" w:lineRule="exact"/>
        <w:ind w:firstLine="480" w:firstLineChars="200"/>
        <w:rPr>
          <w:rFonts w:ascii="仿宋" w:hAnsi="仿宋" w:eastAsia="仿宋"/>
          <w:sz w:val="24"/>
          <w:szCs w:val="24"/>
        </w:rPr>
      </w:pPr>
      <w:r>
        <w:rPr>
          <w:rFonts w:hint="eastAsia" w:ascii="仿宋" w:hAnsi="仿宋" w:eastAsia="仿宋"/>
          <w:sz w:val="24"/>
          <w:szCs w:val="24"/>
        </w:rPr>
        <w:t>二是细化与优化临床操作步骤。 针对毫针辅助手法（循法、刮法、摇法、飞法、震颤法）及单式补泻手法，专家共识倾向于沿用或优化国家标准原文。此外，对三棱针的点刺、刺络、散刺法，以及隔姜灸、隔盐灸、隔附子灸等间接灸的操作步骤进行了补充与明确。</w:t>
      </w:r>
    </w:p>
    <w:p w14:paraId="615A388F">
      <w:pPr>
        <w:spacing w:line="400" w:lineRule="exact"/>
        <w:ind w:firstLine="480" w:firstLineChars="200"/>
        <w:rPr>
          <w:rFonts w:ascii="仿宋" w:hAnsi="仿宋" w:eastAsia="仿宋"/>
          <w:sz w:val="24"/>
          <w:szCs w:val="24"/>
        </w:rPr>
      </w:pPr>
      <w:r>
        <w:rPr>
          <w:rFonts w:hint="eastAsia" w:ascii="仿宋" w:hAnsi="仿宋" w:eastAsia="仿宋"/>
          <w:sz w:val="24"/>
          <w:szCs w:val="24"/>
        </w:rPr>
        <w:t>三是强化小儿针灸操作的特殊性与安全性。 针对小儿体质，专家对“刺四缝疗程”“艾灸治疗时间及疗程”达成高度共识，并特别强调了“小儿囟门未闭合时，其附近腧穴不宜针刺”的安全规范。在药条灸方面，明确了“雷火神针”的药物组成与制作工艺。</w:t>
      </w:r>
    </w:p>
    <w:p w14:paraId="6D86C573">
      <w:pPr>
        <w:spacing w:line="400" w:lineRule="exact"/>
        <w:ind w:firstLine="480" w:firstLineChars="200"/>
        <w:rPr>
          <w:rFonts w:ascii="仿宋" w:hAnsi="仿宋" w:eastAsia="仿宋"/>
          <w:sz w:val="24"/>
          <w:szCs w:val="24"/>
        </w:rPr>
      </w:pPr>
      <w:r>
        <w:rPr>
          <w:rFonts w:hint="eastAsia" w:ascii="仿宋" w:hAnsi="仿宋" w:eastAsia="仿宋"/>
          <w:sz w:val="24"/>
          <w:szCs w:val="24"/>
        </w:rPr>
        <w:t>四是删除不适用的描述如删除“三棱针治疗出血量计算”“隔黄土灸”“隔胡椒饼灸”等。</w:t>
      </w:r>
    </w:p>
    <w:p w14:paraId="79ED6540">
      <w:pPr>
        <w:spacing w:line="400" w:lineRule="exact"/>
        <w:ind w:firstLine="480" w:firstLineChars="200"/>
        <w:rPr>
          <w:rFonts w:ascii="仿宋" w:hAnsi="仿宋" w:eastAsia="仿宋"/>
          <w:sz w:val="24"/>
          <w:szCs w:val="24"/>
        </w:rPr>
      </w:pPr>
      <w:r>
        <w:rPr>
          <w:rFonts w:hint="eastAsia" w:ascii="仿宋" w:hAnsi="仿宋" w:eastAsia="仿宋"/>
          <w:sz w:val="24"/>
          <w:szCs w:val="24"/>
        </w:rPr>
        <w:t>四是完善标准结构的完整性与严谨性。 高比例专家（支持率90%以上）同意修改“范围”“规范性引用文件”“穴位选择”“施术后处理”等章节内容。同时，对具有较高技术难度的“烧山火”与“透天凉”法的技术要点及操作细节进行了深度完善，并增加了悬起灸（温和灸）的细节描述。</w:t>
      </w:r>
    </w:p>
    <w:p w14:paraId="3490302B">
      <w:pPr>
        <w:spacing w:line="400" w:lineRule="exact"/>
        <w:ind w:firstLine="480" w:firstLineChars="200"/>
        <w:rPr>
          <w:rFonts w:ascii="仿宋" w:hAnsi="仿宋" w:eastAsia="仿宋"/>
          <w:sz w:val="24"/>
          <w:szCs w:val="24"/>
        </w:rPr>
      </w:pPr>
      <w:r>
        <w:rPr>
          <w:rFonts w:hint="eastAsia" w:ascii="仿宋" w:hAnsi="仿宋" w:eastAsia="仿宋"/>
          <w:sz w:val="24"/>
          <w:szCs w:val="24"/>
        </w:rPr>
        <w:t>五是删除不适用的陈旧描述。 专家组决定删除标准中不再适用或临床罕用的内容，包括“三棱针治疗出血量计算”“隔黄土灸”以及“隔胡椒饼灸”等条目，以保证标准的实用性。</w:t>
      </w:r>
    </w:p>
    <w:p w14:paraId="7C707238">
      <w:pPr>
        <w:spacing w:line="400" w:lineRule="exact"/>
        <w:rPr>
          <w:rFonts w:ascii="仿宋" w:hAnsi="仿宋" w:eastAsia="仿宋"/>
          <w:b/>
          <w:bCs/>
          <w:sz w:val="24"/>
          <w:szCs w:val="24"/>
        </w:rPr>
      </w:pPr>
      <w:r>
        <w:rPr>
          <w:rFonts w:hint="eastAsia" w:ascii="仿宋" w:hAnsi="仿宋" w:eastAsia="仿宋"/>
          <w:b/>
          <w:bCs/>
          <w:sz w:val="24"/>
          <w:szCs w:val="24"/>
        </w:rPr>
        <w:t>2  存在分歧的意见及处理原则</w:t>
      </w:r>
    </w:p>
    <w:p w14:paraId="231A6B32">
      <w:pPr>
        <w:spacing w:line="400" w:lineRule="exact"/>
        <w:ind w:firstLine="480" w:firstLineChars="200"/>
        <w:rPr>
          <w:rFonts w:ascii="仿宋" w:hAnsi="仿宋" w:eastAsia="仿宋"/>
          <w:sz w:val="24"/>
          <w:szCs w:val="24"/>
        </w:rPr>
      </w:pPr>
      <w:r>
        <w:rPr>
          <w:rFonts w:hint="eastAsia" w:ascii="仿宋" w:hAnsi="仿宋" w:eastAsia="仿宋"/>
          <w:sz w:val="24"/>
          <w:szCs w:val="24"/>
        </w:rPr>
        <w:t>问卷调查中，部分条目各选项支持率接近，未形成明显多数意见，主要集中在以下方面：</w:t>
      </w:r>
    </w:p>
    <w:p w14:paraId="69111639">
      <w:pPr>
        <w:spacing w:line="400" w:lineRule="exact"/>
        <w:ind w:firstLine="480" w:firstLineChars="200"/>
        <w:rPr>
          <w:rFonts w:ascii="仿宋" w:hAnsi="仿宋" w:eastAsia="仿宋"/>
          <w:sz w:val="24"/>
          <w:szCs w:val="24"/>
        </w:rPr>
      </w:pPr>
      <w:r>
        <w:rPr>
          <w:rFonts w:hint="eastAsia" w:ascii="仿宋" w:hAnsi="仿宋" w:eastAsia="仿宋"/>
          <w:sz w:val="24"/>
          <w:szCs w:val="24"/>
        </w:rPr>
        <w:t>一是针刺操作的定义和细节，包括平刺的命名与定义和弹法操作（弹叩针柄法）。</w:t>
      </w:r>
    </w:p>
    <w:p w14:paraId="4257888B">
      <w:pPr>
        <w:spacing w:line="400" w:lineRule="exact"/>
        <w:ind w:firstLine="480" w:firstLineChars="200"/>
        <w:rPr>
          <w:rFonts w:ascii="仿宋" w:hAnsi="仿宋" w:eastAsia="仿宋"/>
          <w:sz w:val="24"/>
          <w:szCs w:val="24"/>
        </w:rPr>
      </w:pPr>
      <w:r>
        <w:rPr>
          <w:rFonts w:hint="eastAsia" w:ascii="仿宋" w:hAnsi="仿宋" w:eastAsia="仿宋"/>
          <w:sz w:val="24"/>
          <w:szCs w:val="24"/>
        </w:rPr>
        <w:t>二是艾灸的操作步骤和注意事项，包括实按灸法操作步骤和艾灸术后护理。</w:t>
      </w:r>
    </w:p>
    <w:p w14:paraId="715BC705">
      <w:pPr>
        <w:spacing w:line="400" w:lineRule="exact"/>
        <w:ind w:firstLine="480" w:firstLineChars="200"/>
        <w:rPr>
          <w:rFonts w:ascii="仿宋" w:hAnsi="仿宋" w:eastAsia="仿宋"/>
          <w:sz w:val="24"/>
          <w:szCs w:val="24"/>
        </w:rPr>
      </w:pPr>
      <w:r>
        <w:rPr>
          <w:rFonts w:hint="eastAsia" w:ascii="仿宋" w:hAnsi="仿宋" w:eastAsia="仿宋"/>
          <w:sz w:val="24"/>
          <w:szCs w:val="24"/>
        </w:rPr>
        <w:t>针对上述争议条目，项目工作组未简单以票数决定取舍，而是将相关统计结果、不同选项内容及专家文字意见汇总整理，并由项目组初步针对不同规范来源（国家标准、国际组织标准、团体标准等）的合理内容进行整合吸收，形成兼顾安全性与可操作性的综合表述一并提交专家论证会，作为重点讨论内容。</w:t>
      </w:r>
    </w:p>
    <w:p w14:paraId="76D5856F">
      <w:pPr>
        <w:spacing w:line="400" w:lineRule="exact"/>
        <w:rPr>
          <w:rFonts w:ascii="仿宋" w:hAnsi="仿宋" w:eastAsia="仿宋"/>
          <w:b/>
          <w:bCs/>
          <w:sz w:val="24"/>
          <w:szCs w:val="24"/>
        </w:rPr>
      </w:pPr>
      <w:r>
        <w:rPr>
          <w:rFonts w:hint="eastAsia" w:ascii="仿宋" w:hAnsi="仿宋" w:eastAsia="仿宋"/>
          <w:b/>
          <w:bCs/>
          <w:sz w:val="24"/>
          <w:szCs w:val="24"/>
        </w:rPr>
        <w:t>3  开放性意见的处理说明</w:t>
      </w:r>
    </w:p>
    <w:p w14:paraId="416BCFF5">
      <w:pPr>
        <w:spacing w:line="400" w:lineRule="exact"/>
        <w:ind w:firstLine="480" w:firstLineChars="200"/>
        <w:rPr>
          <w:rFonts w:ascii="仿宋" w:hAnsi="仿宋" w:eastAsia="仿宋"/>
          <w:sz w:val="24"/>
          <w:szCs w:val="24"/>
        </w:rPr>
      </w:pPr>
      <w:r>
        <w:rPr>
          <w:rFonts w:hint="eastAsia" w:ascii="仿宋" w:hAnsi="仿宋" w:eastAsia="仿宋"/>
          <w:sz w:val="24"/>
          <w:szCs w:val="24"/>
        </w:rPr>
        <w:t>一是补充与完善技术参数：采纳专家建议，在附录中新增了三棱针规格（大号Ф2.6mm、小号Ф1.6mm），填补了</w:t>
      </w:r>
      <w:r>
        <w:rPr>
          <w:rFonts w:hint="eastAsia" w:ascii="仿宋" w:hAnsi="仿宋" w:eastAsia="仿宋"/>
          <w:sz w:val="24"/>
          <w:szCs w:val="24"/>
          <w:lang w:eastAsia="zh-CN"/>
        </w:rPr>
        <w:t>海内外</w:t>
      </w:r>
      <w:r>
        <w:rPr>
          <w:rFonts w:hint="eastAsia" w:ascii="仿宋" w:hAnsi="仿宋" w:eastAsia="仿宋"/>
          <w:sz w:val="24"/>
          <w:szCs w:val="24"/>
        </w:rPr>
        <w:t>标准对三棱针尺寸规定的空白；同时引入现代艾灸仪定义，体现标准与临床新技术的同步性；二是规范术语定义与药物表述： 针对灸疮用药修改意见，因标准条文已调整为“由外科医师协助处理”，相关药物表述按需优化，不再保留争议内容；三是优化国际化表述： 采纳专家对英文标题的修订建议，并最终采用世中联立项通知的官方译名，确保学术规范。</w:t>
      </w:r>
    </w:p>
    <w:p w14:paraId="66D83045">
      <w:pPr>
        <w:spacing w:line="400" w:lineRule="exact"/>
        <w:ind w:firstLine="480" w:firstLineChars="200"/>
        <w:rPr>
          <w:rFonts w:ascii="仿宋" w:hAnsi="仿宋" w:eastAsia="仿宋"/>
          <w:sz w:val="24"/>
          <w:szCs w:val="24"/>
        </w:rPr>
      </w:pPr>
      <w:r>
        <w:rPr>
          <w:rFonts w:hint="eastAsia" w:ascii="仿宋" w:hAnsi="仿宋" w:eastAsia="仿宋"/>
          <w:sz w:val="24"/>
          <w:szCs w:val="24"/>
        </w:rPr>
        <w:t>综上，专家问卷调查意见为本标准的修订提供了重要依据。项目工作组在充分尊重专家共识的基础上，对存在争议和开放性问题采取审慎的处理策略，为后续专家论证会和专家指导组审核奠定了坚实基础。</w:t>
      </w:r>
    </w:p>
    <w:p w14:paraId="4675654C">
      <w:pPr>
        <w:spacing w:line="400" w:lineRule="exact"/>
        <w:ind w:firstLine="480" w:firstLineChars="200"/>
        <w:rPr>
          <w:rFonts w:ascii="仿宋" w:hAnsi="仿宋" w:eastAsia="仿宋"/>
          <w:sz w:val="24"/>
          <w:szCs w:val="24"/>
        </w:rPr>
      </w:pPr>
      <w:r>
        <w:rPr>
          <w:rFonts w:hint="eastAsia" w:ascii="仿宋" w:hAnsi="仿宋" w:eastAsia="仿宋"/>
          <w:sz w:val="24"/>
          <w:szCs w:val="24"/>
        </w:rPr>
        <w:t>具体内容详见“附件</w:t>
      </w:r>
      <w:r>
        <w:rPr>
          <w:rFonts w:ascii="仿宋" w:hAnsi="仿宋" w:eastAsia="仿宋"/>
          <w:sz w:val="24"/>
          <w:szCs w:val="24"/>
        </w:rPr>
        <w:t>1</w:t>
      </w:r>
      <w:r>
        <w:rPr>
          <w:rFonts w:hint="eastAsia" w:ascii="仿宋" w:hAnsi="仿宋" w:eastAsia="仿宋"/>
          <w:sz w:val="24"/>
          <w:szCs w:val="24"/>
        </w:rPr>
        <w:t>：专家调查问卷报告”。</w:t>
      </w:r>
    </w:p>
    <w:p w14:paraId="0A550560">
      <w:pPr>
        <w:spacing w:line="400" w:lineRule="exact"/>
        <w:rPr>
          <w:rFonts w:ascii="仿宋" w:hAnsi="仿宋" w:eastAsia="仿宋"/>
          <w:b/>
          <w:sz w:val="24"/>
          <w:szCs w:val="24"/>
        </w:rPr>
      </w:pPr>
      <w:r>
        <w:rPr>
          <w:rFonts w:hint="eastAsia" w:ascii="仿宋" w:hAnsi="仿宋" w:eastAsia="仿宋"/>
          <w:b/>
          <w:sz w:val="24"/>
          <w:szCs w:val="24"/>
        </w:rPr>
        <w:t>（二）专家论证会意见的集中说明与处理</w:t>
      </w:r>
    </w:p>
    <w:p w14:paraId="57F5D842">
      <w:pPr>
        <w:spacing w:line="400" w:lineRule="exact"/>
        <w:ind w:firstLine="480" w:firstLineChars="200"/>
        <w:rPr>
          <w:rFonts w:ascii="仿宋" w:hAnsi="仿宋" w:eastAsia="仿宋"/>
          <w:sz w:val="24"/>
          <w:szCs w:val="24"/>
        </w:rPr>
      </w:pPr>
      <w:r>
        <w:rPr>
          <w:rFonts w:hint="eastAsia" w:ascii="仿宋" w:hAnsi="仿宋" w:eastAsia="仿宋"/>
          <w:sz w:val="24"/>
          <w:szCs w:val="24"/>
        </w:rPr>
        <w:t>在完成专家问卷调查意见汇总的基础上，项目工作组于2025年12月3日召开《国际中医技术操作规范 儿科 第3部分：小儿针灸疗法》专家论证会。参会人员为邀请论证会专家和项目组成员，包括了中华中医药学会儿科分会历届主任委员和世界中联儿科专业委员会会长等权威性专家，会议采取线下与线上相结合的方式进行，围绕国家标准向世界中医药学会联合会（WFCMS）国际组织标准转化过程中涉及的关键技术问题和争议条目，进行集中论证和决策。</w:t>
      </w:r>
    </w:p>
    <w:p w14:paraId="753818F4">
      <w:pPr>
        <w:spacing w:line="400" w:lineRule="exact"/>
        <w:rPr>
          <w:rFonts w:ascii="仿宋" w:hAnsi="仿宋" w:eastAsia="仿宋"/>
          <w:b/>
          <w:bCs/>
          <w:sz w:val="24"/>
          <w:szCs w:val="24"/>
        </w:rPr>
      </w:pPr>
      <w:r>
        <w:rPr>
          <w:rFonts w:hint="eastAsia" w:ascii="仿宋" w:hAnsi="仿宋" w:eastAsia="仿宋"/>
          <w:b/>
          <w:bCs/>
          <w:sz w:val="24"/>
          <w:szCs w:val="24"/>
        </w:rPr>
        <w:t>1  论证会的工作方式与定位</w:t>
      </w:r>
    </w:p>
    <w:p w14:paraId="33C3638C">
      <w:pPr>
        <w:spacing w:line="400" w:lineRule="exact"/>
        <w:ind w:firstLine="480" w:firstLineChars="200"/>
        <w:rPr>
          <w:rFonts w:ascii="仿宋" w:hAnsi="仿宋" w:eastAsia="仿宋"/>
          <w:sz w:val="24"/>
          <w:szCs w:val="24"/>
        </w:rPr>
      </w:pPr>
      <w:r>
        <w:rPr>
          <w:rFonts w:hint="eastAsia" w:ascii="仿宋" w:hAnsi="仿宋" w:eastAsia="仿宋"/>
          <w:sz w:val="24"/>
          <w:szCs w:val="24"/>
        </w:rPr>
        <w:t>为提高会议效率并确保专家意见表达的充分性和客观性，本次专家论证会未对所有争议条目逐条进行现场表决或详细论证，而是采取“会前充分准备、会中重点说明、会后量化决策”的工作模式。</w:t>
      </w:r>
    </w:p>
    <w:p w14:paraId="666F92D4">
      <w:pPr>
        <w:spacing w:line="400" w:lineRule="exact"/>
        <w:ind w:firstLine="480" w:firstLineChars="200"/>
        <w:rPr>
          <w:rFonts w:ascii="仿宋" w:hAnsi="仿宋" w:eastAsia="仿宋"/>
          <w:sz w:val="24"/>
          <w:szCs w:val="24"/>
        </w:rPr>
      </w:pPr>
      <w:r>
        <w:rPr>
          <w:rFonts w:hint="eastAsia" w:ascii="仿宋" w:hAnsi="仿宋" w:eastAsia="仿宋"/>
          <w:sz w:val="24"/>
          <w:szCs w:val="24"/>
        </w:rPr>
        <w:t>会前，项目工作组已向全体专家发送完整的论证材料，包括：专家问卷调查总结报告；专家论证会征求意见函（列出4项核心争议条目、开放性问题及项目组整合建议）；原国家标准文本。专家在会前已完成对争议条目的独立审阅，并对各条目进行初步判断。论证会的主要任务是由项目工作组对争议焦点、不同修改方案及其技术背景进行集中说明，明确各条目的技术要点、争议来源及可能的处理方向，为专家会后独立评分和书面反馈提供统一理解基础。</w:t>
      </w:r>
    </w:p>
    <w:p w14:paraId="1D93F3A0">
      <w:pPr>
        <w:spacing w:line="400" w:lineRule="exact"/>
        <w:rPr>
          <w:rFonts w:ascii="仿宋" w:hAnsi="仿宋" w:eastAsia="仿宋"/>
          <w:b/>
          <w:bCs/>
          <w:sz w:val="24"/>
          <w:szCs w:val="24"/>
        </w:rPr>
      </w:pPr>
      <w:r>
        <w:rPr>
          <w:rFonts w:hint="eastAsia" w:ascii="仿宋" w:hAnsi="仿宋" w:eastAsia="仿宋"/>
          <w:b/>
          <w:bCs/>
          <w:sz w:val="24"/>
          <w:szCs w:val="24"/>
        </w:rPr>
        <w:t>2  专家意见的形成与采集方式</w:t>
      </w:r>
    </w:p>
    <w:p w14:paraId="5D92806E">
      <w:pPr>
        <w:spacing w:line="400" w:lineRule="exact"/>
        <w:ind w:firstLine="480" w:firstLineChars="200"/>
        <w:rPr>
          <w:rFonts w:ascii="仿宋" w:hAnsi="仿宋" w:eastAsia="仿宋"/>
          <w:sz w:val="24"/>
          <w:szCs w:val="24"/>
        </w:rPr>
      </w:pPr>
      <w:r>
        <w:rPr>
          <w:rFonts w:hint="eastAsia" w:ascii="仿宋" w:hAnsi="仿宋" w:eastAsia="仿宋"/>
          <w:sz w:val="24"/>
          <w:szCs w:val="24"/>
        </w:rPr>
        <w:t>会议过程中，专家围绕部分重点问题进行了方向性交流和原则性讨论。会议经讨论一致决定，对相关内容进行修改，以增强标准的实用性与安全性。</w:t>
      </w:r>
    </w:p>
    <w:p w14:paraId="2E712EE4">
      <w:pPr>
        <w:spacing w:line="400" w:lineRule="exact"/>
        <w:ind w:firstLine="480" w:firstLineChars="200"/>
        <w:rPr>
          <w:rFonts w:ascii="仿宋" w:hAnsi="仿宋" w:eastAsia="仿宋"/>
          <w:sz w:val="24"/>
          <w:szCs w:val="24"/>
        </w:rPr>
      </w:pPr>
      <w:r>
        <w:rPr>
          <w:rFonts w:hint="eastAsia" w:ascii="仿宋" w:hAnsi="仿宋" w:eastAsia="仿宋"/>
          <w:sz w:val="24"/>
          <w:szCs w:val="24"/>
        </w:rPr>
        <w:t>会议未对争议条目逐项形成现场决议。会议结束后，项目工作组按照既定程序，统一收回专家填写的《征求意见函》。专家在函中对各争议条目进行了量化打分（须选/可选）并附文字修改意见，形成了完整、可统计、可追溯的专家意见数据。</w:t>
      </w:r>
    </w:p>
    <w:p w14:paraId="57DE8ED3">
      <w:pPr>
        <w:spacing w:line="400" w:lineRule="exact"/>
        <w:rPr>
          <w:rFonts w:ascii="仿宋" w:hAnsi="仿宋" w:eastAsia="仿宋"/>
          <w:b/>
          <w:bCs/>
          <w:sz w:val="24"/>
          <w:szCs w:val="24"/>
        </w:rPr>
      </w:pPr>
      <w:r>
        <w:rPr>
          <w:rFonts w:hint="eastAsia" w:ascii="仿宋" w:hAnsi="仿宋" w:eastAsia="仿宋"/>
          <w:b/>
          <w:bCs/>
          <w:sz w:val="24"/>
          <w:szCs w:val="24"/>
        </w:rPr>
        <w:t>3  会后专家意见的统计分析与处理原则</w:t>
      </w:r>
    </w:p>
    <w:p w14:paraId="54679AD2">
      <w:pPr>
        <w:spacing w:line="400" w:lineRule="exact"/>
        <w:ind w:firstLine="480" w:firstLineChars="200"/>
        <w:rPr>
          <w:rFonts w:ascii="仿宋" w:hAnsi="仿宋" w:eastAsia="仿宋"/>
          <w:sz w:val="24"/>
          <w:szCs w:val="24"/>
        </w:rPr>
      </w:pPr>
      <w:r>
        <w:rPr>
          <w:rFonts w:hint="eastAsia" w:ascii="仿宋" w:hAnsi="仿宋" w:eastAsia="仿宋"/>
          <w:sz w:val="24"/>
          <w:szCs w:val="24"/>
        </w:rPr>
        <w:t>项目工作组在会议结束后，对回收的征求意见函进行系统整理和统计分析，作为本次标准修订的重要决策依据。</w:t>
      </w:r>
    </w:p>
    <w:p w14:paraId="64C7285F">
      <w:pPr>
        <w:spacing w:line="400" w:lineRule="exact"/>
        <w:ind w:firstLine="480" w:firstLineChars="200"/>
        <w:rPr>
          <w:rFonts w:ascii="仿宋" w:hAnsi="仿宋" w:eastAsia="仿宋"/>
          <w:sz w:val="24"/>
          <w:szCs w:val="24"/>
        </w:rPr>
      </w:pPr>
      <w:r>
        <w:rPr>
          <w:rFonts w:hint="eastAsia" w:ascii="仿宋" w:hAnsi="仿宋" w:eastAsia="仿宋"/>
          <w:sz w:val="24"/>
          <w:szCs w:val="24"/>
        </w:rPr>
        <w:t>处理原则如下：对支持率明显较高、专家意见趋于一致的条目，直接采纳相应修改建议；对存在少量不同意见但不影响技术安全性和标准定位的条目，结合专家文字意见进行表述优化；对支持率不足或涉及技术成熟度、证据不足的条目，原则上暂缓纳入本次标准转化文本。</w:t>
      </w:r>
    </w:p>
    <w:p w14:paraId="56FDE616">
      <w:pPr>
        <w:spacing w:line="400" w:lineRule="exact"/>
        <w:ind w:firstLine="480" w:firstLineChars="200"/>
        <w:rPr>
          <w:rFonts w:ascii="仿宋" w:hAnsi="仿宋" w:eastAsia="仿宋"/>
          <w:sz w:val="24"/>
          <w:szCs w:val="24"/>
        </w:rPr>
      </w:pPr>
      <w:r>
        <w:rPr>
          <w:rFonts w:hint="eastAsia" w:ascii="仿宋" w:hAnsi="仿宋" w:eastAsia="仿宋"/>
          <w:sz w:val="24"/>
          <w:szCs w:val="24"/>
        </w:rPr>
        <w:t>通过上述方式，专家论证会充分发挥了专家集体智慧的作用，使标准修订既体现专家共识，又保持决策过程的科学性和规范性。经专家论证会论证，专家一致认为本标准总体技术方案成熟，修改方向明确，可以作为国际组织标准转化文本的基础。</w:t>
      </w:r>
    </w:p>
    <w:p w14:paraId="4892BA66">
      <w:pPr>
        <w:spacing w:line="400" w:lineRule="exact"/>
        <w:ind w:firstLine="480" w:firstLineChars="200"/>
        <w:rPr>
          <w:rFonts w:ascii="仿宋" w:hAnsi="仿宋" w:eastAsia="仿宋"/>
          <w:sz w:val="24"/>
          <w:szCs w:val="24"/>
        </w:rPr>
      </w:pPr>
      <w:r>
        <w:rPr>
          <w:rFonts w:ascii="仿宋" w:hAnsi="仿宋" w:eastAsia="仿宋"/>
          <w:sz w:val="24"/>
          <w:szCs w:val="24"/>
        </w:rPr>
        <w:t>详见</w:t>
      </w:r>
      <w:r>
        <w:rPr>
          <w:rFonts w:hint="eastAsia" w:ascii="仿宋" w:hAnsi="仿宋" w:eastAsia="仿宋"/>
          <w:sz w:val="24"/>
          <w:szCs w:val="24"/>
        </w:rPr>
        <w:t>“</w:t>
      </w:r>
      <w:r>
        <w:rPr>
          <w:rFonts w:ascii="仿宋" w:hAnsi="仿宋" w:eastAsia="仿宋"/>
          <w:sz w:val="24"/>
          <w:szCs w:val="24"/>
        </w:rPr>
        <w:t>附件2</w:t>
      </w:r>
      <w:r>
        <w:rPr>
          <w:rFonts w:hint="eastAsia" w:ascii="仿宋" w:hAnsi="仿宋" w:eastAsia="仿宋"/>
          <w:sz w:val="24"/>
          <w:szCs w:val="24"/>
        </w:rPr>
        <w:t>：</w:t>
      </w:r>
      <w:r>
        <w:rPr>
          <w:rFonts w:hint="eastAsia" w:ascii="仿宋" w:hAnsi="仿宋" w:eastAsia="仿宋" w:cs="仿宋"/>
          <w:sz w:val="24"/>
          <w:szCs w:val="24"/>
        </w:rPr>
        <w:t>专家论证会会议纪要”。</w:t>
      </w:r>
    </w:p>
    <w:p w14:paraId="5D8151A6">
      <w:pPr>
        <w:spacing w:line="400" w:lineRule="exact"/>
        <w:rPr>
          <w:rFonts w:ascii="仿宋" w:hAnsi="仿宋" w:eastAsia="仿宋"/>
          <w:b/>
          <w:bCs/>
          <w:sz w:val="24"/>
          <w:szCs w:val="24"/>
        </w:rPr>
      </w:pPr>
      <w:r>
        <w:rPr>
          <w:rFonts w:hint="eastAsia" w:ascii="仿宋" w:hAnsi="仿宋" w:eastAsia="仿宋"/>
          <w:b/>
          <w:bCs/>
          <w:sz w:val="24"/>
          <w:szCs w:val="24"/>
        </w:rPr>
        <w:t>（三）专家指导组审核</w:t>
      </w:r>
    </w:p>
    <w:p w14:paraId="2997581E">
      <w:pPr>
        <w:spacing w:line="400" w:lineRule="exact"/>
        <w:ind w:firstLine="480" w:firstLineChars="200"/>
        <w:rPr>
          <w:rFonts w:ascii="仿宋" w:hAnsi="仿宋" w:eastAsia="仿宋"/>
          <w:sz w:val="24"/>
          <w:szCs w:val="24"/>
        </w:rPr>
      </w:pPr>
      <w:r>
        <w:rPr>
          <w:rFonts w:hint="eastAsia" w:ascii="仿宋" w:hAnsi="仿宋" w:eastAsia="仿宋"/>
          <w:sz w:val="24"/>
          <w:szCs w:val="24"/>
        </w:rPr>
        <w:t>在完成专家问卷调查和专家论证会意见处理的基础上，项目工作组根据专家共识形成了《国际中医技术操作规范 儿科 第3部分：小儿针灸疗法》草案初稿，并将该稿连同编制说明、专家意见汇总材料等一并提交专家指导组进行审核。</w:t>
      </w:r>
    </w:p>
    <w:p w14:paraId="51555B54">
      <w:pPr>
        <w:spacing w:line="400" w:lineRule="exact"/>
        <w:ind w:firstLine="480" w:firstLineChars="200"/>
        <w:rPr>
          <w:rFonts w:ascii="仿宋" w:hAnsi="仿宋" w:eastAsia="仿宋"/>
          <w:sz w:val="24"/>
          <w:szCs w:val="24"/>
        </w:rPr>
      </w:pPr>
      <w:r>
        <w:rPr>
          <w:rFonts w:hint="eastAsia" w:ascii="仿宋" w:hAnsi="仿宋" w:eastAsia="仿宋"/>
          <w:sz w:val="24"/>
          <w:szCs w:val="24"/>
        </w:rPr>
        <w:t>专家指导组从标准定位、技术边界、文本规范性及国际转化可行性等方面，对标准修改稿进行了整体审阅与把关。针对审核过程中提出的意见，项目工作组逐条进行研究和落实，相关修改均未涉及技术内容实质性调整，而是对标准的完整性、严谨性和可读性进行进一步完善。</w:t>
      </w:r>
    </w:p>
    <w:p w14:paraId="0128518E">
      <w:pPr>
        <w:spacing w:line="400" w:lineRule="exact"/>
        <w:ind w:firstLine="480" w:firstLineChars="200"/>
        <w:rPr>
          <w:rFonts w:ascii="仿宋" w:hAnsi="仿宋" w:eastAsia="仿宋"/>
          <w:sz w:val="24"/>
          <w:szCs w:val="24"/>
        </w:rPr>
      </w:pPr>
      <w:r>
        <w:rPr>
          <w:rFonts w:hint="eastAsia" w:ascii="仿宋" w:hAnsi="仿宋" w:eastAsia="仿宋"/>
          <w:sz w:val="24"/>
          <w:szCs w:val="24"/>
        </w:rPr>
        <w:t>在充分吸收专家指导组审核意见的基础上，项目工作组对标准草案文本和编制说明进行了最终修改，形成了本标准的定稿文本，为后续履行国际组织标准报批程序奠定了基础。</w:t>
      </w:r>
    </w:p>
    <w:p w14:paraId="6B505827">
      <w:pPr>
        <w:keepNext/>
        <w:keepLines/>
        <w:spacing w:line="400" w:lineRule="exact"/>
        <w:outlineLvl w:val="0"/>
        <w:rPr>
          <w:rFonts w:ascii="黑体" w:hAnsi="黑体" w:eastAsia="黑体"/>
          <w:b/>
          <w:bCs/>
          <w:sz w:val="24"/>
          <w:szCs w:val="24"/>
        </w:rPr>
      </w:pPr>
      <w:bookmarkStart w:id="4" w:name="_Toc25468"/>
      <w:r>
        <w:rPr>
          <w:rFonts w:hint="eastAsia" w:ascii="黑体" w:hAnsi="黑体" w:eastAsia="黑体"/>
          <w:b/>
          <w:bCs/>
          <w:sz w:val="24"/>
          <w:szCs w:val="24"/>
        </w:rPr>
        <w:t>五、作为国际组织标准的建议</w:t>
      </w:r>
      <w:bookmarkEnd w:id="4"/>
    </w:p>
    <w:p w14:paraId="656C7509">
      <w:pPr>
        <w:spacing w:line="400" w:lineRule="exact"/>
        <w:ind w:firstLine="480" w:firstLineChars="200"/>
        <w:rPr>
          <w:rFonts w:ascii="仿宋" w:hAnsi="仿宋" w:eastAsia="仿宋"/>
          <w:sz w:val="24"/>
          <w:szCs w:val="24"/>
        </w:rPr>
      </w:pPr>
      <w:r>
        <w:rPr>
          <w:rFonts w:hint="eastAsia" w:ascii="仿宋" w:hAnsi="仿宋" w:eastAsia="仿宋"/>
          <w:sz w:val="24"/>
          <w:szCs w:val="24"/>
        </w:rPr>
        <w:t>《国际中医技术操作规范 儿科 第3部分：小儿针灸疗法》作为世界中医药学会联合会发布的国际组织标准，旨在规范中医儿科临床中小儿针灸疗法相关技术操作，为不同国家和地区开展中医儿科诊疗活动提供可参考、可借鉴的技术依据。</w:t>
      </w:r>
    </w:p>
    <w:p w14:paraId="1E6058AA">
      <w:pPr>
        <w:spacing w:line="400" w:lineRule="exact"/>
        <w:ind w:firstLine="480" w:firstLineChars="200"/>
        <w:rPr>
          <w:rFonts w:ascii="仿宋" w:hAnsi="仿宋" w:eastAsia="仿宋"/>
          <w:sz w:val="24"/>
          <w:szCs w:val="24"/>
        </w:rPr>
      </w:pPr>
      <w:r>
        <w:rPr>
          <w:rFonts w:hint="eastAsia" w:ascii="仿宋" w:hAnsi="仿宋" w:eastAsia="仿宋"/>
          <w:sz w:val="24"/>
          <w:szCs w:val="24"/>
        </w:rPr>
        <w:t>本标准不具有强制性，不作为医疗行为准入或执业资格认定依据，也不替代各国及地区现行法律法规、强制性标准或临床诊疗指南。标准的主要作用在于：规范中医儿科针灸疗法操作流程；提升相关技术操作的安全性和一致性；为临床实践、教学培训及国际交流提供统一的技术语言和操作框架。在具体应用过程中，各国和地区可结合自身法律法规、医疗管理制度及临床实际情况，对本标准内容进行合理选用。</w:t>
      </w:r>
    </w:p>
    <w:p w14:paraId="5ABF402E">
      <w:pPr>
        <w:keepNext/>
        <w:keepLines/>
        <w:spacing w:line="400" w:lineRule="exact"/>
        <w:outlineLvl w:val="0"/>
        <w:rPr>
          <w:rFonts w:ascii="黑体" w:hAnsi="黑体" w:eastAsia="黑体"/>
          <w:b/>
          <w:bCs/>
          <w:sz w:val="24"/>
          <w:szCs w:val="24"/>
        </w:rPr>
      </w:pPr>
      <w:bookmarkStart w:id="5" w:name="_Toc9856"/>
      <w:r>
        <w:rPr>
          <w:rFonts w:hint="eastAsia" w:ascii="黑体" w:hAnsi="黑体" w:eastAsia="黑体"/>
          <w:b/>
          <w:bCs/>
          <w:sz w:val="24"/>
          <w:szCs w:val="24"/>
        </w:rPr>
        <w:t>六、贯彻标准的要求和措施建议</w:t>
      </w:r>
      <w:bookmarkEnd w:id="5"/>
    </w:p>
    <w:p w14:paraId="4F0C2B64">
      <w:pPr>
        <w:spacing w:line="400" w:lineRule="exact"/>
        <w:ind w:firstLine="480" w:firstLineChars="200"/>
        <w:rPr>
          <w:rFonts w:ascii="仿宋" w:hAnsi="仿宋" w:eastAsia="仿宋"/>
          <w:sz w:val="24"/>
          <w:szCs w:val="24"/>
        </w:rPr>
      </w:pPr>
      <w:r>
        <w:rPr>
          <w:rFonts w:hint="eastAsia" w:ascii="仿宋" w:hAnsi="仿宋" w:eastAsia="仿宋"/>
          <w:sz w:val="24"/>
          <w:szCs w:val="24"/>
        </w:rPr>
        <w:t>本标准经世界中医药学会联合会审评批准并发布实施后，建议通过多种渠道开展宣传、贯彻和应用工作，以促进标准在</w:t>
      </w:r>
      <w:r>
        <w:rPr>
          <w:rFonts w:hint="eastAsia" w:ascii="仿宋" w:hAnsi="仿宋" w:eastAsia="仿宋"/>
          <w:sz w:val="24"/>
          <w:szCs w:val="24"/>
          <w:lang w:eastAsia="zh-CN"/>
        </w:rPr>
        <w:t>海内外</w:t>
      </w:r>
      <w:r>
        <w:rPr>
          <w:rFonts w:hint="eastAsia" w:ascii="仿宋" w:hAnsi="仿宋" w:eastAsia="仿宋"/>
          <w:sz w:val="24"/>
          <w:szCs w:val="24"/>
        </w:rPr>
        <w:t>中医儿科领域的推广和合理使用。</w:t>
      </w:r>
    </w:p>
    <w:p w14:paraId="66F70A44">
      <w:pPr>
        <w:spacing w:line="400" w:lineRule="exact"/>
        <w:ind w:firstLine="480" w:firstLineChars="200"/>
        <w:rPr>
          <w:rFonts w:ascii="仿宋" w:hAnsi="仿宋" w:eastAsia="仿宋"/>
          <w:sz w:val="24"/>
          <w:szCs w:val="24"/>
        </w:rPr>
      </w:pPr>
      <w:r>
        <w:rPr>
          <w:rFonts w:hint="eastAsia" w:ascii="仿宋" w:hAnsi="仿宋" w:eastAsia="仿宋"/>
          <w:sz w:val="24"/>
          <w:szCs w:val="24"/>
        </w:rPr>
        <w:t>（1）由世界中医药学会联合会统筹组织标准的国际宣传与推广应用，并结合各成员国家和地区的实际情况，推动标准在中医儿科临床、教学和科研中的参考使用。</w:t>
      </w:r>
    </w:p>
    <w:p w14:paraId="0527F6B0">
      <w:pPr>
        <w:spacing w:line="400" w:lineRule="exact"/>
        <w:ind w:firstLine="480" w:firstLineChars="200"/>
        <w:rPr>
          <w:rFonts w:ascii="仿宋" w:hAnsi="仿宋" w:eastAsia="仿宋"/>
          <w:sz w:val="24"/>
          <w:szCs w:val="24"/>
        </w:rPr>
      </w:pPr>
      <w:r>
        <w:rPr>
          <w:rFonts w:hint="eastAsia" w:ascii="仿宋" w:hAnsi="仿宋" w:eastAsia="仿宋"/>
          <w:sz w:val="24"/>
          <w:szCs w:val="24"/>
        </w:rPr>
        <w:t>（2）依托世界中医药学会联合会及儿科专业委员会等，组织开展标准解读和应用培训，重点面向中医儿科临床医师及相关专业技术人员，提升对标准内容和适用原则的理解。</w:t>
      </w:r>
    </w:p>
    <w:p w14:paraId="12E74815">
      <w:pPr>
        <w:spacing w:line="400" w:lineRule="exact"/>
        <w:ind w:firstLine="480" w:firstLineChars="200"/>
        <w:rPr>
          <w:rFonts w:ascii="仿宋" w:hAnsi="仿宋" w:eastAsia="仿宋"/>
          <w:sz w:val="24"/>
          <w:szCs w:val="24"/>
        </w:rPr>
      </w:pPr>
      <w:r>
        <w:rPr>
          <w:rFonts w:hint="eastAsia" w:ascii="仿宋" w:hAnsi="仿宋" w:eastAsia="仿宋"/>
          <w:sz w:val="24"/>
          <w:szCs w:val="24"/>
        </w:rPr>
        <w:t>（3）通过</w:t>
      </w:r>
      <w:r>
        <w:rPr>
          <w:rFonts w:hint="eastAsia" w:ascii="仿宋" w:hAnsi="仿宋" w:eastAsia="仿宋"/>
          <w:sz w:val="24"/>
          <w:szCs w:val="24"/>
          <w:lang w:eastAsia="zh-CN"/>
        </w:rPr>
        <w:t>海内外</w:t>
      </w:r>
      <w:r>
        <w:rPr>
          <w:rFonts w:hint="eastAsia" w:ascii="仿宋" w:hAnsi="仿宋" w:eastAsia="仿宋"/>
          <w:sz w:val="24"/>
          <w:szCs w:val="24"/>
        </w:rPr>
        <w:t>中医药及相关医学学术会议、专题研讨会等形式，对本标准进行介绍和解读，促进学术界对中医儿科针灸疗法技术规范化的共识形成。</w:t>
      </w:r>
    </w:p>
    <w:p w14:paraId="7054E210">
      <w:pPr>
        <w:spacing w:line="400" w:lineRule="exact"/>
        <w:ind w:firstLine="480" w:firstLineChars="200"/>
        <w:rPr>
          <w:rFonts w:ascii="仿宋" w:hAnsi="仿宋" w:eastAsia="仿宋"/>
          <w:sz w:val="24"/>
          <w:szCs w:val="24"/>
        </w:rPr>
      </w:pPr>
      <w:r>
        <w:rPr>
          <w:rFonts w:hint="eastAsia" w:ascii="仿宋" w:hAnsi="仿宋" w:eastAsia="仿宋"/>
          <w:sz w:val="24"/>
          <w:szCs w:val="24"/>
        </w:rPr>
        <w:t>（4）在学术期刊及专业媒体上发表标准文本、编制说明及相关研究成果，扩大标准影响力，并在应用过程中持续收集反馈意见，为后续修订提供依据。</w:t>
      </w:r>
    </w:p>
    <w:p w14:paraId="6C562A73">
      <w:pPr>
        <w:keepNext/>
        <w:keepLines/>
        <w:spacing w:line="400" w:lineRule="exact"/>
        <w:outlineLvl w:val="0"/>
        <w:rPr>
          <w:rFonts w:ascii="黑体" w:hAnsi="黑体" w:eastAsia="黑体"/>
          <w:b/>
          <w:bCs/>
          <w:sz w:val="24"/>
          <w:szCs w:val="24"/>
        </w:rPr>
      </w:pPr>
      <w:bookmarkStart w:id="6" w:name="_Toc17513"/>
      <w:r>
        <w:rPr>
          <w:rFonts w:hint="eastAsia" w:ascii="黑体" w:hAnsi="黑体" w:eastAsia="黑体"/>
          <w:b/>
          <w:bCs/>
          <w:sz w:val="24"/>
          <w:szCs w:val="24"/>
        </w:rPr>
        <w:t>七、应用时的促进和阻碍因素</w:t>
      </w:r>
      <w:bookmarkEnd w:id="6"/>
    </w:p>
    <w:p w14:paraId="43CEC23D">
      <w:pPr>
        <w:spacing w:line="400" w:lineRule="exact"/>
        <w:ind w:firstLine="480" w:firstLineChars="200"/>
        <w:rPr>
          <w:rFonts w:ascii="仿宋" w:hAnsi="仿宋" w:eastAsia="仿宋"/>
          <w:sz w:val="24"/>
          <w:szCs w:val="24"/>
        </w:rPr>
      </w:pPr>
      <w:r>
        <w:rPr>
          <w:rFonts w:hint="eastAsia" w:ascii="仿宋" w:hAnsi="仿宋" w:eastAsia="仿宋"/>
          <w:sz w:val="24"/>
          <w:szCs w:val="24"/>
        </w:rPr>
        <w:t>本标准通过世界中医药学会联合会审评并发布后，将作为国际组织推荐性标准实施。在应用过程中，可借助世界中医药学会联合会的学术影响力，以及培训、会议和学术期刊等多种渠道，促进标准在</w:t>
      </w:r>
      <w:r>
        <w:rPr>
          <w:rFonts w:hint="eastAsia" w:ascii="仿宋" w:hAnsi="仿宋" w:eastAsia="仿宋"/>
          <w:sz w:val="24"/>
          <w:szCs w:val="24"/>
          <w:lang w:eastAsia="zh-CN"/>
        </w:rPr>
        <w:t>海内外</w:t>
      </w:r>
      <w:r>
        <w:rPr>
          <w:rFonts w:hint="eastAsia" w:ascii="仿宋" w:hAnsi="仿宋" w:eastAsia="仿宋"/>
          <w:sz w:val="24"/>
          <w:szCs w:val="24"/>
        </w:rPr>
        <w:t>中医儿科领域的传播与应用。</w:t>
      </w:r>
    </w:p>
    <w:p w14:paraId="1444A62B">
      <w:pPr>
        <w:spacing w:line="400" w:lineRule="exact"/>
        <w:ind w:firstLine="480" w:firstLineChars="200"/>
        <w:rPr>
          <w:rFonts w:ascii="仿宋" w:hAnsi="仿宋" w:eastAsia="仿宋"/>
          <w:sz w:val="24"/>
          <w:szCs w:val="24"/>
        </w:rPr>
      </w:pPr>
      <w:r>
        <w:rPr>
          <w:rFonts w:hint="eastAsia" w:ascii="仿宋" w:hAnsi="仿宋" w:eastAsia="仿宋"/>
          <w:sz w:val="24"/>
          <w:szCs w:val="24"/>
        </w:rPr>
        <w:t>同时，也应充分认识到本标准在推广应用过程中可能面临的客观因素。一方面，不同国家和地区在中医药法律地位、医疗管理制度及临床实践模式方面存在差异；另一方面，中医儿科领域历来存在不同学术流派和个体经验，临床操作习惯不尽一致，可能在一定程度上影响标准的统一应用。</w:t>
      </w:r>
    </w:p>
    <w:p w14:paraId="50269D90">
      <w:pPr>
        <w:spacing w:line="400" w:lineRule="exact"/>
        <w:ind w:firstLine="480" w:firstLineChars="200"/>
        <w:rPr>
          <w:rFonts w:ascii="仿宋" w:hAnsi="仿宋" w:eastAsia="仿宋"/>
          <w:sz w:val="24"/>
          <w:szCs w:val="24"/>
        </w:rPr>
      </w:pPr>
      <w:r>
        <w:rPr>
          <w:rFonts w:hint="eastAsia" w:ascii="仿宋" w:hAnsi="仿宋" w:eastAsia="仿宋"/>
          <w:sz w:val="24"/>
          <w:szCs w:val="24"/>
        </w:rPr>
        <w:t>随着中医药国际交流的不断深化、中医儿科临床共识的逐步形成，以及对标准化理念认同度的提升，通过持续培训、示范应用和标准动态完善，本标准的可接受性和应用范围有望不断扩大。</w:t>
      </w:r>
    </w:p>
    <w:p w14:paraId="592F734C">
      <w:pPr>
        <w:keepNext/>
        <w:keepLines/>
        <w:spacing w:line="400" w:lineRule="exact"/>
        <w:outlineLvl w:val="0"/>
        <w:rPr>
          <w:rFonts w:ascii="黑体" w:hAnsi="黑体" w:eastAsia="黑体"/>
          <w:b/>
          <w:bCs/>
          <w:sz w:val="24"/>
          <w:szCs w:val="24"/>
        </w:rPr>
      </w:pPr>
      <w:bookmarkStart w:id="7" w:name="_Toc28929"/>
      <w:r>
        <w:rPr>
          <w:rFonts w:hint="eastAsia" w:ascii="黑体" w:hAnsi="黑体" w:eastAsia="黑体"/>
          <w:b/>
          <w:bCs/>
          <w:sz w:val="24"/>
          <w:szCs w:val="24"/>
        </w:rPr>
        <w:t>八、应当说明的其他事项</w:t>
      </w:r>
      <w:bookmarkEnd w:id="7"/>
    </w:p>
    <w:p w14:paraId="3DFC5232">
      <w:pPr>
        <w:spacing w:line="400" w:lineRule="exact"/>
        <w:ind w:firstLine="480" w:firstLineChars="200"/>
        <w:rPr>
          <w:rFonts w:ascii="Times New Roman" w:hAnsi="Times New Roman"/>
          <w:sz w:val="24"/>
          <w:szCs w:val="24"/>
        </w:rPr>
      </w:pPr>
      <w:r>
        <w:rPr>
          <w:rFonts w:hint="eastAsia" w:ascii="仿宋" w:hAnsi="仿宋" w:eastAsia="仿宋" w:cs="Calibri"/>
          <w:sz w:val="24"/>
          <w:szCs w:val="24"/>
        </w:rPr>
        <w:t>鉴于中医儿科临床实践的发展和相关技术方法的不断进步，建议在本标准发布实施后3～5年，结合国际应用反馈、临床研究进展及安全性证据，对本标准进行系统评估，并视情况开展补充、修订或更新工作，以保持标准内容的科学性、先进性和适用性。</w:t>
      </w:r>
    </w:p>
    <w:p w14:paraId="55EC2EBA">
      <w:pPr>
        <w:spacing w:line="400" w:lineRule="exact"/>
        <w:ind w:firstLine="480" w:firstLineChars="200"/>
        <w:rPr>
          <w:rFonts w:ascii="仿宋" w:hAnsi="仿宋" w:eastAsia="仿宋"/>
          <w:sz w:val="24"/>
          <w:szCs w:val="24"/>
        </w:rPr>
      </w:pPr>
      <w:r>
        <w:rPr>
          <w:rFonts w:hint="eastAsia" w:ascii="仿宋" w:hAnsi="仿宋" w:eastAsia="仿宋"/>
          <w:sz w:val="24"/>
          <w:szCs w:val="24"/>
        </w:rPr>
        <w:br w:type="page"/>
      </w:r>
    </w:p>
    <w:p w14:paraId="423FCA8C">
      <w:pPr>
        <w:rPr>
          <w:rFonts w:ascii="仿宋" w:hAnsi="仿宋" w:eastAsia="仿宋"/>
          <w:b/>
          <w:sz w:val="36"/>
          <w:szCs w:val="36"/>
        </w:rPr>
      </w:pPr>
      <w:r>
        <w:rPr>
          <w:rFonts w:hint="eastAsia" w:ascii="仿宋" w:hAnsi="仿宋" w:eastAsia="仿宋"/>
          <w:b/>
          <w:sz w:val="36"/>
          <w:szCs w:val="36"/>
        </w:rPr>
        <w:t>附件</w:t>
      </w:r>
      <w:r>
        <w:rPr>
          <w:rFonts w:ascii="仿宋" w:hAnsi="仿宋" w:eastAsia="仿宋"/>
          <w:b/>
          <w:sz w:val="36"/>
          <w:szCs w:val="36"/>
        </w:rPr>
        <w:t>1</w:t>
      </w:r>
    </w:p>
    <w:p w14:paraId="02B38F16">
      <w:pPr>
        <w:keepNext/>
        <w:keepLines/>
        <w:spacing w:after="312" w:afterLines="100"/>
        <w:jc w:val="center"/>
        <w:outlineLvl w:val="0"/>
        <w:rPr>
          <w:rFonts w:ascii="仿宋" w:hAnsi="仿宋" w:eastAsia="仿宋"/>
          <w:b/>
          <w:bCs/>
          <w:sz w:val="36"/>
          <w:szCs w:val="36"/>
        </w:rPr>
      </w:pPr>
      <w:bookmarkStart w:id="8" w:name="_Toc26294"/>
      <w:bookmarkStart w:id="9" w:name="_Toc469601979"/>
      <w:r>
        <w:rPr>
          <w:rFonts w:hint="eastAsia" w:ascii="仿宋" w:hAnsi="仿宋" w:eastAsia="仿宋"/>
          <w:b/>
          <w:bCs/>
          <w:sz w:val="36"/>
          <w:szCs w:val="36"/>
        </w:rPr>
        <w:t>专家调查问卷报告</w:t>
      </w:r>
      <w:bookmarkEnd w:id="8"/>
      <w:bookmarkEnd w:id="9"/>
    </w:p>
    <w:p w14:paraId="4DC8FA1E">
      <w:pPr>
        <w:widowControl/>
        <w:spacing w:line="400" w:lineRule="exact"/>
        <w:jc w:val="left"/>
        <w:outlineLvl w:val="2"/>
        <w:rPr>
          <w:rFonts w:ascii="宋体" w:hAnsi="宋体" w:cs="Calibri"/>
          <w:b/>
          <w:kern w:val="0"/>
          <w:sz w:val="24"/>
          <w:szCs w:val="24"/>
        </w:rPr>
      </w:pPr>
      <w:r>
        <w:rPr>
          <w:rFonts w:hint="eastAsia" w:ascii="宋体" w:hAnsi="宋体" w:cs="Calibri"/>
          <w:b/>
          <w:kern w:val="0"/>
          <w:sz w:val="24"/>
          <w:szCs w:val="24"/>
        </w:rPr>
        <w:t>一、调查背景与目的</w:t>
      </w:r>
    </w:p>
    <w:p w14:paraId="33D57F0C">
      <w:pPr>
        <w:widowControl/>
        <w:spacing w:line="400" w:lineRule="exact"/>
        <w:ind w:firstLine="420" w:firstLineChars="200"/>
        <w:jc w:val="left"/>
        <w:rPr>
          <w:rFonts w:ascii="宋体" w:hAnsi="宋体" w:cs="Calibri"/>
          <w:bCs/>
          <w:kern w:val="0"/>
          <w:szCs w:val="21"/>
        </w:rPr>
      </w:pPr>
      <w:r>
        <w:rPr>
          <w:rFonts w:hint="eastAsia" w:ascii="宋体" w:hAnsi="宋体" w:cs="Calibri"/>
          <w:bCs/>
          <w:kern w:val="0"/>
          <w:szCs w:val="21"/>
        </w:rPr>
        <w:t>《国际中医技术操作规范·儿科·小儿针灸疗法》项目来源于世界中医药学会联合会国际标准制修订项目，基于中华人民共和国国家标准（指导性技术文件）《GB/Z 40893.3-2021 中医技术操作规范 儿科 第3部分：小儿针灸疗法》，旨在将该标准转化为世界中联国际组织标准，以进一步规范儿科针灸的操作步骤与要求，并明确注意事项与禁忌。本文件编写旨在构建小儿针灸疗法的标准化操作技术，为全球中医儿科医师提供安全、规范的操作指南，促进中医儿科临床技术操作的标准化和国际化应用。</w:t>
      </w:r>
    </w:p>
    <w:p w14:paraId="404FD9C1">
      <w:pPr>
        <w:widowControl/>
        <w:spacing w:line="400" w:lineRule="exact"/>
        <w:ind w:firstLine="420" w:firstLineChars="200"/>
        <w:jc w:val="left"/>
        <w:rPr>
          <w:rFonts w:ascii="宋体" w:hAnsi="宋体" w:cs="Calibri"/>
          <w:bCs/>
          <w:kern w:val="0"/>
          <w:szCs w:val="21"/>
        </w:rPr>
      </w:pPr>
      <w:r>
        <w:rPr>
          <w:rFonts w:hint="eastAsia" w:ascii="宋体" w:hAnsi="宋体" w:cs="Calibri"/>
          <w:bCs/>
          <w:kern w:val="0"/>
          <w:szCs w:val="21"/>
        </w:rPr>
        <w:t>为确保标准转化过程的科学性、规范性与国际适配性，本研究通过专家问卷调查形式，广泛征求</w:t>
      </w:r>
      <w:r>
        <w:rPr>
          <w:rFonts w:hint="eastAsia" w:ascii="宋体" w:hAnsi="宋体" w:cs="Calibri"/>
          <w:bCs/>
          <w:kern w:val="0"/>
          <w:szCs w:val="21"/>
          <w:lang w:eastAsia="zh-CN"/>
        </w:rPr>
        <w:t>海内外</w:t>
      </w:r>
      <w:r>
        <w:rPr>
          <w:rFonts w:hint="eastAsia" w:ascii="宋体" w:hAnsi="宋体" w:cs="Calibri"/>
          <w:bCs/>
          <w:kern w:val="0"/>
          <w:szCs w:val="21"/>
        </w:rPr>
        <w:t>中医儿科专家意见，分析专家对各技术条文的认同度与修改建议，为国际标准文本的修订提供实证依据。</w:t>
      </w:r>
    </w:p>
    <w:p w14:paraId="3AAB6BFB">
      <w:pPr>
        <w:widowControl/>
        <w:spacing w:line="400" w:lineRule="exact"/>
        <w:jc w:val="left"/>
        <w:outlineLvl w:val="2"/>
        <w:rPr>
          <w:rFonts w:ascii="宋体" w:hAnsi="宋体" w:cs="Calibri"/>
          <w:b/>
          <w:kern w:val="0"/>
          <w:sz w:val="24"/>
          <w:szCs w:val="24"/>
        </w:rPr>
      </w:pPr>
      <w:r>
        <w:rPr>
          <w:rFonts w:hint="eastAsia" w:ascii="宋体" w:hAnsi="宋体" w:cs="Calibri"/>
          <w:b/>
          <w:kern w:val="0"/>
          <w:sz w:val="24"/>
          <w:szCs w:val="24"/>
        </w:rPr>
        <w:t>二、调查方法与专家信息分析</w:t>
      </w:r>
    </w:p>
    <w:p w14:paraId="7966F8E6">
      <w:pPr>
        <w:widowControl/>
        <w:spacing w:line="400" w:lineRule="exact"/>
        <w:jc w:val="left"/>
        <w:rPr>
          <w:rFonts w:ascii="宋体" w:hAnsi="宋体" w:cs="Calibri"/>
          <w:b/>
          <w:kern w:val="0"/>
          <w:szCs w:val="21"/>
        </w:rPr>
      </w:pPr>
      <w:r>
        <w:rPr>
          <w:rFonts w:hint="eastAsia" w:ascii="宋体" w:hAnsi="宋体" w:cs="Calibri"/>
          <w:b/>
          <w:kern w:val="0"/>
          <w:szCs w:val="21"/>
        </w:rPr>
        <w:t>1调查方法</w:t>
      </w:r>
    </w:p>
    <w:p w14:paraId="5D66E9D9">
      <w:pPr>
        <w:widowControl/>
        <w:spacing w:line="400" w:lineRule="exact"/>
        <w:ind w:firstLine="420" w:firstLineChars="200"/>
        <w:jc w:val="left"/>
        <w:rPr>
          <w:rFonts w:ascii="宋体" w:hAnsi="宋体" w:cs="Calibri"/>
          <w:bCs/>
          <w:kern w:val="0"/>
          <w:szCs w:val="21"/>
        </w:rPr>
      </w:pPr>
      <w:r>
        <w:rPr>
          <w:rFonts w:hint="eastAsia" w:ascii="宋体" w:hAnsi="宋体" w:cs="Calibri"/>
          <w:bCs/>
          <w:kern w:val="0"/>
          <w:szCs w:val="21"/>
        </w:rPr>
        <w:t>本次调查采用线上问卷的形式进行，调研时间为2025年10月至11月。问卷内容包括术语定义、操作、术后护理、附录内容等54个条目，并设置开放性问题征集补充意见。</w:t>
      </w:r>
    </w:p>
    <w:p w14:paraId="3A0B1B08">
      <w:pPr>
        <w:widowControl/>
        <w:spacing w:line="400" w:lineRule="exact"/>
        <w:jc w:val="left"/>
        <w:rPr>
          <w:rFonts w:ascii="宋体" w:hAnsi="宋体" w:cs="Calibri"/>
          <w:b/>
          <w:kern w:val="0"/>
          <w:szCs w:val="21"/>
        </w:rPr>
      </w:pPr>
      <w:r>
        <w:rPr>
          <w:rFonts w:hint="eastAsia" w:ascii="宋体" w:hAnsi="宋体" w:cs="Calibri"/>
          <w:b/>
          <w:kern w:val="0"/>
          <w:szCs w:val="21"/>
        </w:rPr>
        <w:t>2专家信息分析</w:t>
      </w:r>
    </w:p>
    <w:p w14:paraId="0D99F539">
      <w:pPr>
        <w:widowControl/>
        <w:spacing w:line="400" w:lineRule="exact"/>
        <w:jc w:val="left"/>
        <w:rPr>
          <w:rFonts w:ascii="宋体" w:hAnsi="宋体" w:cs="Calibri"/>
          <w:b/>
          <w:kern w:val="0"/>
          <w:szCs w:val="21"/>
        </w:rPr>
      </w:pPr>
      <w:r>
        <w:rPr>
          <w:rFonts w:hint="eastAsia" w:ascii="宋体" w:hAnsi="宋体" w:cs="Calibri"/>
          <w:b/>
          <w:kern w:val="0"/>
          <w:szCs w:val="21"/>
        </w:rPr>
        <w:t>2.1专家选取标准</w:t>
      </w:r>
    </w:p>
    <w:p w14:paraId="33083C8F">
      <w:pPr>
        <w:widowControl/>
        <w:spacing w:line="400" w:lineRule="exact"/>
        <w:ind w:firstLine="420" w:firstLineChars="200"/>
        <w:jc w:val="left"/>
        <w:rPr>
          <w:rFonts w:ascii="宋体" w:hAnsi="宋体" w:cs="Calibri"/>
          <w:bCs/>
          <w:kern w:val="0"/>
          <w:szCs w:val="21"/>
        </w:rPr>
      </w:pPr>
      <w:r>
        <w:rPr>
          <w:rFonts w:hint="eastAsia" w:ascii="宋体" w:hAnsi="宋体" w:cs="Calibri"/>
          <w:bCs/>
          <w:kern w:val="0"/>
          <w:szCs w:val="21"/>
        </w:rPr>
        <w:t>选取专家的标准包括：①具备中医儿科或相关领域高级专业背景；②拥有丰富临床经验或教学经验，从事本专业工作年限中国大陆专家均在20年以上、海外专家均在10年以上；③熟悉中医儿科内针灸疗法；④覆盖不同国家和地区，以增强标准的国际代表性。</w:t>
      </w:r>
    </w:p>
    <w:p w14:paraId="1BD62BDB">
      <w:pPr>
        <w:widowControl/>
        <w:spacing w:line="400" w:lineRule="exact"/>
        <w:jc w:val="left"/>
        <w:rPr>
          <w:rFonts w:ascii="宋体" w:hAnsi="宋体" w:cs="Calibri"/>
          <w:b/>
          <w:kern w:val="0"/>
          <w:szCs w:val="21"/>
        </w:rPr>
      </w:pPr>
      <w:r>
        <w:rPr>
          <w:rFonts w:hint="eastAsia" w:ascii="宋体" w:hAnsi="宋体" w:cs="Calibri"/>
          <w:b/>
          <w:kern w:val="0"/>
          <w:szCs w:val="21"/>
        </w:rPr>
        <w:t>2.2专家积极系数</w:t>
      </w:r>
    </w:p>
    <w:p w14:paraId="10D1D5C8">
      <w:pPr>
        <w:widowControl/>
        <w:spacing w:line="400" w:lineRule="exact"/>
        <w:ind w:firstLine="420" w:firstLineChars="200"/>
        <w:jc w:val="left"/>
        <w:rPr>
          <w:rFonts w:ascii="宋体" w:hAnsi="宋体" w:cs="Calibri"/>
          <w:bCs/>
          <w:kern w:val="0"/>
          <w:szCs w:val="21"/>
        </w:rPr>
      </w:pPr>
      <w:r>
        <w:rPr>
          <w:rFonts w:hint="eastAsia" w:ascii="宋体" w:hAnsi="宋体" w:cs="Calibri"/>
          <w:bCs/>
          <w:kern w:val="0"/>
          <w:szCs w:val="21"/>
        </w:rPr>
        <w:t>本次调查问卷发放数34份，回收有效答卷数为34份，专家积极系数100%，本次调查专家积极系数高（100%），专业结构合理，权威性强，保障了调查结果的科学性与可靠性。</w:t>
      </w:r>
    </w:p>
    <w:p w14:paraId="01315AEF">
      <w:pPr>
        <w:widowControl/>
        <w:spacing w:line="400" w:lineRule="exact"/>
        <w:jc w:val="left"/>
        <w:rPr>
          <w:rFonts w:ascii="宋体" w:hAnsi="宋体" w:cs="Calibri"/>
          <w:kern w:val="0"/>
          <w:szCs w:val="21"/>
        </w:rPr>
      </w:pPr>
      <w:r>
        <w:rPr>
          <w:rFonts w:hint="eastAsia" w:ascii="宋体" w:hAnsi="宋体" w:cs="Calibri"/>
          <w:b/>
          <w:bCs/>
          <w:kern w:val="0"/>
          <w:szCs w:val="21"/>
        </w:rPr>
        <w:t>2.3专家权威性与代表性</w:t>
      </w:r>
      <w:r>
        <w:rPr>
          <w:rFonts w:hint="eastAsia" w:ascii="宋体" w:hAnsi="宋体" w:cs="Calibri"/>
          <w:kern w:val="0"/>
          <w:szCs w:val="21"/>
        </w:rPr>
        <w:t xml:space="preserve"> </w:t>
      </w:r>
    </w:p>
    <w:p w14:paraId="25E85C92">
      <w:pPr>
        <w:widowControl/>
        <w:spacing w:line="400" w:lineRule="exact"/>
        <w:ind w:firstLine="420" w:firstLineChars="200"/>
        <w:jc w:val="left"/>
        <w:rPr>
          <w:rFonts w:ascii="宋体" w:hAnsi="宋体" w:cs="Calibri"/>
          <w:kern w:val="0"/>
          <w:szCs w:val="21"/>
        </w:rPr>
      </w:pPr>
      <w:r>
        <w:rPr>
          <w:rFonts w:hint="eastAsia" w:ascii="宋体" w:hAnsi="宋体" w:cs="Calibri"/>
          <w:kern w:val="0"/>
          <w:szCs w:val="21"/>
        </w:rPr>
        <w:t>共有34位专家对小儿针灸疗法相关条文提出建议，专家的选择兼顾了地域性、专业性、权威性。专家来自中国内地、中国澳门、中国台湾、新加坡、马来西亚、澳大利亚、越南、加拿大等多个国家和地区，其中中国内地专家26位，中国澳门1位，中国台湾2位，新加坡1位，马来西亚1位，澳大利亚1位，越南1位，加拿大1位，覆盖范围广泛，具有较强的地域代表性。</w:t>
      </w:r>
    </w:p>
    <w:p w14:paraId="074D92F9">
      <w:pPr>
        <w:widowControl/>
        <w:spacing w:line="400" w:lineRule="exact"/>
        <w:ind w:firstLine="420" w:firstLineChars="200"/>
        <w:jc w:val="left"/>
        <w:rPr>
          <w:rFonts w:ascii="宋体" w:hAnsi="宋体" w:cs="Calibri"/>
          <w:kern w:val="0"/>
          <w:szCs w:val="21"/>
        </w:rPr>
      </w:pPr>
      <w:r>
        <w:rPr>
          <w:rFonts w:hint="eastAsia" w:ascii="宋体" w:hAnsi="宋体" w:cs="Calibri"/>
          <w:kern w:val="0"/>
          <w:szCs w:val="21"/>
        </w:rPr>
        <w:t>本研究选取的专家均为中医儿科及相关领域的资深从业者，包括国内高等中医药院校教授、主任医师，境外中医医疗及教学机构的专家学者等，多数具有博士学位，绝大部分为博士研究生导师或硕士研究生导师，均具备丰富的临床、科研、教学经验，其意见可充分反映</w:t>
      </w:r>
      <w:r>
        <w:rPr>
          <w:rFonts w:hint="eastAsia" w:ascii="宋体" w:hAnsi="宋体" w:cs="Calibri"/>
          <w:kern w:val="0"/>
          <w:szCs w:val="21"/>
          <w:lang w:eastAsia="zh-CN"/>
        </w:rPr>
        <w:t>海内外</w:t>
      </w:r>
      <w:r>
        <w:rPr>
          <w:rFonts w:hint="eastAsia" w:ascii="宋体" w:hAnsi="宋体" w:cs="Calibri"/>
          <w:kern w:val="0"/>
          <w:szCs w:val="21"/>
        </w:rPr>
        <w:t>中医儿科及小儿针灸领域高级专家对小儿针灸操作标准的专业见解。34名专家的所在国家/地区、年龄、学历、职称、研究生导师情况、专业分布及工作年限等统计情况见表1–表7。</w:t>
      </w:r>
    </w:p>
    <w:p w14:paraId="1220B367">
      <w:pPr>
        <w:widowControl/>
        <w:spacing w:line="400" w:lineRule="exact"/>
        <w:jc w:val="center"/>
        <w:rPr>
          <w:rFonts w:ascii="宋体" w:hAnsi="宋体" w:cs="Calibri"/>
          <w:kern w:val="0"/>
          <w:szCs w:val="21"/>
        </w:rPr>
      </w:pPr>
      <w:r>
        <w:rPr>
          <w:rFonts w:hint="eastAsia" w:ascii="宋体" w:hAnsi="宋体" w:cs="Calibri"/>
          <w:kern w:val="0"/>
          <w:szCs w:val="21"/>
        </w:rPr>
        <w:t>表1 专家所在国家 / 地区分布情况（n = 34）</w:t>
      </w:r>
    </w:p>
    <w:tbl>
      <w:tblPr>
        <w:tblStyle w:val="12"/>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autofit"/>
        <w:tblCellMar>
          <w:top w:w="15" w:type="dxa"/>
          <w:left w:w="15" w:type="dxa"/>
          <w:bottom w:w="15" w:type="dxa"/>
          <w:right w:w="15" w:type="dxa"/>
        </w:tblCellMar>
      </w:tblPr>
      <w:tblGrid>
        <w:gridCol w:w="3753"/>
        <w:gridCol w:w="2027"/>
        <w:gridCol w:w="2719"/>
      </w:tblGrid>
      <w:tr w14:paraId="7C64D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tblHeader/>
          <w:jc w:val="center"/>
        </w:trPr>
        <w:tc>
          <w:tcPr>
            <w:tcW w:w="3753" w:type="dxa"/>
            <w:tcBorders>
              <w:tl2br w:val="nil"/>
            </w:tcBorders>
            <w:shd w:val="clear" w:color="auto" w:fill="FFFFFF"/>
            <w:tcMar>
              <w:top w:w="45" w:type="dxa"/>
              <w:left w:w="98" w:type="dxa"/>
              <w:bottom w:w="45" w:type="dxa"/>
              <w:right w:w="98" w:type="dxa"/>
            </w:tcMar>
            <w:vAlign w:val="center"/>
          </w:tcPr>
          <w:p w14:paraId="521DA6D2">
            <w:pPr>
              <w:widowControl/>
              <w:snapToGrid w:val="0"/>
              <w:jc w:val="left"/>
              <w:rPr>
                <w:rFonts w:ascii="宋体" w:hAnsi="宋体" w:cs="Calibri"/>
                <w:color w:val="000000"/>
                <w:kern w:val="0"/>
                <w:szCs w:val="21"/>
              </w:rPr>
            </w:pPr>
            <w:r>
              <w:rPr>
                <w:rFonts w:ascii="宋体" w:hAnsi="宋体" w:cs="Calibri"/>
                <w:color w:val="000000"/>
                <w:kern w:val="0"/>
                <w:szCs w:val="21"/>
              </w:rPr>
              <w:t>国家/地区</w:t>
            </w:r>
          </w:p>
        </w:tc>
        <w:tc>
          <w:tcPr>
            <w:tcW w:w="2027" w:type="dxa"/>
            <w:shd w:val="clear" w:color="auto" w:fill="FFFFFF"/>
            <w:tcMar>
              <w:top w:w="45" w:type="dxa"/>
              <w:left w:w="98" w:type="dxa"/>
              <w:bottom w:w="45" w:type="dxa"/>
              <w:right w:w="98" w:type="dxa"/>
            </w:tcMar>
            <w:vAlign w:val="center"/>
          </w:tcPr>
          <w:p w14:paraId="73291B4C">
            <w:pPr>
              <w:widowControl/>
              <w:snapToGrid w:val="0"/>
              <w:jc w:val="left"/>
              <w:rPr>
                <w:rFonts w:ascii="宋体" w:hAnsi="宋体" w:cs="Calibri"/>
                <w:color w:val="000000"/>
                <w:kern w:val="0"/>
                <w:szCs w:val="21"/>
              </w:rPr>
            </w:pPr>
            <w:r>
              <w:rPr>
                <w:rFonts w:ascii="宋体" w:hAnsi="宋体" w:cs="Calibri"/>
                <w:color w:val="000000"/>
                <w:kern w:val="0"/>
                <w:szCs w:val="21"/>
              </w:rPr>
              <w:t>人数</w:t>
            </w:r>
          </w:p>
        </w:tc>
        <w:tc>
          <w:tcPr>
            <w:tcW w:w="2719" w:type="dxa"/>
            <w:shd w:val="clear" w:color="auto" w:fill="FFFFFF"/>
            <w:tcMar>
              <w:top w:w="45" w:type="dxa"/>
              <w:left w:w="98" w:type="dxa"/>
              <w:bottom w:w="45" w:type="dxa"/>
              <w:right w:w="98" w:type="dxa"/>
            </w:tcMar>
            <w:vAlign w:val="center"/>
          </w:tcPr>
          <w:p w14:paraId="77FB6A81">
            <w:pPr>
              <w:widowControl/>
              <w:snapToGrid w:val="0"/>
              <w:jc w:val="left"/>
              <w:rPr>
                <w:rFonts w:ascii="宋体" w:hAnsi="宋体" w:cs="Calibri"/>
                <w:color w:val="000000"/>
                <w:kern w:val="0"/>
                <w:szCs w:val="21"/>
              </w:rPr>
            </w:pPr>
            <w:r>
              <w:rPr>
                <w:rFonts w:ascii="宋体" w:hAnsi="宋体" w:cs="Calibri"/>
                <w:color w:val="000000"/>
                <w:kern w:val="0"/>
                <w:szCs w:val="21"/>
              </w:rPr>
              <w:t>百分比</w:t>
            </w:r>
          </w:p>
        </w:tc>
      </w:tr>
      <w:tr w14:paraId="782E4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3753" w:type="dxa"/>
            <w:shd w:val="clear" w:color="auto" w:fill="FFFFFF"/>
            <w:tcMar>
              <w:top w:w="45" w:type="dxa"/>
              <w:left w:w="98" w:type="dxa"/>
              <w:bottom w:w="45" w:type="dxa"/>
              <w:right w:w="98" w:type="dxa"/>
            </w:tcMar>
            <w:vAlign w:val="center"/>
          </w:tcPr>
          <w:p w14:paraId="6C760061">
            <w:pPr>
              <w:widowControl/>
              <w:snapToGrid w:val="0"/>
              <w:jc w:val="left"/>
              <w:rPr>
                <w:rFonts w:ascii="宋体" w:hAnsi="宋体" w:cs="Calibri"/>
                <w:color w:val="000000"/>
                <w:kern w:val="0"/>
                <w:szCs w:val="21"/>
              </w:rPr>
            </w:pPr>
            <w:r>
              <w:rPr>
                <w:rFonts w:ascii="宋体" w:hAnsi="宋体" w:cs="Calibri"/>
                <w:color w:val="000000"/>
                <w:kern w:val="0"/>
                <w:szCs w:val="21"/>
              </w:rPr>
              <w:t>中国内地</w:t>
            </w:r>
          </w:p>
        </w:tc>
        <w:tc>
          <w:tcPr>
            <w:tcW w:w="2027" w:type="dxa"/>
            <w:shd w:val="clear" w:color="auto" w:fill="FFFFFF"/>
            <w:tcMar>
              <w:top w:w="45" w:type="dxa"/>
              <w:left w:w="98" w:type="dxa"/>
              <w:bottom w:w="45" w:type="dxa"/>
              <w:right w:w="98" w:type="dxa"/>
            </w:tcMar>
            <w:vAlign w:val="center"/>
          </w:tcPr>
          <w:p w14:paraId="09ABB13D">
            <w:pPr>
              <w:widowControl/>
              <w:snapToGrid w:val="0"/>
              <w:jc w:val="left"/>
              <w:rPr>
                <w:rFonts w:ascii="宋体" w:hAnsi="宋体" w:cs="Calibri"/>
                <w:color w:val="000000"/>
                <w:kern w:val="0"/>
                <w:szCs w:val="21"/>
              </w:rPr>
            </w:pPr>
            <w:r>
              <w:rPr>
                <w:rFonts w:ascii="宋体" w:hAnsi="宋体" w:cs="Calibri"/>
                <w:color w:val="000000"/>
                <w:kern w:val="0"/>
                <w:szCs w:val="21"/>
              </w:rPr>
              <w:t>26</w:t>
            </w:r>
          </w:p>
        </w:tc>
        <w:tc>
          <w:tcPr>
            <w:tcW w:w="2719" w:type="dxa"/>
            <w:shd w:val="clear" w:color="auto" w:fill="FFFFFF"/>
            <w:tcMar>
              <w:top w:w="45" w:type="dxa"/>
              <w:left w:w="98" w:type="dxa"/>
              <w:bottom w:w="45" w:type="dxa"/>
              <w:right w:w="98" w:type="dxa"/>
            </w:tcMar>
            <w:vAlign w:val="center"/>
          </w:tcPr>
          <w:p w14:paraId="3BDD4FAC">
            <w:pPr>
              <w:widowControl/>
              <w:snapToGrid w:val="0"/>
              <w:jc w:val="left"/>
              <w:rPr>
                <w:rFonts w:ascii="宋体" w:hAnsi="宋体" w:cs="Calibri"/>
                <w:color w:val="000000"/>
                <w:kern w:val="0"/>
                <w:szCs w:val="21"/>
              </w:rPr>
            </w:pPr>
            <w:r>
              <w:rPr>
                <w:rFonts w:ascii="宋体" w:hAnsi="宋体" w:cs="Calibri"/>
                <w:color w:val="000000"/>
                <w:kern w:val="0"/>
                <w:szCs w:val="21"/>
              </w:rPr>
              <w:t>76.47%</w:t>
            </w:r>
          </w:p>
        </w:tc>
      </w:tr>
      <w:tr w14:paraId="592BA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3753" w:type="dxa"/>
            <w:shd w:val="clear" w:color="auto" w:fill="FFFFFF"/>
            <w:tcMar>
              <w:top w:w="45" w:type="dxa"/>
              <w:left w:w="98" w:type="dxa"/>
              <w:bottom w:w="45" w:type="dxa"/>
              <w:right w:w="98" w:type="dxa"/>
            </w:tcMar>
            <w:vAlign w:val="center"/>
          </w:tcPr>
          <w:p w14:paraId="6612BCAD">
            <w:pPr>
              <w:widowControl/>
              <w:snapToGrid w:val="0"/>
              <w:jc w:val="left"/>
              <w:rPr>
                <w:rFonts w:ascii="宋体" w:hAnsi="宋体" w:cs="Calibri"/>
                <w:color w:val="000000"/>
                <w:kern w:val="0"/>
                <w:szCs w:val="21"/>
              </w:rPr>
            </w:pPr>
            <w:r>
              <w:rPr>
                <w:rFonts w:ascii="宋体" w:hAnsi="宋体" w:cs="Calibri"/>
                <w:color w:val="000000"/>
                <w:kern w:val="0"/>
                <w:szCs w:val="21"/>
              </w:rPr>
              <w:t>中国澳门</w:t>
            </w:r>
          </w:p>
        </w:tc>
        <w:tc>
          <w:tcPr>
            <w:tcW w:w="2027" w:type="dxa"/>
            <w:shd w:val="clear" w:color="auto" w:fill="FFFFFF"/>
            <w:tcMar>
              <w:top w:w="45" w:type="dxa"/>
              <w:left w:w="98" w:type="dxa"/>
              <w:bottom w:w="45" w:type="dxa"/>
              <w:right w:w="98" w:type="dxa"/>
            </w:tcMar>
            <w:vAlign w:val="center"/>
          </w:tcPr>
          <w:p w14:paraId="1FC0BA39">
            <w:pPr>
              <w:widowControl/>
              <w:snapToGrid w:val="0"/>
              <w:jc w:val="left"/>
              <w:rPr>
                <w:rFonts w:ascii="宋体" w:hAnsi="宋体" w:cs="Calibri"/>
                <w:color w:val="000000"/>
                <w:kern w:val="0"/>
                <w:szCs w:val="21"/>
              </w:rPr>
            </w:pPr>
            <w:r>
              <w:rPr>
                <w:rFonts w:ascii="宋体" w:hAnsi="宋体" w:cs="Calibri"/>
                <w:color w:val="000000"/>
                <w:kern w:val="0"/>
                <w:szCs w:val="21"/>
              </w:rPr>
              <w:t>1</w:t>
            </w:r>
          </w:p>
        </w:tc>
        <w:tc>
          <w:tcPr>
            <w:tcW w:w="2719" w:type="dxa"/>
            <w:shd w:val="clear" w:color="auto" w:fill="FFFFFF"/>
            <w:tcMar>
              <w:top w:w="45" w:type="dxa"/>
              <w:left w:w="98" w:type="dxa"/>
              <w:bottom w:w="45" w:type="dxa"/>
              <w:right w:w="98" w:type="dxa"/>
            </w:tcMar>
            <w:vAlign w:val="center"/>
          </w:tcPr>
          <w:p w14:paraId="67935E86">
            <w:pPr>
              <w:widowControl/>
              <w:snapToGrid w:val="0"/>
              <w:jc w:val="left"/>
              <w:rPr>
                <w:rFonts w:ascii="宋体" w:hAnsi="宋体" w:cs="Calibri"/>
                <w:color w:val="000000"/>
                <w:kern w:val="0"/>
                <w:szCs w:val="21"/>
              </w:rPr>
            </w:pPr>
            <w:r>
              <w:rPr>
                <w:rFonts w:ascii="宋体" w:hAnsi="宋体" w:cs="Calibri"/>
                <w:color w:val="000000"/>
                <w:kern w:val="0"/>
                <w:szCs w:val="21"/>
              </w:rPr>
              <w:t>2.94%</w:t>
            </w:r>
          </w:p>
        </w:tc>
      </w:tr>
      <w:tr w14:paraId="5379B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3753" w:type="dxa"/>
            <w:shd w:val="clear" w:color="auto" w:fill="FFFFFF"/>
            <w:tcMar>
              <w:top w:w="45" w:type="dxa"/>
              <w:left w:w="98" w:type="dxa"/>
              <w:bottom w:w="45" w:type="dxa"/>
              <w:right w:w="98" w:type="dxa"/>
            </w:tcMar>
            <w:vAlign w:val="center"/>
          </w:tcPr>
          <w:p w14:paraId="6CAB3916">
            <w:pPr>
              <w:widowControl/>
              <w:snapToGrid w:val="0"/>
              <w:jc w:val="left"/>
              <w:rPr>
                <w:rFonts w:ascii="宋体" w:hAnsi="宋体" w:cs="Calibri"/>
                <w:color w:val="000000"/>
                <w:kern w:val="0"/>
                <w:szCs w:val="21"/>
              </w:rPr>
            </w:pPr>
            <w:r>
              <w:rPr>
                <w:rFonts w:ascii="宋体" w:hAnsi="宋体" w:cs="Calibri"/>
                <w:color w:val="000000"/>
                <w:kern w:val="0"/>
                <w:szCs w:val="21"/>
              </w:rPr>
              <w:t>中国台湾</w:t>
            </w:r>
          </w:p>
        </w:tc>
        <w:tc>
          <w:tcPr>
            <w:tcW w:w="2027" w:type="dxa"/>
            <w:shd w:val="clear" w:color="auto" w:fill="FFFFFF"/>
            <w:tcMar>
              <w:top w:w="45" w:type="dxa"/>
              <w:left w:w="98" w:type="dxa"/>
              <w:bottom w:w="45" w:type="dxa"/>
              <w:right w:w="98" w:type="dxa"/>
            </w:tcMar>
            <w:vAlign w:val="center"/>
          </w:tcPr>
          <w:p w14:paraId="7A68D7C6">
            <w:pPr>
              <w:widowControl/>
              <w:snapToGrid w:val="0"/>
              <w:jc w:val="left"/>
              <w:rPr>
                <w:rFonts w:ascii="宋体" w:hAnsi="宋体" w:cs="Calibri"/>
                <w:color w:val="000000"/>
                <w:kern w:val="0"/>
                <w:szCs w:val="21"/>
              </w:rPr>
            </w:pPr>
            <w:r>
              <w:rPr>
                <w:rFonts w:ascii="宋体" w:hAnsi="宋体" w:cs="Calibri"/>
                <w:color w:val="000000"/>
                <w:kern w:val="0"/>
                <w:szCs w:val="21"/>
              </w:rPr>
              <w:t>2</w:t>
            </w:r>
          </w:p>
        </w:tc>
        <w:tc>
          <w:tcPr>
            <w:tcW w:w="2719" w:type="dxa"/>
            <w:shd w:val="clear" w:color="auto" w:fill="FFFFFF"/>
            <w:tcMar>
              <w:top w:w="45" w:type="dxa"/>
              <w:left w:w="98" w:type="dxa"/>
              <w:bottom w:w="45" w:type="dxa"/>
              <w:right w:w="98" w:type="dxa"/>
            </w:tcMar>
            <w:vAlign w:val="center"/>
          </w:tcPr>
          <w:p w14:paraId="4517C197">
            <w:pPr>
              <w:widowControl/>
              <w:snapToGrid w:val="0"/>
              <w:jc w:val="left"/>
              <w:rPr>
                <w:rFonts w:ascii="宋体" w:hAnsi="宋体" w:cs="Calibri"/>
                <w:color w:val="000000"/>
                <w:kern w:val="0"/>
                <w:szCs w:val="21"/>
              </w:rPr>
            </w:pPr>
            <w:r>
              <w:rPr>
                <w:rFonts w:ascii="宋体" w:hAnsi="宋体" w:cs="Calibri"/>
                <w:color w:val="000000"/>
                <w:kern w:val="0"/>
                <w:szCs w:val="21"/>
              </w:rPr>
              <w:t>5.88%</w:t>
            </w:r>
          </w:p>
        </w:tc>
      </w:tr>
      <w:tr w14:paraId="2C2BA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3753" w:type="dxa"/>
            <w:shd w:val="clear" w:color="auto" w:fill="FFFFFF"/>
            <w:tcMar>
              <w:top w:w="45" w:type="dxa"/>
              <w:left w:w="98" w:type="dxa"/>
              <w:bottom w:w="45" w:type="dxa"/>
              <w:right w:w="98" w:type="dxa"/>
            </w:tcMar>
            <w:vAlign w:val="center"/>
          </w:tcPr>
          <w:p w14:paraId="79CF06A3">
            <w:pPr>
              <w:widowControl/>
              <w:snapToGrid w:val="0"/>
              <w:jc w:val="left"/>
              <w:rPr>
                <w:rFonts w:ascii="宋体" w:hAnsi="宋体" w:cs="Calibri"/>
                <w:color w:val="000000"/>
                <w:kern w:val="0"/>
                <w:szCs w:val="21"/>
              </w:rPr>
            </w:pPr>
            <w:r>
              <w:rPr>
                <w:rFonts w:ascii="宋体" w:hAnsi="宋体" w:cs="Calibri"/>
                <w:color w:val="000000"/>
                <w:kern w:val="0"/>
                <w:szCs w:val="21"/>
              </w:rPr>
              <w:t>新加坡</w:t>
            </w:r>
          </w:p>
        </w:tc>
        <w:tc>
          <w:tcPr>
            <w:tcW w:w="2027" w:type="dxa"/>
            <w:shd w:val="clear" w:color="auto" w:fill="FFFFFF"/>
            <w:tcMar>
              <w:top w:w="45" w:type="dxa"/>
              <w:left w:w="98" w:type="dxa"/>
              <w:bottom w:w="45" w:type="dxa"/>
              <w:right w:w="98" w:type="dxa"/>
            </w:tcMar>
            <w:vAlign w:val="center"/>
          </w:tcPr>
          <w:p w14:paraId="2BD00B70">
            <w:pPr>
              <w:widowControl/>
              <w:snapToGrid w:val="0"/>
              <w:jc w:val="left"/>
              <w:rPr>
                <w:rFonts w:ascii="宋体" w:hAnsi="宋体" w:cs="Calibri"/>
                <w:color w:val="000000"/>
                <w:kern w:val="0"/>
                <w:szCs w:val="21"/>
              </w:rPr>
            </w:pPr>
            <w:r>
              <w:rPr>
                <w:rFonts w:ascii="宋体" w:hAnsi="宋体" w:cs="Calibri"/>
                <w:color w:val="000000"/>
                <w:kern w:val="0"/>
                <w:szCs w:val="21"/>
              </w:rPr>
              <w:t>1</w:t>
            </w:r>
          </w:p>
        </w:tc>
        <w:tc>
          <w:tcPr>
            <w:tcW w:w="2719" w:type="dxa"/>
            <w:shd w:val="clear" w:color="auto" w:fill="FFFFFF"/>
            <w:tcMar>
              <w:top w:w="45" w:type="dxa"/>
              <w:left w:w="98" w:type="dxa"/>
              <w:bottom w:w="45" w:type="dxa"/>
              <w:right w:w="98" w:type="dxa"/>
            </w:tcMar>
            <w:vAlign w:val="center"/>
          </w:tcPr>
          <w:p w14:paraId="6E5411FB">
            <w:pPr>
              <w:widowControl/>
              <w:snapToGrid w:val="0"/>
              <w:jc w:val="left"/>
              <w:rPr>
                <w:rFonts w:ascii="宋体" w:hAnsi="宋体" w:cs="Calibri"/>
                <w:color w:val="000000"/>
                <w:kern w:val="0"/>
                <w:szCs w:val="21"/>
              </w:rPr>
            </w:pPr>
            <w:r>
              <w:rPr>
                <w:rFonts w:ascii="宋体" w:hAnsi="宋体" w:cs="Calibri"/>
                <w:color w:val="000000"/>
                <w:kern w:val="0"/>
                <w:szCs w:val="21"/>
              </w:rPr>
              <w:t>2.94%</w:t>
            </w:r>
          </w:p>
        </w:tc>
      </w:tr>
      <w:tr w14:paraId="441C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3753" w:type="dxa"/>
            <w:shd w:val="clear" w:color="auto" w:fill="FFFFFF"/>
            <w:tcMar>
              <w:top w:w="45" w:type="dxa"/>
              <w:left w:w="98" w:type="dxa"/>
              <w:bottom w:w="45" w:type="dxa"/>
              <w:right w:w="98" w:type="dxa"/>
            </w:tcMar>
            <w:vAlign w:val="center"/>
          </w:tcPr>
          <w:p w14:paraId="2A48B226">
            <w:pPr>
              <w:widowControl/>
              <w:snapToGrid w:val="0"/>
              <w:jc w:val="left"/>
              <w:rPr>
                <w:rFonts w:ascii="宋体" w:hAnsi="宋体" w:cs="Calibri"/>
                <w:color w:val="000000"/>
                <w:kern w:val="0"/>
                <w:szCs w:val="21"/>
              </w:rPr>
            </w:pPr>
            <w:r>
              <w:rPr>
                <w:rFonts w:ascii="宋体" w:hAnsi="宋体" w:cs="Calibri"/>
                <w:color w:val="000000"/>
                <w:kern w:val="0"/>
                <w:szCs w:val="21"/>
              </w:rPr>
              <w:t>马来西亚</w:t>
            </w:r>
          </w:p>
        </w:tc>
        <w:tc>
          <w:tcPr>
            <w:tcW w:w="2027" w:type="dxa"/>
            <w:shd w:val="clear" w:color="auto" w:fill="FFFFFF"/>
            <w:tcMar>
              <w:top w:w="45" w:type="dxa"/>
              <w:left w:w="98" w:type="dxa"/>
              <w:bottom w:w="45" w:type="dxa"/>
              <w:right w:w="98" w:type="dxa"/>
            </w:tcMar>
            <w:vAlign w:val="center"/>
          </w:tcPr>
          <w:p w14:paraId="460A6050">
            <w:pPr>
              <w:widowControl/>
              <w:snapToGrid w:val="0"/>
              <w:jc w:val="left"/>
              <w:rPr>
                <w:rFonts w:ascii="宋体" w:hAnsi="宋体" w:cs="Calibri"/>
                <w:color w:val="000000"/>
                <w:kern w:val="0"/>
                <w:szCs w:val="21"/>
              </w:rPr>
            </w:pPr>
            <w:r>
              <w:rPr>
                <w:rFonts w:ascii="宋体" w:hAnsi="宋体" w:cs="Calibri"/>
                <w:color w:val="000000"/>
                <w:kern w:val="0"/>
                <w:szCs w:val="21"/>
              </w:rPr>
              <w:t>1</w:t>
            </w:r>
          </w:p>
        </w:tc>
        <w:tc>
          <w:tcPr>
            <w:tcW w:w="2719" w:type="dxa"/>
            <w:shd w:val="clear" w:color="auto" w:fill="FFFFFF"/>
            <w:tcMar>
              <w:top w:w="45" w:type="dxa"/>
              <w:left w:w="98" w:type="dxa"/>
              <w:bottom w:w="45" w:type="dxa"/>
              <w:right w:w="98" w:type="dxa"/>
            </w:tcMar>
            <w:vAlign w:val="center"/>
          </w:tcPr>
          <w:p w14:paraId="6C66C58B">
            <w:pPr>
              <w:widowControl/>
              <w:snapToGrid w:val="0"/>
              <w:jc w:val="left"/>
              <w:rPr>
                <w:rFonts w:ascii="宋体" w:hAnsi="宋体" w:cs="Calibri"/>
                <w:color w:val="000000"/>
                <w:kern w:val="0"/>
                <w:szCs w:val="21"/>
              </w:rPr>
            </w:pPr>
            <w:r>
              <w:rPr>
                <w:rFonts w:ascii="宋体" w:hAnsi="宋体" w:cs="Calibri"/>
                <w:color w:val="000000"/>
                <w:kern w:val="0"/>
                <w:szCs w:val="21"/>
              </w:rPr>
              <w:t>2.94%</w:t>
            </w:r>
          </w:p>
        </w:tc>
      </w:tr>
      <w:tr w14:paraId="5DD5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3753" w:type="dxa"/>
            <w:shd w:val="clear" w:color="auto" w:fill="FFFFFF"/>
            <w:tcMar>
              <w:top w:w="45" w:type="dxa"/>
              <w:left w:w="98" w:type="dxa"/>
              <w:bottom w:w="45" w:type="dxa"/>
              <w:right w:w="98" w:type="dxa"/>
            </w:tcMar>
            <w:vAlign w:val="center"/>
          </w:tcPr>
          <w:p w14:paraId="6C105338">
            <w:pPr>
              <w:widowControl/>
              <w:snapToGrid w:val="0"/>
              <w:jc w:val="left"/>
              <w:rPr>
                <w:rFonts w:ascii="宋体" w:hAnsi="宋体" w:cs="Calibri"/>
                <w:color w:val="000000"/>
                <w:kern w:val="0"/>
                <w:szCs w:val="21"/>
              </w:rPr>
            </w:pPr>
            <w:r>
              <w:rPr>
                <w:rFonts w:ascii="宋体" w:hAnsi="宋体" w:cs="Calibri"/>
                <w:color w:val="000000"/>
                <w:kern w:val="0"/>
                <w:szCs w:val="21"/>
              </w:rPr>
              <w:t>越南</w:t>
            </w:r>
          </w:p>
        </w:tc>
        <w:tc>
          <w:tcPr>
            <w:tcW w:w="2027" w:type="dxa"/>
            <w:shd w:val="clear" w:color="auto" w:fill="FFFFFF"/>
            <w:tcMar>
              <w:top w:w="45" w:type="dxa"/>
              <w:left w:w="98" w:type="dxa"/>
              <w:bottom w:w="45" w:type="dxa"/>
              <w:right w:w="98" w:type="dxa"/>
            </w:tcMar>
            <w:vAlign w:val="center"/>
          </w:tcPr>
          <w:p w14:paraId="2C970499">
            <w:pPr>
              <w:widowControl/>
              <w:snapToGrid w:val="0"/>
              <w:jc w:val="left"/>
              <w:rPr>
                <w:rFonts w:ascii="宋体" w:hAnsi="宋体" w:cs="Calibri"/>
                <w:color w:val="000000"/>
                <w:kern w:val="0"/>
                <w:szCs w:val="21"/>
              </w:rPr>
            </w:pPr>
            <w:r>
              <w:rPr>
                <w:rFonts w:ascii="宋体" w:hAnsi="宋体" w:cs="Calibri"/>
                <w:color w:val="000000"/>
                <w:kern w:val="0"/>
                <w:szCs w:val="21"/>
              </w:rPr>
              <w:t>1</w:t>
            </w:r>
          </w:p>
        </w:tc>
        <w:tc>
          <w:tcPr>
            <w:tcW w:w="2719" w:type="dxa"/>
            <w:shd w:val="clear" w:color="auto" w:fill="FFFFFF"/>
            <w:tcMar>
              <w:top w:w="45" w:type="dxa"/>
              <w:left w:w="98" w:type="dxa"/>
              <w:bottom w:w="45" w:type="dxa"/>
              <w:right w:w="98" w:type="dxa"/>
            </w:tcMar>
            <w:vAlign w:val="center"/>
          </w:tcPr>
          <w:p w14:paraId="01B988B1">
            <w:pPr>
              <w:widowControl/>
              <w:snapToGrid w:val="0"/>
              <w:jc w:val="left"/>
              <w:rPr>
                <w:rFonts w:ascii="宋体" w:hAnsi="宋体" w:cs="Calibri"/>
                <w:color w:val="000000"/>
                <w:kern w:val="0"/>
                <w:szCs w:val="21"/>
              </w:rPr>
            </w:pPr>
            <w:r>
              <w:rPr>
                <w:rFonts w:ascii="宋体" w:hAnsi="宋体" w:cs="Calibri"/>
                <w:color w:val="000000"/>
                <w:kern w:val="0"/>
                <w:szCs w:val="21"/>
              </w:rPr>
              <w:t>2.94%</w:t>
            </w:r>
          </w:p>
        </w:tc>
      </w:tr>
      <w:tr w14:paraId="0D102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3753" w:type="dxa"/>
            <w:shd w:val="clear" w:color="auto" w:fill="FFFFFF"/>
            <w:tcMar>
              <w:top w:w="45" w:type="dxa"/>
              <w:left w:w="98" w:type="dxa"/>
              <w:bottom w:w="45" w:type="dxa"/>
              <w:right w:w="98" w:type="dxa"/>
            </w:tcMar>
            <w:vAlign w:val="center"/>
          </w:tcPr>
          <w:p w14:paraId="744621BD">
            <w:pPr>
              <w:widowControl/>
              <w:snapToGrid w:val="0"/>
              <w:jc w:val="left"/>
              <w:rPr>
                <w:rFonts w:ascii="宋体" w:hAnsi="宋体" w:cs="Calibri"/>
                <w:color w:val="000000"/>
                <w:kern w:val="0"/>
                <w:szCs w:val="21"/>
              </w:rPr>
            </w:pPr>
            <w:r>
              <w:rPr>
                <w:rFonts w:ascii="宋体" w:hAnsi="宋体" w:cs="Calibri"/>
                <w:color w:val="000000"/>
                <w:kern w:val="0"/>
                <w:szCs w:val="21"/>
              </w:rPr>
              <w:t>澳大利亚</w:t>
            </w:r>
          </w:p>
        </w:tc>
        <w:tc>
          <w:tcPr>
            <w:tcW w:w="2027" w:type="dxa"/>
            <w:shd w:val="clear" w:color="auto" w:fill="FFFFFF"/>
            <w:tcMar>
              <w:top w:w="45" w:type="dxa"/>
              <w:left w:w="98" w:type="dxa"/>
              <w:bottom w:w="45" w:type="dxa"/>
              <w:right w:w="98" w:type="dxa"/>
            </w:tcMar>
            <w:vAlign w:val="center"/>
          </w:tcPr>
          <w:p w14:paraId="0A13CCCF">
            <w:pPr>
              <w:widowControl/>
              <w:snapToGrid w:val="0"/>
              <w:jc w:val="left"/>
              <w:rPr>
                <w:rFonts w:ascii="宋体" w:hAnsi="宋体" w:cs="Calibri"/>
                <w:color w:val="000000"/>
                <w:kern w:val="0"/>
                <w:szCs w:val="21"/>
              </w:rPr>
            </w:pPr>
            <w:r>
              <w:rPr>
                <w:rFonts w:ascii="宋体" w:hAnsi="宋体" w:cs="Calibri"/>
                <w:color w:val="000000"/>
                <w:kern w:val="0"/>
                <w:szCs w:val="21"/>
              </w:rPr>
              <w:t>1</w:t>
            </w:r>
          </w:p>
        </w:tc>
        <w:tc>
          <w:tcPr>
            <w:tcW w:w="2719" w:type="dxa"/>
            <w:shd w:val="clear" w:color="auto" w:fill="FFFFFF"/>
            <w:tcMar>
              <w:top w:w="45" w:type="dxa"/>
              <w:left w:w="98" w:type="dxa"/>
              <w:bottom w:w="45" w:type="dxa"/>
              <w:right w:w="98" w:type="dxa"/>
            </w:tcMar>
            <w:vAlign w:val="center"/>
          </w:tcPr>
          <w:p w14:paraId="1A8E020D">
            <w:pPr>
              <w:widowControl/>
              <w:snapToGrid w:val="0"/>
              <w:jc w:val="left"/>
              <w:rPr>
                <w:rFonts w:ascii="宋体" w:hAnsi="宋体" w:cs="Calibri"/>
                <w:color w:val="000000"/>
                <w:kern w:val="0"/>
                <w:szCs w:val="21"/>
              </w:rPr>
            </w:pPr>
            <w:r>
              <w:rPr>
                <w:rFonts w:ascii="宋体" w:hAnsi="宋体" w:cs="Calibri"/>
                <w:color w:val="000000"/>
                <w:kern w:val="0"/>
                <w:szCs w:val="21"/>
              </w:rPr>
              <w:t>2.94%</w:t>
            </w:r>
          </w:p>
        </w:tc>
      </w:tr>
      <w:tr w14:paraId="0CE11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3753" w:type="dxa"/>
            <w:shd w:val="clear" w:color="auto" w:fill="FFFFFF"/>
            <w:tcMar>
              <w:top w:w="45" w:type="dxa"/>
              <w:left w:w="98" w:type="dxa"/>
              <w:bottom w:w="45" w:type="dxa"/>
              <w:right w:w="98" w:type="dxa"/>
            </w:tcMar>
            <w:vAlign w:val="center"/>
          </w:tcPr>
          <w:p w14:paraId="119C292E">
            <w:pPr>
              <w:widowControl/>
              <w:snapToGrid w:val="0"/>
              <w:jc w:val="left"/>
              <w:rPr>
                <w:rFonts w:ascii="宋体" w:hAnsi="宋体" w:cs="Calibri"/>
                <w:color w:val="000000"/>
                <w:kern w:val="0"/>
                <w:szCs w:val="21"/>
              </w:rPr>
            </w:pPr>
            <w:r>
              <w:rPr>
                <w:rFonts w:ascii="宋体" w:hAnsi="宋体" w:cs="Calibri"/>
                <w:color w:val="000000"/>
                <w:kern w:val="0"/>
                <w:szCs w:val="21"/>
              </w:rPr>
              <w:t>加拿大</w:t>
            </w:r>
          </w:p>
        </w:tc>
        <w:tc>
          <w:tcPr>
            <w:tcW w:w="2027" w:type="dxa"/>
            <w:shd w:val="clear" w:color="auto" w:fill="FFFFFF"/>
            <w:tcMar>
              <w:top w:w="45" w:type="dxa"/>
              <w:left w:w="98" w:type="dxa"/>
              <w:bottom w:w="45" w:type="dxa"/>
              <w:right w:w="98" w:type="dxa"/>
            </w:tcMar>
            <w:vAlign w:val="center"/>
          </w:tcPr>
          <w:p w14:paraId="61875143">
            <w:pPr>
              <w:widowControl/>
              <w:snapToGrid w:val="0"/>
              <w:jc w:val="left"/>
              <w:rPr>
                <w:rFonts w:ascii="宋体" w:hAnsi="宋体" w:cs="Calibri"/>
                <w:color w:val="000000"/>
                <w:kern w:val="0"/>
                <w:szCs w:val="21"/>
              </w:rPr>
            </w:pPr>
            <w:r>
              <w:rPr>
                <w:rFonts w:ascii="宋体" w:hAnsi="宋体" w:cs="Calibri"/>
                <w:color w:val="000000"/>
                <w:kern w:val="0"/>
                <w:szCs w:val="21"/>
              </w:rPr>
              <w:t>1</w:t>
            </w:r>
          </w:p>
        </w:tc>
        <w:tc>
          <w:tcPr>
            <w:tcW w:w="2719" w:type="dxa"/>
            <w:shd w:val="clear" w:color="auto" w:fill="FFFFFF"/>
            <w:tcMar>
              <w:top w:w="45" w:type="dxa"/>
              <w:left w:w="98" w:type="dxa"/>
              <w:bottom w:w="45" w:type="dxa"/>
              <w:right w:w="98" w:type="dxa"/>
            </w:tcMar>
            <w:vAlign w:val="center"/>
          </w:tcPr>
          <w:p w14:paraId="67A54BC5">
            <w:pPr>
              <w:widowControl/>
              <w:snapToGrid w:val="0"/>
              <w:jc w:val="left"/>
              <w:rPr>
                <w:rFonts w:ascii="宋体" w:hAnsi="宋体" w:cs="Calibri"/>
                <w:color w:val="000000"/>
                <w:kern w:val="0"/>
                <w:szCs w:val="21"/>
              </w:rPr>
            </w:pPr>
            <w:r>
              <w:rPr>
                <w:rFonts w:ascii="宋体" w:hAnsi="宋体" w:cs="Calibri"/>
                <w:color w:val="000000"/>
                <w:kern w:val="0"/>
                <w:szCs w:val="21"/>
              </w:rPr>
              <w:t>2.94%</w:t>
            </w:r>
          </w:p>
        </w:tc>
      </w:tr>
    </w:tbl>
    <w:p w14:paraId="0ABE75B9">
      <w:pPr>
        <w:widowControl/>
        <w:spacing w:line="400" w:lineRule="exact"/>
        <w:jc w:val="center"/>
        <w:rPr>
          <w:rFonts w:ascii="宋体" w:hAnsi="宋体" w:cs="Calibri"/>
          <w:kern w:val="0"/>
          <w:szCs w:val="21"/>
        </w:rPr>
      </w:pPr>
      <w:r>
        <w:rPr>
          <w:rFonts w:ascii="宋体" w:hAnsi="宋体" w:cs="Calibri"/>
          <w:kern w:val="0"/>
          <w:szCs w:val="21"/>
        </w:rPr>
        <w:t>表</w:t>
      </w:r>
      <w:r>
        <w:rPr>
          <w:rFonts w:hint="eastAsia" w:ascii="宋体" w:hAnsi="宋体" w:cs="Calibri"/>
          <w:kern w:val="0"/>
          <w:szCs w:val="21"/>
        </w:rPr>
        <w:t>2</w:t>
      </w:r>
      <w:r>
        <w:rPr>
          <w:rFonts w:ascii="宋体" w:hAnsi="宋体" w:cs="Calibri"/>
          <w:kern w:val="0"/>
          <w:szCs w:val="21"/>
        </w:rPr>
        <w:t xml:space="preserve"> 专家年龄分布情况（n = </w:t>
      </w:r>
      <w:r>
        <w:rPr>
          <w:rFonts w:hint="eastAsia" w:ascii="宋体" w:hAnsi="宋体" w:cs="Calibri"/>
          <w:kern w:val="0"/>
          <w:szCs w:val="21"/>
        </w:rPr>
        <w:t>34</w:t>
      </w:r>
      <w:r>
        <w:rPr>
          <w:rFonts w:ascii="宋体" w:hAnsi="宋体" w:cs="Calibri"/>
          <w:kern w:val="0"/>
          <w:szCs w:val="21"/>
        </w:rPr>
        <w:t>）</w:t>
      </w:r>
    </w:p>
    <w:tbl>
      <w:tblPr>
        <w:tblStyle w:val="12"/>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autofit"/>
        <w:tblCellMar>
          <w:top w:w="15" w:type="dxa"/>
          <w:left w:w="15" w:type="dxa"/>
          <w:bottom w:w="15" w:type="dxa"/>
          <w:right w:w="15" w:type="dxa"/>
        </w:tblCellMar>
      </w:tblPr>
      <w:tblGrid>
        <w:gridCol w:w="3658"/>
        <w:gridCol w:w="2068"/>
        <w:gridCol w:w="2773"/>
      </w:tblGrid>
      <w:tr w14:paraId="3739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tblHeader/>
          <w:jc w:val="center"/>
        </w:trPr>
        <w:tc>
          <w:tcPr>
            <w:tcW w:w="3658" w:type="dxa"/>
            <w:tcBorders>
              <w:tl2br w:val="nil"/>
            </w:tcBorders>
            <w:shd w:val="clear" w:color="auto" w:fill="FFFFFF"/>
            <w:tcMar>
              <w:top w:w="45" w:type="dxa"/>
              <w:left w:w="98" w:type="dxa"/>
              <w:bottom w:w="45" w:type="dxa"/>
              <w:right w:w="98" w:type="dxa"/>
            </w:tcMar>
            <w:vAlign w:val="center"/>
          </w:tcPr>
          <w:p w14:paraId="511221BA">
            <w:pPr>
              <w:widowControl/>
              <w:snapToGrid w:val="0"/>
              <w:jc w:val="left"/>
              <w:rPr>
                <w:rFonts w:ascii="宋体" w:hAnsi="宋体" w:cs="Calibri"/>
                <w:color w:val="000000"/>
                <w:kern w:val="0"/>
                <w:szCs w:val="21"/>
              </w:rPr>
            </w:pPr>
            <w:r>
              <w:rPr>
                <w:rFonts w:ascii="宋体" w:hAnsi="宋体" w:cs="Calibri"/>
                <w:color w:val="000000"/>
                <w:kern w:val="0"/>
                <w:szCs w:val="21"/>
              </w:rPr>
              <w:t>年龄区间</w:t>
            </w:r>
          </w:p>
        </w:tc>
        <w:tc>
          <w:tcPr>
            <w:tcW w:w="2068" w:type="dxa"/>
            <w:shd w:val="clear" w:color="auto" w:fill="FFFFFF"/>
            <w:tcMar>
              <w:top w:w="45" w:type="dxa"/>
              <w:left w:w="98" w:type="dxa"/>
              <w:bottom w:w="45" w:type="dxa"/>
              <w:right w:w="98" w:type="dxa"/>
            </w:tcMar>
            <w:vAlign w:val="center"/>
          </w:tcPr>
          <w:p w14:paraId="09D17308">
            <w:pPr>
              <w:widowControl/>
              <w:snapToGrid w:val="0"/>
              <w:jc w:val="left"/>
              <w:rPr>
                <w:rFonts w:ascii="宋体" w:hAnsi="宋体" w:cs="Calibri"/>
                <w:color w:val="000000"/>
                <w:kern w:val="0"/>
                <w:szCs w:val="21"/>
              </w:rPr>
            </w:pPr>
            <w:r>
              <w:rPr>
                <w:rFonts w:ascii="宋体" w:hAnsi="宋体" w:cs="Calibri"/>
                <w:color w:val="000000"/>
                <w:kern w:val="0"/>
                <w:szCs w:val="21"/>
              </w:rPr>
              <w:t>人数</w:t>
            </w:r>
          </w:p>
        </w:tc>
        <w:tc>
          <w:tcPr>
            <w:tcW w:w="2773" w:type="dxa"/>
            <w:shd w:val="clear" w:color="auto" w:fill="FFFFFF"/>
            <w:tcMar>
              <w:top w:w="45" w:type="dxa"/>
              <w:left w:w="98" w:type="dxa"/>
              <w:bottom w:w="45" w:type="dxa"/>
              <w:right w:w="98" w:type="dxa"/>
            </w:tcMar>
            <w:vAlign w:val="center"/>
          </w:tcPr>
          <w:p w14:paraId="35CD34FB">
            <w:pPr>
              <w:widowControl/>
              <w:snapToGrid w:val="0"/>
              <w:jc w:val="left"/>
              <w:rPr>
                <w:rFonts w:ascii="宋体" w:hAnsi="宋体" w:cs="Calibri"/>
                <w:color w:val="000000"/>
                <w:kern w:val="0"/>
                <w:szCs w:val="21"/>
              </w:rPr>
            </w:pPr>
            <w:r>
              <w:rPr>
                <w:rFonts w:ascii="宋体" w:hAnsi="宋体" w:cs="Calibri"/>
                <w:color w:val="000000"/>
                <w:kern w:val="0"/>
                <w:szCs w:val="21"/>
              </w:rPr>
              <w:t>百分比</w:t>
            </w:r>
          </w:p>
        </w:tc>
      </w:tr>
      <w:tr w14:paraId="5032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3658" w:type="dxa"/>
            <w:shd w:val="clear" w:color="auto" w:fill="FFFFFF"/>
            <w:tcMar>
              <w:top w:w="45" w:type="dxa"/>
              <w:left w:w="98" w:type="dxa"/>
              <w:bottom w:w="45" w:type="dxa"/>
              <w:right w:w="98" w:type="dxa"/>
            </w:tcMar>
            <w:vAlign w:val="center"/>
          </w:tcPr>
          <w:p w14:paraId="338DD99A">
            <w:pPr>
              <w:widowControl/>
              <w:snapToGrid w:val="0"/>
              <w:jc w:val="left"/>
              <w:rPr>
                <w:rFonts w:ascii="宋体" w:hAnsi="宋体" w:cs="Calibri"/>
                <w:color w:val="000000"/>
                <w:kern w:val="0"/>
                <w:szCs w:val="21"/>
              </w:rPr>
            </w:pPr>
            <w:r>
              <w:rPr>
                <w:rFonts w:ascii="宋体" w:hAnsi="宋体" w:cs="Calibri"/>
                <w:color w:val="000000"/>
                <w:kern w:val="0"/>
                <w:szCs w:val="21"/>
              </w:rPr>
              <w:t>＜40岁</w:t>
            </w:r>
          </w:p>
        </w:tc>
        <w:tc>
          <w:tcPr>
            <w:tcW w:w="2068" w:type="dxa"/>
            <w:shd w:val="clear" w:color="auto" w:fill="FFFFFF"/>
            <w:tcMar>
              <w:top w:w="45" w:type="dxa"/>
              <w:left w:w="98" w:type="dxa"/>
              <w:bottom w:w="45" w:type="dxa"/>
              <w:right w:w="98" w:type="dxa"/>
            </w:tcMar>
            <w:vAlign w:val="center"/>
          </w:tcPr>
          <w:p w14:paraId="37DDF112">
            <w:pPr>
              <w:widowControl/>
              <w:snapToGrid w:val="0"/>
              <w:jc w:val="left"/>
              <w:rPr>
                <w:rFonts w:ascii="宋体" w:hAnsi="宋体" w:cs="Calibri"/>
                <w:color w:val="000000"/>
                <w:kern w:val="0"/>
                <w:szCs w:val="21"/>
              </w:rPr>
            </w:pPr>
            <w:r>
              <w:rPr>
                <w:rFonts w:ascii="宋体" w:hAnsi="宋体" w:cs="Calibri"/>
                <w:color w:val="000000"/>
                <w:kern w:val="0"/>
                <w:szCs w:val="21"/>
              </w:rPr>
              <w:t>1</w:t>
            </w:r>
          </w:p>
        </w:tc>
        <w:tc>
          <w:tcPr>
            <w:tcW w:w="2773" w:type="dxa"/>
            <w:shd w:val="clear" w:color="auto" w:fill="FFFFFF"/>
            <w:tcMar>
              <w:top w:w="45" w:type="dxa"/>
              <w:left w:w="98" w:type="dxa"/>
              <w:bottom w:w="45" w:type="dxa"/>
              <w:right w:w="98" w:type="dxa"/>
            </w:tcMar>
            <w:vAlign w:val="center"/>
          </w:tcPr>
          <w:p w14:paraId="4CAD7611">
            <w:pPr>
              <w:widowControl/>
              <w:snapToGrid w:val="0"/>
              <w:jc w:val="left"/>
              <w:rPr>
                <w:rFonts w:ascii="宋体" w:hAnsi="宋体" w:cs="Calibri"/>
                <w:color w:val="000000"/>
                <w:kern w:val="0"/>
                <w:szCs w:val="21"/>
              </w:rPr>
            </w:pPr>
            <w:r>
              <w:rPr>
                <w:rFonts w:ascii="宋体" w:hAnsi="宋体" w:cs="Calibri"/>
                <w:color w:val="000000"/>
                <w:kern w:val="0"/>
                <w:szCs w:val="21"/>
              </w:rPr>
              <w:t>2.94%</w:t>
            </w:r>
          </w:p>
        </w:tc>
      </w:tr>
      <w:tr w14:paraId="00ED3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3658" w:type="dxa"/>
            <w:shd w:val="clear" w:color="auto" w:fill="FFFFFF"/>
            <w:tcMar>
              <w:top w:w="45" w:type="dxa"/>
              <w:left w:w="98" w:type="dxa"/>
              <w:bottom w:w="45" w:type="dxa"/>
              <w:right w:w="98" w:type="dxa"/>
            </w:tcMar>
            <w:vAlign w:val="center"/>
          </w:tcPr>
          <w:p w14:paraId="068B3DFB">
            <w:pPr>
              <w:widowControl/>
              <w:snapToGrid w:val="0"/>
              <w:jc w:val="left"/>
              <w:rPr>
                <w:rFonts w:ascii="宋体" w:hAnsi="宋体" w:cs="Calibri"/>
                <w:color w:val="000000"/>
                <w:kern w:val="0"/>
                <w:szCs w:val="21"/>
              </w:rPr>
            </w:pPr>
            <w:r>
              <w:rPr>
                <w:rFonts w:ascii="宋体" w:hAnsi="宋体" w:cs="Calibri"/>
                <w:color w:val="000000"/>
                <w:kern w:val="0"/>
                <w:szCs w:val="21"/>
              </w:rPr>
              <w:t>40–49岁</w:t>
            </w:r>
          </w:p>
        </w:tc>
        <w:tc>
          <w:tcPr>
            <w:tcW w:w="2068" w:type="dxa"/>
            <w:shd w:val="clear" w:color="auto" w:fill="FFFFFF"/>
            <w:tcMar>
              <w:top w:w="45" w:type="dxa"/>
              <w:left w:w="98" w:type="dxa"/>
              <w:bottom w:w="45" w:type="dxa"/>
              <w:right w:w="98" w:type="dxa"/>
            </w:tcMar>
            <w:vAlign w:val="center"/>
          </w:tcPr>
          <w:p w14:paraId="0056B9EA">
            <w:pPr>
              <w:widowControl/>
              <w:snapToGrid w:val="0"/>
              <w:jc w:val="left"/>
              <w:rPr>
                <w:rFonts w:ascii="宋体" w:hAnsi="宋体" w:cs="Calibri"/>
                <w:color w:val="000000"/>
                <w:kern w:val="0"/>
                <w:szCs w:val="21"/>
              </w:rPr>
            </w:pPr>
            <w:r>
              <w:rPr>
                <w:rFonts w:ascii="宋体" w:hAnsi="宋体" w:cs="Calibri"/>
                <w:color w:val="000000"/>
                <w:kern w:val="0"/>
                <w:szCs w:val="21"/>
              </w:rPr>
              <w:t>4</w:t>
            </w:r>
          </w:p>
        </w:tc>
        <w:tc>
          <w:tcPr>
            <w:tcW w:w="2773" w:type="dxa"/>
            <w:shd w:val="clear" w:color="auto" w:fill="FFFFFF"/>
            <w:tcMar>
              <w:top w:w="45" w:type="dxa"/>
              <w:left w:w="98" w:type="dxa"/>
              <w:bottom w:w="45" w:type="dxa"/>
              <w:right w:w="98" w:type="dxa"/>
            </w:tcMar>
            <w:vAlign w:val="center"/>
          </w:tcPr>
          <w:p w14:paraId="76AAC62C">
            <w:pPr>
              <w:widowControl/>
              <w:snapToGrid w:val="0"/>
              <w:jc w:val="left"/>
              <w:rPr>
                <w:rFonts w:ascii="宋体" w:hAnsi="宋体" w:cs="Calibri"/>
                <w:color w:val="000000"/>
                <w:kern w:val="0"/>
                <w:szCs w:val="21"/>
              </w:rPr>
            </w:pPr>
            <w:r>
              <w:rPr>
                <w:rFonts w:ascii="宋体" w:hAnsi="宋体" w:cs="Calibri"/>
                <w:color w:val="000000"/>
                <w:kern w:val="0"/>
                <w:szCs w:val="21"/>
              </w:rPr>
              <w:t>11.76%</w:t>
            </w:r>
          </w:p>
        </w:tc>
      </w:tr>
      <w:tr w14:paraId="2AF51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3658" w:type="dxa"/>
            <w:shd w:val="clear" w:color="auto" w:fill="FFFFFF"/>
            <w:tcMar>
              <w:top w:w="45" w:type="dxa"/>
              <w:left w:w="98" w:type="dxa"/>
              <w:bottom w:w="45" w:type="dxa"/>
              <w:right w:w="98" w:type="dxa"/>
            </w:tcMar>
            <w:vAlign w:val="center"/>
          </w:tcPr>
          <w:p w14:paraId="178019C1">
            <w:pPr>
              <w:widowControl/>
              <w:snapToGrid w:val="0"/>
              <w:jc w:val="left"/>
              <w:rPr>
                <w:rFonts w:ascii="宋体" w:hAnsi="宋体" w:cs="Calibri"/>
                <w:color w:val="000000"/>
                <w:kern w:val="0"/>
                <w:szCs w:val="21"/>
              </w:rPr>
            </w:pPr>
            <w:r>
              <w:rPr>
                <w:rFonts w:ascii="宋体" w:hAnsi="宋体" w:cs="Calibri"/>
                <w:color w:val="000000"/>
                <w:kern w:val="0"/>
                <w:szCs w:val="21"/>
              </w:rPr>
              <w:t>50–59岁</w:t>
            </w:r>
          </w:p>
        </w:tc>
        <w:tc>
          <w:tcPr>
            <w:tcW w:w="2068" w:type="dxa"/>
            <w:shd w:val="clear" w:color="auto" w:fill="FFFFFF"/>
            <w:tcMar>
              <w:top w:w="45" w:type="dxa"/>
              <w:left w:w="98" w:type="dxa"/>
              <w:bottom w:w="45" w:type="dxa"/>
              <w:right w:w="98" w:type="dxa"/>
            </w:tcMar>
            <w:vAlign w:val="center"/>
          </w:tcPr>
          <w:p w14:paraId="0AEA37BC">
            <w:pPr>
              <w:widowControl/>
              <w:snapToGrid w:val="0"/>
              <w:jc w:val="left"/>
              <w:rPr>
                <w:rFonts w:ascii="宋体" w:hAnsi="宋体" w:cs="Calibri"/>
                <w:color w:val="000000"/>
                <w:kern w:val="0"/>
                <w:szCs w:val="21"/>
              </w:rPr>
            </w:pPr>
            <w:r>
              <w:rPr>
                <w:rFonts w:ascii="宋体" w:hAnsi="宋体" w:cs="Calibri"/>
                <w:color w:val="000000"/>
                <w:kern w:val="0"/>
                <w:szCs w:val="21"/>
              </w:rPr>
              <w:t>12</w:t>
            </w:r>
          </w:p>
        </w:tc>
        <w:tc>
          <w:tcPr>
            <w:tcW w:w="2773" w:type="dxa"/>
            <w:shd w:val="clear" w:color="auto" w:fill="FFFFFF"/>
            <w:tcMar>
              <w:top w:w="45" w:type="dxa"/>
              <w:left w:w="98" w:type="dxa"/>
              <w:bottom w:w="45" w:type="dxa"/>
              <w:right w:w="98" w:type="dxa"/>
            </w:tcMar>
            <w:vAlign w:val="center"/>
          </w:tcPr>
          <w:p w14:paraId="771ABC73">
            <w:pPr>
              <w:widowControl/>
              <w:snapToGrid w:val="0"/>
              <w:jc w:val="left"/>
              <w:rPr>
                <w:rFonts w:ascii="宋体" w:hAnsi="宋体" w:cs="Calibri"/>
                <w:color w:val="000000"/>
                <w:kern w:val="0"/>
                <w:szCs w:val="21"/>
              </w:rPr>
            </w:pPr>
            <w:r>
              <w:rPr>
                <w:rFonts w:ascii="宋体" w:hAnsi="宋体" w:cs="Calibri"/>
                <w:color w:val="000000"/>
                <w:kern w:val="0"/>
                <w:szCs w:val="21"/>
              </w:rPr>
              <w:t>35.29%</w:t>
            </w:r>
          </w:p>
        </w:tc>
      </w:tr>
      <w:tr w14:paraId="7E0D6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3658" w:type="dxa"/>
            <w:shd w:val="clear" w:color="auto" w:fill="FFFFFF"/>
            <w:tcMar>
              <w:top w:w="45" w:type="dxa"/>
              <w:left w:w="98" w:type="dxa"/>
              <w:bottom w:w="45" w:type="dxa"/>
              <w:right w:w="98" w:type="dxa"/>
            </w:tcMar>
            <w:vAlign w:val="center"/>
          </w:tcPr>
          <w:p w14:paraId="551C2F6B">
            <w:pPr>
              <w:widowControl/>
              <w:snapToGrid w:val="0"/>
              <w:jc w:val="left"/>
              <w:rPr>
                <w:rFonts w:ascii="宋体" w:hAnsi="宋体" w:cs="Calibri"/>
                <w:color w:val="000000"/>
                <w:kern w:val="0"/>
                <w:szCs w:val="21"/>
              </w:rPr>
            </w:pPr>
            <w:r>
              <w:rPr>
                <w:rFonts w:ascii="宋体" w:hAnsi="宋体" w:cs="Calibri"/>
                <w:color w:val="000000"/>
                <w:kern w:val="0"/>
                <w:szCs w:val="21"/>
              </w:rPr>
              <w:t>60–69岁</w:t>
            </w:r>
          </w:p>
        </w:tc>
        <w:tc>
          <w:tcPr>
            <w:tcW w:w="2068" w:type="dxa"/>
            <w:shd w:val="clear" w:color="auto" w:fill="FFFFFF"/>
            <w:tcMar>
              <w:top w:w="45" w:type="dxa"/>
              <w:left w:w="98" w:type="dxa"/>
              <w:bottom w:w="45" w:type="dxa"/>
              <w:right w:w="98" w:type="dxa"/>
            </w:tcMar>
            <w:vAlign w:val="center"/>
          </w:tcPr>
          <w:p w14:paraId="6F5FE1AC">
            <w:pPr>
              <w:widowControl/>
              <w:snapToGrid w:val="0"/>
              <w:jc w:val="left"/>
              <w:rPr>
                <w:rFonts w:ascii="宋体" w:hAnsi="宋体" w:cs="Calibri"/>
                <w:color w:val="000000"/>
                <w:kern w:val="0"/>
                <w:szCs w:val="21"/>
              </w:rPr>
            </w:pPr>
            <w:r>
              <w:rPr>
                <w:rFonts w:ascii="宋体" w:hAnsi="宋体" w:cs="Calibri"/>
                <w:color w:val="000000"/>
                <w:kern w:val="0"/>
                <w:szCs w:val="21"/>
              </w:rPr>
              <w:t>15</w:t>
            </w:r>
          </w:p>
        </w:tc>
        <w:tc>
          <w:tcPr>
            <w:tcW w:w="2773" w:type="dxa"/>
            <w:shd w:val="clear" w:color="auto" w:fill="FFFFFF"/>
            <w:tcMar>
              <w:top w:w="45" w:type="dxa"/>
              <w:left w:w="98" w:type="dxa"/>
              <w:bottom w:w="45" w:type="dxa"/>
              <w:right w:w="98" w:type="dxa"/>
            </w:tcMar>
            <w:vAlign w:val="center"/>
          </w:tcPr>
          <w:p w14:paraId="4E6A79DD">
            <w:pPr>
              <w:widowControl/>
              <w:snapToGrid w:val="0"/>
              <w:jc w:val="left"/>
              <w:rPr>
                <w:rFonts w:ascii="宋体" w:hAnsi="宋体" w:cs="Calibri"/>
                <w:color w:val="000000"/>
                <w:kern w:val="0"/>
                <w:szCs w:val="21"/>
              </w:rPr>
            </w:pPr>
            <w:r>
              <w:rPr>
                <w:rFonts w:ascii="宋体" w:hAnsi="宋体" w:cs="Calibri"/>
                <w:color w:val="000000"/>
                <w:kern w:val="0"/>
                <w:szCs w:val="21"/>
              </w:rPr>
              <w:t>44.12%</w:t>
            </w:r>
          </w:p>
        </w:tc>
      </w:tr>
      <w:tr w14:paraId="48FB5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3658" w:type="dxa"/>
            <w:shd w:val="clear" w:color="auto" w:fill="FFFFFF"/>
            <w:tcMar>
              <w:top w:w="45" w:type="dxa"/>
              <w:left w:w="98" w:type="dxa"/>
              <w:bottom w:w="45" w:type="dxa"/>
              <w:right w:w="98" w:type="dxa"/>
            </w:tcMar>
            <w:vAlign w:val="center"/>
          </w:tcPr>
          <w:p w14:paraId="5210942D">
            <w:pPr>
              <w:widowControl/>
              <w:snapToGrid w:val="0"/>
              <w:jc w:val="left"/>
              <w:rPr>
                <w:rFonts w:ascii="宋体" w:hAnsi="宋体" w:cs="Calibri"/>
                <w:color w:val="000000"/>
                <w:kern w:val="0"/>
                <w:szCs w:val="21"/>
              </w:rPr>
            </w:pPr>
            <w:r>
              <w:rPr>
                <w:rFonts w:ascii="宋体" w:hAnsi="宋体" w:cs="Calibri"/>
                <w:color w:val="000000"/>
                <w:kern w:val="0"/>
                <w:szCs w:val="21"/>
              </w:rPr>
              <w:t>70岁及以上</w:t>
            </w:r>
          </w:p>
        </w:tc>
        <w:tc>
          <w:tcPr>
            <w:tcW w:w="2068" w:type="dxa"/>
            <w:shd w:val="clear" w:color="auto" w:fill="FFFFFF"/>
            <w:tcMar>
              <w:top w:w="45" w:type="dxa"/>
              <w:left w:w="98" w:type="dxa"/>
              <w:bottom w:w="45" w:type="dxa"/>
              <w:right w:w="98" w:type="dxa"/>
            </w:tcMar>
            <w:vAlign w:val="center"/>
          </w:tcPr>
          <w:p w14:paraId="739AAA41">
            <w:pPr>
              <w:widowControl/>
              <w:snapToGrid w:val="0"/>
              <w:jc w:val="left"/>
              <w:rPr>
                <w:rFonts w:ascii="宋体" w:hAnsi="宋体" w:cs="Calibri"/>
                <w:color w:val="000000"/>
                <w:kern w:val="0"/>
                <w:szCs w:val="21"/>
              </w:rPr>
            </w:pPr>
            <w:r>
              <w:rPr>
                <w:rFonts w:ascii="宋体" w:hAnsi="宋体" w:cs="Calibri"/>
                <w:color w:val="000000"/>
                <w:kern w:val="0"/>
                <w:szCs w:val="21"/>
              </w:rPr>
              <w:t>2</w:t>
            </w:r>
          </w:p>
        </w:tc>
        <w:tc>
          <w:tcPr>
            <w:tcW w:w="2773" w:type="dxa"/>
            <w:shd w:val="clear" w:color="auto" w:fill="FFFFFF"/>
            <w:tcMar>
              <w:top w:w="45" w:type="dxa"/>
              <w:left w:w="98" w:type="dxa"/>
              <w:bottom w:w="45" w:type="dxa"/>
              <w:right w:w="98" w:type="dxa"/>
            </w:tcMar>
            <w:vAlign w:val="center"/>
          </w:tcPr>
          <w:p w14:paraId="2CB58A92">
            <w:pPr>
              <w:widowControl/>
              <w:snapToGrid w:val="0"/>
              <w:jc w:val="left"/>
              <w:rPr>
                <w:rFonts w:ascii="宋体" w:hAnsi="宋体" w:cs="Calibri"/>
                <w:color w:val="000000"/>
                <w:kern w:val="0"/>
                <w:szCs w:val="21"/>
              </w:rPr>
            </w:pPr>
            <w:r>
              <w:rPr>
                <w:rFonts w:ascii="宋体" w:hAnsi="宋体" w:cs="Calibri"/>
                <w:color w:val="000000"/>
                <w:kern w:val="0"/>
                <w:szCs w:val="21"/>
              </w:rPr>
              <w:t>5.88%</w:t>
            </w:r>
          </w:p>
        </w:tc>
      </w:tr>
    </w:tbl>
    <w:p w14:paraId="1008AEF6">
      <w:pPr>
        <w:widowControl/>
        <w:spacing w:line="400" w:lineRule="exact"/>
        <w:ind w:firstLine="420" w:firstLineChars="200"/>
        <w:jc w:val="left"/>
        <w:rPr>
          <w:rFonts w:ascii="宋体" w:hAnsi="宋体" w:cs="Calibri"/>
          <w:kern w:val="0"/>
          <w:szCs w:val="21"/>
        </w:rPr>
      </w:pPr>
      <w:r>
        <w:rPr>
          <w:rFonts w:ascii="宋体" w:hAnsi="宋体" w:cs="Calibri"/>
          <w:kern w:val="0"/>
          <w:szCs w:val="21"/>
        </w:rPr>
        <w:t>说明：年龄跨度</w:t>
      </w:r>
      <w:r>
        <w:rPr>
          <w:rFonts w:hint="eastAsia" w:ascii="宋体" w:hAnsi="宋体" w:cs="Calibri"/>
          <w:kern w:val="0"/>
          <w:szCs w:val="21"/>
        </w:rPr>
        <w:t>：</w:t>
      </w:r>
      <w:r>
        <w:rPr>
          <w:rFonts w:ascii="宋体" w:hAnsi="宋体" w:cs="Calibri"/>
          <w:kern w:val="0"/>
          <w:szCs w:val="21"/>
        </w:rPr>
        <w:t>29–79岁</w:t>
      </w:r>
      <w:r>
        <w:rPr>
          <w:rFonts w:hint="eastAsia" w:ascii="宋体" w:hAnsi="宋体" w:cs="Calibri"/>
          <w:kern w:val="0"/>
          <w:szCs w:val="21"/>
        </w:rPr>
        <w:t>；</w:t>
      </w:r>
      <w:r>
        <w:rPr>
          <w:rFonts w:ascii="宋体" w:hAnsi="宋体" w:cs="Calibri"/>
          <w:kern w:val="0"/>
          <w:szCs w:val="21"/>
        </w:rPr>
        <w:t>平均年龄约57.</w:t>
      </w:r>
      <w:r>
        <w:rPr>
          <w:rFonts w:hint="eastAsia" w:ascii="宋体" w:hAnsi="宋体" w:cs="Calibri"/>
          <w:kern w:val="0"/>
          <w:szCs w:val="21"/>
        </w:rPr>
        <w:t>56</w:t>
      </w:r>
      <w:r>
        <w:rPr>
          <w:rFonts w:ascii="宋体" w:hAnsi="宋体" w:cs="Calibri"/>
          <w:kern w:val="0"/>
          <w:szCs w:val="21"/>
        </w:rPr>
        <w:t>岁</w:t>
      </w:r>
      <w:r>
        <w:rPr>
          <w:rFonts w:hint="eastAsia" w:ascii="宋体" w:hAnsi="宋体" w:cs="Calibri"/>
          <w:kern w:val="0"/>
          <w:szCs w:val="21"/>
        </w:rPr>
        <w:t>。</w:t>
      </w:r>
    </w:p>
    <w:p w14:paraId="46A37A56">
      <w:pPr>
        <w:widowControl/>
        <w:spacing w:line="400" w:lineRule="exact"/>
        <w:jc w:val="center"/>
        <w:rPr>
          <w:rFonts w:ascii="宋体" w:hAnsi="宋体" w:cs="Calibri"/>
          <w:kern w:val="0"/>
          <w:szCs w:val="21"/>
        </w:rPr>
      </w:pPr>
      <w:r>
        <w:rPr>
          <w:rFonts w:ascii="宋体" w:hAnsi="宋体" w:cs="Calibri"/>
          <w:kern w:val="0"/>
          <w:szCs w:val="21"/>
        </w:rPr>
        <w:t>表3 专家学历、学位分布情况（</w:t>
      </w:r>
      <w:r>
        <w:rPr>
          <w:rFonts w:hint="eastAsia" w:ascii="宋体" w:hAnsi="宋体" w:cs="Calibri"/>
          <w:kern w:val="0"/>
          <w:szCs w:val="21"/>
        </w:rPr>
        <w:t>n = 34</w:t>
      </w:r>
      <w:r>
        <w:rPr>
          <w:rFonts w:ascii="宋体" w:hAnsi="宋体" w:cs="Calibri"/>
          <w:kern w:val="0"/>
          <w:szCs w:val="21"/>
        </w:rPr>
        <w:t>）</w:t>
      </w:r>
    </w:p>
    <w:tbl>
      <w:tblPr>
        <w:tblStyle w:val="12"/>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autofit"/>
        <w:tblCellMar>
          <w:top w:w="15" w:type="dxa"/>
          <w:left w:w="15" w:type="dxa"/>
          <w:bottom w:w="15" w:type="dxa"/>
          <w:right w:w="15" w:type="dxa"/>
        </w:tblCellMar>
      </w:tblPr>
      <w:tblGrid>
        <w:gridCol w:w="3753"/>
        <w:gridCol w:w="2027"/>
        <w:gridCol w:w="2719"/>
      </w:tblGrid>
      <w:tr w14:paraId="35D4E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tblHeader/>
          <w:jc w:val="center"/>
        </w:trPr>
        <w:tc>
          <w:tcPr>
            <w:tcW w:w="3753" w:type="dxa"/>
            <w:tcBorders>
              <w:tl2br w:val="nil"/>
            </w:tcBorders>
            <w:shd w:val="clear" w:color="auto" w:fill="FFFFFF"/>
            <w:tcMar>
              <w:top w:w="45" w:type="dxa"/>
              <w:left w:w="98" w:type="dxa"/>
              <w:bottom w:w="45" w:type="dxa"/>
              <w:right w:w="98" w:type="dxa"/>
            </w:tcMar>
            <w:vAlign w:val="center"/>
          </w:tcPr>
          <w:p w14:paraId="4CA361DC">
            <w:pPr>
              <w:widowControl/>
              <w:snapToGrid w:val="0"/>
              <w:jc w:val="center"/>
              <w:rPr>
                <w:rFonts w:ascii="宋体" w:hAnsi="宋体" w:cs="Calibri"/>
                <w:color w:val="000000"/>
                <w:kern w:val="0"/>
                <w:szCs w:val="21"/>
              </w:rPr>
            </w:pPr>
            <w:r>
              <w:rPr>
                <w:rFonts w:ascii="宋体" w:hAnsi="宋体" w:cs="Calibri"/>
                <w:color w:val="000000"/>
                <w:kern w:val="0"/>
                <w:szCs w:val="21"/>
              </w:rPr>
              <w:t>学历/学位</w:t>
            </w:r>
          </w:p>
        </w:tc>
        <w:tc>
          <w:tcPr>
            <w:tcW w:w="2027" w:type="dxa"/>
            <w:shd w:val="clear" w:color="auto" w:fill="FFFFFF"/>
            <w:tcMar>
              <w:top w:w="45" w:type="dxa"/>
              <w:left w:w="98" w:type="dxa"/>
              <w:bottom w:w="45" w:type="dxa"/>
              <w:right w:w="98" w:type="dxa"/>
            </w:tcMar>
            <w:vAlign w:val="center"/>
          </w:tcPr>
          <w:p w14:paraId="553F33FC">
            <w:pPr>
              <w:widowControl/>
              <w:snapToGrid w:val="0"/>
              <w:jc w:val="center"/>
              <w:rPr>
                <w:rFonts w:ascii="宋体" w:hAnsi="宋体" w:cs="Calibri"/>
                <w:color w:val="000000"/>
                <w:kern w:val="0"/>
                <w:szCs w:val="21"/>
              </w:rPr>
            </w:pPr>
            <w:r>
              <w:rPr>
                <w:rFonts w:ascii="宋体" w:hAnsi="宋体" w:cs="Calibri"/>
                <w:color w:val="000000"/>
                <w:kern w:val="0"/>
                <w:szCs w:val="21"/>
              </w:rPr>
              <w:t>人数</w:t>
            </w:r>
          </w:p>
        </w:tc>
        <w:tc>
          <w:tcPr>
            <w:tcW w:w="2719" w:type="dxa"/>
            <w:shd w:val="clear" w:color="auto" w:fill="FFFFFF"/>
            <w:tcMar>
              <w:top w:w="45" w:type="dxa"/>
              <w:left w:w="98" w:type="dxa"/>
              <w:bottom w:w="45" w:type="dxa"/>
              <w:right w:w="98" w:type="dxa"/>
            </w:tcMar>
            <w:vAlign w:val="center"/>
          </w:tcPr>
          <w:p w14:paraId="6D3EF8F5">
            <w:pPr>
              <w:widowControl/>
              <w:snapToGrid w:val="0"/>
              <w:jc w:val="center"/>
              <w:rPr>
                <w:rFonts w:ascii="宋体" w:hAnsi="宋体" w:cs="Calibri"/>
                <w:color w:val="000000"/>
                <w:kern w:val="0"/>
                <w:szCs w:val="21"/>
              </w:rPr>
            </w:pPr>
            <w:r>
              <w:rPr>
                <w:rFonts w:ascii="宋体" w:hAnsi="宋体" w:cs="Calibri"/>
                <w:color w:val="000000"/>
                <w:kern w:val="0"/>
                <w:szCs w:val="21"/>
              </w:rPr>
              <w:t>百分比</w:t>
            </w:r>
          </w:p>
        </w:tc>
      </w:tr>
      <w:tr w14:paraId="08C3C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3753" w:type="dxa"/>
            <w:shd w:val="clear" w:color="auto" w:fill="FFFFFF"/>
            <w:tcMar>
              <w:top w:w="45" w:type="dxa"/>
              <w:left w:w="98" w:type="dxa"/>
              <w:bottom w:w="45" w:type="dxa"/>
              <w:right w:w="98" w:type="dxa"/>
            </w:tcMar>
            <w:vAlign w:val="center"/>
          </w:tcPr>
          <w:p w14:paraId="53ACF7FE">
            <w:pPr>
              <w:widowControl/>
              <w:snapToGrid w:val="0"/>
              <w:jc w:val="left"/>
              <w:rPr>
                <w:rFonts w:ascii="宋体" w:hAnsi="宋体" w:cs="Calibri"/>
                <w:color w:val="000000"/>
                <w:kern w:val="0"/>
                <w:szCs w:val="21"/>
              </w:rPr>
            </w:pPr>
            <w:r>
              <w:rPr>
                <w:rFonts w:ascii="宋体" w:hAnsi="宋体" w:cs="Calibri"/>
                <w:color w:val="000000"/>
                <w:kern w:val="0"/>
                <w:szCs w:val="21"/>
              </w:rPr>
              <w:t>硕士</w:t>
            </w:r>
          </w:p>
        </w:tc>
        <w:tc>
          <w:tcPr>
            <w:tcW w:w="2027" w:type="dxa"/>
            <w:shd w:val="clear" w:color="auto" w:fill="FFFFFF"/>
            <w:tcMar>
              <w:top w:w="45" w:type="dxa"/>
              <w:left w:w="98" w:type="dxa"/>
              <w:bottom w:w="45" w:type="dxa"/>
              <w:right w:w="98" w:type="dxa"/>
            </w:tcMar>
            <w:vAlign w:val="center"/>
          </w:tcPr>
          <w:p w14:paraId="0D6F1D33">
            <w:pPr>
              <w:widowControl/>
              <w:snapToGrid w:val="0"/>
              <w:jc w:val="left"/>
              <w:rPr>
                <w:rFonts w:ascii="宋体" w:hAnsi="宋体" w:cs="Calibri"/>
                <w:color w:val="000000"/>
                <w:kern w:val="0"/>
                <w:szCs w:val="21"/>
              </w:rPr>
            </w:pPr>
            <w:r>
              <w:rPr>
                <w:rFonts w:ascii="宋体" w:hAnsi="宋体" w:cs="Calibri"/>
                <w:color w:val="000000"/>
                <w:kern w:val="0"/>
                <w:szCs w:val="21"/>
              </w:rPr>
              <w:t>8</w:t>
            </w:r>
          </w:p>
        </w:tc>
        <w:tc>
          <w:tcPr>
            <w:tcW w:w="2719" w:type="dxa"/>
            <w:shd w:val="clear" w:color="auto" w:fill="FFFFFF"/>
            <w:tcMar>
              <w:top w:w="45" w:type="dxa"/>
              <w:left w:w="98" w:type="dxa"/>
              <w:bottom w:w="45" w:type="dxa"/>
              <w:right w:w="98" w:type="dxa"/>
            </w:tcMar>
            <w:vAlign w:val="center"/>
          </w:tcPr>
          <w:p w14:paraId="6B9935FB">
            <w:pPr>
              <w:widowControl/>
              <w:snapToGrid w:val="0"/>
              <w:jc w:val="left"/>
              <w:rPr>
                <w:rFonts w:ascii="宋体" w:hAnsi="宋体" w:cs="Calibri"/>
                <w:color w:val="000000"/>
                <w:kern w:val="0"/>
                <w:szCs w:val="21"/>
              </w:rPr>
            </w:pPr>
            <w:r>
              <w:rPr>
                <w:rFonts w:ascii="宋体" w:hAnsi="宋体" w:cs="Calibri"/>
                <w:color w:val="000000"/>
                <w:kern w:val="0"/>
                <w:szCs w:val="21"/>
              </w:rPr>
              <w:t>23.53%</w:t>
            </w:r>
          </w:p>
        </w:tc>
      </w:tr>
      <w:tr w14:paraId="7493C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3753" w:type="dxa"/>
            <w:shd w:val="clear" w:color="auto" w:fill="FFFFFF"/>
            <w:tcMar>
              <w:top w:w="45" w:type="dxa"/>
              <w:left w:w="98" w:type="dxa"/>
              <w:bottom w:w="45" w:type="dxa"/>
              <w:right w:w="98" w:type="dxa"/>
            </w:tcMar>
            <w:vAlign w:val="center"/>
          </w:tcPr>
          <w:p w14:paraId="6F3DB0C7">
            <w:pPr>
              <w:widowControl/>
              <w:snapToGrid w:val="0"/>
              <w:jc w:val="left"/>
              <w:rPr>
                <w:rFonts w:ascii="宋体" w:hAnsi="宋体" w:cs="Calibri"/>
                <w:color w:val="000000"/>
                <w:kern w:val="0"/>
                <w:szCs w:val="21"/>
              </w:rPr>
            </w:pPr>
            <w:r>
              <w:rPr>
                <w:rFonts w:ascii="宋体" w:hAnsi="宋体" w:cs="Calibri"/>
                <w:color w:val="000000"/>
                <w:kern w:val="0"/>
                <w:szCs w:val="21"/>
              </w:rPr>
              <w:t>博士</w:t>
            </w:r>
          </w:p>
        </w:tc>
        <w:tc>
          <w:tcPr>
            <w:tcW w:w="2027" w:type="dxa"/>
            <w:shd w:val="clear" w:color="auto" w:fill="FFFFFF"/>
            <w:tcMar>
              <w:top w:w="45" w:type="dxa"/>
              <w:left w:w="98" w:type="dxa"/>
              <w:bottom w:w="45" w:type="dxa"/>
              <w:right w:w="98" w:type="dxa"/>
            </w:tcMar>
            <w:vAlign w:val="center"/>
          </w:tcPr>
          <w:p w14:paraId="6D2B6283">
            <w:pPr>
              <w:widowControl/>
              <w:snapToGrid w:val="0"/>
              <w:jc w:val="left"/>
              <w:rPr>
                <w:rFonts w:ascii="宋体" w:hAnsi="宋体" w:cs="Calibri"/>
                <w:color w:val="000000"/>
                <w:kern w:val="0"/>
                <w:szCs w:val="21"/>
              </w:rPr>
            </w:pPr>
            <w:r>
              <w:rPr>
                <w:rFonts w:ascii="宋体" w:hAnsi="宋体" w:cs="Calibri"/>
                <w:color w:val="000000"/>
                <w:kern w:val="0"/>
                <w:szCs w:val="21"/>
              </w:rPr>
              <w:t>26</w:t>
            </w:r>
          </w:p>
        </w:tc>
        <w:tc>
          <w:tcPr>
            <w:tcW w:w="2719" w:type="dxa"/>
            <w:shd w:val="clear" w:color="auto" w:fill="FFFFFF"/>
            <w:tcMar>
              <w:top w:w="45" w:type="dxa"/>
              <w:left w:w="98" w:type="dxa"/>
              <w:bottom w:w="45" w:type="dxa"/>
              <w:right w:w="98" w:type="dxa"/>
            </w:tcMar>
            <w:vAlign w:val="center"/>
          </w:tcPr>
          <w:p w14:paraId="4519AF9A">
            <w:pPr>
              <w:widowControl/>
              <w:snapToGrid w:val="0"/>
              <w:jc w:val="left"/>
              <w:rPr>
                <w:rFonts w:ascii="宋体" w:hAnsi="宋体" w:cs="Calibri"/>
                <w:color w:val="000000"/>
                <w:kern w:val="0"/>
                <w:szCs w:val="21"/>
              </w:rPr>
            </w:pPr>
            <w:r>
              <w:rPr>
                <w:rFonts w:ascii="宋体" w:hAnsi="宋体" w:cs="Calibri"/>
                <w:color w:val="000000"/>
                <w:kern w:val="0"/>
                <w:szCs w:val="21"/>
              </w:rPr>
              <w:t>76.47%</w:t>
            </w:r>
          </w:p>
        </w:tc>
      </w:tr>
    </w:tbl>
    <w:p w14:paraId="0551E55D">
      <w:pPr>
        <w:widowControl/>
        <w:spacing w:line="400" w:lineRule="exact"/>
        <w:jc w:val="center"/>
        <w:rPr>
          <w:rFonts w:ascii="宋体" w:hAnsi="宋体" w:cs="Calibri"/>
          <w:kern w:val="0"/>
          <w:szCs w:val="21"/>
        </w:rPr>
      </w:pPr>
      <w:r>
        <w:rPr>
          <w:rFonts w:ascii="宋体" w:hAnsi="宋体" w:cs="Calibri"/>
          <w:kern w:val="0"/>
          <w:szCs w:val="21"/>
        </w:rPr>
        <w:t>表4 专家专业技术职称分布情况</w:t>
      </w:r>
    </w:p>
    <w:tbl>
      <w:tblPr>
        <w:tblStyle w:val="12"/>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autofit"/>
        <w:tblCellMar>
          <w:top w:w="15" w:type="dxa"/>
          <w:left w:w="15" w:type="dxa"/>
          <w:bottom w:w="15" w:type="dxa"/>
          <w:right w:w="15" w:type="dxa"/>
        </w:tblCellMar>
      </w:tblPr>
      <w:tblGrid>
        <w:gridCol w:w="2756"/>
        <w:gridCol w:w="1362"/>
        <w:gridCol w:w="4381"/>
      </w:tblGrid>
      <w:tr w14:paraId="3EBC5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tblHeader/>
          <w:jc w:val="center"/>
        </w:trPr>
        <w:tc>
          <w:tcPr>
            <w:tcW w:w="2756" w:type="dxa"/>
            <w:tcBorders>
              <w:tl2br w:val="nil"/>
            </w:tcBorders>
            <w:shd w:val="clear" w:color="auto" w:fill="FFFFFF"/>
            <w:tcMar>
              <w:top w:w="45" w:type="dxa"/>
              <w:left w:w="98" w:type="dxa"/>
              <w:bottom w:w="45" w:type="dxa"/>
              <w:right w:w="98" w:type="dxa"/>
            </w:tcMar>
            <w:vAlign w:val="center"/>
          </w:tcPr>
          <w:p w14:paraId="5CEDB38C">
            <w:pPr>
              <w:widowControl/>
              <w:snapToGrid w:val="0"/>
              <w:jc w:val="center"/>
              <w:rPr>
                <w:rFonts w:ascii="宋体" w:hAnsi="宋体" w:cs="Calibri"/>
                <w:color w:val="000000"/>
                <w:kern w:val="0"/>
                <w:szCs w:val="21"/>
              </w:rPr>
            </w:pPr>
            <w:r>
              <w:rPr>
                <w:rFonts w:ascii="宋体" w:hAnsi="宋体" w:cs="Calibri"/>
                <w:color w:val="000000"/>
                <w:kern w:val="0"/>
                <w:szCs w:val="21"/>
              </w:rPr>
              <w:t>职称</w:t>
            </w:r>
          </w:p>
        </w:tc>
        <w:tc>
          <w:tcPr>
            <w:tcW w:w="1362" w:type="dxa"/>
            <w:shd w:val="clear" w:color="auto" w:fill="FFFFFF"/>
            <w:tcMar>
              <w:top w:w="45" w:type="dxa"/>
              <w:left w:w="98" w:type="dxa"/>
              <w:bottom w:w="45" w:type="dxa"/>
              <w:right w:w="98" w:type="dxa"/>
            </w:tcMar>
            <w:vAlign w:val="center"/>
          </w:tcPr>
          <w:p w14:paraId="54874921">
            <w:pPr>
              <w:widowControl/>
              <w:snapToGrid w:val="0"/>
              <w:jc w:val="center"/>
              <w:rPr>
                <w:rFonts w:ascii="宋体" w:hAnsi="宋体" w:cs="Calibri"/>
                <w:color w:val="000000"/>
                <w:kern w:val="0"/>
                <w:szCs w:val="21"/>
              </w:rPr>
            </w:pPr>
            <w:r>
              <w:rPr>
                <w:rFonts w:ascii="宋体" w:hAnsi="宋体" w:cs="Calibri"/>
                <w:color w:val="000000"/>
                <w:kern w:val="0"/>
                <w:szCs w:val="21"/>
              </w:rPr>
              <w:t>人数</w:t>
            </w:r>
          </w:p>
        </w:tc>
        <w:tc>
          <w:tcPr>
            <w:tcW w:w="4381" w:type="dxa"/>
            <w:shd w:val="clear" w:color="auto" w:fill="FFFFFF"/>
            <w:tcMar>
              <w:top w:w="45" w:type="dxa"/>
              <w:left w:w="98" w:type="dxa"/>
              <w:bottom w:w="45" w:type="dxa"/>
              <w:right w:w="98" w:type="dxa"/>
            </w:tcMar>
            <w:vAlign w:val="center"/>
          </w:tcPr>
          <w:p w14:paraId="0DAC75C7">
            <w:pPr>
              <w:widowControl/>
              <w:snapToGrid w:val="0"/>
              <w:jc w:val="center"/>
              <w:rPr>
                <w:rFonts w:ascii="宋体" w:hAnsi="宋体" w:cs="Calibri"/>
                <w:color w:val="000000"/>
                <w:kern w:val="0"/>
                <w:szCs w:val="21"/>
              </w:rPr>
            </w:pPr>
            <w:r>
              <w:rPr>
                <w:rFonts w:ascii="宋体" w:hAnsi="宋体" w:cs="Calibri"/>
                <w:color w:val="000000"/>
                <w:kern w:val="0"/>
                <w:szCs w:val="21"/>
              </w:rPr>
              <w:t>百分比（占</w:t>
            </w:r>
            <w:r>
              <w:rPr>
                <w:rFonts w:hint="eastAsia" w:ascii="宋体" w:hAnsi="宋体" w:cs="Calibri"/>
                <w:color w:val="000000"/>
                <w:kern w:val="0"/>
                <w:szCs w:val="21"/>
              </w:rPr>
              <w:t>34</w:t>
            </w:r>
            <w:r>
              <w:rPr>
                <w:rFonts w:ascii="宋体" w:hAnsi="宋体" w:cs="Calibri"/>
                <w:color w:val="000000"/>
                <w:kern w:val="0"/>
                <w:szCs w:val="21"/>
              </w:rPr>
              <w:t>人）</w:t>
            </w:r>
          </w:p>
        </w:tc>
      </w:tr>
      <w:tr w14:paraId="2E02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2756" w:type="dxa"/>
            <w:shd w:val="clear" w:color="auto" w:fill="FFFFFF"/>
            <w:tcMar>
              <w:top w:w="45" w:type="dxa"/>
              <w:left w:w="98" w:type="dxa"/>
              <w:bottom w:w="45" w:type="dxa"/>
              <w:right w:w="98" w:type="dxa"/>
            </w:tcMar>
            <w:vAlign w:val="center"/>
          </w:tcPr>
          <w:p w14:paraId="1298300C">
            <w:pPr>
              <w:widowControl/>
              <w:snapToGrid w:val="0"/>
              <w:jc w:val="left"/>
              <w:rPr>
                <w:rFonts w:ascii="宋体" w:hAnsi="宋体" w:cs="Calibri"/>
                <w:color w:val="000000"/>
                <w:kern w:val="0"/>
                <w:szCs w:val="21"/>
              </w:rPr>
            </w:pPr>
            <w:r>
              <w:rPr>
                <w:rFonts w:ascii="宋体" w:hAnsi="宋体" w:cs="Calibri"/>
                <w:color w:val="000000"/>
                <w:kern w:val="0"/>
                <w:szCs w:val="21"/>
              </w:rPr>
              <w:t>教授</w:t>
            </w:r>
          </w:p>
        </w:tc>
        <w:tc>
          <w:tcPr>
            <w:tcW w:w="1362" w:type="dxa"/>
            <w:shd w:val="clear" w:color="auto" w:fill="FFFFFF"/>
            <w:tcMar>
              <w:top w:w="45" w:type="dxa"/>
              <w:left w:w="98" w:type="dxa"/>
              <w:bottom w:w="45" w:type="dxa"/>
              <w:right w:w="98" w:type="dxa"/>
            </w:tcMar>
            <w:vAlign w:val="center"/>
          </w:tcPr>
          <w:p w14:paraId="3DE2931F">
            <w:pPr>
              <w:widowControl/>
              <w:snapToGrid w:val="0"/>
              <w:jc w:val="left"/>
              <w:rPr>
                <w:rFonts w:ascii="宋体" w:hAnsi="宋体" w:cs="Calibri"/>
                <w:color w:val="000000"/>
                <w:kern w:val="0"/>
                <w:szCs w:val="21"/>
              </w:rPr>
            </w:pPr>
            <w:r>
              <w:rPr>
                <w:rFonts w:ascii="宋体" w:hAnsi="宋体" w:cs="Calibri"/>
                <w:color w:val="000000"/>
                <w:kern w:val="0"/>
                <w:szCs w:val="21"/>
              </w:rPr>
              <w:t>19</w:t>
            </w:r>
          </w:p>
        </w:tc>
        <w:tc>
          <w:tcPr>
            <w:tcW w:w="4381" w:type="dxa"/>
            <w:shd w:val="clear" w:color="auto" w:fill="FFFFFF"/>
            <w:tcMar>
              <w:top w:w="45" w:type="dxa"/>
              <w:left w:w="98" w:type="dxa"/>
              <w:bottom w:w="45" w:type="dxa"/>
              <w:right w:w="98" w:type="dxa"/>
            </w:tcMar>
            <w:vAlign w:val="center"/>
          </w:tcPr>
          <w:p w14:paraId="5482B00C">
            <w:pPr>
              <w:widowControl/>
              <w:snapToGrid w:val="0"/>
              <w:jc w:val="left"/>
              <w:rPr>
                <w:rFonts w:ascii="宋体" w:hAnsi="宋体" w:cs="Calibri"/>
                <w:color w:val="000000"/>
                <w:kern w:val="0"/>
                <w:szCs w:val="21"/>
              </w:rPr>
            </w:pPr>
            <w:r>
              <w:rPr>
                <w:rFonts w:ascii="宋体" w:hAnsi="宋体" w:cs="Calibri"/>
                <w:color w:val="000000"/>
                <w:kern w:val="0"/>
                <w:szCs w:val="21"/>
              </w:rPr>
              <w:t>55.88%</w:t>
            </w:r>
          </w:p>
        </w:tc>
      </w:tr>
      <w:tr w14:paraId="35E46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2756" w:type="dxa"/>
            <w:shd w:val="clear" w:color="auto" w:fill="FFFFFF"/>
            <w:tcMar>
              <w:top w:w="45" w:type="dxa"/>
              <w:left w:w="98" w:type="dxa"/>
              <w:bottom w:w="45" w:type="dxa"/>
              <w:right w:w="98" w:type="dxa"/>
            </w:tcMar>
            <w:vAlign w:val="center"/>
          </w:tcPr>
          <w:p w14:paraId="1DF00D53">
            <w:pPr>
              <w:widowControl/>
              <w:snapToGrid w:val="0"/>
              <w:jc w:val="left"/>
              <w:rPr>
                <w:rFonts w:ascii="宋体" w:hAnsi="宋体" w:cs="Calibri"/>
                <w:color w:val="000000"/>
                <w:kern w:val="0"/>
                <w:szCs w:val="21"/>
              </w:rPr>
            </w:pPr>
            <w:r>
              <w:rPr>
                <w:rFonts w:ascii="宋体" w:hAnsi="宋体" w:cs="Calibri"/>
                <w:color w:val="000000"/>
                <w:kern w:val="0"/>
                <w:szCs w:val="21"/>
              </w:rPr>
              <w:t>副教授</w:t>
            </w:r>
          </w:p>
        </w:tc>
        <w:tc>
          <w:tcPr>
            <w:tcW w:w="1362" w:type="dxa"/>
            <w:shd w:val="clear" w:color="auto" w:fill="FFFFFF"/>
            <w:tcMar>
              <w:top w:w="45" w:type="dxa"/>
              <w:left w:w="98" w:type="dxa"/>
              <w:bottom w:w="45" w:type="dxa"/>
              <w:right w:w="98" w:type="dxa"/>
            </w:tcMar>
            <w:vAlign w:val="center"/>
          </w:tcPr>
          <w:p w14:paraId="5190302C">
            <w:pPr>
              <w:widowControl/>
              <w:snapToGrid w:val="0"/>
              <w:jc w:val="left"/>
              <w:rPr>
                <w:rFonts w:ascii="宋体" w:hAnsi="宋体" w:cs="Calibri"/>
                <w:color w:val="000000"/>
                <w:kern w:val="0"/>
                <w:szCs w:val="21"/>
              </w:rPr>
            </w:pPr>
            <w:r>
              <w:rPr>
                <w:rFonts w:ascii="宋体" w:hAnsi="宋体" w:cs="Calibri"/>
                <w:color w:val="000000"/>
                <w:kern w:val="0"/>
                <w:szCs w:val="21"/>
              </w:rPr>
              <w:t>2</w:t>
            </w:r>
          </w:p>
        </w:tc>
        <w:tc>
          <w:tcPr>
            <w:tcW w:w="4381" w:type="dxa"/>
            <w:shd w:val="clear" w:color="auto" w:fill="FFFFFF"/>
            <w:tcMar>
              <w:top w:w="45" w:type="dxa"/>
              <w:left w:w="98" w:type="dxa"/>
              <w:bottom w:w="45" w:type="dxa"/>
              <w:right w:w="98" w:type="dxa"/>
            </w:tcMar>
            <w:vAlign w:val="center"/>
          </w:tcPr>
          <w:p w14:paraId="1A90A387">
            <w:pPr>
              <w:widowControl/>
              <w:snapToGrid w:val="0"/>
              <w:jc w:val="left"/>
              <w:rPr>
                <w:rFonts w:ascii="宋体" w:hAnsi="宋体" w:cs="Calibri"/>
                <w:color w:val="000000"/>
                <w:kern w:val="0"/>
                <w:szCs w:val="21"/>
              </w:rPr>
            </w:pPr>
            <w:r>
              <w:rPr>
                <w:rFonts w:ascii="宋体" w:hAnsi="宋体" w:cs="Calibri"/>
                <w:color w:val="000000"/>
                <w:kern w:val="0"/>
                <w:szCs w:val="21"/>
              </w:rPr>
              <w:t>5.88%</w:t>
            </w:r>
          </w:p>
        </w:tc>
      </w:tr>
      <w:tr w14:paraId="47900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756" w:type="dxa"/>
            <w:shd w:val="clear" w:color="auto" w:fill="FFFFFF"/>
            <w:tcMar>
              <w:top w:w="45" w:type="dxa"/>
              <w:left w:w="98" w:type="dxa"/>
              <w:bottom w:w="45" w:type="dxa"/>
              <w:right w:w="98" w:type="dxa"/>
            </w:tcMar>
            <w:vAlign w:val="center"/>
          </w:tcPr>
          <w:p w14:paraId="384A5324">
            <w:pPr>
              <w:widowControl/>
              <w:snapToGrid w:val="0"/>
              <w:jc w:val="left"/>
              <w:rPr>
                <w:rFonts w:ascii="宋体" w:hAnsi="宋体" w:cs="Calibri"/>
                <w:color w:val="000000"/>
                <w:kern w:val="0"/>
                <w:szCs w:val="21"/>
              </w:rPr>
            </w:pPr>
            <w:r>
              <w:rPr>
                <w:rFonts w:ascii="宋体" w:hAnsi="宋体" w:cs="Calibri"/>
                <w:color w:val="000000"/>
                <w:kern w:val="0"/>
                <w:szCs w:val="21"/>
              </w:rPr>
              <w:t>主任医师</w:t>
            </w:r>
          </w:p>
        </w:tc>
        <w:tc>
          <w:tcPr>
            <w:tcW w:w="1362" w:type="dxa"/>
            <w:shd w:val="clear" w:color="auto" w:fill="FFFFFF"/>
            <w:tcMar>
              <w:top w:w="45" w:type="dxa"/>
              <w:left w:w="98" w:type="dxa"/>
              <w:bottom w:w="45" w:type="dxa"/>
              <w:right w:w="98" w:type="dxa"/>
            </w:tcMar>
            <w:vAlign w:val="center"/>
          </w:tcPr>
          <w:p w14:paraId="1C393E89">
            <w:pPr>
              <w:widowControl/>
              <w:snapToGrid w:val="0"/>
              <w:jc w:val="left"/>
              <w:rPr>
                <w:rFonts w:ascii="宋体" w:hAnsi="宋体" w:cs="Calibri"/>
                <w:color w:val="000000"/>
                <w:kern w:val="0"/>
                <w:szCs w:val="21"/>
              </w:rPr>
            </w:pPr>
            <w:r>
              <w:rPr>
                <w:rFonts w:ascii="宋体" w:hAnsi="宋体" w:cs="Calibri"/>
                <w:color w:val="000000"/>
                <w:kern w:val="0"/>
                <w:szCs w:val="21"/>
              </w:rPr>
              <w:t>24</w:t>
            </w:r>
          </w:p>
        </w:tc>
        <w:tc>
          <w:tcPr>
            <w:tcW w:w="4381" w:type="dxa"/>
            <w:shd w:val="clear" w:color="auto" w:fill="FFFFFF"/>
            <w:tcMar>
              <w:top w:w="45" w:type="dxa"/>
              <w:left w:w="98" w:type="dxa"/>
              <w:bottom w:w="45" w:type="dxa"/>
              <w:right w:w="98" w:type="dxa"/>
            </w:tcMar>
            <w:vAlign w:val="center"/>
          </w:tcPr>
          <w:p w14:paraId="66BBE2D5">
            <w:pPr>
              <w:widowControl/>
              <w:snapToGrid w:val="0"/>
              <w:jc w:val="left"/>
              <w:rPr>
                <w:rFonts w:ascii="宋体" w:hAnsi="宋体" w:cs="Calibri"/>
                <w:color w:val="000000"/>
                <w:kern w:val="0"/>
                <w:szCs w:val="21"/>
              </w:rPr>
            </w:pPr>
            <w:r>
              <w:rPr>
                <w:rFonts w:ascii="宋体" w:hAnsi="宋体" w:cs="Calibri"/>
                <w:color w:val="000000"/>
                <w:kern w:val="0"/>
                <w:szCs w:val="21"/>
              </w:rPr>
              <w:t>70.59%</w:t>
            </w:r>
          </w:p>
        </w:tc>
      </w:tr>
      <w:tr w14:paraId="15D83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756" w:type="dxa"/>
            <w:shd w:val="clear" w:color="auto" w:fill="FFFFFF"/>
            <w:tcMar>
              <w:top w:w="45" w:type="dxa"/>
              <w:left w:w="98" w:type="dxa"/>
              <w:bottom w:w="45" w:type="dxa"/>
              <w:right w:w="98" w:type="dxa"/>
            </w:tcMar>
            <w:vAlign w:val="center"/>
          </w:tcPr>
          <w:p w14:paraId="07ADE816">
            <w:pPr>
              <w:widowControl/>
              <w:snapToGrid w:val="0"/>
              <w:jc w:val="left"/>
              <w:rPr>
                <w:rFonts w:ascii="宋体" w:hAnsi="宋体" w:cs="Calibri"/>
                <w:color w:val="000000"/>
                <w:kern w:val="0"/>
                <w:szCs w:val="21"/>
              </w:rPr>
            </w:pPr>
            <w:r>
              <w:rPr>
                <w:rFonts w:ascii="宋体" w:hAnsi="宋体" w:cs="Calibri"/>
                <w:color w:val="000000"/>
                <w:kern w:val="0"/>
                <w:szCs w:val="21"/>
              </w:rPr>
              <w:t>副主任医师</w:t>
            </w:r>
          </w:p>
        </w:tc>
        <w:tc>
          <w:tcPr>
            <w:tcW w:w="1362" w:type="dxa"/>
            <w:shd w:val="clear" w:color="auto" w:fill="FFFFFF"/>
            <w:tcMar>
              <w:top w:w="45" w:type="dxa"/>
              <w:left w:w="98" w:type="dxa"/>
              <w:bottom w:w="45" w:type="dxa"/>
              <w:right w:w="98" w:type="dxa"/>
            </w:tcMar>
            <w:vAlign w:val="center"/>
          </w:tcPr>
          <w:p w14:paraId="184E3A94">
            <w:pPr>
              <w:widowControl/>
              <w:snapToGrid w:val="0"/>
              <w:jc w:val="left"/>
              <w:rPr>
                <w:rFonts w:ascii="宋体" w:hAnsi="宋体" w:cs="Calibri"/>
                <w:color w:val="000000"/>
                <w:kern w:val="0"/>
                <w:szCs w:val="21"/>
              </w:rPr>
            </w:pPr>
            <w:r>
              <w:rPr>
                <w:rFonts w:ascii="宋体" w:hAnsi="宋体" w:cs="Calibri"/>
                <w:color w:val="000000"/>
                <w:kern w:val="0"/>
                <w:szCs w:val="21"/>
              </w:rPr>
              <w:t>2</w:t>
            </w:r>
          </w:p>
        </w:tc>
        <w:tc>
          <w:tcPr>
            <w:tcW w:w="4381" w:type="dxa"/>
            <w:shd w:val="clear" w:color="auto" w:fill="FFFFFF"/>
            <w:tcMar>
              <w:top w:w="45" w:type="dxa"/>
              <w:left w:w="98" w:type="dxa"/>
              <w:bottom w:w="45" w:type="dxa"/>
              <w:right w:w="98" w:type="dxa"/>
            </w:tcMar>
            <w:vAlign w:val="center"/>
          </w:tcPr>
          <w:p w14:paraId="6D3F68E5">
            <w:pPr>
              <w:widowControl/>
              <w:snapToGrid w:val="0"/>
              <w:jc w:val="left"/>
              <w:rPr>
                <w:rFonts w:ascii="宋体" w:hAnsi="宋体" w:cs="Calibri"/>
                <w:color w:val="000000"/>
                <w:kern w:val="0"/>
                <w:szCs w:val="21"/>
              </w:rPr>
            </w:pPr>
            <w:r>
              <w:rPr>
                <w:rFonts w:ascii="宋体" w:hAnsi="宋体" w:cs="Calibri"/>
                <w:color w:val="000000"/>
                <w:kern w:val="0"/>
                <w:szCs w:val="21"/>
              </w:rPr>
              <w:t>5.88%</w:t>
            </w:r>
          </w:p>
        </w:tc>
      </w:tr>
      <w:tr w14:paraId="43817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2756" w:type="dxa"/>
            <w:shd w:val="clear" w:color="auto" w:fill="FFFFFF"/>
            <w:tcMar>
              <w:top w:w="45" w:type="dxa"/>
              <w:left w:w="98" w:type="dxa"/>
              <w:bottom w:w="45" w:type="dxa"/>
              <w:right w:w="98" w:type="dxa"/>
            </w:tcMar>
            <w:vAlign w:val="center"/>
          </w:tcPr>
          <w:p w14:paraId="6FF79C30">
            <w:pPr>
              <w:widowControl/>
              <w:snapToGrid w:val="0"/>
              <w:jc w:val="left"/>
              <w:rPr>
                <w:rFonts w:ascii="宋体" w:hAnsi="宋体" w:cs="Calibri"/>
                <w:color w:val="000000"/>
                <w:kern w:val="0"/>
                <w:szCs w:val="21"/>
              </w:rPr>
            </w:pPr>
            <w:r>
              <w:rPr>
                <w:rFonts w:ascii="宋体" w:hAnsi="宋体" w:cs="Calibri"/>
                <w:color w:val="000000"/>
                <w:kern w:val="0"/>
                <w:szCs w:val="21"/>
              </w:rPr>
              <w:t>研究员</w:t>
            </w:r>
          </w:p>
        </w:tc>
        <w:tc>
          <w:tcPr>
            <w:tcW w:w="1362" w:type="dxa"/>
            <w:shd w:val="clear" w:color="auto" w:fill="FFFFFF"/>
            <w:tcMar>
              <w:top w:w="45" w:type="dxa"/>
              <w:left w:w="98" w:type="dxa"/>
              <w:bottom w:w="45" w:type="dxa"/>
              <w:right w:w="98" w:type="dxa"/>
            </w:tcMar>
            <w:vAlign w:val="center"/>
          </w:tcPr>
          <w:p w14:paraId="423C66D4">
            <w:pPr>
              <w:widowControl/>
              <w:snapToGrid w:val="0"/>
              <w:jc w:val="left"/>
              <w:rPr>
                <w:rFonts w:ascii="宋体" w:hAnsi="宋体" w:cs="Calibri"/>
                <w:color w:val="000000"/>
                <w:kern w:val="0"/>
                <w:szCs w:val="21"/>
              </w:rPr>
            </w:pPr>
            <w:r>
              <w:rPr>
                <w:rFonts w:ascii="宋体" w:hAnsi="宋体" w:cs="Calibri"/>
                <w:color w:val="000000"/>
                <w:kern w:val="0"/>
                <w:szCs w:val="21"/>
              </w:rPr>
              <w:t>1</w:t>
            </w:r>
          </w:p>
        </w:tc>
        <w:tc>
          <w:tcPr>
            <w:tcW w:w="4381" w:type="dxa"/>
            <w:shd w:val="clear" w:color="auto" w:fill="FFFFFF"/>
            <w:tcMar>
              <w:top w:w="45" w:type="dxa"/>
              <w:left w:w="98" w:type="dxa"/>
              <w:bottom w:w="45" w:type="dxa"/>
              <w:right w:w="98" w:type="dxa"/>
            </w:tcMar>
            <w:vAlign w:val="center"/>
          </w:tcPr>
          <w:p w14:paraId="06655422">
            <w:pPr>
              <w:widowControl/>
              <w:snapToGrid w:val="0"/>
              <w:jc w:val="left"/>
              <w:rPr>
                <w:rFonts w:ascii="宋体" w:hAnsi="宋体" w:cs="Calibri"/>
                <w:color w:val="000000"/>
                <w:kern w:val="0"/>
                <w:szCs w:val="21"/>
              </w:rPr>
            </w:pPr>
            <w:r>
              <w:rPr>
                <w:rFonts w:ascii="宋体" w:hAnsi="宋体" w:cs="Calibri"/>
                <w:color w:val="000000"/>
                <w:kern w:val="0"/>
                <w:szCs w:val="21"/>
              </w:rPr>
              <w:t>2.94%</w:t>
            </w:r>
          </w:p>
        </w:tc>
      </w:tr>
      <w:tr w14:paraId="41EDE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2756" w:type="dxa"/>
            <w:shd w:val="clear" w:color="auto" w:fill="FFFFFF"/>
            <w:tcMar>
              <w:top w:w="45" w:type="dxa"/>
              <w:left w:w="98" w:type="dxa"/>
              <w:bottom w:w="45" w:type="dxa"/>
              <w:right w:w="98" w:type="dxa"/>
            </w:tcMar>
            <w:vAlign w:val="center"/>
          </w:tcPr>
          <w:p w14:paraId="46BEFF30">
            <w:pPr>
              <w:widowControl/>
              <w:snapToGrid w:val="0"/>
              <w:jc w:val="left"/>
              <w:rPr>
                <w:rFonts w:ascii="宋体" w:hAnsi="宋体" w:cs="Calibri"/>
                <w:color w:val="000000"/>
                <w:kern w:val="0"/>
                <w:szCs w:val="21"/>
              </w:rPr>
            </w:pPr>
            <w:r>
              <w:rPr>
                <w:rFonts w:ascii="宋体" w:hAnsi="宋体" w:cs="Calibri"/>
                <w:color w:val="000000"/>
                <w:kern w:val="0"/>
                <w:szCs w:val="21"/>
              </w:rPr>
              <w:t>主治医师</w:t>
            </w:r>
          </w:p>
        </w:tc>
        <w:tc>
          <w:tcPr>
            <w:tcW w:w="1362" w:type="dxa"/>
            <w:shd w:val="clear" w:color="auto" w:fill="FFFFFF"/>
            <w:tcMar>
              <w:top w:w="45" w:type="dxa"/>
              <w:left w:w="98" w:type="dxa"/>
              <w:bottom w:w="45" w:type="dxa"/>
              <w:right w:w="98" w:type="dxa"/>
            </w:tcMar>
            <w:vAlign w:val="center"/>
          </w:tcPr>
          <w:p w14:paraId="7D7C643B">
            <w:pPr>
              <w:widowControl/>
              <w:snapToGrid w:val="0"/>
              <w:jc w:val="left"/>
              <w:rPr>
                <w:rFonts w:ascii="宋体" w:hAnsi="宋体" w:cs="Calibri"/>
                <w:color w:val="000000"/>
                <w:kern w:val="0"/>
                <w:szCs w:val="21"/>
              </w:rPr>
            </w:pPr>
            <w:r>
              <w:rPr>
                <w:rFonts w:ascii="宋体" w:hAnsi="宋体" w:cs="Calibri"/>
                <w:color w:val="000000"/>
                <w:kern w:val="0"/>
                <w:szCs w:val="21"/>
              </w:rPr>
              <w:t>1</w:t>
            </w:r>
          </w:p>
        </w:tc>
        <w:tc>
          <w:tcPr>
            <w:tcW w:w="4381" w:type="dxa"/>
            <w:shd w:val="clear" w:color="auto" w:fill="FFFFFF"/>
            <w:tcMar>
              <w:top w:w="45" w:type="dxa"/>
              <w:left w:w="98" w:type="dxa"/>
              <w:bottom w:w="45" w:type="dxa"/>
              <w:right w:w="98" w:type="dxa"/>
            </w:tcMar>
            <w:vAlign w:val="center"/>
          </w:tcPr>
          <w:p w14:paraId="4F98F9A3">
            <w:pPr>
              <w:widowControl/>
              <w:snapToGrid w:val="0"/>
              <w:jc w:val="left"/>
              <w:rPr>
                <w:rFonts w:ascii="宋体" w:hAnsi="宋体" w:cs="Calibri"/>
                <w:color w:val="000000"/>
                <w:kern w:val="0"/>
                <w:szCs w:val="21"/>
              </w:rPr>
            </w:pPr>
            <w:r>
              <w:rPr>
                <w:rFonts w:ascii="宋体" w:hAnsi="宋体" w:cs="Calibri"/>
                <w:color w:val="000000"/>
                <w:kern w:val="0"/>
                <w:szCs w:val="21"/>
              </w:rPr>
              <w:t>2.94%</w:t>
            </w:r>
          </w:p>
        </w:tc>
      </w:tr>
      <w:tr w14:paraId="05ADA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2756" w:type="dxa"/>
            <w:shd w:val="clear" w:color="auto" w:fill="FFFFFF"/>
            <w:tcMar>
              <w:top w:w="45" w:type="dxa"/>
              <w:left w:w="98" w:type="dxa"/>
              <w:bottom w:w="45" w:type="dxa"/>
              <w:right w:w="98" w:type="dxa"/>
            </w:tcMar>
            <w:vAlign w:val="center"/>
          </w:tcPr>
          <w:p w14:paraId="1711464F">
            <w:pPr>
              <w:widowControl/>
              <w:snapToGrid w:val="0"/>
              <w:jc w:val="left"/>
              <w:rPr>
                <w:rFonts w:ascii="宋体" w:hAnsi="宋体" w:cs="Calibri"/>
                <w:color w:val="000000"/>
                <w:kern w:val="0"/>
                <w:szCs w:val="21"/>
              </w:rPr>
            </w:pPr>
            <w:r>
              <w:rPr>
                <w:rFonts w:ascii="宋体" w:hAnsi="宋体" w:cs="Calibri"/>
                <w:color w:val="000000"/>
                <w:kern w:val="0"/>
                <w:szCs w:val="21"/>
              </w:rPr>
              <w:t>住院医师</w:t>
            </w:r>
          </w:p>
        </w:tc>
        <w:tc>
          <w:tcPr>
            <w:tcW w:w="1362" w:type="dxa"/>
            <w:shd w:val="clear" w:color="auto" w:fill="FFFFFF"/>
            <w:tcMar>
              <w:top w:w="45" w:type="dxa"/>
              <w:left w:w="98" w:type="dxa"/>
              <w:bottom w:w="45" w:type="dxa"/>
              <w:right w:w="98" w:type="dxa"/>
            </w:tcMar>
            <w:vAlign w:val="center"/>
          </w:tcPr>
          <w:p w14:paraId="1D86E089">
            <w:pPr>
              <w:widowControl/>
              <w:snapToGrid w:val="0"/>
              <w:jc w:val="left"/>
              <w:rPr>
                <w:rFonts w:ascii="宋体" w:hAnsi="宋体" w:cs="Calibri"/>
                <w:color w:val="000000"/>
                <w:kern w:val="0"/>
                <w:szCs w:val="21"/>
              </w:rPr>
            </w:pPr>
            <w:r>
              <w:rPr>
                <w:rFonts w:ascii="宋体" w:hAnsi="宋体" w:cs="Calibri"/>
                <w:color w:val="000000"/>
                <w:kern w:val="0"/>
                <w:szCs w:val="21"/>
              </w:rPr>
              <w:t>1</w:t>
            </w:r>
          </w:p>
        </w:tc>
        <w:tc>
          <w:tcPr>
            <w:tcW w:w="4381" w:type="dxa"/>
            <w:shd w:val="clear" w:color="auto" w:fill="FFFFFF"/>
            <w:tcMar>
              <w:top w:w="45" w:type="dxa"/>
              <w:left w:w="98" w:type="dxa"/>
              <w:bottom w:w="45" w:type="dxa"/>
              <w:right w:w="98" w:type="dxa"/>
            </w:tcMar>
            <w:vAlign w:val="center"/>
          </w:tcPr>
          <w:p w14:paraId="722C0E61">
            <w:pPr>
              <w:widowControl/>
              <w:snapToGrid w:val="0"/>
              <w:jc w:val="left"/>
              <w:rPr>
                <w:rFonts w:ascii="宋体" w:hAnsi="宋体" w:cs="Calibri"/>
                <w:color w:val="000000"/>
                <w:kern w:val="0"/>
                <w:szCs w:val="21"/>
              </w:rPr>
            </w:pPr>
            <w:r>
              <w:rPr>
                <w:rFonts w:ascii="宋体" w:hAnsi="宋体" w:cs="Calibri"/>
                <w:color w:val="000000"/>
                <w:kern w:val="0"/>
                <w:szCs w:val="21"/>
              </w:rPr>
              <w:t>2.94%</w:t>
            </w:r>
          </w:p>
        </w:tc>
      </w:tr>
    </w:tbl>
    <w:p w14:paraId="726AE15B">
      <w:pPr>
        <w:widowControl/>
        <w:spacing w:line="400" w:lineRule="exact"/>
        <w:ind w:firstLine="420" w:firstLineChars="200"/>
        <w:jc w:val="left"/>
        <w:rPr>
          <w:rFonts w:ascii="宋体" w:hAnsi="宋体" w:cs="Calibri"/>
          <w:kern w:val="0"/>
          <w:szCs w:val="21"/>
        </w:rPr>
      </w:pPr>
      <w:r>
        <w:rPr>
          <w:rFonts w:ascii="宋体" w:hAnsi="宋体" w:cs="Calibri"/>
          <w:kern w:val="0"/>
          <w:szCs w:val="21"/>
        </w:rPr>
        <w:t>说明：部分专家兼具“教授 / 研究员”和“主任医师”等多个职称，故各项人数之和大于</w:t>
      </w:r>
      <w:r>
        <w:rPr>
          <w:rFonts w:hint="eastAsia" w:ascii="宋体" w:hAnsi="宋体" w:cs="Calibri"/>
          <w:kern w:val="0"/>
          <w:szCs w:val="21"/>
        </w:rPr>
        <w:t>34</w:t>
      </w:r>
      <w:r>
        <w:rPr>
          <w:rFonts w:ascii="宋体" w:hAnsi="宋体" w:cs="Calibri"/>
          <w:kern w:val="0"/>
          <w:szCs w:val="21"/>
        </w:rPr>
        <w:t>人。</w:t>
      </w:r>
    </w:p>
    <w:p w14:paraId="4A4FB80E">
      <w:pPr>
        <w:widowControl/>
        <w:spacing w:line="400" w:lineRule="exact"/>
        <w:jc w:val="center"/>
        <w:rPr>
          <w:rFonts w:ascii="宋体" w:hAnsi="宋体" w:cs="Calibri"/>
          <w:kern w:val="0"/>
          <w:szCs w:val="21"/>
        </w:rPr>
      </w:pPr>
      <w:r>
        <w:rPr>
          <w:rFonts w:ascii="宋体" w:hAnsi="宋体" w:cs="Calibri"/>
          <w:kern w:val="0"/>
          <w:szCs w:val="21"/>
        </w:rPr>
        <w:t>表5 专家研究生导师情况（</w:t>
      </w:r>
      <w:r>
        <w:rPr>
          <w:rFonts w:hint="eastAsia" w:ascii="宋体" w:hAnsi="宋体" w:cs="Calibri"/>
          <w:kern w:val="0"/>
          <w:szCs w:val="21"/>
        </w:rPr>
        <w:t>n = 34</w:t>
      </w:r>
      <w:r>
        <w:rPr>
          <w:rFonts w:ascii="宋体" w:hAnsi="宋体" w:cs="Calibri"/>
          <w:kern w:val="0"/>
          <w:szCs w:val="21"/>
        </w:rPr>
        <w:t>）</w:t>
      </w:r>
    </w:p>
    <w:tbl>
      <w:tblPr>
        <w:tblStyle w:val="12"/>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autofit"/>
        <w:tblCellMar>
          <w:top w:w="15" w:type="dxa"/>
          <w:left w:w="15" w:type="dxa"/>
          <w:bottom w:w="15" w:type="dxa"/>
          <w:right w:w="15" w:type="dxa"/>
        </w:tblCellMar>
      </w:tblPr>
      <w:tblGrid>
        <w:gridCol w:w="4556"/>
        <w:gridCol w:w="1685"/>
        <w:gridCol w:w="2258"/>
      </w:tblGrid>
      <w:tr w14:paraId="72C30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tblHeader/>
          <w:jc w:val="center"/>
        </w:trPr>
        <w:tc>
          <w:tcPr>
            <w:tcW w:w="4556" w:type="dxa"/>
            <w:tcBorders>
              <w:tl2br w:val="nil"/>
            </w:tcBorders>
            <w:shd w:val="clear" w:color="auto" w:fill="FFFFFF"/>
            <w:tcMar>
              <w:top w:w="45" w:type="dxa"/>
              <w:left w:w="98" w:type="dxa"/>
              <w:bottom w:w="45" w:type="dxa"/>
              <w:right w:w="98" w:type="dxa"/>
            </w:tcMar>
            <w:vAlign w:val="center"/>
          </w:tcPr>
          <w:p w14:paraId="289BDD94">
            <w:pPr>
              <w:widowControl/>
              <w:snapToGrid w:val="0"/>
              <w:jc w:val="center"/>
              <w:rPr>
                <w:rFonts w:ascii="宋体" w:hAnsi="宋体" w:cs="Calibri"/>
                <w:color w:val="000000"/>
                <w:kern w:val="0"/>
                <w:szCs w:val="21"/>
              </w:rPr>
            </w:pPr>
            <w:r>
              <w:rPr>
                <w:rFonts w:ascii="宋体" w:hAnsi="宋体" w:cs="Calibri"/>
                <w:color w:val="000000"/>
                <w:kern w:val="0"/>
                <w:szCs w:val="21"/>
              </w:rPr>
              <w:t>导师类型</w:t>
            </w:r>
          </w:p>
        </w:tc>
        <w:tc>
          <w:tcPr>
            <w:tcW w:w="1685" w:type="dxa"/>
            <w:shd w:val="clear" w:color="auto" w:fill="FFFFFF"/>
            <w:tcMar>
              <w:top w:w="45" w:type="dxa"/>
              <w:left w:w="98" w:type="dxa"/>
              <w:bottom w:w="45" w:type="dxa"/>
              <w:right w:w="98" w:type="dxa"/>
            </w:tcMar>
            <w:vAlign w:val="center"/>
          </w:tcPr>
          <w:p w14:paraId="3215B515">
            <w:pPr>
              <w:widowControl/>
              <w:snapToGrid w:val="0"/>
              <w:jc w:val="center"/>
              <w:rPr>
                <w:rFonts w:ascii="宋体" w:hAnsi="宋体" w:cs="Calibri"/>
                <w:color w:val="000000"/>
                <w:kern w:val="0"/>
                <w:szCs w:val="21"/>
              </w:rPr>
            </w:pPr>
            <w:r>
              <w:rPr>
                <w:rFonts w:ascii="宋体" w:hAnsi="宋体" w:cs="Calibri"/>
                <w:color w:val="000000"/>
                <w:kern w:val="0"/>
                <w:szCs w:val="21"/>
              </w:rPr>
              <w:t>人数</w:t>
            </w:r>
          </w:p>
        </w:tc>
        <w:tc>
          <w:tcPr>
            <w:tcW w:w="2258" w:type="dxa"/>
            <w:shd w:val="clear" w:color="auto" w:fill="FFFFFF"/>
            <w:tcMar>
              <w:top w:w="45" w:type="dxa"/>
              <w:left w:w="98" w:type="dxa"/>
              <w:bottom w:w="45" w:type="dxa"/>
              <w:right w:w="98" w:type="dxa"/>
            </w:tcMar>
            <w:vAlign w:val="center"/>
          </w:tcPr>
          <w:p w14:paraId="3845F328">
            <w:pPr>
              <w:widowControl/>
              <w:snapToGrid w:val="0"/>
              <w:jc w:val="center"/>
              <w:rPr>
                <w:rFonts w:ascii="宋体" w:hAnsi="宋体" w:cs="Calibri"/>
                <w:color w:val="000000"/>
                <w:kern w:val="0"/>
                <w:szCs w:val="21"/>
              </w:rPr>
            </w:pPr>
            <w:r>
              <w:rPr>
                <w:rFonts w:ascii="宋体" w:hAnsi="宋体" w:cs="Calibri"/>
                <w:color w:val="000000"/>
                <w:kern w:val="0"/>
                <w:szCs w:val="21"/>
              </w:rPr>
              <w:t>百分比</w:t>
            </w:r>
          </w:p>
        </w:tc>
      </w:tr>
      <w:tr w14:paraId="72DC2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4556" w:type="dxa"/>
            <w:shd w:val="clear" w:color="auto" w:fill="FFFFFF"/>
            <w:tcMar>
              <w:top w:w="45" w:type="dxa"/>
              <w:left w:w="98" w:type="dxa"/>
              <w:bottom w:w="45" w:type="dxa"/>
              <w:right w:w="98" w:type="dxa"/>
            </w:tcMar>
            <w:vAlign w:val="center"/>
          </w:tcPr>
          <w:p w14:paraId="7D7A7D6C">
            <w:pPr>
              <w:widowControl/>
              <w:snapToGrid w:val="0"/>
              <w:jc w:val="left"/>
              <w:rPr>
                <w:rFonts w:ascii="宋体" w:hAnsi="宋体" w:cs="Calibri"/>
                <w:color w:val="000000"/>
                <w:kern w:val="0"/>
                <w:szCs w:val="21"/>
              </w:rPr>
            </w:pPr>
            <w:r>
              <w:rPr>
                <w:rFonts w:ascii="宋体" w:hAnsi="宋体" w:cs="Calibri"/>
                <w:color w:val="000000"/>
                <w:kern w:val="0"/>
                <w:szCs w:val="21"/>
              </w:rPr>
              <w:t>博导</w:t>
            </w:r>
          </w:p>
        </w:tc>
        <w:tc>
          <w:tcPr>
            <w:tcW w:w="1685" w:type="dxa"/>
            <w:shd w:val="clear" w:color="auto" w:fill="FFFFFF"/>
            <w:tcMar>
              <w:top w:w="45" w:type="dxa"/>
              <w:left w:w="98" w:type="dxa"/>
              <w:bottom w:w="45" w:type="dxa"/>
              <w:right w:w="98" w:type="dxa"/>
            </w:tcMar>
            <w:vAlign w:val="center"/>
          </w:tcPr>
          <w:p w14:paraId="2B614977">
            <w:pPr>
              <w:widowControl/>
              <w:snapToGrid w:val="0"/>
              <w:jc w:val="left"/>
              <w:rPr>
                <w:rFonts w:ascii="宋体" w:hAnsi="宋体" w:cs="Calibri"/>
                <w:color w:val="000000"/>
                <w:kern w:val="0"/>
                <w:szCs w:val="21"/>
              </w:rPr>
            </w:pPr>
            <w:r>
              <w:rPr>
                <w:rFonts w:ascii="宋体" w:hAnsi="宋体" w:cs="Calibri"/>
                <w:color w:val="000000"/>
                <w:kern w:val="0"/>
                <w:szCs w:val="21"/>
              </w:rPr>
              <w:t>23</w:t>
            </w:r>
          </w:p>
        </w:tc>
        <w:tc>
          <w:tcPr>
            <w:tcW w:w="2258" w:type="dxa"/>
            <w:shd w:val="clear" w:color="auto" w:fill="FFFFFF"/>
            <w:tcMar>
              <w:top w:w="45" w:type="dxa"/>
              <w:left w:w="98" w:type="dxa"/>
              <w:bottom w:w="45" w:type="dxa"/>
              <w:right w:w="98" w:type="dxa"/>
            </w:tcMar>
            <w:vAlign w:val="center"/>
          </w:tcPr>
          <w:p w14:paraId="3B4073A4">
            <w:pPr>
              <w:widowControl/>
              <w:snapToGrid w:val="0"/>
              <w:jc w:val="left"/>
              <w:rPr>
                <w:rFonts w:ascii="宋体" w:hAnsi="宋体" w:cs="Calibri"/>
                <w:color w:val="000000"/>
                <w:kern w:val="0"/>
                <w:szCs w:val="21"/>
              </w:rPr>
            </w:pPr>
            <w:r>
              <w:rPr>
                <w:rFonts w:ascii="宋体" w:hAnsi="宋体" w:cs="Calibri"/>
                <w:color w:val="000000"/>
                <w:kern w:val="0"/>
                <w:szCs w:val="21"/>
              </w:rPr>
              <w:t>67.65%</w:t>
            </w:r>
          </w:p>
        </w:tc>
      </w:tr>
      <w:tr w14:paraId="2960F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4556" w:type="dxa"/>
            <w:shd w:val="clear" w:color="auto" w:fill="FFFFFF"/>
            <w:tcMar>
              <w:top w:w="45" w:type="dxa"/>
              <w:left w:w="98" w:type="dxa"/>
              <w:bottom w:w="45" w:type="dxa"/>
              <w:right w:w="98" w:type="dxa"/>
            </w:tcMar>
            <w:vAlign w:val="center"/>
          </w:tcPr>
          <w:p w14:paraId="2E80D40E">
            <w:pPr>
              <w:widowControl/>
              <w:snapToGrid w:val="0"/>
              <w:jc w:val="left"/>
              <w:rPr>
                <w:rFonts w:ascii="宋体" w:hAnsi="宋体" w:cs="Calibri"/>
                <w:color w:val="000000"/>
                <w:kern w:val="0"/>
                <w:szCs w:val="21"/>
              </w:rPr>
            </w:pPr>
            <w:r>
              <w:rPr>
                <w:rFonts w:ascii="宋体" w:hAnsi="宋体" w:cs="Calibri"/>
                <w:color w:val="000000"/>
                <w:kern w:val="0"/>
                <w:szCs w:val="21"/>
              </w:rPr>
              <w:t>硕导</w:t>
            </w:r>
          </w:p>
        </w:tc>
        <w:tc>
          <w:tcPr>
            <w:tcW w:w="1685" w:type="dxa"/>
            <w:shd w:val="clear" w:color="auto" w:fill="FFFFFF"/>
            <w:tcMar>
              <w:top w:w="45" w:type="dxa"/>
              <w:left w:w="98" w:type="dxa"/>
              <w:bottom w:w="45" w:type="dxa"/>
              <w:right w:w="98" w:type="dxa"/>
            </w:tcMar>
            <w:vAlign w:val="center"/>
          </w:tcPr>
          <w:p w14:paraId="305890EF">
            <w:pPr>
              <w:widowControl/>
              <w:snapToGrid w:val="0"/>
              <w:jc w:val="left"/>
              <w:rPr>
                <w:rFonts w:ascii="宋体" w:hAnsi="宋体" w:cs="Calibri"/>
                <w:color w:val="000000"/>
                <w:kern w:val="0"/>
                <w:szCs w:val="21"/>
              </w:rPr>
            </w:pPr>
            <w:r>
              <w:rPr>
                <w:rFonts w:ascii="宋体" w:hAnsi="宋体" w:cs="Calibri"/>
                <w:color w:val="000000"/>
                <w:kern w:val="0"/>
                <w:szCs w:val="21"/>
              </w:rPr>
              <w:t>7</w:t>
            </w:r>
          </w:p>
        </w:tc>
        <w:tc>
          <w:tcPr>
            <w:tcW w:w="2258" w:type="dxa"/>
            <w:shd w:val="clear" w:color="auto" w:fill="FFFFFF"/>
            <w:tcMar>
              <w:top w:w="45" w:type="dxa"/>
              <w:left w:w="98" w:type="dxa"/>
              <w:bottom w:w="45" w:type="dxa"/>
              <w:right w:w="98" w:type="dxa"/>
            </w:tcMar>
            <w:vAlign w:val="center"/>
          </w:tcPr>
          <w:p w14:paraId="25C46930">
            <w:pPr>
              <w:widowControl/>
              <w:snapToGrid w:val="0"/>
              <w:jc w:val="left"/>
              <w:rPr>
                <w:rFonts w:ascii="宋体" w:hAnsi="宋体" w:cs="Calibri"/>
                <w:color w:val="000000"/>
                <w:kern w:val="0"/>
                <w:szCs w:val="21"/>
              </w:rPr>
            </w:pPr>
            <w:r>
              <w:rPr>
                <w:rFonts w:ascii="宋体" w:hAnsi="宋体" w:cs="Calibri"/>
                <w:color w:val="000000"/>
                <w:kern w:val="0"/>
                <w:szCs w:val="21"/>
              </w:rPr>
              <w:t>20.59%</w:t>
            </w:r>
          </w:p>
        </w:tc>
      </w:tr>
      <w:tr w14:paraId="5FB21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4556" w:type="dxa"/>
            <w:shd w:val="clear" w:color="auto" w:fill="FFFFFF"/>
            <w:tcMar>
              <w:top w:w="45" w:type="dxa"/>
              <w:left w:w="98" w:type="dxa"/>
              <w:bottom w:w="45" w:type="dxa"/>
              <w:right w:w="98" w:type="dxa"/>
            </w:tcMar>
            <w:vAlign w:val="center"/>
          </w:tcPr>
          <w:p w14:paraId="55FF31D5">
            <w:pPr>
              <w:widowControl/>
              <w:snapToGrid w:val="0"/>
              <w:jc w:val="left"/>
              <w:rPr>
                <w:rFonts w:ascii="宋体" w:hAnsi="宋体" w:cs="Calibri"/>
                <w:color w:val="000000"/>
                <w:kern w:val="0"/>
                <w:szCs w:val="21"/>
              </w:rPr>
            </w:pPr>
            <w:r>
              <w:rPr>
                <w:rFonts w:ascii="宋体" w:hAnsi="宋体" w:cs="Calibri"/>
                <w:color w:val="000000"/>
                <w:kern w:val="0"/>
                <w:szCs w:val="21"/>
              </w:rPr>
              <w:t>非研究生导师</w:t>
            </w:r>
          </w:p>
        </w:tc>
        <w:tc>
          <w:tcPr>
            <w:tcW w:w="1685" w:type="dxa"/>
            <w:shd w:val="clear" w:color="auto" w:fill="FFFFFF"/>
            <w:tcMar>
              <w:top w:w="45" w:type="dxa"/>
              <w:left w:w="98" w:type="dxa"/>
              <w:bottom w:w="45" w:type="dxa"/>
              <w:right w:w="98" w:type="dxa"/>
            </w:tcMar>
            <w:vAlign w:val="center"/>
          </w:tcPr>
          <w:p w14:paraId="7DC455F4">
            <w:pPr>
              <w:widowControl/>
              <w:snapToGrid w:val="0"/>
              <w:jc w:val="left"/>
              <w:rPr>
                <w:rFonts w:ascii="宋体" w:hAnsi="宋体" w:cs="Calibri"/>
                <w:color w:val="000000"/>
                <w:kern w:val="0"/>
                <w:szCs w:val="21"/>
              </w:rPr>
            </w:pPr>
            <w:r>
              <w:rPr>
                <w:rFonts w:ascii="宋体" w:hAnsi="宋体" w:cs="Calibri"/>
                <w:color w:val="000000"/>
                <w:kern w:val="0"/>
                <w:szCs w:val="21"/>
              </w:rPr>
              <w:t>4</w:t>
            </w:r>
          </w:p>
        </w:tc>
        <w:tc>
          <w:tcPr>
            <w:tcW w:w="2258" w:type="dxa"/>
            <w:shd w:val="clear" w:color="auto" w:fill="FFFFFF"/>
            <w:tcMar>
              <w:top w:w="45" w:type="dxa"/>
              <w:left w:w="98" w:type="dxa"/>
              <w:bottom w:w="45" w:type="dxa"/>
              <w:right w:w="98" w:type="dxa"/>
            </w:tcMar>
            <w:vAlign w:val="center"/>
          </w:tcPr>
          <w:p w14:paraId="39082495">
            <w:pPr>
              <w:widowControl/>
              <w:snapToGrid w:val="0"/>
              <w:jc w:val="left"/>
              <w:rPr>
                <w:rFonts w:ascii="宋体" w:hAnsi="宋体" w:cs="Calibri"/>
                <w:color w:val="000000"/>
                <w:kern w:val="0"/>
                <w:szCs w:val="21"/>
              </w:rPr>
            </w:pPr>
            <w:r>
              <w:rPr>
                <w:rFonts w:ascii="宋体" w:hAnsi="宋体" w:cs="Calibri"/>
                <w:color w:val="000000"/>
                <w:kern w:val="0"/>
                <w:szCs w:val="21"/>
              </w:rPr>
              <w:t>11.76%</w:t>
            </w:r>
          </w:p>
        </w:tc>
      </w:tr>
    </w:tbl>
    <w:p w14:paraId="55291703">
      <w:pPr>
        <w:widowControl/>
        <w:spacing w:line="400" w:lineRule="exact"/>
        <w:ind w:firstLine="420" w:firstLineChars="200"/>
        <w:jc w:val="left"/>
        <w:rPr>
          <w:rFonts w:ascii="宋体" w:hAnsi="宋体" w:cs="Calibri"/>
          <w:kern w:val="0"/>
          <w:szCs w:val="21"/>
        </w:rPr>
      </w:pPr>
      <w:r>
        <w:rPr>
          <w:rFonts w:hint="eastAsia" w:ascii="宋体" w:hAnsi="宋体" w:cs="Calibri"/>
          <w:kern w:val="0"/>
          <w:szCs w:val="21"/>
        </w:rPr>
        <w:t>说明：其中部分专家同时具有博导、硕导资格，统计时归入“博士研究生导师”。</w:t>
      </w:r>
    </w:p>
    <w:p w14:paraId="4E02863A">
      <w:pPr>
        <w:widowControl/>
        <w:spacing w:line="400" w:lineRule="exact"/>
        <w:jc w:val="center"/>
        <w:rPr>
          <w:rFonts w:ascii="宋体" w:hAnsi="宋体" w:cs="Calibri"/>
          <w:kern w:val="0"/>
          <w:szCs w:val="21"/>
        </w:rPr>
      </w:pPr>
      <w:r>
        <w:rPr>
          <w:rFonts w:ascii="宋体" w:hAnsi="宋体" w:cs="Calibri"/>
          <w:kern w:val="0"/>
          <w:szCs w:val="21"/>
        </w:rPr>
        <w:t>表6 专家专业分布情况（</w:t>
      </w:r>
      <w:r>
        <w:rPr>
          <w:rFonts w:hint="eastAsia" w:ascii="宋体" w:hAnsi="宋体" w:cs="Calibri"/>
          <w:kern w:val="0"/>
          <w:szCs w:val="21"/>
        </w:rPr>
        <w:t>n = 34</w:t>
      </w:r>
      <w:r>
        <w:rPr>
          <w:rFonts w:ascii="宋体" w:hAnsi="宋体" w:cs="Calibri"/>
          <w:kern w:val="0"/>
          <w:szCs w:val="21"/>
        </w:rPr>
        <w:t>）</w:t>
      </w:r>
    </w:p>
    <w:tbl>
      <w:tblPr>
        <w:tblStyle w:val="12"/>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autofit"/>
        <w:tblCellMar>
          <w:top w:w="15" w:type="dxa"/>
          <w:left w:w="15" w:type="dxa"/>
          <w:bottom w:w="15" w:type="dxa"/>
          <w:right w:w="15" w:type="dxa"/>
        </w:tblCellMar>
      </w:tblPr>
      <w:tblGrid>
        <w:gridCol w:w="4504"/>
        <w:gridCol w:w="947"/>
        <w:gridCol w:w="3048"/>
      </w:tblGrid>
      <w:tr w14:paraId="58DFE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PrEx>
        <w:trPr>
          <w:tblHeader/>
          <w:jc w:val="center"/>
        </w:trPr>
        <w:tc>
          <w:tcPr>
            <w:tcW w:w="4504" w:type="dxa"/>
            <w:tcBorders>
              <w:tl2br w:val="nil"/>
            </w:tcBorders>
            <w:shd w:val="clear" w:color="auto" w:fill="FFFFFF"/>
            <w:tcMar>
              <w:top w:w="45" w:type="dxa"/>
              <w:left w:w="98" w:type="dxa"/>
              <w:bottom w:w="45" w:type="dxa"/>
              <w:right w:w="98" w:type="dxa"/>
            </w:tcMar>
            <w:vAlign w:val="center"/>
          </w:tcPr>
          <w:p w14:paraId="3FF2914F">
            <w:pPr>
              <w:widowControl/>
              <w:snapToGrid w:val="0"/>
              <w:jc w:val="center"/>
              <w:rPr>
                <w:rFonts w:ascii="宋体" w:hAnsi="宋体" w:cs="Calibri"/>
                <w:color w:val="000000"/>
                <w:kern w:val="0"/>
                <w:szCs w:val="21"/>
              </w:rPr>
            </w:pPr>
            <w:r>
              <w:rPr>
                <w:rFonts w:ascii="宋体" w:hAnsi="宋体" w:cs="Calibri"/>
                <w:color w:val="000000"/>
                <w:kern w:val="0"/>
                <w:szCs w:val="21"/>
              </w:rPr>
              <w:t>专业</w:t>
            </w:r>
          </w:p>
        </w:tc>
        <w:tc>
          <w:tcPr>
            <w:tcW w:w="947" w:type="dxa"/>
            <w:shd w:val="clear" w:color="auto" w:fill="FFFFFF"/>
            <w:tcMar>
              <w:top w:w="45" w:type="dxa"/>
              <w:left w:w="98" w:type="dxa"/>
              <w:bottom w:w="45" w:type="dxa"/>
              <w:right w:w="98" w:type="dxa"/>
            </w:tcMar>
            <w:vAlign w:val="center"/>
          </w:tcPr>
          <w:p w14:paraId="73261A3B">
            <w:pPr>
              <w:widowControl/>
              <w:snapToGrid w:val="0"/>
              <w:jc w:val="center"/>
              <w:rPr>
                <w:rFonts w:ascii="宋体" w:hAnsi="宋体" w:cs="Calibri"/>
                <w:color w:val="000000"/>
                <w:kern w:val="0"/>
                <w:szCs w:val="21"/>
              </w:rPr>
            </w:pPr>
            <w:r>
              <w:rPr>
                <w:rFonts w:ascii="宋体" w:hAnsi="宋体" w:cs="Calibri"/>
                <w:color w:val="000000"/>
                <w:kern w:val="0"/>
                <w:szCs w:val="21"/>
              </w:rPr>
              <w:t>人数</w:t>
            </w:r>
          </w:p>
        </w:tc>
        <w:tc>
          <w:tcPr>
            <w:tcW w:w="3048" w:type="dxa"/>
            <w:shd w:val="clear" w:color="auto" w:fill="FFFFFF"/>
            <w:tcMar>
              <w:top w:w="45" w:type="dxa"/>
              <w:left w:w="98" w:type="dxa"/>
              <w:bottom w:w="45" w:type="dxa"/>
              <w:right w:w="98" w:type="dxa"/>
            </w:tcMar>
            <w:vAlign w:val="center"/>
          </w:tcPr>
          <w:p w14:paraId="11915C66">
            <w:pPr>
              <w:widowControl/>
              <w:snapToGrid w:val="0"/>
              <w:jc w:val="center"/>
              <w:rPr>
                <w:rFonts w:ascii="宋体" w:hAnsi="宋体" w:cs="Calibri"/>
                <w:color w:val="000000"/>
                <w:kern w:val="0"/>
                <w:szCs w:val="21"/>
              </w:rPr>
            </w:pPr>
            <w:r>
              <w:rPr>
                <w:rFonts w:ascii="宋体" w:hAnsi="宋体" w:cs="Calibri"/>
                <w:color w:val="000000"/>
                <w:kern w:val="0"/>
                <w:szCs w:val="21"/>
              </w:rPr>
              <w:t>百分比</w:t>
            </w:r>
            <w:r>
              <w:rPr>
                <w:rFonts w:hint="eastAsia" w:ascii="宋体" w:hAnsi="宋体" w:cs="Calibri"/>
                <w:color w:val="000000"/>
                <w:kern w:val="0"/>
                <w:szCs w:val="21"/>
              </w:rPr>
              <w:t>（占34人）</w:t>
            </w:r>
          </w:p>
        </w:tc>
      </w:tr>
      <w:tr w14:paraId="72529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4504" w:type="dxa"/>
            <w:shd w:val="clear" w:color="auto" w:fill="FFFFFF"/>
            <w:tcMar>
              <w:top w:w="45" w:type="dxa"/>
              <w:left w:w="98" w:type="dxa"/>
              <w:bottom w:w="45" w:type="dxa"/>
              <w:right w:w="98" w:type="dxa"/>
            </w:tcMar>
            <w:vAlign w:val="center"/>
          </w:tcPr>
          <w:p w14:paraId="264BBD64">
            <w:pPr>
              <w:widowControl/>
              <w:snapToGrid w:val="0"/>
              <w:jc w:val="left"/>
              <w:rPr>
                <w:rFonts w:ascii="宋体" w:hAnsi="宋体" w:cs="Calibri"/>
                <w:color w:val="000000"/>
                <w:kern w:val="0"/>
                <w:szCs w:val="21"/>
              </w:rPr>
            </w:pPr>
            <w:r>
              <w:rPr>
                <w:rFonts w:ascii="宋体" w:hAnsi="宋体" w:cs="Calibri"/>
                <w:color w:val="000000"/>
                <w:kern w:val="0"/>
                <w:szCs w:val="21"/>
              </w:rPr>
              <w:t>中医儿科学</w:t>
            </w:r>
          </w:p>
        </w:tc>
        <w:tc>
          <w:tcPr>
            <w:tcW w:w="947" w:type="dxa"/>
            <w:shd w:val="clear" w:color="auto" w:fill="FFFFFF"/>
            <w:tcMar>
              <w:top w:w="45" w:type="dxa"/>
              <w:left w:w="98" w:type="dxa"/>
              <w:bottom w:w="45" w:type="dxa"/>
              <w:right w:w="98" w:type="dxa"/>
            </w:tcMar>
            <w:vAlign w:val="center"/>
          </w:tcPr>
          <w:p w14:paraId="4C65C82D">
            <w:pPr>
              <w:widowControl/>
              <w:snapToGrid w:val="0"/>
              <w:jc w:val="left"/>
              <w:rPr>
                <w:rFonts w:ascii="宋体" w:hAnsi="宋体" w:cs="Calibri"/>
                <w:color w:val="000000"/>
                <w:kern w:val="0"/>
                <w:szCs w:val="21"/>
              </w:rPr>
            </w:pPr>
            <w:r>
              <w:rPr>
                <w:rFonts w:ascii="宋体" w:hAnsi="宋体" w:cs="Calibri"/>
                <w:color w:val="000000"/>
                <w:kern w:val="0"/>
                <w:szCs w:val="21"/>
              </w:rPr>
              <w:t>27</w:t>
            </w:r>
          </w:p>
        </w:tc>
        <w:tc>
          <w:tcPr>
            <w:tcW w:w="3048" w:type="dxa"/>
            <w:shd w:val="clear" w:color="auto" w:fill="FFFFFF"/>
            <w:tcMar>
              <w:top w:w="45" w:type="dxa"/>
              <w:left w:w="98" w:type="dxa"/>
              <w:bottom w:w="45" w:type="dxa"/>
              <w:right w:w="98" w:type="dxa"/>
            </w:tcMar>
            <w:vAlign w:val="center"/>
          </w:tcPr>
          <w:p w14:paraId="146192B7">
            <w:pPr>
              <w:widowControl/>
              <w:snapToGrid w:val="0"/>
              <w:jc w:val="left"/>
              <w:rPr>
                <w:rFonts w:ascii="宋体" w:hAnsi="宋体" w:cs="Calibri"/>
                <w:color w:val="000000"/>
                <w:kern w:val="0"/>
                <w:szCs w:val="21"/>
              </w:rPr>
            </w:pPr>
            <w:r>
              <w:rPr>
                <w:rFonts w:ascii="宋体" w:hAnsi="宋体" w:cs="Calibri"/>
                <w:color w:val="000000"/>
                <w:kern w:val="0"/>
                <w:szCs w:val="21"/>
              </w:rPr>
              <w:t>79.41%</w:t>
            </w:r>
          </w:p>
        </w:tc>
      </w:tr>
      <w:tr w14:paraId="69992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4504" w:type="dxa"/>
            <w:shd w:val="clear" w:color="auto" w:fill="FFFFFF"/>
            <w:tcMar>
              <w:top w:w="45" w:type="dxa"/>
              <w:left w:w="98" w:type="dxa"/>
              <w:bottom w:w="45" w:type="dxa"/>
              <w:right w:w="98" w:type="dxa"/>
            </w:tcMar>
            <w:vAlign w:val="center"/>
          </w:tcPr>
          <w:p w14:paraId="57CC10B7">
            <w:pPr>
              <w:widowControl/>
              <w:snapToGrid w:val="0"/>
              <w:jc w:val="left"/>
              <w:rPr>
                <w:rFonts w:ascii="宋体" w:hAnsi="宋体" w:cs="Calibri"/>
                <w:color w:val="000000"/>
                <w:kern w:val="0"/>
                <w:szCs w:val="21"/>
              </w:rPr>
            </w:pPr>
            <w:r>
              <w:rPr>
                <w:rFonts w:ascii="宋体" w:hAnsi="宋体" w:cs="Calibri"/>
                <w:color w:val="000000"/>
                <w:kern w:val="0"/>
                <w:szCs w:val="21"/>
              </w:rPr>
              <w:t>中西医结合儿科学</w:t>
            </w:r>
          </w:p>
        </w:tc>
        <w:tc>
          <w:tcPr>
            <w:tcW w:w="947" w:type="dxa"/>
            <w:shd w:val="clear" w:color="auto" w:fill="FFFFFF"/>
            <w:tcMar>
              <w:top w:w="45" w:type="dxa"/>
              <w:left w:w="98" w:type="dxa"/>
              <w:bottom w:w="45" w:type="dxa"/>
              <w:right w:w="98" w:type="dxa"/>
            </w:tcMar>
            <w:vAlign w:val="center"/>
          </w:tcPr>
          <w:p w14:paraId="595D110D">
            <w:pPr>
              <w:widowControl/>
              <w:snapToGrid w:val="0"/>
              <w:jc w:val="left"/>
              <w:rPr>
                <w:rFonts w:ascii="宋体" w:hAnsi="宋体" w:cs="Calibri"/>
                <w:color w:val="000000"/>
                <w:kern w:val="0"/>
                <w:szCs w:val="21"/>
              </w:rPr>
            </w:pPr>
            <w:r>
              <w:rPr>
                <w:rFonts w:ascii="宋体" w:hAnsi="宋体" w:cs="Calibri"/>
                <w:color w:val="000000"/>
                <w:kern w:val="0"/>
                <w:szCs w:val="21"/>
              </w:rPr>
              <w:t>10</w:t>
            </w:r>
          </w:p>
        </w:tc>
        <w:tc>
          <w:tcPr>
            <w:tcW w:w="3048" w:type="dxa"/>
            <w:shd w:val="clear" w:color="auto" w:fill="FFFFFF"/>
            <w:tcMar>
              <w:top w:w="45" w:type="dxa"/>
              <w:left w:w="98" w:type="dxa"/>
              <w:bottom w:w="45" w:type="dxa"/>
              <w:right w:w="98" w:type="dxa"/>
            </w:tcMar>
            <w:vAlign w:val="center"/>
          </w:tcPr>
          <w:p w14:paraId="214FA575">
            <w:pPr>
              <w:widowControl/>
              <w:snapToGrid w:val="0"/>
              <w:jc w:val="left"/>
              <w:rPr>
                <w:rFonts w:ascii="宋体" w:hAnsi="宋体" w:cs="Calibri"/>
                <w:color w:val="000000"/>
                <w:kern w:val="0"/>
                <w:szCs w:val="21"/>
              </w:rPr>
            </w:pPr>
            <w:r>
              <w:rPr>
                <w:rFonts w:ascii="宋体" w:hAnsi="宋体" w:cs="Calibri"/>
                <w:color w:val="000000"/>
                <w:kern w:val="0"/>
                <w:szCs w:val="21"/>
              </w:rPr>
              <w:t>29.41%</w:t>
            </w:r>
          </w:p>
        </w:tc>
      </w:tr>
      <w:tr w14:paraId="49F8F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4504" w:type="dxa"/>
            <w:shd w:val="clear" w:color="auto" w:fill="FFFFFF"/>
            <w:tcMar>
              <w:top w:w="45" w:type="dxa"/>
              <w:left w:w="98" w:type="dxa"/>
              <w:bottom w:w="45" w:type="dxa"/>
              <w:right w:w="98" w:type="dxa"/>
            </w:tcMar>
            <w:vAlign w:val="center"/>
          </w:tcPr>
          <w:p w14:paraId="1AD0FE22">
            <w:pPr>
              <w:widowControl/>
              <w:snapToGrid w:val="0"/>
              <w:jc w:val="left"/>
              <w:rPr>
                <w:rFonts w:ascii="宋体" w:hAnsi="宋体" w:cs="Calibri"/>
                <w:color w:val="000000"/>
                <w:kern w:val="0"/>
                <w:szCs w:val="21"/>
              </w:rPr>
            </w:pPr>
            <w:r>
              <w:rPr>
                <w:rFonts w:ascii="宋体" w:hAnsi="宋体" w:cs="Calibri"/>
                <w:color w:val="000000"/>
                <w:kern w:val="0"/>
                <w:szCs w:val="21"/>
              </w:rPr>
              <w:t>针灸学</w:t>
            </w:r>
          </w:p>
        </w:tc>
        <w:tc>
          <w:tcPr>
            <w:tcW w:w="947" w:type="dxa"/>
            <w:shd w:val="clear" w:color="auto" w:fill="FFFFFF"/>
            <w:tcMar>
              <w:top w:w="45" w:type="dxa"/>
              <w:left w:w="98" w:type="dxa"/>
              <w:bottom w:w="45" w:type="dxa"/>
              <w:right w:w="98" w:type="dxa"/>
            </w:tcMar>
            <w:vAlign w:val="center"/>
          </w:tcPr>
          <w:p w14:paraId="788E5C01">
            <w:pPr>
              <w:widowControl/>
              <w:snapToGrid w:val="0"/>
              <w:jc w:val="left"/>
              <w:rPr>
                <w:rFonts w:ascii="宋体" w:hAnsi="宋体" w:cs="Calibri"/>
                <w:color w:val="000000"/>
                <w:kern w:val="0"/>
                <w:szCs w:val="21"/>
              </w:rPr>
            </w:pPr>
            <w:r>
              <w:rPr>
                <w:rFonts w:ascii="宋体" w:hAnsi="宋体" w:cs="Calibri"/>
                <w:color w:val="000000"/>
                <w:kern w:val="0"/>
                <w:szCs w:val="21"/>
              </w:rPr>
              <w:t>3</w:t>
            </w:r>
          </w:p>
        </w:tc>
        <w:tc>
          <w:tcPr>
            <w:tcW w:w="3048" w:type="dxa"/>
            <w:shd w:val="clear" w:color="auto" w:fill="FFFFFF"/>
            <w:tcMar>
              <w:top w:w="45" w:type="dxa"/>
              <w:left w:w="98" w:type="dxa"/>
              <w:bottom w:w="45" w:type="dxa"/>
              <w:right w:w="98" w:type="dxa"/>
            </w:tcMar>
            <w:vAlign w:val="center"/>
          </w:tcPr>
          <w:p w14:paraId="1D8CF98E">
            <w:pPr>
              <w:widowControl/>
              <w:snapToGrid w:val="0"/>
              <w:jc w:val="left"/>
              <w:rPr>
                <w:rFonts w:ascii="宋体" w:hAnsi="宋体" w:cs="Calibri"/>
                <w:color w:val="000000"/>
                <w:kern w:val="0"/>
                <w:szCs w:val="21"/>
              </w:rPr>
            </w:pPr>
            <w:r>
              <w:rPr>
                <w:rFonts w:ascii="宋体" w:hAnsi="宋体" w:cs="Calibri"/>
                <w:color w:val="000000"/>
                <w:kern w:val="0"/>
                <w:szCs w:val="21"/>
              </w:rPr>
              <w:t>8.82%</w:t>
            </w:r>
          </w:p>
        </w:tc>
      </w:tr>
      <w:tr w14:paraId="63989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4504" w:type="dxa"/>
            <w:shd w:val="clear" w:color="auto" w:fill="FFFFFF"/>
            <w:tcMar>
              <w:top w:w="45" w:type="dxa"/>
              <w:left w:w="98" w:type="dxa"/>
              <w:bottom w:w="45" w:type="dxa"/>
              <w:right w:w="98" w:type="dxa"/>
            </w:tcMar>
            <w:vAlign w:val="center"/>
          </w:tcPr>
          <w:p w14:paraId="07B79DA9">
            <w:pPr>
              <w:widowControl/>
              <w:snapToGrid w:val="0"/>
              <w:jc w:val="left"/>
              <w:rPr>
                <w:rFonts w:ascii="宋体" w:hAnsi="宋体" w:cs="Calibri"/>
                <w:color w:val="000000"/>
                <w:kern w:val="0"/>
                <w:szCs w:val="21"/>
              </w:rPr>
            </w:pPr>
            <w:r>
              <w:rPr>
                <w:rFonts w:ascii="宋体" w:hAnsi="宋体" w:cs="Calibri"/>
                <w:color w:val="000000"/>
                <w:kern w:val="0"/>
                <w:szCs w:val="21"/>
              </w:rPr>
              <w:t>中医文献学（中医医史文献）</w:t>
            </w:r>
          </w:p>
        </w:tc>
        <w:tc>
          <w:tcPr>
            <w:tcW w:w="947" w:type="dxa"/>
            <w:shd w:val="clear" w:color="auto" w:fill="FFFFFF"/>
            <w:tcMar>
              <w:top w:w="45" w:type="dxa"/>
              <w:left w:w="98" w:type="dxa"/>
              <w:bottom w:w="45" w:type="dxa"/>
              <w:right w:w="98" w:type="dxa"/>
            </w:tcMar>
            <w:vAlign w:val="center"/>
          </w:tcPr>
          <w:p w14:paraId="137F15F5">
            <w:pPr>
              <w:widowControl/>
              <w:snapToGrid w:val="0"/>
              <w:jc w:val="left"/>
              <w:rPr>
                <w:rFonts w:ascii="宋体" w:hAnsi="宋体" w:cs="Calibri"/>
                <w:color w:val="000000"/>
                <w:kern w:val="0"/>
                <w:szCs w:val="21"/>
              </w:rPr>
            </w:pPr>
            <w:r>
              <w:rPr>
                <w:rFonts w:ascii="宋体" w:hAnsi="宋体" w:cs="Calibri"/>
                <w:color w:val="000000"/>
                <w:kern w:val="0"/>
                <w:szCs w:val="21"/>
              </w:rPr>
              <w:t>1</w:t>
            </w:r>
          </w:p>
        </w:tc>
        <w:tc>
          <w:tcPr>
            <w:tcW w:w="3048" w:type="dxa"/>
            <w:shd w:val="clear" w:color="auto" w:fill="FFFFFF"/>
            <w:tcMar>
              <w:top w:w="45" w:type="dxa"/>
              <w:left w:w="98" w:type="dxa"/>
              <w:bottom w:w="45" w:type="dxa"/>
              <w:right w:w="98" w:type="dxa"/>
            </w:tcMar>
            <w:vAlign w:val="center"/>
          </w:tcPr>
          <w:p w14:paraId="4BA7A24A">
            <w:pPr>
              <w:widowControl/>
              <w:snapToGrid w:val="0"/>
              <w:jc w:val="left"/>
              <w:rPr>
                <w:rFonts w:ascii="宋体" w:hAnsi="宋体" w:cs="Calibri"/>
                <w:color w:val="000000"/>
                <w:kern w:val="0"/>
                <w:szCs w:val="21"/>
              </w:rPr>
            </w:pPr>
            <w:r>
              <w:rPr>
                <w:rFonts w:ascii="宋体" w:hAnsi="宋体" w:cs="Calibri"/>
                <w:color w:val="000000"/>
                <w:kern w:val="0"/>
                <w:szCs w:val="21"/>
              </w:rPr>
              <w:t>2.94%</w:t>
            </w:r>
          </w:p>
        </w:tc>
      </w:tr>
      <w:tr w14:paraId="36E66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4504" w:type="dxa"/>
            <w:shd w:val="clear" w:color="auto" w:fill="FFFFFF"/>
            <w:tcMar>
              <w:top w:w="45" w:type="dxa"/>
              <w:left w:w="98" w:type="dxa"/>
              <w:bottom w:w="45" w:type="dxa"/>
              <w:right w:w="98" w:type="dxa"/>
            </w:tcMar>
            <w:vAlign w:val="center"/>
          </w:tcPr>
          <w:p w14:paraId="7EDE6FD8">
            <w:pPr>
              <w:widowControl/>
              <w:snapToGrid w:val="0"/>
              <w:jc w:val="left"/>
              <w:rPr>
                <w:rFonts w:ascii="宋体" w:hAnsi="宋体" w:cs="Calibri"/>
                <w:color w:val="000000"/>
                <w:kern w:val="0"/>
                <w:szCs w:val="21"/>
              </w:rPr>
            </w:pPr>
            <w:r>
              <w:rPr>
                <w:rFonts w:ascii="宋体" w:hAnsi="宋体" w:cs="Calibri"/>
                <w:color w:val="000000"/>
                <w:kern w:val="0"/>
                <w:szCs w:val="21"/>
              </w:rPr>
              <w:t>标准化研究 / 中医标准化研究</w:t>
            </w:r>
          </w:p>
        </w:tc>
        <w:tc>
          <w:tcPr>
            <w:tcW w:w="947" w:type="dxa"/>
            <w:shd w:val="clear" w:color="auto" w:fill="FFFFFF"/>
            <w:tcMar>
              <w:top w:w="45" w:type="dxa"/>
              <w:left w:w="98" w:type="dxa"/>
              <w:bottom w:w="45" w:type="dxa"/>
              <w:right w:w="98" w:type="dxa"/>
            </w:tcMar>
            <w:vAlign w:val="center"/>
          </w:tcPr>
          <w:p w14:paraId="3574924C">
            <w:pPr>
              <w:widowControl/>
              <w:snapToGrid w:val="0"/>
              <w:jc w:val="left"/>
              <w:rPr>
                <w:rFonts w:ascii="宋体" w:hAnsi="宋体" w:cs="Calibri"/>
                <w:color w:val="000000"/>
                <w:kern w:val="0"/>
                <w:szCs w:val="21"/>
              </w:rPr>
            </w:pPr>
            <w:r>
              <w:rPr>
                <w:rFonts w:ascii="宋体" w:hAnsi="宋体" w:cs="Calibri"/>
                <w:color w:val="000000"/>
                <w:kern w:val="0"/>
                <w:szCs w:val="21"/>
              </w:rPr>
              <w:t>1</w:t>
            </w:r>
          </w:p>
        </w:tc>
        <w:tc>
          <w:tcPr>
            <w:tcW w:w="3048" w:type="dxa"/>
            <w:shd w:val="clear" w:color="auto" w:fill="FFFFFF"/>
            <w:tcMar>
              <w:top w:w="45" w:type="dxa"/>
              <w:left w:w="98" w:type="dxa"/>
              <w:bottom w:w="45" w:type="dxa"/>
              <w:right w:w="98" w:type="dxa"/>
            </w:tcMar>
            <w:vAlign w:val="center"/>
          </w:tcPr>
          <w:p w14:paraId="7E810C08">
            <w:pPr>
              <w:widowControl/>
              <w:snapToGrid w:val="0"/>
              <w:jc w:val="left"/>
              <w:rPr>
                <w:rFonts w:ascii="宋体" w:hAnsi="宋体" w:cs="Calibri"/>
                <w:color w:val="000000"/>
                <w:kern w:val="0"/>
                <w:szCs w:val="21"/>
              </w:rPr>
            </w:pPr>
            <w:r>
              <w:rPr>
                <w:rFonts w:ascii="宋体" w:hAnsi="宋体" w:cs="Calibri"/>
                <w:color w:val="000000"/>
                <w:kern w:val="0"/>
                <w:szCs w:val="21"/>
              </w:rPr>
              <w:t>2.94%</w:t>
            </w:r>
          </w:p>
        </w:tc>
      </w:tr>
    </w:tbl>
    <w:p w14:paraId="7455AF1A">
      <w:pPr>
        <w:widowControl/>
        <w:spacing w:line="400" w:lineRule="exact"/>
        <w:ind w:firstLine="420" w:firstLineChars="200"/>
        <w:rPr>
          <w:rFonts w:ascii="宋体" w:hAnsi="宋体" w:cs="Calibri"/>
          <w:kern w:val="0"/>
          <w:szCs w:val="21"/>
        </w:rPr>
      </w:pPr>
      <w:r>
        <w:rPr>
          <w:rFonts w:ascii="宋体" w:hAnsi="宋体" w:cs="Calibri"/>
          <w:kern w:val="0"/>
          <w:szCs w:val="21"/>
        </w:rPr>
        <w:t>说明：多数学专家的专业为中医儿科学，部分兼有中西医结合儿科学、针灸学、文献学及标准化研究方向，故各项合计超过</w:t>
      </w:r>
      <w:r>
        <w:rPr>
          <w:rFonts w:hint="eastAsia" w:ascii="宋体" w:hAnsi="宋体" w:cs="Calibri"/>
          <w:kern w:val="0"/>
          <w:szCs w:val="21"/>
        </w:rPr>
        <w:t>34</w:t>
      </w:r>
      <w:r>
        <w:rPr>
          <w:rFonts w:ascii="宋体" w:hAnsi="宋体" w:cs="Calibri"/>
          <w:kern w:val="0"/>
          <w:szCs w:val="21"/>
        </w:rPr>
        <w:t>。</w:t>
      </w:r>
    </w:p>
    <w:p w14:paraId="0640A40A">
      <w:pPr>
        <w:widowControl/>
        <w:spacing w:line="400" w:lineRule="exact"/>
        <w:jc w:val="center"/>
        <w:rPr>
          <w:rFonts w:ascii="宋体" w:hAnsi="宋体" w:cs="Calibri"/>
          <w:kern w:val="0"/>
          <w:szCs w:val="21"/>
        </w:rPr>
      </w:pPr>
      <w:r>
        <w:rPr>
          <w:rFonts w:ascii="宋体" w:hAnsi="宋体" w:cs="Calibri"/>
          <w:kern w:val="0"/>
          <w:szCs w:val="21"/>
        </w:rPr>
        <w:t>表7 专家从事本专业工作年限情况（</w:t>
      </w:r>
      <w:r>
        <w:rPr>
          <w:rFonts w:hint="eastAsia" w:ascii="宋体" w:hAnsi="宋体" w:cs="Calibri"/>
          <w:kern w:val="0"/>
          <w:szCs w:val="21"/>
        </w:rPr>
        <w:t>n = 34</w:t>
      </w:r>
      <w:r>
        <w:rPr>
          <w:rFonts w:ascii="宋体" w:hAnsi="宋体" w:cs="Calibri"/>
          <w:kern w:val="0"/>
          <w:szCs w:val="21"/>
        </w:rPr>
        <w:t>）</w:t>
      </w:r>
    </w:p>
    <w:tbl>
      <w:tblPr>
        <w:tblStyle w:val="12"/>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autofit"/>
        <w:tblCellMar>
          <w:top w:w="15" w:type="dxa"/>
          <w:left w:w="15" w:type="dxa"/>
          <w:bottom w:w="15" w:type="dxa"/>
          <w:right w:w="15" w:type="dxa"/>
        </w:tblCellMar>
      </w:tblPr>
      <w:tblGrid>
        <w:gridCol w:w="4270"/>
        <w:gridCol w:w="1806"/>
        <w:gridCol w:w="2423"/>
      </w:tblGrid>
      <w:tr w14:paraId="40697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tblHeader/>
          <w:jc w:val="center"/>
        </w:trPr>
        <w:tc>
          <w:tcPr>
            <w:tcW w:w="4270" w:type="dxa"/>
            <w:tcBorders>
              <w:tl2br w:val="nil"/>
            </w:tcBorders>
            <w:shd w:val="clear" w:color="auto" w:fill="FFFFFF"/>
            <w:tcMar>
              <w:top w:w="45" w:type="dxa"/>
              <w:left w:w="98" w:type="dxa"/>
              <w:bottom w:w="45" w:type="dxa"/>
              <w:right w:w="98" w:type="dxa"/>
            </w:tcMar>
            <w:vAlign w:val="center"/>
          </w:tcPr>
          <w:p w14:paraId="6E14BB6C">
            <w:pPr>
              <w:widowControl/>
              <w:snapToGrid w:val="0"/>
              <w:jc w:val="center"/>
              <w:rPr>
                <w:rFonts w:ascii="宋体" w:hAnsi="宋体" w:cs="Calibri"/>
                <w:color w:val="000000"/>
                <w:kern w:val="0"/>
                <w:szCs w:val="21"/>
              </w:rPr>
            </w:pPr>
            <w:r>
              <w:rPr>
                <w:rFonts w:ascii="宋体" w:hAnsi="宋体" w:cs="Calibri"/>
                <w:color w:val="000000"/>
                <w:kern w:val="0"/>
                <w:szCs w:val="21"/>
              </w:rPr>
              <w:t>工作年限区间</w:t>
            </w:r>
          </w:p>
        </w:tc>
        <w:tc>
          <w:tcPr>
            <w:tcW w:w="1806" w:type="dxa"/>
            <w:shd w:val="clear" w:color="auto" w:fill="FFFFFF"/>
            <w:tcMar>
              <w:top w:w="45" w:type="dxa"/>
              <w:left w:w="98" w:type="dxa"/>
              <w:bottom w:w="45" w:type="dxa"/>
              <w:right w:w="98" w:type="dxa"/>
            </w:tcMar>
            <w:vAlign w:val="center"/>
          </w:tcPr>
          <w:p w14:paraId="69E2917A">
            <w:pPr>
              <w:widowControl/>
              <w:snapToGrid w:val="0"/>
              <w:jc w:val="center"/>
              <w:rPr>
                <w:rFonts w:ascii="宋体" w:hAnsi="宋体" w:cs="Calibri"/>
                <w:color w:val="000000"/>
                <w:kern w:val="0"/>
                <w:szCs w:val="21"/>
              </w:rPr>
            </w:pPr>
            <w:r>
              <w:rPr>
                <w:rFonts w:ascii="宋体" w:hAnsi="宋体" w:cs="Calibri"/>
                <w:color w:val="000000"/>
                <w:kern w:val="0"/>
                <w:szCs w:val="21"/>
              </w:rPr>
              <w:t>人数</w:t>
            </w:r>
          </w:p>
        </w:tc>
        <w:tc>
          <w:tcPr>
            <w:tcW w:w="2423" w:type="dxa"/>
            <w:shd w:val="clear" w:color="auto" w:fill="FFFFFF"/>
            <w:tcMar>
              <w:top w:w="45" w:type="dxa"/>
              <w:left w:w="98" w:type="dxa"/>
              <w:bottom w:w="45" w:type="dxa"/>
              <w:right w:w="98" w:type="dxa"/>
            </w:tcMar>
            <w:vAlign w:val="center"/>
          </w:tcPr>
          <w:p w14:paraId="5BCD43A1">
            <w:pPr>
              <w:widowControl/>
              <w:snapToGrid w:val="0"/>
              <w:jc w:val="center"/>
              <w:rPr>
                <w:rFonts w:ascii="宋体" w:hAnsi="宋体" w:cs="Calibri"/>
                <w:color w:val="000000"/>
                <w:kern w:val="0"/>
                <w:szCs w:val="21"/>
              </w:rPr>
            </w:pPr>
            <w:r>
              <w:rPr>
                <w:rFonts w:ascii="宋体" w:hAnsi="宋体" w:cs="Calibri"/>
                <w:color w:val="000000"/>
                <w:kern w:val="0"/>
                <w:szCs w:val="21"/>
              </w:rPr>
              <w:t>百分比</w:t>
            </w:r>
          </w:p>
        </w:tc>
      </w:tr>
      <w:tr w14:paraId="05883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4270" w:type="dxa"/>
            <w:shd w:val="clear" w:color="auto" w:fill="FFFFFF"/>
            <w:tcMar>
              <w:top w:w="45" w:type="dxa"/>
              <w:left w:w="98" w:type="dxa"/>
              <w:bottom w:w="45" w:type="dxa"/>
              <w:right w:w="98" w:type="dxa"/>
            </w:tcMar>
            <w:vAlign w:val="center"/>
          </w:tcPr>
          <w:p w14:paraId="52BF2B06">
            <w:pPr>
              <w:widowControl/>
              <w:snapToGrid w:val="0"/>
              <w:jc w:val="left"/>
              <w:rPr>
                <w:rFonts w:ascii="宋体" w:hAnsi="宋体" w:cs="Calibri"/>
                <w:color w:val="000000"/>
                <w:kern w:val="0"/>
                <w:szCs w:val="21"/>
              </w:rPr>
            </w:pPr>
            <w:r>
              <w:rPr>
                <w:rFonts w:ascii="宋体" w:hAnsi="宋体" w:cs="Calibri"/>
                <w:color w:val="000000"/>
                <w:kern w:val="0"/>
                <w:szCs w:val="21"/>
              </w:rPr>
              <w:t>＜10年</w:t>
            </w:r>
          </w:p>
        </w:tc>
        <w:tc>
          <w:tcPr>
            <w:tcW w:w="1806" w:type="dxa"/>
            <w:shd w:val="clear" w:color="auto" w:fill="FFFFFF"/>
            <w:tcMar>
              <w:top w:w="45" w:type="dxa"/>
              <w:left w:w="98" w:type="dxa"/>
              <w:bottom w:w="45" w:type="dxa"/>
              <w:right w:w="98" w:type="dxa"/>
            </w:tcMar>
            <w:vAlign w:val="center"/>
          </w:tcPr>
          <w:p w14:paraId="376CF0AD">
            <w:pPr>
              <w:widowControl/>
              <w:snapToGrid w:val="0"/>
              <w:jc w:val="left"/>
              <w:rPr>
                <w:rFonts w:ascii="宋体" w:hAnsi="宋体" w:cs="Calibri"/>
                <w:color w:val="000000"/>
                <w:kern w:val="0"/>
                <w:szCs w:val="21"/>
              </w:rPr>
            </w:pPr>
            <w:r>
              <w:rPr>
                <w:rFonts w:ascii="宋体" w:hAnsi="宋体" w:cs="Calibri"/>
                <w:color w:val="000000"/>
                <w:kern w:val="0"/>
                <w:szCs w:val="21"/>
              </w:rPr>
              <w:t>2</w:t>
            </w:r>
          </w:p>
        </w:tc>
        <w:tc>
          <w:tcPr>
            <w:tcW w:w="2423" w:type="dxa"/>
            <w:shd w:val="clear" w:color="auto" w:fill="FFFFFF"/>
            <w:tcMar>
              <w:top w:w="45" w:type="dxa"/>
              <w:left w:w="98" w:type="dxa"/>
              <w:bottom w:w="45" w:type="dxa"/>
              <w:right w:w="98" w:type="dxa"/>
            </w:tcMar>
            <w:vAlign w:val="center"/>
          </w:tcPr>
          <w:p w14:paraId="267C3D00">
            <w:pPr>
              <w:widowControl/>
              <w:snapToGrid w:val="0"/>
              <w:jc w:val="left"/>
              <w:rPr>
                <w:rFonts w:ascii="宋体" w:hAnsi="宋体" w:cs="Calibri"/>
                <w:color w:val="000000"/>
                <w:kern w:val="0"/>
                <w:szCs w:val="21"/>
              </w:rPr>
            </w:pPr>
            <w:r>
              <w:rPr>
                <w:rFonts w:ascii="宋体" w:hAnsi="宋体" w:cs="Calibri"/>
                <w:color w:val="000000"/>
                <w:kern w:val="0"/>
                <w:szCs w:val="21"/>
              </w:rPr>
              <w:t>5.88%</w:t>
            </w:r>
          </w:p>
        </w:tc>
      </w:tr>
      <w:tr w14:paraId="6298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4270" w:type="dxa"/>
            <w:shd w:val="clear" w:color="auto" w:fill="FFFFFF"/>
            <w:tcMar>
              <w:top w:w="45" w:type="dxa"/>
              <w:left w:w="98" w:type="dxa"/>
              <w:bottom w:w="45" w:type="dxa"/>
              <w:right w:w="98" w:type="dxa"/>
            </w:tcMar>
            <w:vAlign w:val="center"/>
          </w:tcPr>
          <w:p w14:paraId="57E3AFEA">
            <w:pPr>
              <w:widowControl/>
              <w:snapToGrid w:val="0"/>
              <w:jc w:val="left"/>
              <w:rPr>
                <w:rFonts w:ascii="宋体" w:hAnsi="宋体" w:cs="Calibri"/>
                <w:color w:val="000000"/>
                <w:kern w:val="0"/>
                <w:szCs w:val="21"/>
              </w:rPr>
            </w:pPr>
            <w:r>
              <w:rPr>
                <w:rFonts w:ascii="宋体" w:hAnsi="宋体" w:cs="Calibri"/>
                <w:color w:val="000000"/>
                <w:kern w:val="0"/>
                <w:szCs w:val="21"/>
              </w:rPr>
              <w:t>10–19年</w:t>
            </w:r>
          </w:p>
        </w:tc>
        <w:tc>
          <w:tcPr>
            <w:tcW w:w="1806" w:type="dxa"/>
            <w:shd w:val="clear" w:color="auto" w:fill="FFFFFF"/>
            <w:tcMar>
              <w:top w:w="45" w:type="dxa"/>
              <w:left w:w="98" w:type="dxa"/>
              <w:bottom w:w="45" w:type="dxa"/>
              <w:right w:w="98" w:type="dxa"/>
            </w:tcMar>
            <w:vAlign w:val="center"/>
          </w:tcPr>
          <w:p w14:paraId="6A38008E">
            <w:pPr>
              <w:widowControl/>
              <w:snapToGrid w:val="0"/>
              <w:jc w:val="left"/>
              <w:rPr>
                <w:rFonts w:ascii="宋体" w:hAnsi="宋体" w:cs="Calibri"/>
                <w:color w:val="000000"/>
                <w:kern w:val="0"/>
                <w:szCs w:val="21"/>
              </w:rPr>
            </w:pPr>
            <w:r>
              <w:rPr>
                <w:rFonts w:ascii="宋体" w:hAnsi="宋体" w:cs="Calibri"/>
                <w:color w:val="000000"/>
                <w:kern w:val="0"/>
                <w:szCs w:val="21"/>
              </w:rPr>
              <w:t>2</w:t>
            </w:r>
          </w:p>
        </w:tc>
        <w:tc>
          <w:tcPr>
            <w:tcW w:w="2423" w:type="dxa"/>
            <w:shd w:val="clear" w:color="auto" w:fill="FFFFFF"/>
            <w:tcMar>
              <w:top w:w="45" w:type="dxa"/>
              <w:left w:w="98" w:type="dxa"/>
              <w:bottom w:w="45" w:type="dxa"/>
              <w:right w:w="98" w:type="dxa"/>
            </w:tcMar>
            <w:vAlign w:val="center"/>
          </w:tcPr>
          <w:p w14:paraId="0078FE4E">
            <w:pPr>
              <w:widowControl/>
              <w:snapToGrid w:val="0"/>
              <w:jc w:val="left"/>
              <w:rPr>
                <w:rFonts w:ascii="宋体" w:hAnsi="宋体" w:cs="Calibri"/>
                <w:color w:val="000000"/>
                <w:kern w:val="0"/>
                <w:szCs w:val="21"/>
              </w:rPr>
            </w:pPr>
            <w:r>
              <w:rPr>
                <w:rFonts w:ascii="宋体" w:hAnsi="宋体" w:cs="Calibri"/>
                <w:color w:val="000000"/>
                <w:kern w:val="0"/>
                <w:szCs w:val="21"/>
              </w:rPr>
              <w:t>5.88%</w:t>
            </w:r>
          </w:p>
        </w:tc>
      </w:tr>
      <w:tr w14:paraId="76FD2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4270" w:type="dxa"/>
            <w:shd w:val="clear" w:color="auto" w:fill="FFFFFF"/>
            <w:tcMar>
              <w:top w:w="45" w:type="dxa"/>
              <w:left w:w="98" w:type="dxa"/>
              <w:bottom w:w="45" w:type="dxa"/>
              <w:right w:w="98" w:type="dxa"/>
            </w:tcMar>
            <w:vAlign w:val="center"/>
          </w:tcPr>
          <w:p w14:paraId="1F9AFFFA">
            <w:pPr>
              <w:widowControl/>
              <w:snapToGrid w:val="0"/>
              <w:jc w:val="left"/>
              <w:rPr>
                <w:rFonts w:ascii="宋体" w:hAnsi="宋体" w:cs="Calibri"/>
                <w:color w:val="000000"/>
                <w:kern w:val="0"/>
                <w:szCs w:val="21"/>
              </w:rPr>
            </w:pPr>
            <w:r>
              <w:rPr>
                <w:rFonts w:ascii="宋体" w:hAnsi="宋体" w:cs="Calibri"/>
                <w:color w:val="000000"/>
                <w:kern w:val="0"/>
                <w:szCs w:val="21"/>
              </w:rPr>
              <w:t>20–29年</w:t>
            </w:r>
          </w:p>
        </w:tc>
        <w:tc>
          <w:tcPr>
            <w:tcW w:w="1806" w:type="dxa"/>
            <w:shd w:val="clear" w:color="auto" w:fill="FFFFFF"/>
            <w:tcMar>
              <w:top w:w="45" w:type="dxa"/>
              <w:left w:w="98" w:type="dxa"/>
              <w:bottom w:w="45" w:type="dxa"/>
              <w:right w:w="98" w:type="dxa"/>
            </w:tcMar>
            <w:vAlign w:val="center"/>
          </w:tcPr>
          <w:p w14:paraId="22D14D75">
            <w:pPr>
              <w:widowControl/>
              <w:snapToGrid w:val="0"/>
              <w:jc w:val="left"/>
              <w:rPr>
                <w:rFonts w:ascii="宋体" w:hAnsi="宋体" w:cs="Calibri"/>
                <w:color w:val="000000"/>
                <w:kern w:val="0"/>
                <w:szCs w:val="21"/>
              </w:rPr>
            </w:pPr>
            <w:r>
              <w:rPr>
                <w:rFonts w:ascii="宋体" w:hAnsi="宋体" w:cs="Calibri"/>
                <w:color w:val="000000"/>
                <w:kern w:val="0"/>
                <w:szCs w:val="21"/>
              </w:rPr>
              <w:t>9</w:t>
            </w:r>
          </w:p>
        </w:tc>
        <w:tc>
          <w:tcPr>
            <w:tcW w:w="2423" w:type="dxa"/>
            <w:shd w:val="clear" w:color="auto" w:fill="FFFFFF"/>
            <w:tcMar>
              <w:top w:w="45" w:type="dxa"/>
              <w:left w:w="98" w:type="dxa"/>
              <w:bottom w:w="45" w:type="dxa"/>
              <w:right w:w="98" w:type="dxa"/>
            </w:tcMar>
            <w:vAlign w:val="center"/>
          </w:tcPr>
          <w:p w14:paraId="3089F8CD">
            <w:pPr>
              <w:widowControl/>
              <w:snapToGrid w:val="0"/>
              <w:jc w:val="left"/>
              <w:rPr>
                <w:rFonts w:ascii="宋体" w:hAnsi="宋体" w:cs="Calibri"/>
                <w:color w:val="000000"/>
                <w:kern w:val="0"/>
                <w:szCs w:val="21"/>
              </w:rPr>
            </w:pPr>
            <w:r>
              <w:rPr>
                <w:rFonts w:ascii="宋体" w:hAnsi="宋体" w:cs="Calibri"/>
                <w:color w:val="000000"/>
                <w:kern w:val="0"/>
                <w:szCs w:val="21"/>
              </w:rPr>
              <w:t>26.47%</w:t>
            </w:r>
          </w:p>
        </w:tc>
      </w:tr>
      <w:tr w14:paraId="70E75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4270" w:type="dxa"/>
            <w:shd w:val="clear" w:color="auto" w:fill="FFFFFF"/>
            <w:tcMar>
              <w:top w:w="45" w:type="dxa"/>
              <w:left w:w="98" w:type="dxa"/>
              <w:bottom w:w="45" w:type="dxa"/>
              <w:right w:w="98" w:type="dxa"/>
            </w:tcMar>
            <w:vAlign w:val="center"/>
          </w:tcPr>
          <w:p w14:paraId="1FD2CFE0">
            <w:pPr>
              <w:widowControl/>
              <w:snapToGrid w:val="0"/>
              <w:jc w:val="left"/>
              <w:rPr>
                <w:rFonts w:ascii="宋体" w:hAnsi="宋体" w:cs="Calibri"/>
                <w:color w:val="000000"/>
                <w:kern w:val="0"/>
                <w:szCs w:val="21"/>
              </w:rPr>
            </w:pPr>
            <w:r>
              <w:rPr>
                <w:rFonts w:ascii="宋体" w:hAnsi="宋体" w:cs="Calibri"/>
                <w:color w:val="000000"/>
                <w:kern w:val="0"/>
                <w:szCs w:val="21"/>
              </w:rPr>
              <w:t>30–39年</w:t>
            </w:r>
          </w:p>
        </w:tc>
        <w:tc>
          <w:tcPr>
            <w:tcW w:w="1806" w:type="dxa"/>
            <w:shd w:val="clear" w:color="auto" w:fill="FFFFFF"/>
            <w:tcMar>
              <w:top w:w="45" w:type="dxa"/>
              <w:left w:w="98" w:type="dxa"/>
              <w:bottom w:w="45" w:type="dxa"/>
              <w:right w:w="98" w:type="dxa"/>
            </w:tcMar>
            <w:vAlign w:val="center"/>
          </w:tcPr>
          <w:p w14:paraId="6FDFEF26">
            <w:pPr>
              <w:widowControl/>
              <w:snapToGrid w:val="0"/>
              <w:jc w:val="left"/>
              <w:rPr>
                <w:rFonts w:ascii="宋体" w:hAnsi="宋体" w:cs="Calibri"/>
                <w:color w:val="000000"/>
                <w:kern w:val="0"/>
                <w:szCs w:val="21"/>
              </w:rPr>
            </w:pPr>
            <w:r>
              <w:rPr>
                <w:rFonts w:ascii="宋体" w:hAnsi="宋体" w:cs="Calibri"/>
                <w:color w:val="000000"/>
                <w:kern w:val="0"/>
                <w:szCs w:val="21"/>
              </w:rPr>
              <w:t>12</w:t>
            </w:r>
          </w:p>
        </w:tc>
        <w:tc>
          <w:tcPr>
            <w:tcW w:w="2423" w:type="dxa"/>
            <w:shd w:val="clear" w:color="auto" w:fill="FFFFFF"/>
            <w:tcMar>
              <w:top w:w="45" w:type="dxa"/>
              <w:left w:w="98" w:type="dxa"/>
              <w:bottom w:w="45" w:type="dxa"/>
              <w:right w:w="98" w:type="dxa"/>
            </w:tcMar>
            <w:vAlign w:val="center"/>
          </w:tcPr>
          <w:p w14:paraId="70FFC988">
            <w:pPr>
              <w:widowControl/>
              <w:snapToGrid w:val="0"/>
              <w:jc w:val="left"/>
              <w:rPr>
                <w:rFonts w:ascii="宋体" w:hAnsi="宋体" w:cs="Calibri"/>
                <w:color w:val="000000"/>
                <w:kern w:val="0"/>
                <w:szCs w:val="21"/>
              </w:rPr>
            </w:pPr>
            <w:r>
              <w:rPr>
                <w:rFonts w:ascii="宋体" w:hAnsi="宋体" w:cs="Calibri"/>
                <w:color w:val="000000"/>
                <w:kern w:val="0"/>
                <w:szCs w:val="21"/>
              </w:rPr>
              <w:t>35.29%</w:t>
            </w:r>
          </w:p>
        </w:tc>
      </w:tr>
      <w:tr w14:paraId="61E55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4270" w:type="dxa"/>
            <w:shd w:val="clear" w:color="auto" w:fill="FFFFFF"/>
            <w:tcMar>
              <w:top w:w="45" w:type="dxa"/>
              <w:left w:w="98" w:type="dxa"/>
              <w:bottom w:w="45" w:type="dxa"/>
              <w:right w:w="98" w:type="dxa"/>
            </w:tcMar>
            <w:vAlign w:val="center"/>
          </w:tcPr>
          <w:p w14:paraId="18332E10">
            <w:pPr>
              <w:widowControl/>
              <w:snapToGrid w:val="0"/>
              <w:jc w:val="left"/>
              <w:rPr>
                <w:rFonts w:ascii="宋体" w:hAnsi="宋体" w:cs="Calibri"/>
                <w:color w:val="000000"/>
                <w:kern w:val="0"/>
                <w:szCs w:val="21"/>
              </w:rPr>
            </w:pPr>
            <w:r>
              <w:rPr>
                <w:rFonts w:ascii="宋体" w:hAnsi="宋体" w:cs="Calibri"/>
                <w:color w:val="000000"/>
                <w:kern w:val="0"/>
                <w:szCs w:val="21"/>
              </w:rPr>
              <w:t>40–49年</w:t>
            </w:r>
          </w:p>
        </w:tc>
        <w:tc>
          <w:tcPr>
            <w:tcW w:w="1806" w:type="dxa"/>
            <w:shd w:val="clear" w:color="auto" w:fill="FFFFFF"/>
            <w:tcMar>
              <w:top w:w="45" w:type="dxa"/>
              <w:left w:w="98" w:type="dxa"/>
              <w:bottom w:w="45" w:type="dxa"/>
              <w:right w:w="98" w:type="dxa"/>
            </w:tcMar>
            <w:vAlign w:val="center"/>
          </w:tcPr>
          <w:p w14:paraId="4803ED8D">
            <w:pPr>
              <w:widowControl/>
              <w:snapToGrid w:val="0"/>
              <w:jc w:val="left"/>
              <w:rPr>
                <w:rFonts w:ascii="宋体" w:hAnsi="宋体" w:cs="Calibri"/>
                <w:color w:val="000000"/>
                <w:kern w:val="0"/>
                <w:szCs w:val="21"/>
              </w:rPr>
            </w:pPr>
            <w:r>
              <w:rPr>
                <w:rFonts w:ascii="宋体" w:hAnsi="宋体" w:cs="Calibri"/>
                <w:color w:val="000000"/>
                <w:kern w:val="0"/>
                <w:szCs w:val="21"/>
              </w:rPr>
              <w:t>7</w:t>
            </w:r>
          </w:p>
        </w:tc>
        <w:tc>
          <w:tcPr>
            <w:tcW w:w="2423" w:type="dxa"/>
            <w:shd w:val="clear" w:color="auto" w:fill="FFFFFF"/>
            <w:tcMar>
              <w:top w:w="45" w:type="dxa"/>
              <w:left w:w="98" w:type="dxa"/>
              <w:bottom w:w="45" w:type="dxa"/>
              <w:right w:w="98" w:type="dxa"/>
            </w:tcMar>
            <w:vAlign w:val="center"/>
          </w:tcPr>
          <w:p w14:paraId="51F940F4">
            <w:pPr>
              <w:widowControl/>
              <w:snapToGrid w:val="0"/>
              <w:jc w:val="left"/>
              <w:rPr>
                <w:rFonts w:ascii="宋体" w:hAnsi="宋体" w:cs="Calibri"/>
                <w:color w:val="000000"/>
                <w:kern w:val="0"/>
                <w:szCs w:val="21"/>
              </w:rPr>
            </w:pPr>
            <w:r>
              <w:rPr>
                <w:rFonts w:ascii="宋体" w:hAnsi="宋体" w:cs="Calibri"/>
                <w:color w:val="000000"/>
                <w:kern w:val="0"/>
                <w:szCs w:val="21"/>
              </w:rPr>
              <w:t>20.59%</w:t>
            </w:r>
          </w:p>
        </w:tc>
      </w:tr>
      <w:tr w14:paraId="6B12F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270" w:type="dxa"/>
            <w:shd w:val="clear" w:color="auto" w:fill="FFFFFF"/>
            <w:tcMar>
              <w:top w:w="45" w:type="dxa"/>
              <w:left w:w="98" w:type="dxa"/>
              <w:bottom w:w="45" w:type="dxa"/>
              <w:right w:w="98" w:type="dxa"/>
            </w:tcMar>
            <w:vAlign w:val="center"/>
          </w:tcPr>
          <w:p w14:paraId="4BECB7CC">
            <w:pPr>
              <w:widowControl/>
              <w:snapToGrid w:val="0"/>
              <w:jc w:val="left"/>
              <w:rPr>
                <w:rFonts w:ascii="宋体" w:hAnsi="宋体" w:cs="Calibri"/>
                <w:color w:val="000000"/>
                <w:kern w:val="0"/>
                <w:szCs w:val="21"/>
              </w:rPr>
            </w:pPr>
            <w:r>
              <w:rPr>
                <w:rFonts w:ascii="宋体" w:hAnsi="宋体" w:cs="Calibri"/>
                <w:color w:val="000000"/>
                <w:kern w:val="0"/>
                <w:szCs w:val="21"/>
              </w:rPr>
              <w:t>50年及以上</w:t>
            </w:r>
          </w:p>
        </w:tc>
        <w:tc>
          <w:tcPr>
            <w:tcW w:w="1806" w:type="dxa"/>
            <w:shd w:val="clear" w:color="auto" w:fill="FFFFFF"/>
            <w:tcMar>
              <w:top w:w="45" w:type="dxa"/>
              <w:left w:w="98" w:type="dxa"/>
              <w:bottom w:w="45" w:type="dxa"/>
              <w:right w:w="98" w:type="dxa"/>
            </w:tcMar>
            <w:vAlign w:val="center"/>
          </w:tcPr>
          <w:p w14:paraId="04ED8C5D">
            <w:pPr>
              <w:widowControl/>
              <w:snapToGrid w:val="0"/>
              <w:jc w:val="left"/>
              <w:rPr>
                <w:rFonts w:ascii="宋体" w:hAnsi="宋体" w:cs="Calibri"/>
                <w:color w:val="000000"/>
                <w:kern w:val="0"/>
                <w:szCs w:val="21"/>
              </w:rPr>
            </w:pPr>
            <w:r>
              <w:rPr>
                <w:rFonts w:ascii="宋体" w:hAnsi="宋体" w:cs="Calibri"/>
                <w:color w:val="000000"/>
                <w:kern w:val="0"/>
                <w:szCs w:val="21"/>
              </w:rPr>
              <w:t>2</w:t>
            </w:r>
          </w:p>
        </w:tc>
        <w:tc>
          <w:tcPr>
            <w:tcW w:w="2423" w:type="dxa"/>
            <w:shd w:val="clear" w:color="auto" w:fill="FFFFFF"/>
            <w:tcMar>
              <w:top w:w="45" w:type="dxa"/>
              <w:left w:w="98" w:type="dxa"/>
              <w:bottom w:w="45" w:type="dxa"/>
              <w:right w:w="98" w:type="dxa"/>
            </w:tcMar>
            <w:vAlign w:val="center"/>
          </w:tcPr>
          <w:p w14:paraId="4AAB6210">
            <w:pPr>
              <w:widowControl/>
              <w:snapToGrid w:val="0"/>
              <w:jc w:val="left"/>
              <w:rPr>
                <w:rFonts w:ascii="宋体" w:hAnsi="宋体" w:cs="Calibri"/>
                <w:color w:val="000000"/>
                <w:kern w:val="0"/>
                <w:szCs w:val="21"/>
              </w:rPr>
            </w:pPr>
            <w:r>
              <w:rPr>
                <w:rFonts w:ascii="宋体" w:hAnsi="宋体" w:cs="Calibri"/>
                <w:color w:val="000000"/>
                <w:kern w:val="0"/>
                <w:szCs w:val="21"/>
              </w:rPr>
              <w:t>5.88%</w:t>
            </w:r>
          </w:p>
        </w:tc>
      </w:tr>
    </w:tbl>
    <w:p w14:paraId="3430E55B">
      <w:pPr>
        <w:widowControl/>
        <w:spacing w:line="400" w:lineRule="exact"/>
        <w:ind w:firstLine="420" w:firstLineChars="200"/>
        <w:rPr>
          <w:rFonts w:ascii="宋体" w:hAnsi="宋体" w:cs="Calibri"/>
          <w:kern w:val="0"/>
          <w:szCs w:val="21"/>
        </w:rPr>
      </w:pPr>
      <w:r>
        <w:rPr>
          <w:rFonts w:ascii="宋体" w:hAnsi="宋体" w:cs="Calibri"/>
          <w:kern w:val="0"/>
          <w:szCs w:val="21"/>
        </w:rPr>
        <w:t>说明：工作年限跨度</w:t>
      </w:r>
      <w:r>
        <w:rPr>
          <w:rFonts w:hint="eastAsia" w:ascii="宋体" w:hAnsi="宋体" w:cs="Calibri"/>
          <w:kern w:val="0"/>
          <w:szCs w:val="21"/>
        </w:rPr>
        <w:t>：</w:t>
      </w:r>
      <w:r>
        <w:rPr>
          <w:rFonts w:ascii="宋体" w:hAnsi="宋体" w:cs="Calibri"/>
          <w:kern w:val="0"/>
          <w:szCs w:val="21"/>
        </w:rPr>
        <w:t>1</w:t>
      </w:r>
      <w:r>
        <w:rPr>
          <w:rFonts w:hint="eastAsia" w:ascii="宋体" w:hAnsi="宋体" w:cs="Calibri"/>
          <w:kern w:val="0"/>
          <w:szCs w:val="21"/>
        </w:rPr>
        <w:t>～</w:t>
      </w:r>
      <w:r>
        <w:rPr>
          <w:rFonts w:ascii="宋体" w:hAnsi="宋体" w:cs="Calibri"/>
          <w:kern w:val="0"/>
          <w:szCs w:val="21"/>
        </w:rPr>
        <w:t>55年</w:t>
      </w:r>
      <w:r>
        <w:rPr>
          <w:rFonts w:hint="eastAsia" w:ascii="宋体" w:hAnsi="宋体" w:cs="Calibri"/>
          <w:kern w:val="0"/>
          <w:szCs w:val="21"/>
        </w:rPr>
        <w:t>；</w:t>
      </w:r>
      <w:r>
        <w:rPr>
          <w:rFonts w:ascii="宋体" w:hAnsi="宋体" w:cs="Calibri"/>
          <w:kern w:val="0"/>
          <w:szCs w:val="21"/>
        </w:rPr>
        <w:t>平均工作年限约31.</w:t>
      </w:r>
      <w:r>
        <w:rPr>
          <w:rFonts w:hint="eastAsia" w:ascii="宋体" w:hAnsi="宋体" w:cs="Calibri"/>
          <w:kern w:val="0"/>
          <w:szCs w:val="21"/>
        </w:rPr>
        <w:t>76</w:t>
      </w:r>
      <w:r>
        <w:rPr>
          <w:rFonts w:ascii="宋体" w:hAnsi="宋体" w:cs="Calibri"/>
          <w:kern w:val="0"/>
          <w:szCs w:val="21"/>
        </w:rPr>
        <w:t>年</w:t>
      </w:r>
      <w:r>
        <w:rPr>
          <w:rFonts w:hint="eastAsia" w:ascii="宋体" w:hAnsi="宋体" w:cs="Calibri"/>
          <w:kern w:val="0"/>
          <w:szCs w:val="21"/>
        </w:rPr>
        <w:t>。</w:t>
      </w:r>
    </w:p>
    <w:p w14:paraId="6DBC6352">
      <w:pPr>
        <w:widowControl/>
        <w:spacing w:line="400" w:lineRule="exact"/>
        <w:ind w:firstLine="420" w:firstLineChars="200"/>
        <w:rPr>
          <w:rFonts w:ascii="宋体" w:hAnsi="宋体" w:cs="Calibri"/>
          <w:kern w:val="0"/>
          <w:szCs w:val="21"/>
        </w:rPr>
      </w:pPr>
      <w:r>
        <w:rPr>
          <w:rFonts w:ascii="宋体" w:hAnsi="宋体" w:cs="Calibri"/>
          <w:kern w:val="0"/>
          <w:szCs w:val="21"/>
        </w:rPr>
        <w:t>综上，本次咨询专家权威程度高、地域代表性强、积极程度高，咨询结果可信度高。</w:t>
      </w:r>
    </w:p>
    <w:p w14:paraId="710F66D8">
      <w:pPr>
        <w:widowControl/>
        <w:spacing w:line="400" w:lineRule="exact"/>
        <w:jc w:val="left"/>
        <w:outlineLvl w:val="2"/>
        <w:rPr>
          <w:rFonts w:ascii="宋体" w:hAnsi="宋体" w:cs="Calibri"/>
          <w:b/>
          <w:bCs/>
          <w:kern w:val="0"/>
          <w:sz w:val="24"/>
          <w:szCs w:val="24"/>
        </w:rPr>
      </w:pPr>
      <w:r>
        <w:rPr>
          <w:rFonts w:hint="eastAsia" w:ascii="宋体" w:hAnsi="宋体" w:cs="Calibri"/>
          <w:b/>
          <w:bCs/>
          <w:kern w:val="0"/>
          <w:sz w:val="24"/>
          <w:szCs w:val="24"/>
        </w:rPr>
        <w:t>三、专家调查问卷统计结果</w:t>
      </w:r>
    </w:p>
    <w:p w14:paraId="55F00A33">
      <w:pPr>
        <w:widowControl/>
        <w:spacing w:line="400" w:lineRule="exact"/>
        <w:ind w:firstLine="422" w:firstLineChars="200"/>
        <w:jc w:val="left"/>
        <w:outlineLvl w:val="3"/>
        <w:rPr>
          <w:rFonts w:ascii="宋体" w:hAnsi="宋体" w:cs="Calibri"/>
          <w:b/>
          <w:bCs/>
          <w:kern w:val="0"/>
          <w:szCs w:val="21"/>
        </w:rPr>
      </w:pPr>
      <w:r>
        <w:rPr>
          <w:rFonts w:hint="eastAsia" w:ascii="宋体" w:hAnsi="宋体" w:cs="Calibri"/>
          <w:b/>
          <w:bCs/>
          <w:kern w:val="0"/>
          <w:szCs w:val="21"/>
        </w:rPr>
        <w:t>1评分方法</w:t>
      </w:r>
    </w:p>
    <w:p w14:paraId="0DE55639">
      <w:pPr>
        <w:autoSpaceDE w:val="0"/>
        <w:autoSpaceDN w:val="0"/>
        <w:adjustRightInd w:val="0"/>
        <w:spacing w:line="400" w:lineRule="exact"/>
        <w:ind w:firstLine="420" w:firstLineChars="200"/>
        <w:jc w:val="left"/>
        <w:rPr>
          <w:rFonts w:ascii="宋体" w:hAnsi="宋体" w:cs="黑体"/>
          <w:kern w:val="0"/>
          <w:szCs w:val="21"/>
        </w:rPr>
      </w:pPr>
      <w:r>
        <w:rPr>
          <w:rFonts w:hint="eastAsia" w:ascii="宋体" w:hAnsi="宋体" w:cs="Calibri"/>
          <w:kern w:val="0"/>
          <w:szCs w:val="21"/>
        </w:rPr>
        <w:t>问卷应用</w:t>
      </w:r>
      <w:r>
        <w:rPr>
          <w:rFonts w:ascii="宋体" w:hAnsi="宋体" w:cs="Calibri"/>
          <w:kern w:val="0"/>
          <w:szCs w:val="21"/>
        </w:rPr>
        <w:t>Excel</w:t>
      </w:r>
      <w:r>
        <w:rPr>
          <w:rFonts w:hint="eastAsia" w:ascii="宋体" w:hAnsi="宋体" w:cs="Calibri"/>
          <w:kern w:val="0"/>
          <w:szCs w:val="21"/>
        </w:rPr>
        <w:t>表进行每一条目数据的整理与统计处理，计算专家意见的集中程度和协调程度，采用均值（</w:t>
      </w:r>
      <w:r>
        <w:rPr>
          <w:rFonts w:ascii="宋体" w:hAnsi="宋体"/>
          <w:b/>
          <w:position w:val="-6"/>
          <w:szCs w:val="21"/>
        </w:rPr>
        <w:object>
          <v:shape id="_x0000_i1025"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25" DrawAspect="Content" ObjectID="_1468075725" r:id="rId9">
            <o:LockedField>false</o:LockedField>
          </o:OLEObject>
        </w:object>
      </w:r>
      <w:r>
        <w:rPr>
          <w:rFonts w:hint="eastAsia" w:ascii="宋体" w:hAnsi="宋体" w:cs="Calibri"/>
          <w:kern w:val="0"/>
          <w:szCs w:val="21"/>
        </w:rPr>
        <w:t>）、不重要百分比（</w:t>
      </w:r>
      <w:r>
        <w:rPr>
          <w:rFonts w:ascii="宋体" w:hAnsi="宋体" w:cs="Calibri"/>
          <w:kern w:val="0"/>
          <w:szCs w:val="21"/>
        </w:rPr>
        <w:t>R</w:t>
      </w:r>
      <w:r>
        <w:rPr>
          <w:rFonts w:hint="eastAsia" w:ascii="宋体" w:hAnsi="宋体" w:cs="Calibri"/>
          <w:kern w:val="0"/>
          <w:szCs w:val="21"/>
        </w:rPr>
        <w:t>）、等级和（</w:t>
      </w:r>
      <w:r>
        <w:rPr>
          <w:rFonts w:ascii="宋体" w:hAnsi="宋体" w:cs="Calibri"/>
          <w:kern w:val="0"/>
          <w:szCs w:val="21"/>
        </w:rPr>
        <w:t>S</w:t>
      </w:r>
      <w:r>
        <w:rPr>
          <w:rFonts w:hint="eastAsia" w:ascii="宋体" w:hAnsi="宋体" w:cs="Calibri"/>
          <w:kern w:val="0"/>
          <w:szCs w:val="21"/>
        </w:rPr>
        <w:t>）、变异系数（</w:t>
      </w:r>
      <w:r>
        <w:rPr>
          <w:rFonts w:ascii="宋体" w:hAnsi="宋体" w:cs="Calibri"/>
          <w:kern w:val="0"/>
          <w:szCs w:val="21"/>
        </w:rPr>
        <w:t>CV</w:t>
      </w:r>
      <w:r>
        <w:rPr>
          <w:rFonts w:hint="eastAsia" w:ascii="宋体" w:hAnsi="宋体" w:cs="Calibri"/>
          <w:kern w:val="0"/>
          <w:szCs w:val="21"/>
        </w:rPr>
        <w:t>）等指标进行相关统计分析。</w:t>
      </w:r>
    </w:p>
    <w:p w14:paraId="5CA69451">
      <w:pPr>
        <w:tabs>
          <w:tab w:val="left" w:pos="776"/>
        </w:tabs>
        <w:spacing w:line="400" w:lineRule="exact"/>
        <w:ind w:firstLine="422" w:firstLineChars="200"/>
        <w:outlineLvl w:val="4"/>
        <w:rPr>
          <w:rFonts w:ascii="宋体" w:hAnsi="宋体"/>
          <w:b/>
          <w:szCs w:val="21"/>
        </w:rPr>
      </w:pPr>
      <w:r>
        <w:rPr>
          <w:rFonts w:hint="eastAsia" w:ascii="宋体" w:hAnsi="宋体"/>
          <w:b/>
          <w:szCs w:val="21"/>
        </w:rPr>
        <w:t>1.1指标含义及计算方法</w:t>
      </w:r>
    </w:p>
    <w:p w14:paraId="48582EDD">
      <w:pPr>
        <w:widowControl/>
        <w:spacing w:line="400" w:lineRule="exact"/>
        <w:ind w:firstLine="420" w:firstLineChars="200"/>
        <w:rPr>
          <w:rFonts w:ascii="宋体" w:hAnsi="宋体"/>
          <w:szCs w:val="21"/>
        </w:rPr>
      </w:pPr>
      <w:r>
        <w:rPr>
          <w:rFonts w:hint="eastAsia" w:ascii="宋体" w:hAnsi="宋体"/>
          <w:szCs w:val="21"/>
        </w:rPr>
        <w:t>（1）各项指标赋值出现的频数（</w:t>
      </w:r>
      <w:r>
        <w:rPr>
          <w:rFonts w:ascii="宋体" w:hAnsi="宋体"/>
          <w:szCs w:val="21"/>
        </w:rPr>
        <w:t>f</w:t>
      </w:r>
      <w:r>
        <w:rPr>
          <w:rFonts w:hint="eastAsia" w:ascii="宋体" w:hAnsi="宋体"/>
          <w:szCs w:val="21"/>
        </w:rPr>
        <w:t>）：即专家对各项信息的赋值</w:t>
      </w:r>
      <w:r>
        <w:rPr>
          <w:rFonts w:ascii="宋体" w:hAnsi="宋体"/>
          <w:szCs w:val="21"/>
        </w:rPr>
        <w:t>0</w:t>
      </w:r>
      <w:r>
        <w:rPr>
          <w:rFonts w:hint="eastAsia" w:ascii="宋体" w:hAnsi="宋体"/>
          <w:szCs w:val="21"/>
        </w:rPr>
        <w:t>、</w:t>
      </w:r>
      <w:r>
        <w:rPr>
          <w:rFonts w:ascii="宋体" w:hAnsi="宋体"/>
          <w:szCs w:val="21"/>
        </w:rPr>
        <w:t>1</w:t>
      </w:r>
      <w:r>
        <w:rPr>
          <w:rFonts w:hint="eastAsia" w:ascii="宋体" w:hAnsi="宋体"/>
          <w:szCs w:val="21"/>
        </w:rPr>
        <w:t>出现的次数。在本项研究中，答卷打</w:t>
      </w:r>
      <w:r>
        <w:rPr>
          <w:rFonts w:hint="eastAsia" w:ascii="宋体" w:hAnsi="宋体" w:cs="宋体"/>
          <w:szCs w:val="21"/>
        </w:rPr>
        <w:t>√</w:t>
      </w:r>
      <w:r>
        <w:rPr>
          <w:rFonts w:hint="eastAsia" w:ascii="宋体" w:hAnsi="宋体"/>
          <w:szCs w:val="21"/>
        </w:rPr>
        <w:t>的信息以1分计，未打</w:t>
      </w:r>
      <w:r>
        <w:rPr>
          <w:rFonts w:hint="eastAsia" w:ascii="宋体" w:hAnsi="宋体" w:cs="宋体"/>
          <w:szCs w:val="21"/>
        </w:rPr>
        <w:t>√的</w:t>
      </w:r>
      <w:r>
        <w:rPr>
          <w:rFonts w:hint="eastAsia" w:ascii="宋体" w:hAnsi="宋体"/>
          <w:szCs w:val="21"/>
        </w:rPr>
        <w:t>信息以0分计。</w:t>
      </w:r>
    </w:p>
    <w:p w14:paraId="704E9E7C">
      <w:pPr>
        <w:tabs>
          <w:tab w:val="left" w:pos="776"/>
        </w:tabs>
        <w:spacing w:line="400" w:lineRule="exact"/>
        <w:ind w:firstLine="420" w:firstLineChars="200"/>
        <w:rPr>
          <w:rFonts w:ascii="宋体" w:hAnsi="宋体"/>
          <w:szCs w:val="21"/>
        </w:rPr>
      </w:pPr>
      <w:r>
        <w:rPr>
          <w:rFonts w:hint="eastAsia" w:ascii="宋体" w:hAnsi="宋体"/>
          <w:szCs w:val="21"/>
        </w:rPr>
        <w:t>（2）均值（</w:t>
      </w:r>
      <w:r>
        <w:rPr>
          <w:rFonts w:ascii="宋体" w:hAnsi="宋体"/>
          <w:b/>
          <w:position w:val="-6"/>
          <w:szCs w:val="21"/>
        </w:rPr>
        <w:object>
          <v:shape id="_x0000_i1026" o:spt="75" type="#_x0000_t75" style="height:18.25pt;width:12pt;" o:ole="t" filled="f" o:preferrelative="t" stroked="f" coordsize="21600,21600">
            <v:path/>
            <v:fill on="f" focussize="0,0"/>
            <v:stroke on="f" joinstyle="miter"/>
            <v:imagedata r:id="rId12" o:title=""/>
            <o:lock v:ext="edit" aspectratio="t"/>
            <w10:wrap type="none"/>
            <w10:anchorlock/>
          </v:shape>
          <o:OLEObject Type="Embed" ProgID="Equation.3" ShapeID="_x0000_i1026" DrawAspect="Content" ObjectID="_1468075726" r:id="rId11">
            <o:LockedField>false</o:LockedField>
          </o:OLEObject>
        </w:object>
      </w:r>
      <w:r>
        <w:rPr>
          <w:rFonts w:hint="eastAsia" w:ascii="宋体" w:hAnsi="宋体"/>
          <w:szCs w:val="21"/>
        </w:rPr>
        <w:t>）的计算方法：即计数对象得分的平均值。</w:t>
      </w:r>
    </w:p>
    <w:p w14:paraId="2B39A9A3">
      <w:pPr>
        <w:spacing w:line="400" w:lineRule="exact"/>
        <w:ind w:firstLine="420" w:firstLineChars="200"/>
        <w:rPr>
          <w:rFonts w:ascii="宋体" w:hAnsi="宋体"/>
          <w:szCs w:val="21"/>
        </w:rPr>
      </w:pPr>
      <w:r>
        <w:rPr>
          <w:rFonts w:hint="eastAsia" w:ascii="宋体" w:hAnsi="宋体" w:cs="宋体"/>
          <w:szCs w:val="21"/>
        </w:rPr>
        <w:t>（3）</w:t>
      </w:r>
      <w:r>
        <w:rPr>
          <w:rFonts w:hint="eastAsia" w:ascii="宋体" w:hAnsi="宋体"/>
          <w:szCs w:val="21"/>
        </w:rPr>
        <w:t>不重要百分比（</w:t>
      </w:r>
      <w:r>
        <w:rPr>
          <w:rFonts w:ascii="宋体" w:hAnsi="宋体"/>
          <w:szCs w:val="21"/>
        </w:rPr>
        <w:t>R</w:t>
      </w:r>
      <w:r>
        <w:rPr>
          <w:rFonts w:hint="eastAsia" w:ascii="宋体" w:hAnsi="宋体"/>
          <w:szCs w:val="21"/>
        </w:rPr>
        <w:t>）：即专家对各项信息赋值为</w:t>
      </w:r>
      <w:r>
        <w:rPr>
          <w:rFonts w:ascii="宋体" w:hAnsi="宋体"/>
          <w:szCs w:val="21"/>
        </w:rPr>
        <w:t>0</w:t>
      </w:r>
      <w:r>
        <w:rPr>
          <w:rFonts w:hint="eastAsia" w:ascii="宋体" w:hAnsi="宋体"/>
          <w:szCs w:val="21"/>
        </w:rPr>
        <w:t>的频数与参评专家总个数的比值。</w:t>
      </w:r>
    </w:p>
    <w:p w14:paraId="455BB12F">
      <w:pPr>
        <w:spacing w:line="360" w:lineRule="auto"/>
        <w:ind w:firstLine="621" w:firstLineChars="296"/>
        <w:rPr>
          <w:rFonts w:ascii="宋体" w:hAnsi="宋体"/>
          <w:szCs w:val="21"/>
        </w:rPr>
      </w:pPr>
      <w:r>
        <w:rPr>
          <w:rFonts w:ascii="宋体" w:hAnsi="宋体"/>
          <w:szCs w:val="21"/>
        </w:rPr>
        <w:t>R=</w:t>
      </w:r>
      <w:r>
        <w:rPr>
          <w:rFonts w:hint="eastAsia" w:ascii="宋体" w:hAnsi="宋体"/>
          <w:szCs w:val="21"/>
        </w:rPr>
        <w:t>（0的频数/该项信息的总频数）</w:t>
      </w:r>
      <w:r>
        <w:rPr>
          <w:rFonts w:hint="eastAsia" w:ascii="宋体" w:hAnsi="宋体" w:cs="Arial"/>
          <w:szCs w:val="21"/>
        </w:rPr>
        <w:t>×</w:t>
      </w:r>
      <w:r>
        <w:rPr>
          <w:rFonts w:ascii="宋体" w:hAnsi="宋体" w:cs="Arial"/>
          <w:szCs w:val="21"/>
        </w:rPr>
        <w:t>100</w:t>
      </w:r>
      <w:r>
        <w:rPr>
          <w:rFonts w:hint="eastAsia" w:ascii="宋体" w:hAnsi="宋体" w:cs="Arial"/>
          <w:szCs w:val="21"/>
        </w:rPr>
        <w:t>﹪</w:t>
      </w:r>
      <w:r>
        <w:rPr>
          <w:rFonts w:ascii="宋体" w:hAnsi="宋体"/>
          <w:szCs w:val="21"/>
        </w:rPr>
        <w:t xml:space="preserve">  </w:t>
      </w:r>
    </w:p>
    <w:p w14:paraId="224D2F23">
      <w:pPr>
        <w:spacing w:line="400" w:lineRule="exact"/>
        <w:rPr>
          <w:rFonts w:ascii="宋体" w:hAnsi="宋体" w:cs="Arial"/>
          <w:szCs w:val="21"/>
        </w:rPr>
      </w:pPr>
      <w:r>
        <w:rPr>
          <w:rFonts w:hint="eastAsia" w:ascii="宋体" w:hAnsi="宋体" w:cs="宋体"/>
          <w:szCs w:val="21"/>
        </w:rPr>
        <w:t>（4）</w:t>
      </w:r>
      <w:r>
        <w:rPr>
          <w:rFonts w:hint="eastAsia" w:ascii="宋体" w:hAnsi="宋体"/>
          <w:szCs w:val="21"/>
        </w:rPr>
        <w:t>等级和（</w:t>
      </w:r>
      <w:r>
        <w:rPr>
          <w:rFonts w:ascii="宋体" w:hAnsi="宋体"/>
          <w:szCs w:val="21"/>
        </w:rPr>
        <w:t>S</w:t>
      </w:r>
      <w:r>
        <w:rPr>
          <w:rFonts w:hint="eastAsia" w:ascii="宋体" w:hAnsi="宋体"/>
          <w:szCs w:val="21"/>
        </w:rPr>
        <w:t>）：即为专家对各项信息的赋值的代数和。</w:t>
      </w:r>
    </w:p>
    <w:p w14:paraId="0CA02F51">
      <w:pPr>
        <w:spacing w:line="360" w:lineRule="auto"/>
        <w:rPr>
          <w:rFonts w:ascii="宋体" w:hAnsi="宋体" w:cs="Arial"/>
          <w:szCs w:val="21"/>
        </w:rPr>
      </w:pPr>
      <w:r>
        <w:rPr>
          <w:rFonts w:hint="eastAsia" w:ascii="宋体" w:hAnsi="宋体" w:cs="宋体"/>
          <w:szCs w:val="21"/>
        </w:rPr>
        <w:t>（5）</w:t>
      </w:r>
      <w:r>
        <w:rPr>
          <w:rFonts w:hint="eastAsia" w:ascii="宋体" w:hAnsi="宋体" w:cs="Arial"/>
          <w:szCs w:val="21"/>
        </w:rPr>
        <w:t>变异系数（</w:t>
      </w:r>
      <w:r>
        <w:rPr>
          <w:rFonts w:ascii="宋体" w:hAnsi="宋体" w:cs="Arial"/>
          <w:b/>
          <w:szCs w:val="21"/>
        </w:rPr>
        <w:t>CV</w:t>
      </w:r>
      <w:r>
        <w:rPr>
          <w:rFonts w:hint="eastAsia" w:ascii="宋体" w:hAnsi="宋体" w:cs="Arial"/>
          <w:szCs w:val="21"/>
        </w:rPr>
        <w:t>）：多用于观察指标单位不同时，或均数相差较大时，它实质上是一个相对变异指标。计算公式：</w:t>
      </w:r>
      <w:r>
        <w:rPr>
          <w:rFonts w:ascii="宋体" w:hAnsi="宋体" w:cs="Arial"/>
          <w:szCs w:val="21"/>
        </w:rPr>
        <w:t>CV=</w:t>
      </w:r>
      <w:r>
        <w:rPr>
          <w:rFonts w:ascii="宋体" w:hAnsi="宋体" w:cs="Arial"/>
          <w:position w:val="-26"/>
          <w:szCs w:val="21"/>
        </w:rPr>
        <w:object>
          <v:shape id="_x0000_i1027" o:spt="75" type="#_x0000_t75" style="height:30.25pt;width:12pt;" o:ole="t" filled="f" o:preferrelative="t" stroked="f" coordsize="21600,21600">
            <v:path/>
            <v:fill on="f" focussize="0,0"/>
            <v:stroke on="f" joinstyle="miter"/>
            <v:imagedata r:id="rId14" o:title=""/>
            <o:lock v:ext="edit" aspectratio="t"/>
            <w10:wrap type="none"/>
            <w10:anchorlock/>
          </v:shape>
          <o:OLEObject Type="Embed" ProgID="Equation.3" ShapeID="_x0000_i1027" DrawAspect="Content" ObjectID="_1468075727" r:id="rId13">
            <o:LockedField>false</o:LockedField>
          </o:OLEObject>
        </w:object>
      </w:r>
      <w:r>
        <w:rPr>
          <w:rFonts w:hint="eastAsia" w:ascii="宋体" w:hAnsi="宋体" w:cs="Arial"/>
          <w:szCs w:val="21"/>
        </w:rPr>
        <w:t>×</w:t>
      </w:r>
      <w:r>
        <w:rPr>
          <w:rFonts w:ascii="宋体" w:hAnsi="宋体" w:cs="Arial"/>
          <w:szCs w:val="21"/>
        </w:rPr>
        <w:t>100</w:t>
      </w:r>
      <w:r>
        <w:rPr>
          <w:rFonts w:hint="eastAsia" w:ascii="宋体" w:hAnsi="宋体" w:cs="Arial"/>
          <w:szCs w:val="21"/>
        </w:rPr>
        <w:t>﹪</w:t>
      </w:r>
      <w:r>
        <w:rPr>
          <w:rFonts w:ascii="宋体" w:hAnsi="宋体" w:cs="Arial"/>
          <w:szCs w:val="21"/>
        </w:rPr>
        <w:t>(S</w:t>
      </w:r>
      <w:r>
        <w:rPr>
          <w:rFonts w:hint="eastAsia" w:ascii="宋体" w:hAnsi="宋体" w:cs="Arial"/>
          <w:szCs w:val="21"/>
        </w:rPr>
        <w:t>代表标准差，</w:t>
      </w:r>
      <w:r>
        <w:rPr>
          <w:rFonts w:ascii="宋体" w:hAnsi="宋体" w:cs="Arial"/>
          <w:position w:val="-6"/>
          <w:szCs w:val="21"/>
        </w:rPr>
        <w:object>
          <v:shape id="_x0000_i1028" o:spt="75" type="#_x0000_t75" style="height:18.25pt;width:12pt;" o:ole="t" filled="f" o:preferrelative="t" stroked="f" coordsize="21600,21600">
            <v:path/>
            <v:fill on="f" focussize="0,0"/>
            <v:stroke on="f" joinstyle="miter"/>
            <v:imagedata r:id="rId16" o:title=""/>
            <o:lock v:ext="edit" aspectratio="t"/>
            <w10:wrap type="none"/>
            <w10:anchorlock/>
          </v:shape>
          <o:OLEObject Type="Embed" ProgID="Equation.3" ShapeID="_x0000_i1028" DrawAspect="Content" ObjectID="_1468075728" r:id="rId15">
            <o:LockedField>false</o:LockedField>
          </o:OLEObject>
        </w:object>
      </w:r>
      <w:r>
        <w:rPr>
          <w:rFonts w:hint="eastAsia" w:ascii="宋体" w:hAnsi="宋体" w:cs="Arial"/>
          <w:szCs w:val="21"/>
        </w:rPr>
        <w:t>代表均数</w:t>
      </w:r>
      <w:r>
        <w:rPr>
          <w:rFonts w:ascii="宋体" w:hAnsi="宋体" w:cs="Arial"/>
          <w:szCs w:val="21"/>
        </w:rPr>
        <w:t>)</w:t>
      </w:r>
    </w:p>
    <w:p w14:paraId="7F61E299">
      <w:pPr>
        <w:spacing w:line="360" w:lineRule="auto"/>
        <w:rPr>
          <w:rFonts w:ascii="宋体" w:hAnsi="宋体" w:cs="Arial"/>
          <w:szCs w:val="21"/>
        </w:rPr>
      </w:pPr>
      <w:r>
        <w:rPr>
          <w:rFonts w:hint="eastAsia" w:ascii="宋体" w:hAnsi="宋体"/>
          <w:szCs w:val="21"/>
        </w:rPr>
        <w:t>（5）标准差（</w:t>
      </w:r>
      <w:r>
        <w:rPr>
          <w:rFonts w:hint="eastAsia" w:ascii="宋体" w:hAnsi="宋体" w:cs="宋体"/>
          <w:b/>
          <w:szCs w:val="21"/>
        </w:rPr>
        <w:t>S</w:t>
      </w:r>
      <w:r>
        <w:rPr>
          <w:rFonts w:hint="eastAsia" w:ascii="宋体" w:hAnsi="宋体"/>
          <w:szCs w:val="21"/>
        </w:rPr>
        <w:t>）：是方差的正平方根，其量纲与原变量值相同。方差也称均方差，反映一组数据的平均离散水平。计算公式如下：</w:t>
      </w:r>
    </w:p>
    <w:p w14:paraId="5ABA4105">
      <w:pPr>
        <w:spacing w:line="360" w:lineRule="auto"/>
        <w:ind w:firstLine="420" w:firstLineChars="200"/>
        <w:rPr>
          <w:rFonts w:ascii="宋体" w:hAnsi="宋体" w:cs="Arial"/>
          <w:szCs w:val="21"/>
        </w:rPr>
      </w:pPr>
      <w:r>
        <w:rPr>
          <w:rFonts w:hint="eastAsia" w:ascii="宋体" w:hAnsi="宋体" w:cs="Arial"/>
          <w:szCs w:val="21"/>
        </w:rPr>
        <w:t xml:space="preserve">    </w:t>
      </w:r>
      <w:r>
        <w:rPr>
          <w:rFonts w:ascii="宋体" w:hAnsi="宋体" w:cs="Arial"/>
          <w:szCs w:val="21"/>
          <w:lang w:eastAsia="zh-Hans"/>
        </w:rPr>
        <w:fldChar w:fldCharType="begin"/>
      </w:r>
      <w:r>
        <w:rPr>
          <w:rFonts w:ascii="宋体" w:hAnsi="宋体" w:cs="Arial"/>
          <w:szCs w:val="21"/>
          <w:lang w:eastAsia="zh-Hans"/>
        </w:rPr>
        <w:instrText xml:space="preserve"> INCLUDEPICTURE  "http://www.yeec.com/uploadimages1/2008-9/20080929_004145__001_2800.jpg" \* MERGEFORMATINET </w:instrText>
      </w:r>
      <w:r>
        <w:rPr>
          <w:rFonts w:ascii="宋体" w:hAnsi="宋体" w:cs="Arial"/>
          <w:szCs w:val="21"/>
          <w:lang w:eastAsia="zh-Hans"/>
        </w:rPr>
        <w:fldChar w:fldCharType="separate"/>
      </w:r>
      <w:r>
        <w:rPr>
          <w:rFonts w:ascii="宋体" w:hAnsi="宋体" w:cs="Arial"/>
          <w:szCs w:val="21"/>
        </w:rPr>
        <w:drawing>
          <wp:inline distT="0" distB="0" distL="114300" distR="114300">
            <wp:extent cx="1828800" cy="676910"/>
            <wp:effectExtent l="0" t="0" r="0" b="8890"/>
            <wp:docPr id="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pic:cNvPicPr>
                      <a:picLocks noChangeAspect="1"/>
                    </pic:cNvPicPr>
                  </pic:nvPicPr>
                  <pic:blipFill>
                    <a:blip r:embed="rId17"/>
                    <a:stretch>
                      <a:fillRect/>
                    </a:stretch>
                  </pic:blipFill>
                  <pic:spPr>
                    <a:xfrm>
                      <a:off x="0" y="0"/>
                      <a:ext cx="1828800" cy="676910"/>
                    </a:xfrm>
                    <a:prstGeom prst="rect">
                      <a:avLst/>
                    </a:prstGeom>
                    <a:noFill/>
                    <a:ln>
                      <a:noFill/>
                    </a:ln>
                  </pic:spPr>
                </pic:pic>
              </a:graphicData>
            </a:graphic>
          </wp:inline>
        </w:drawing>
      </w:r>
      <w:r>
        <w:rPr>
          <w:rFonts w:ascii="宋体" w:hAnsi="宋体" w:cs="Arial"/>
          <w:szCs w:val="21"/>
          <w:lang w:eastAsia="zh-Hans"/>
        </w:rPr>
        <w:fldChar w:fldCharType="end"/>
      </w:r>
    </w:p>
    <w:p w14:paraId="4981CD01">
      <w:pPr>
        <w:spacing w:line="400" w:lineRule="exact"/>
        <w:ind w:firstLine="422" w:firstLineChars="200"/>
        <w:outlineLvl w:val="4"/>
        <w:rPr>
          <w:rFonts w:ascii="宋体" w:hAnsi="宋体"/>
          <w:b/>
          <w:szCs w:val="21"/>
        </w:rPr>
      </w:pPr>
      <w:r>
        <w:rPr>
          <w:rFonts w:hint="eastAsia" w:ascii="宋体" w:hAnsi="宋体"/>
          <w:b/>
          <w:szCs w:val="21"/>
        </w:rPr>
        <w:t>1.2统计结果处理方案</w:t>
      </w:r>
    </w:p>
    <w:p w14:paraId="4519B1C9">
      <w:pPr>
        <w:spacing w:line="400" w:lineRule="exact"/>
        <w:ind w:firstLine="420" w:firstLineChars="200"/>
        <w:rPr>
          <w:rFonts w:ascii="宋体" w:hAnsi="宋体"/>
          <w:b/>
          <w:szCs w:val="21"/>
        </w:rPr>
      </w:pPr>
      <w:r>
        <w:rPr>
          <w:rFonts w:hint="eastAsia" w:ascii="宋体" w:hAnsi="宋体" w:cs="黑体"/>
          <w:kern w:val="0"/>
          <w:szCs w:val="21"/>
        </w:rPr>
        <w:t>统计结果原则上保留超过</w:t>
      </w:r>
      <w:r>
        <w:rPr>
          <w:rFonts w:ascii="宋体" w:hAnsi="宋体" w:cs="黑体"/>
          <w:kern w:val="0"/>
          <w:szCs w:val="21"/>
        </w:rPr>
        <w:t>50%</w:t>
      </w:r>
      <w:r>
        <w:rPr>
          <w:rFonts w:hint="eastAsia" w:ascii="宋体" w:hAnsi="宋体" w:cs="黑体"/>
          <w:kern w:val="0"/>
          <w:szCs w:val="21"/>
        </w:rPr>
        <w:t>的专家认可的选项内容，即等级和大于答卷总数一半者，作为直接接受修改意见的条目选项。</w:t>
      </w:r>
    </w:p>
    <w:p w14:paraId="3CB6F1C6">
      <w:pPr>
        <w:autoSpaceDE w:val="0"/>
        <w:autoSpaceDN w:val="0"/>
        <w:adjustRightInd w:val="0"/>
        <w:spacing w:line="400" w:lineRule="exact"/>
        <w:ind w:firstLine="420" w:firstLineChars="200"/>
        <w:jc w:val="left"/>
        <w:rPr>
          <w:rFonts w:ascii="宋体" w:hAnsi="宋体" w:cs="黑体"/>
          <w:kern w:val="0"/>
          <w:szCs w:val="21"/>
        </w:rPr>
      </w:pPr>
      <w:r>
        <w:rPr>
          <w:rFonts w:hint="eastAsia" w:ascii="宋体" w:hAnsi="宋体" w:cs="黑体"/>
          <w:kern w:val="0"/>
          <w:szCs w:val="21"/>
        </w:rPr>
        <w:t>将等级和没有大于答卷总数一半的条目（尤其是有多个选项的条目较易于出现这种情况），如实记录每个条目各选项得分的均值数，准备提交专家论证会，作为需重点讨论的问题。</w:t>
      </w:r>
    </w:p>
    <w:p w14:paraId="22444CA5">
      <w:pPr>
        <w:autoSpaceDE w:val="0"/>
        <w:autoSpaceDN w:val="0"/>
        <w:adjustRightInd w:val="0"/>
        <w:spacing w:line="400" w:lineRule="exact"/>
        <w:ind w:firstLine="422" w:firstLineChars="200"/>
        <w:jc w:val="left"/>
        <w:outlineLvl w:val="3"/>
        <w:rPr>
          <w:rFonts w:ascii="宋体" w:hAnsi="宋体" w:cs="黑体"/>
          <w:b/>
          <w:bCs/>
          <w:kern w:val="0"/>
          <w:szCs w:val="21"/>
        </w:rPr>
      </w:pPr>
      <w:r>
        <w:rPr>
          <w:rFonts w:hint="eastAsia" w:ascii="宋体" w:hAnsi="宋体" w:cs="黑体"/>
          <w:b/>
          <w:bCs/>
          <w:kern w:val="0"/>
          <w:szCs w:val="21"/>
        </w:rPr>
        <w:t>2 问卷调查结果</w:t>
      </w:r>
    </w:p>
    <w:p w14:paraId="6D9FD7E5">
      <w:pPr>
        <w:widowControl/>
        <w:spacing w:line="400" w:lineRule="exact"/>
        <w:ind w:firstLine="422" w:firstLineChars="200"/>
        <w:rPr>
          <w:rFonts w:ascii="宋体" w:hAnsi="宋体"/>
          <w:b/>
          <w:bCs/>
          <w:szCs w:val="21"/>
        </w:rPr>
      </w:pPr>
      <w:r>
        <w:rPr>
          <w:rFonts w:ascii="宋体" w:hAnsi="宋体"/>
          <w:b/>
          <w:bCs/>
          <w:szCs w:val="21"/>
        </w:rPr>
        <w:t>2.1</w:t>
      </w:r>
      <w:r>
        <w:rPr>
          <w:rFonts w:hint="eastAsia" w:ascii="宋体" w:hAnsi="宋体"/>
          <w:b/>
          <w:bCs/>
          <w:szCs w:val="21"/>
        </w:rPr>
        <w:t xml:space="preserve"> </w:t>
      </w:r>
      <w:r>
        <w:rPr>
          <w:rFonts w:ascii="宋体" w:hAnsi="宋体"/>
          <w:b/>
          <w:bCs/>
          <w:szCs w:val="21"/>
        </w:rPr>
        <w:t>“得气”定义调查结果</w:t>
      </w:r>
    </w:p>
    <w:p w14:paraId="23BCAFCD">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1</w:t>
      </w:r>
      <w:r>
        <w:rPr>
          <w:rFonts w:ascii="宋体" w:hAnsi="宋体"/>
          <w:b/>
          <w:bCs/>
          <w:szCs w:val="21"/>
        </w:rPr>
        <w:t xml:space="preserve"> “得气”定义调查结果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15"/>
        <w:gridCol w:w="616"/>
        <w:gridCol w:w="816"/>
        <w:gridCol w:w="616"/>
        <w:gridCol w:w="916"/>
      </w:tblGrid>
      <w:tr w14:paraId="24CBF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63F7FF94">
            <w:pPr>
              <w:widowControl/>
              <w:spacing w:line="400" w:lineRule="exact"/>
              <w:jc w:val="center"/>
              <w:rPr>
                <w:rFonts w:ascii="宋体" w:hAnsi="宋体"/>
                <w:b/>
                <w:bCs/>
                <w:szCs w:val="21"/>
              </w:rPr>
            </w:pPr>
            <w:r>
              <w:rPr>
                <w:rFonts w:ascii="宋体" w:hAnsi="宋体"/>
                <w:b/>
                <w:bCs/>
                <w:szCs w:val="21"/>
              </w:rPr>
              <w:t>选项</w:t>
            </w:r>
          </w:p>
        </w:tc>
        <w:tc>
          <w:tcPr>
            <w:tcW w:w="0" w:type="auto"/>
            <w:tcBorders>
              <w:insideH w:val="single" w:sz="4" w:space="0"/>
            </w:tcBorders>
          </w:tcPr>
          <w:p w14:paraId="532D6DDB">
            <w:pPr>
              <w:widowControl/>
              <w:spacing w:line="400" w:lineRule="exact"/>
              <w:jc w:val="center"/>
              <w:rPr>
                <w:rFonts w:ascii="宋体" w:hAnsi="宋体"/>
                <w:b/>
                <w:bCs/>
                <w:szCs w:val="21"/>
              </w:rPr>
            </w:pPr>
            <w:r>
              <w:rPr>
                <w:rFonts w:ascii="宋体" w:hAnsi="宋体"/>
                <w:b/>
                <w:bCs/>
                <w:szCs w:val="21"/>
              </w:rPr>
              <w:object>
                <v:shape id="_x0000_i1029"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29" DrawAspect="Content" ObjectID="_1468075729" r:id="rId18">
                  <o:LockedField>false</o:LockedField>
                </o:OLEObject>
              </w:object>
            </w:r>
          </w:p>
        </w:tc>
        <w:tc>
          <w:tcPr>
            <w:tcW w:w="0" w:type="auto"/>
            <w:tcBorders>
              <w:insideH w:val="single" w:sz="4" w:space="0"/>
            </w:tcBorders>
          </w:tcPr>
          <w:p w14:paraId="618EF52B">
            <w:pPr>
              <w:widowControl/>
              <w:spacing w:line="400" w:lineRule="exact"/>
              <w:jc w:val="center"/>
              <w:rPr>
                <w:rFonts w:ascii="宋体" w:hAnsi="宋体"/>
                <w:b/>
                <w:bCs/>
                <w:szCs w:val="21"/>
              </w:rPr>
            </w:pPr>
            <w:r>
              <w:rPr>
                <w:rFonts w:ascii="宋体" w:hAnsi="宋体"/>
                <w:b/>
                <w:bCs/>
                <w:szCs w:val="21"/>
              </w:rPr>
              <w:t>R</w:t>
            </w:r>
          </w:p>
        </w:tc>
        <w:tc>
          <w:tcPr>
            <w:tcW w:w="0" w:type="auto"/>
            <w:tcBorders>
              <w:insideH w:val="single" w:sz="4" w:space="0"/>
            </w:tcBorders>
          </w:tcPr>
          <w:p w14:paraId="3E6FE18C">
            <w:pPr>
              <w:widowControl/>
              <w:spacing w:line="400" w:lineRule="exact"/>
              <w:jc w:val="center"/>
              <w:rPr>
                <w:rFonts w:ascii="宋体" w:hAnsi="宋体"/>
                <w:b/>
                <w:bCs/>
                <w:szCs w:val="21"/>
              </w:rPr>
            </w:pPr>
            <w:r>
              <w:rPr>
                <w:rFonts w:ascii="宋体" w:hAnsi="宋体"/>
                <w:b/>
                <w:bCs/>
                <w:szCs w:val="21"/>
              </w:rPr>
              <w:t>S</w:t>
            </w:r>
          </w:p>
        </w:tc>
        <w:tc>
          <w:tcPr>
            <w:tcW w:w="0" w:type="auto"/>
            <w:tcBorders>
              <w:insideH w:val="single" w:sz="4" w:space="0"/>
            </w:tcBorders>
          </w:tcPr>
          <w:p w14:paraId="03BA9B91">
            <w:pPr>
              <w:widowControl/>
              <w:spacing w:line="400" w:lineRule="exact"/>
              <w:jc w:val="center"/>
              <w:rPr>
                <w:rFonts w:ascii="宋体" w:hAnsi="宋体"/>
                <w:b/>
                <w:bCs/>
                <w:szCs w:val="21"/>
              </w:rPr>
            </w:pPr>
            <w:r>
              <w:rPr>
                <w:rFonts w:ascii="宋体" w:hAnsi="宋体"/>
                <w:b/>
                <w:bCs/>
                <w:szCs w:val="21"/>
              </w:rPr>
              <w:t>CV</w:t>
            </w:r>
          </w:p>
        </w:tc>
      </w:tr>
      <w:tr w14:paraId="4C788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39B49748">
            <w:pPr>
              <w:widowControl/>
              <w:spacing w:line="400" w:lineRule="exact"/>
              <w:rPr>
                <w:rFonts w:ascii="宋体" w:hAnsi="宋体"/>
                <w:szCs w:val="21"/>
              </w:rPr>
            </w:pPr>
            <w:r>
              <w:rPr>
                <w:rFonts w:ascii="宋体" w:hAnsi="宋体"/>
                <w:szCs w:val="21"/>
              </w:rPr>
              <w:t>A.毫针进针后在腧穴部位所产生的痠、麻、胀、重等感觉，称为得气，又称针感或针刺感应，表示经气已至针下。（出处：GB/T 21709.20-2009 针灸技术操作规范 第20部分：毫针基本刺法）</w:t>
            </w:r>
          </w:p>
        </w:tc>
        <w:tc>
          <w:tcPr>
            <w:tcW w:w="616" w:type="dxa"/>
            <w:shd w:val="clear" w:color="auto" w:fill="auto"/>
            <w:vAlign w:val="center"/>
          </w:tcPr>
          <w:p w14:paraId="733A77AE">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0.88 </w:t>
            </w:r>
          </w:p>
        </w:tc>
        <w:tc>
          <w:tcPr>
            <w:tcW w:w="816" w:type="dxa"/>
            <w:shd w:val="clear" w:color="auto" w:fill="auto"/>
            <w:vAlign w:val="center"/>
          </w:tcPr>
          <w:p w14:paraId="7C517B19">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11.76%</w:t>
            </w:r>
          </w:p>
        </w:tc>
        <w:tc>
          <w:tcPr>
            <w:tcW w:w="616" w:type="dxa"/>
            <w:shd w:val="clear" w:color="auto" w:fill="auto"/>
            <w:vAlign w:val="center"/>
          </w:tcPr>
          <w:p w14:paraId="12B4C5EA">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30</w:t>
            </w:r>
          </w:p>
        </w:tc>
        <w:tc>
          <w:tcPr>
            <w:tcW w:w="916" w:type="dxa"/>
            <w:shd w:val="clear" w:color="auto" w:fill="auto"/>
            <w:vAlign w:val="center"/>
          </w:tcPr>
          <w:p w14:paraId="6C50F6C9">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37.06%</w:t>
            </w:r>
          </w:p>
        </w:tc>
      </w:tr>
      <w:tr w14:paraId="44AE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4EA4A4CE">
            <w:pPr>
              <w:widowControl/>
              <w:spacing w:line="400" w:lineRule="exact"/>
              <w:rPr>
                <w:rFonts w:ascii="宋体" w:hAnsi="宋体"/>
                <w:szCs w:val="21"/>
              </w:rPr>
            </w:pPr>
            <w:r>
              <w:rPr>
                <w:rFonts w:ascii="宋体" w:hAnsi="宋体"/>
                <w:szCs w:val="21"/>
              </w:rPr>
              <w:t>B.沿用国家标准原文。</w:t>
            </w:r>
          </w:p>
        </w:tc>
        <w:tc>
          <w:tcPr>
            <w:tcW w:w="616" w:type="dxa"/>
            <w:shd w:val="clear" w:color="auto" w:fill="auto"/>
            <w:vAlign w:val="center"/>
          </w:tcPr>
          <w:p w14:paraId="28AAEA7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0.12 </w:t>
            </w:r>
          </w:p>
        </w:tc>
        <w:tc>
          <w:tcPr>
            <w:tcW w:w="816" w:type="dxa"/>
            <w:shd w:val="clear" w:color="auto" w:fill="auto"/>
            <w:vAlign w:val="center"/>
          </w:tcPr>
          <w:p w14:paraId="7195EBE9">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88.24%</w:t>
            </w:r>
          </w:p>
        </w:tc>
        <w:tc>
          <w:tcPr>
            <w:tcW w:w="616" w:type="dxa"/>
            <w:shd w:val="clear" w:color="auto" w:fill="auto"/>
            <w:vAlign w:val="center"/>
          </w:tcPr>
          <w:p w14:paraId="1D60D212">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4</w:t>
            </w:r>
          </w:p>
        </w:tc>
        <w:tc>
          <w:tcPr>
            <w:tcW w:w="916" w:type="dxa"/>
            <w:shd w:val="clear" w:color="auto" w:fill="auto"/>
            <w:vAlign w:val="center"/>
          </w:tcPr>
          <w:p w14:paraId="47EDDBD2">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277.98%</w:t>
            </w:r>
          </w:p>
        </w:tc>
      </w:tr>
    </w:tbl>
    <w:p w14:paraId="54F81D2B">
      <w:pPr>
        <w:widowControl/>
        <w:spacing w:line="400" w:lineRule="exact"/>
        <w:ind w:firstLine="422" w:firstLineChars="200"/>
        <w:rPr>
          <w:rFonts w:ascii="宋体" w:hAnsi="宋体"/>
          <w:b/>
          <w:bCs/>
          <w:szCs w:val="21"/>
        </w:rPr>
      </w:pPr>
      <w:r>
        <w:rPr>
          <w:rFonts w:ascii="宋体" w:hAnsi="宋体"/>
          <w:b/>
          <w:bCs/>
          <w:szCs w:val="21"/>
        </w:rPr>
        <w:t>2.</w:t>
      </w:r>
      <w:r>
        <w:rPr>
          <w:rFonts w:hint="eastAsia" w:ascii="宋体" w:hAnsi="宋体"/>
          <w:b/>
          <w:bCs/>
          <w:szCs w:val="21"/>
        </w:rPr>
        <w:t xml:space="preserve">2 </w:t>
      </w:r>
      <w:r>
        <w:rPr>
          <w:rFonts w:ascii="宋体" w:hAnsi="宋体"/>
          <w:b/>
          <w:bCs/>
          <w:szCs w:val="21"/>
        </w:rPr>
        <w:t>晕针”定义调查结果</w:t>
      </w:r>
    </w:p>
    <w:p w14:paraId="4DFA88C7">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2</w:t>
      </w:r>
      <w:r>
        <w:rPr>
          <w:rFonts w:ascii="宋体" w:hAnsi="宋体"/>
          <w:b/>
          <w:bCs/>
          <w:szCs w:val="21"/>
        </w:rPr>
        <w:t xml:space="preserve"> “晕针”定义调查结果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727A1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08BDF008">
            <w:pPr>
              <w:widowControl/>
              <w:spacing w:line="400" w:lineRule="exact"/>
              <w:jc w:val="center"/>
              <w:rPr>
                <w:rFonts w:ascii="宋体" w:hAnsi="宋体"/>
                <w:b/>
                <w:bCs/>
                <w:szCs w:val="21"/>
              </w:rPr>
            </w:pPr>
            <w:r>
              <w:rPr>
                <w:rFonts w:ascii="宋体" w:hAnsi="宋体"/>
                <w:b/>
                <w:bCs/>
                <w:szCs w:val="21"/>
              </w:rPr>
              <w:t>选项</w:t>
            </w:r>
          </w:p>
        </w:tc>
        <w:tc>
          <w:tcPr>
            <w:tcW w:w="0" w:type="auto"/>
            <w:tcBorders>
              <w:insideH w:val="single" w:sz="4" w:space="0"/>
            </w:tcBorders>
          </w:tcPr>
          <w:p w14:paraId="15F15E60">
            <w:pPr>
              <w:widowControl/>
              <w:spacing w:line="400" w:lineRule="exact"/>
              <w:jc w:val="center"/>
              <w:rPr>
                <w:rFonts w:ascii="宋体" w:hAnsi="宋体"/>
                <w:b/>
                <w:bCs/>
                <w:szCs w:val="21"/>
              </w:rPr>
            </w:pPr>
            <w:r>
              <w:rPr>
                <w:rFonts w:ascii="宋体" w:hAnsi="宋体"/>
                <w:b/>
                <w:bCs/>
                <w:szCs w:val="21"/>
              </w:rPr>
              <w:object>
                <v:shape id="_x0000_i1030"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30" DrawAspect="Content" ObjectID="_1468075730" r:id="rId19">
                  <o:LockedField>false</o:LockedField>
                </o:OLEObject>
              </w:object>
            </w:r>
          </w:p>
        </w:tc>
        <w:tc>
          <w:tcPr>
            <w:tcW w:w="0" w:type="auto"/>
            <w:tcBorders>
              <w:insideH w:val="single" w:sz="4" w:space="0"/>
            </w:tcBorders>
          </w:tcPr>
          <w:p w14:paraId="3D12B12C">
            <w:pPr>
              <w:widowControl/>
              <w:spacing w:line="400" w:lineRule="exact"/>
              <w:jc w:val="center"/>
              <w:rPr>
                <w:rFonts w:ascii="宋体" w:hAnsi="宋体"/>
                <w:b/>
                <w:bCs/>
                <w:szCs w:val="21"/>
              </w:rPr>
            </w:pPr>
            <w:r>
              <w:rPr>
                <w:rFonts w:ascii="宋体" w:hAnsi="宋体"/>
                <w:b/>
                <w:bCs/>
                <w:szCs w:val="21"/>
              </w:rPr>
              <w:t>R</w:t>
            </w:r>
          </w:p>
        </w:tc>
        <w:tc>
          <w:tcPr>
            <w:tcW w:w="0" w:type="auto"/>
            <w:tcBorders>
              <w:insideH w:val="single" w:sz="4" w:space="0"/>
            </w:tcBorders>
          </w:tcPr>
          <w:p w14:paraId="7C539560">
            <w:pPr>
              <w:widowControl/>
              <w:spacing w:line="400" w:lineRule="exact"/>
              <w:jc w:val="center"/>
              <w:rPr>
                <w:rFonts w:ascii="宋体" w:hAnsi="宋体"/>
                <w:b/>
                <w:bCs/>
                <w:szCs w:val="21"/>
              </w:rPr>
            </w:pPr>
            <w:r>
              <w:rPr>
                <w:rFonts w:ascii="宋体" w:hAnsi="宋体"/>
                <w:b/>
                <w:bCs/>
                <w:szCs w:val="21"/>
              </w:rPr>
              <w:t>S</w:t>
            </w:r>
          </w:p>
        </w:tc>
        <w:tc>
          <w:tcPr>
            <w:tcW w:w="0" w:type="auto"/>
            <w:tcBorders>
              <w:insideH w:val="single" w:sz="4" w:space="0"/>
            </w:tcBorders>
          </w:tcPr>
          <w:p w14:paraId="3CA953C8">
            <w:pPr>
              <w:widowControl/>
              <w:spacing w:line="400" w:lineRule="exact"/>
              <w:jc w:val="center"/>
              <w:rPr>
                <w:rFonts w:ascii="宋体" w:hAnsi="宋体"/>
                <w:b/>
                <w:bCs/>
                <w:szCs w:val="21"/>
              </w:rPr>
            </w:pPr>
            <w:r>
              <w:rPr>
                <w:rFonts w:ascii="宋体" w:hAnsi="宋体"/>
                <w:b/>
                <w:bCs/>
                <w:szCs w:val="21"/>
              </w:rPr>
              <w:t>CV</w:t>
            </w:r>
          </w:p>
        </w:tc>
      </w:tr>
      <w:tr w14:paraId="521B8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5998D426">
            <w:pPr>
              <w:widowControl/>
              <w:spacing w:line="400" w:lineRule="exact"/>
              <w:rPr>
                <w:rFonts w:ascii="宋体" w:hAnsi="宋体"/>
                <w:szCs w:val="21"/>
              </w:rPr>
            </w:pPr>
            <w:r>
              <w:rPr>
                <w:rFonts w:ascii="宋体" w:hAnsi="宋体"/>
                <w:szCs w:val="21"/>
              </w:rPr>
              <w:t>A.晕针  在针刺过程中，患者突然出现头晕目眩、面色苍白、心慌气短、倦怠乏力、恶心欲呕、身出冷汗，甚至晕厥的现象。（出处：GB/T 33415-2016 针灸异常情况处理）</w:t>
            </w:r>
          </w:p>
        </w:tc>
        <w:tc>
          <w:tcPr>
            <w:tcW w:w="0" w:type="auto"/>
            <w:shd w:val="clear" w:color="auto" w:fill="auto"/>
            <w:vAlign w:val="center"/>
          </w:tcPr>
          <w:p w14:paraId="06B6807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0.62 </w:t>
            </w:r>
          </w:p>
        </w:tc>
        <w:tc>
          <w:tcPr>
            <w:tcW w:w="0" w:type="auto"/>
            <w:shd w:val="clear" w:color="auto" w:fill="auto"/>
            <w:vAlign w:val="center"/>
          </w:tcPr>
          <w:p w14:paraId="6DF923B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38.24%</w:t>
            </w:r>
          </w:p>
        </w:tc>
        <w:tc>
          <w:tcPr>
            <w:tcW w:w="0" w:type="auto"/>
            <w:shd w:val="clear" w:color="auto" w:fill="auto"/>
            <w:vAlign w:val="center"/>
          </w:tcPr>
          <w:p w14:paraId="7AA4FDE6">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21</w:t>
            </w:r>
          </w:p>
        </w:tc>
        <w:tc>
          <w:tcPr>
            <w:tcW w:w="0" w:type="auto"/>
            <w:shd w:val="clear" w:color="auto" w:fill="auto"/>
            <w:vAlign w:val="center"/>
          </w:tcPr>
          <w:p w14:paraId="4A54D846">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79.86%</w:t>
            </w:r>
          </w:p>
        </w:tc>
      </w:tr>
      <w:tr w14:paraId="01E5B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16612977">
            <w:pPr>
              <w:widowControl/>
              <w:spacing w:line="400" w:lineRule="exact"/>
              <w:rPr>
                <w:rFonts w:ascii="宋体" w:hAnsi="宋体"/>
                <w:szCs w:val="21"/>
              </w:rPr>
            </w:pPr>
            <w:r>
              <w:rPr>
                <w:rFonts w:ascii="宋体" w:hAnsi="宋体"/>
                <w:szCs w:val="21"/>
              </w:rPr>
              <w:t>B.沿用国家标准原文。</w:t>
            </w:r>
          </w:p>
        </w:tc>
        <w:tc>
          <w:tcPr>
            <w:tcW w:w="0" w:type="auto"/>
            <w:shd w:val="clear" w:color="auto" w:fill="auto"/>
            <w:vAlign w:val="center"/>
          </w:tcPr>
          <w:p w14:paraId="66D42192">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0.38 </w:t>
            </w:r>
          </w:p>
        </w:tc>
        <w:tc>
          <w:tcPr>
            <w:tcW w:w="0" w:type="auto"/>
            <w:shd w:val="clear" w:color="auto" w:fill="auto"/>
            <w:vAlign w:val="center"/>
          </w:tcPr>
          <w:p w14:paraId="0787B7EB">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61.76%</w:t>
            </w:r>
          </w:p>
        </w:tc>
        <w:tc>
          <w:tcPr>
            <w:tcW w:w="0" w:type="auto"/>
            <w:shd w:val="clear" w:color="auto" w:fill="auto"/>
            <w:vAlign w:val="center"/>
          </w:tcPr>
          <w:p w14:paraId="28C3F65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13</w:t>
            </w:r>
          </w:p>
        </w:tc>
        <w:tc>
          <w:tcPr>
            <w:tcW w:w="0" w:type="auto"/>
            <w:shd w:val="clear" w:color="auto" w:fill="auto"/>
            <w:vAlign w:val="center"/>
          </w:tcPr>
          <w:p w14:paraId="49F2DEF9">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129.01%</w:t>
            </w:r>
          </w:p>
        </w:tc>
      </w:tr>
    </w:tbl>
    <w:p w14:paraId="0F5ACC28">
      <w:pPr>
        <w:widowControl/>
        <w:spacing w:line="400" w:lineRule="exact"/>
        <w:ind w:firstLine="422" w:firstLineChars="200"/>
        <w:rPr>
          <w:rFonts w:ascii="宋体" w:hAnsi="宋体"/>
          <w:b/>
          <w:bCs/>
          <w:szCs w:val="21"/>
        </w:rPr>
      </w:pPr>
      <w:r>
        <w:rPr>
          <w:rFonts w:ascii="宋体" w:hAnsi="宋体"/>
          <w:b/>
          <w:bCs/>
          <w:szCs w:val="21"/>
        </w:rPr>
        <w:t>2.</w:t>
      </w:r>
      <w:r>
        <w:rPr>
          <w:rFonts w:hint="eastAsia" w:ascii="宋体" w:hAnsi="宋体"/>
          <w:b/>
          <w:bCs/>
          <w:szCs w:val="21"/>
        </w:rPr>
        <w:t>3</w:t>
      </w:r>
      <w:r>
        <w:rPr>
          <w:rFonts w:ascii="宋体" w:hAnsi="宋体"/>
          <w:b/>
          <w:bCs/>
          <w:szCs w:val="21"/>
        </w:rPr>
        <w:t xml:space="preserve"> 体位选择调查结果</w:t>
      </w:r>
    </w:p>
    <w:p w14:paraId="2087ECAB">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3</w:t>
      </w:r>
      <w:r>
        <w:rPr>
          <w:rFonts w:ascii="宋体" w:hAnsi="宋体"/>
          <w:b/>
          <w:bCs/>
          <w:szCs w:val="21"/>
        </w:rPr>
        <w:t xml:space="preserve"> 体位选择调查结果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5D1D3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4073B4B5">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16AA8AE7">
            <w:pPr>
              <w:widowControl/>
              <w:spacing w:line="400" w:lineRule="exact"/>
              <w:rPr>
                <w:rFonts w:ascii="宋体" w:hAnsi="宋体"/>
                <w:szCs w:val="21"/>
              </w:rPr>
            </w:pPr>
            <w:r>
              <w:rPr>
                <w:rFonts w:ascii="宋体" w:hAnsi="宋体"/>
                <w:szCs w:val="21"/>
              </w:rPr>
              <w:object>
                <v:shape id="_x0000_i1031"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31" DrawAspect="Content" ObjectID="_1468075731" r:id="rId20">
                  <o:LockedField>false</o:LockedField>
                </o:OLEObject>
              </w:object>
            </w:r>
          </w:p>
        </w:tc>
        <w:tc>
          <w:tcPr>
            <w:tcW w:w="0" w:type="auto"/>
            <w:tcBorders>
              <w:insideH w:val="single" w:sz="4" w:space="0"/>
            </w:tcBorders>
          </w:tcPr>
          <w:p w14:paraId="26F43142">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6B72FA29">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74A51916">
            <w:pPr>
              <w:widowControl/>
              <w:spacing w:line="400" w:lineRule="exact"/>
              <w:rPr>
                <w:rFonts w:ascii="宋体" w:hAnsi="宋体"/>
                <w:szCs w:val="21"/>
              </w:rPr>
            </w:pPr>
            <w:r>
              <w:rPr>
                <w:rFonts w:ascii="宋体" w:hAnsi="宋体"/>
                <w:szCs w:val="21"/>
              </w:rPr>
              <w:t>CV</w:t>
            </w:r>
          </w:p>
        </w:tc>
      </w:tr>
      <w:tr w14:paraId="0BDD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Pr>
          <w:p w14:paraId="62F5874C">
            <w:pPr>
              <w:widowControl/>
              <w:spacing w:line="400" w:lineRule="exact"/>
              <w:rPr>
                <w:rFonts w:ascii="宋体" w:hAnsi="宋体"/>
                <w:szCs w:val="21"/>
              </w:rPr>
            </w:pPr>
            <w:r>
              <w:rPr>
                <w:rFonts w:ascii="宋体" w:hAnsi="宋体"/>
                <w:szCs w:val="21"/>
              </w:rPr>
              <w:t>A.针刺时对患者体位的选择，应以术者能够正确取穴、施术方便、患者在留针和行针时感到舒适为原则，患者常用的体位有卧位和坐位。</w:t>
            </w:r>
          </w:p>
        </w:tc>
        <w:tc>
          <w:tcPr>
            <w:tcW w:w="0" w:type="auto"/>
            <w:shd w:val="clear" w:color="auto" w:fill="auto"/>
            <w:vAlign w:val="center"/>
          </w:tcPr>
          <w:p w14:paraId="0F476DB4">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0.56 </w:t>
            </w:r>
          </w:p>
        </w:tc>
        <w:tc>
          <w:tcPr>
            <w:tcW w:w="0" w:type="auto"/>
            <w:shd w:val="clear" w:color="auto" w:fill="auto"/>
            <w:vAlign w:val="center"/>
          </w:tcPr>
          <w:p w14:paraId="6802E7B8">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44.12%</w:t>
            </w:r>
          </w:p>
        </w:tc>
        <w:tc>
          <w:tcPr>
            <w:tcW w:w="0" w:type="auto"/>
            <w:shd w:val="clear" w:color="auto" w:fill="auto"/>
            <w:vAlign w:val="center"/>
          </w:tcPr>
          <w:p w14:paraId="1C6E9E7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19</w:t>
            </w:r>
          </w:p>
        </w:tc>
        <w:tc>
          <w:tcPr>
            <w:tcW w:w="0" w:type="auto"/>
            <w:shd w:val="clear" w:color="auto" w:fill="auto"/>
            <w:vAlign w:val="center"/>
          </w:tcPr>
          <w:p w14:paraId="07DE0AB1">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90.19%</w:t>
            </w:r>
          </w:p>
        </w:tc>
      </w:tr>
      <w:tr w14:paraId="18D46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04ABD308">
            <w:pPr>
              <w:widowControl/>
              <w:spacing w:line="400" w:lineRule="exact"/>
              <w:rPr>
                <w:rFonts w:ascii="宋体" w:hAnsi="宋体"/>
                <w:szCs w:val="21"/>
              </w:rPr>
            </w:pPr>
            <w:r>
              <w:rPr>
                <w:rFonts w:ascii="宋体" w:hAnsi="宋体"/>
                <w:szCs w:val="21"/>
              </w:rPr>
              <w:t>B.沿用国家标准原文。</w:t>
            </w:r>
          </w:p>
        </w:tc>
        <w:tc>
          <w:tcPr>
            <w:tcW w:w="0" w:type="auto"/>
            <w:shd w:val="clear" w:color="auto" w:fill="auto"/>
            <w:vAlign w:val="center"/>
          </w:tcPr>
          <w:p w14:paraId="268B62D4">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0.44 </w:t>
            </w:r>
          </w:p>
        </w:tc>
        <w:tc>
          <w:tcPr>
            <w:tcW w:w="0" w:type="auto"/>
            <w:shd w:val="clear" w:color="auto" w:fill="auto"/>
            <w:vAlign w:val="center"/>
          </w:tcPr>
          <w:p w14:paraId="3589C42F">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55.88%</w:t>
            </w:r>
          </w:p>
        </w:tc>
        <w:tc>
          <w:tcPr>
            <w:tcW w:w="0" w:type="auto"/>
            <w:shd w:val="clear" w:color="auto" w:fill="auto"/>
            <w:vAlign w:val="center"/>
          </w:tcPr>
          <w:p w14:paraId="639CCB5D">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15</w:t>
            </w:r>
          </w:p>
        </w:tc>
        <w:tc>
          <w:tcPr>
            <w:tcW w:w="0" w:type="auto"/>
            <w:shd w:val="clear" w:color="auto" w:fill="auto"/>
            <w:vAlign w:val="center"/>
          </w:tcPr>
          <w:p w14:paraId="394D478E">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114.24%</w:t>
            </w:r>
          </w:p>
        </w:tc>
      </w:tr>
    </w:tbl>
    <w:p w14:paraId="6A31A6FF">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4</w:t>
      </w:r>
      <w:r>
        <w:rPr>
          <w:rFonts w:ascii="宋体" w:hAnsi="宋体"/>
          <w:b/>
          <w:bCs/>
          <w:szCs w:val="21"/>
        </w:rPr>
        <w:t xml:space="preserve"> “夹持进针法”定义调查结果</w:t>
      </w:r>
    </w:p>
    <w:p w14:paraId="74F435A7">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4</w:t>
      </w:r>
      <w:r>
        <w:rPr>
          <w:rFonts w:ascii="宋体" w:hAnsi="宋体"/>
          <w:b/>
          <w:bCs/>
          <w:szCs w:val="21"/>
        </w:rPr>
        <w:t xml:space="preserve"> “夹持进针法”定义调查结果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3BDAF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0" w:type="auto"/>
            <w:tcBorders>
              <w:insideH w:val="single" w:sz="4" w:space="0"/>
            </w:tcBorders>
          </w:tcPr>
          <w:p w14:paraId="52C8315A">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49D1E8CF">
            <w:pPr>
              <w:widowControl/>
              <w:spacing w:line="400" w:lineRule="exact"/>
              <w:rPr>
                <w:rFonts w:ascii="宋体" w:hAnsi="宋体"/>
                <w:szCs w:val="21"/>
              </w:rPr>
            </w:pPr>
            <w:r>
              <w:rPr>
                <w:rFonts w:ascii="宋体" w:hAnsi="宋体"/>
                <w:szCs w:val="21"/>
              </w:rPr>
              <w:object>
                <v:shape id="_x0000_i1032"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32" DrawAspect="Content" ObjectID="_1468075732" r:id="rId21">
                  <o:LockedField>false</o:LockedField>
                </o:OLEObject>
              </w:object>
            </w:r>
          </w:p>
        </w:tc>
        <w:tc>
          <w:tcPr>
            <w:tcW w:w="0" w:type="auto"/>
            <w:tcBorders>
              <w:insideH w:val="single" w:sz="4" w:space="0"/>
            </w:tcBorders>
          </w:tcPr>
          <w:p w14:paraId="14A948A9">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648DE79A">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760A7A7A">
            <w:pPr>
              <w:widowControl/>
              <w:spacing w:line="400" w:lineRule="exact"/>
              <w:rPr>
                <w:rFonts w:ascii="宋体" w:hAnsi="宋体"/>
                <w:szCs w:val="21"/>
              </w:rPr>
            </w:pPr>
            <w:r>
              <w:rPr>
                <w:rFonts w:ascii="宋体" w:hAnsi="宋体"/>
                <w:szCs w:val="21"/>
              </w:rPr>
              <w:t>CV</w:t>
            </w:r>
          </w:p>
        </w:tc>
      </w:tr>
      <w:tr w14:paraId="06C50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78552761">
            <w:pPr>
              <w:widowControl/>
              <w:spacing w:line="400" w:lineRule="exact"/>
              <w:rPr>
                <w:rFonts w:ascii="宋体" w:hAnsi="宋体"/>
                <w:szCs w:val="21"/>
              </w:rPr>
            </w:pPr>
            <w:r>
              <w:rPr>
                <w:rFonts w:ascii="宋体" w:hAnsi="宋体"/>
                <w:szCs w:val="21"/>
              </w:rPr>
              <w:t>A.夹持进针法 押手拇、</w:t>
            </w:r>
            <w:r>
              <w:rPr>
                <w:rFonts w:hint="eastAsia"/>
                <w:color w:val="000000" w:themeColor="text1"/>
                <w:lang w:val="en-US" w:eastAsia="zh-CN"/>
                <w14:textFill>
                  <w14:solidFill>
                    <w14:schemeClr w14:val="tx1"/>
                  </w14:solidFill>
                </w14:textFill>
              </w:rPr>
              <w:t>示</w:t>
            </w:r>
            <w:r>
              <w:rPr>
                <w:rFonts w:ascii="宋体" w:hAnsi="宋体"/>
                <w:szCs w:val="21"/>
              </w:rPr>
              <w:t>二指持消毒干棉球，裹于针体下端，露出针尖，使针尖接触腧穴，刺手持针柄，刺手、押手同时用力，将针刺入。用于较长毫针进针。</w:t>
            </w:r>
          </w:p>
        </w:tc>
        <w:tc>
          <w:tcPr>
            <w:tcW w:w="0" w:type="auto"/>
            <w:shd w:val="clear" w:color="auto" w:fill="auto"/>
            <w:vAlign w:val="center"/>
          </w:tcPr>
          <w:p w14:paraId="15B61B1F">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0.48 </w:t>
            </w:r>
          </w:p>
        </w:tc>
        <w:tc>
          <w:tcPr>
            <w:tcW w:w="0" w:type="auto"/>
            <w:shd w:val="clear" w:color="auto" w:fill="auto"/>
            <w:vAlign w:val="center"/>
          </w:tcPr>
          <w:p w14:paraId="1BC7A3F6">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50.00%</w:t>
            </w:r>
          </w:p>
        </w:tc>
        <w:tc>
          <w:tcPr>
            <w:tcW w:w="0" w:type="auto"/>
            <w:shd w:val="clear" w:color="auto" w:fill="auto"/>
            <w:vAlign w:val="center"/>
          </w:tcPr>
          <w:p w14:paraId="49D3726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16</w:t>
            </w:r>
          </w:p>
        </w:tc>
        <w:tc>
          <w:tcPr>
            <w:tcW w:w="0" w:type="auto"/>
            <w:shd w:val="clear" w:color="auto" w:fill="auto"/>
            <w:vAlign w:val="center"/>
          </w:tcPr>
          <w:p w14:paraId="2688D637">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104.49%</w:t>
            </w:r>
          </w:p>
        </w:tc>
      </w:tr>
      <w:tr w14:paraId="525FE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67CA03B9">
            <w:pPr>
              <w:widowControl/>
              <w:spacing w:line="400" w:lineRule="exact"/>
              <w:rPr>
                <w:rFonts w:ascii="宋体" w:hAnsi="宋体"/>
                <w:szCs w:val="21"/>
              </w:rPr>
            </w:pPr>
            <w:r>
              <w:rPr>
                <w:rFonts w:ascii="宋体" w:hAnsi="宋体"/>
                <w:szCs w:val="21"/>
              </w:rPr>
              <w:t>B.沿用国家标准原文。</w:t>
            </w:r>
          </w:p>
        </w:tc>
        <w:tc>
          <w:tcPr>
            <w:tcW w:w="0" w:type="auto"/>
            <w:shd w:val="clear" w:color="auto" w:fill="auto"/>
            <w:vAlign w:val="center"/>
          </w:tcPr>
          <w:p w14:paraId="2FAC7538">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0.52 </w:t>
            </w:r>
          </w:p>
        </w:tc>
        <w:tc>
          <w:tcPr>
            <w:tcW w:w="0" w:type="auto"/>
            <w:shd w:val="clear" w:color="auto" w:fill="auto"/>
            <w:vAlign w:val="center"/>
          </w:tcPr>
          <w:p w14:paraId="2AF18162">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47.06%</w:t>
            </w:r>
          </w:p>
        </w:tc>
        <w:tc>
          <w:tcPr>
            <w:tcW w:w="0" w:type="auto"/>
            <w:shd w:val="clear" w:color="auto" w:fill="auto"/>
            <w:vAlign w:val="center"/>
          </w:tcPr>
          <w:p w14:paraId="26A96C9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17</w:t>
            </w:r>
          </w:p>
        </w:tc>
        <w:tc>
          <w:tcPr>
            <w:tcW w:w="0" w:type="auto"/>
            <w:shd w:val="clear" w:color="auto" w:fill="auto"/>
            <w:vAlign w:val="center"/>
          </w:tcPr>
          <w:p w14:paraId="325D24DE">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98.52%</w:t>
            </w:r>
          </w:p>
        </w:tc>
      </w:tr>
    </w:tbl>
    <w:p w14:paraId="145CD099">
      <w:pPr>
        <w:widowControl/>
        <w:spacing w:line="400" w:lineRule="exact"/>
        <w:ind w:firstLine="422" w:firstLineChars="200"/>
        <w:rPr>
          <w:rFonts w:ascii="宋体" w:hAnsi="宋体"/>
          <w:szCs w:val="21"/>
        </w:rPr>
      </w:pPr>
      <w:r>
        <w:rPr>
          <w:rFonts w:hint="eastAsia" w:ascii="宋体" w:hAnsi="宋体"/>
          <w:b/>
          <w:bCs/>
          <w:szCs w:val="21"/>
        </w:rPr>
        <w:t>2.5</w:t>
      </w:r>
      <w:r>
        <w:rPr>
          <w:rFonts w:ascii="宋体" w:hAnsi="宋体"/>
          <w:b/>
          <w:bCs/>
          <w:szCs w:val="21"/>
        </w:rPr>
        <w:t xml:space="preserve"> </w:t>
      </w:r>
      <w:r>
        <w:rPr>
          <w:rFonts w:hint="eastAsia" w:ascii="宋体" w:hAnsi="宋体"/>
          <w:b/>
          <w:bCs/>
          <w:szCs w:val="21"/>
        </w:rPr>
        <w:t>“</w:t>
      </w:r>
      <w:r>
        <w:rPr>
          <w:rFonts w:ascii="宋体" w:hAnsi="宋体"/>
          <w:b/>
          <w:bCs/>
          <w:szCs w:val="21"/>
        </w:rPr>
        <w:t>舒张进针法”定义调查结果</w:t>
      </w:r>
    </w:p>
    <w:p w14:paraId="6E58E956">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5</w:t>
      </w:r>
      <w:r>
        <w:rPr>
          <w:rFonts w:ascii="宋体" w:hAnsi="宋体"/>
          <w:b/>
          <w:bCs/>
          <w:szCs w:val="21"/>
        </w:rPr>
        <w:t xml:space="preserve"> </w:t>
      </w:r>
      <w:r>
        <w:rPr>
          <w:rFonts w:hint="eastAsia" w:ascii="宋体" w:hAnsi="宋体"/>
          <w:b/>
          <w:bCs/>
          <w:szCs w:val="21"/>
        </w:rPr>
        <w:t>“</w:t>
      </w:r>
      <w:r>
        <w:rPr>
          <w:rFonts w:ascii="宋体" w:hAnsi="宋体"/>
          <w:b/>
          <w:bCs/>
          <w:szCs w:val="21"/>
        </w:rPr>
        <w:t>舒张进针法”定义调查结果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1E24F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4012147A">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145CB097">
            <w:pPr>
              <w:widowControl/>
              <w:spacing w:line="400" w:lineRule="exact"/>
              <w:rPr>
                <w:rFonts w:ascii="宋体" w:hAnsi="宋体"/>
                <w:szCs w:val="21"/>
              </w:rPr>
            </w:pPr>
            <w:r>
              <w:rPr>
                <w:rFonts w:ascii="宋体" w:hAnsi="宋体"/>
                <w:szCs w:val="21"/>
              </w:rPr>
              <w:object>
                <v:shape id="_x0000_i1033"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33" DrawAspect="Content" ObjectID="_1468075733" r:id="rId22">
                  <o:LockedField>false</o:LockedField>
                </o:OLEObject>
              </w:object>
            </w:r>
          </w:p>
        </w:tc>
        <w:tc>
          <w:tcPr>
            <w:tcW w:w="0" w:type="auto"/>
            <w:tcBorders>
              <w:insideH w:val="single" w:sz="4" w:space="0"/>
            </w:tcBorders>
          </w:tcPr>
          <w:p w14:paraId="52373454">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11A60697">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65FBED8E">
            <w:pPr>
              <w:widowControl/>
              <w:spacing w:line="400" w:lineRule="exact"/>
              <w:rPr>
                <w:rFonts w:ascii="宋体" w:hAnsi="宋体"/>
                <w:szCs w:val="21"/>
              </w:rPr>
            </w:pPr>
            <w:r>
              <w:rPr>
                <w:rFonts w:ascii="宋体" w:hAnsi="宋体"/>
                <w:szCs w:val="21"/>
              </w:rPr>
              <w:t>CV</w:t>
            </w:r>
          </w:p>
        </w:tc>
      </w:tr>
      <w:tr w14:paraId="0B8DD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0861C660">
            <w:pPr>
              <w:widowControl/>
              <w:spacing w:line="400" w:lineRule="exact"/>
              <w:rPr>
                <w:rFonts w:ascii="宋体" w:hAnsi="宋体"/>
                <w:szCs w:val="21"/>
              </w:rPr>
            </w:pPr>
            <w:r>
              <w:rPr>
                <w:rFonts w:ascii="宋体" w:hAnsi="宋体"/>
                <w:szCs w:val="21"/>
              </w:rPr>
              <w:t>A.舒张进针法  押手</w:t>
            </w:r>
            <w:r>
              <w:rPr>
                <w:rFonts w:hint="eastAsia"/>
                <w:color w:val="000000" w:themeColor="text1"/>
                <w:lang w:val="en-US" w:eastAsia="zh-CN"/>
                <w14:textFill>
                  <w14:solidFill>
                    <w14:schemeClr w14:val="tx1"/>
                  </w14:solidFill>
                </w14:textFill>
              </w:rPr>
              <w:t>示</w:t>
            </w:r>
            <w:r>
              <w:rPr>
                <w:rFonts w:ascii="宋体" w:hAnsi="宋体"/>
                <w:szCs w:val="21"/>
              </w:rPr>
              <w:t>、中指或拇、中指将所刺腧穴部位皮肤撑开绷紧，刺手持针刺入。用于皮肤较松软处进针。</w:t>
            </w:r>
          </w:p>
        </w:tc>
        <w:tc>
          <w:tcPr>
            <w:tcW w:w="0" w:type="auto"/>
            <w:shd w:val="clear" w:color="auto" w:fill="auto"/>
            <w:vAlign w:val="center"/>
          </w:tcPr>
          <w:p w14:paraId="3835C43A">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0.53 </w:t>
            </w:r>
          </w:p>
        </w:tc>
        <w:tc>
          <w:tcPr>
            <w:tcW w:w="0" w:type="auto"/>
            <w:shd w:val="clear" w:color="auto" w:fill="auto"/>
            <w:vAlign w:val="center"/>
          </w:tcPr>
          <w:p w14:paraId="1F09255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47.06%</w:t>
            </w:r>
          </w:p>
        </w:tc>
        <w:tc>
          <w:tcPr>
            <w:tcW w:w="0" w:type="auto"/>
            <w:shd w:val="clear" w:color="auto" w:fill="auto"/>
            <w:vAlign w:val="center"/>
          </w:tcPr>
          <w:p w14:paraId="491D38FB">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18</w:t>
            </w:r>
          </w:p>
        </w:tc>
        <w:tc>
          <w:tcPr>
            <w:tcW w:w="0" w:type="auto"/>
            <w:shd w:val="clear" w:color="auto" w:fill="auto"/>
            <w:vAlign w:val="center"/>
          </w:tcPr>
          <w:p w14:paraId="2DAC3FED">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95.70%</w:t>
            </w:r>
          </w:p>
        </w:tc>
      </w:tr>
      <w:tr w14:paraId="6898E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2CA5BD14">
            <w:pPr>
              <w:widowControl/>
              <w:spacing w:line="400" w:lineRule="exact"/>
              <w:rPr>
                <w:rFonts w:ascii="宋体" w:hAnsi="宋体"/>
                <w:szCs w:val="21"/>
              </w:rPr>
            </w:pPr>
            <w:r>
              <w:rPr>
                <w:rFonts w:ascii="宋体" w:hAnsi="宋体"/>
                <w:szCs w:val="21"/>
              </w:rPr>
              <w:t>B.沿用国家标准原文。</w:t>
            </w:r>
          </w:p>
        </w:tc>
        <w:tc>
          <w:tcPr>
            <w:tcW w:w="0" w:type="auto"/>
            <w:shd w:val="clear" w:color="auto" w:fill="auto"/>
            <w:vAlign w:val="center"/>
          </w:tcPr>
          <w:p w14:paraId="76E5D194">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0.47 </w:t>
            </w:r>
          </w:p>
        </w:tc>
        <w:tc>
          <w:tcPr>
            <w:tcW w:w="0" w:type="auto"/>
            <w:shd w:val="clear" w:color="auto" w:fill="auto"/>
            <w:vAlign w:val="center"/>
          </w:tcPr>
          <w:p w14:paraId="6D7770DA">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52.94%</w:t>
            </w:r>
          </w:p>
        </w:tc>
        <w:tc>
          <w:tcPr>
            <w:tcW w:w="0" w:type="auto"/>
            <w:shd w:val="clear" w:color="auto" w:fill="auto"/>
            <w:vAlign w:val="center"/>
          </w:tcPr>
          <w:p w14:paraId="51E9B1F8">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16</w:t>
            </w:r>
          </w:p>
        </w:tc>
        <w:tc>
          <w:tcPr>
            <w:tcW w:w="0" w:type="auto"/>
            <w:shd w:val="clear" w:color="auto" w:fill="auto"/>
            <w:vAlign w:val="center"/>
          </w:tcPr>
          <w:p w14:paraId="290567CB">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107.66%</w:t>
            </w:r>
          </w:p>
        </w:tc>
      </w:tr>
    </w:tbl>
    <w:p w14:paraId="03E8C8F0">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6</w:t>
      </w:r>
      <w:r>
        <w:rPr>
          <w:rFonts w:ascii="宋体" w:hAnsi="宋体"/>
          <w:b/>
          <w:bCs/>
          <w:szCs w:val="21"/>
        </w:rPr>
        <w:t xml:space="preserve"> “提捏进针法”定义调查结果</w:t>
      </w:r>
    </w:p>
    <w:p w14:paraId="2D11AB9F">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6</w:t>
      </w:r>
      <w:r>
        <w:rPr>
          <w:rFonts w:ascii="宋体" w:hAnsi="宋体"/>
          <w:b/>
          <w:bCs/>
          <w:szCs w:val="21"/>
        </w:rPr>
        <w:t xml:space="preserve"> “提捏进针法”定义调查结果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4E820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6CE9B80D">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0D8FF870">
            <w:pPr>
              <w:widowControl/>
              <w:spacing w:line="400" w:lineRule="exact"/>
              <w:rPr>
                <w:rFonts w:ascii="宋体" w:hAnsi="宋体"/>
                <w:szCs w:val="21"/>
              </w:rPr>
            </w:pPr>
            <w:r>
              <w:rPr>
                <w:rFonts w:ascii="宋体" w:hAnsi="宋体"/>
                <w:szCs w:val="21"/>
              </w:rPr>
              <w:object>
                <v:shape id="_x0000_i1034"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34" DrawAspect="Content" ObjectID="_1468075734" r:id="rId23">
                  <o:LockedField>false</o:LockedField>
                </o:OLEObject>
              </w:object>
            </w:r>
          </w:p>
        </w:tc>
        <w:tc>
          <w:tcPr>
            <w:tcW w:w="0" w:type="auto"/>
            <w:tcBorders>
              <w:insideH w:val="single" w:sz="4" w:space="0"/>
            </w:tcBorders>
          </w:tcPr>
          <w:p w14:paraId="70803C38">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561D4328">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419E2A8B">
            <w:pPr>
              <w:widowControl/>
              <w:spacing w:line="400" w:lineRule="exact"/>
              <w:rPr>
                <w:rFonts w:ascii="宋体" w:hAnsi="宋体"/>
                <w:szCs w:val="21"/>
              </w:rPr>
            </w:pPr>
            <w:r>
              <w:rPr>
                <w:rFonts w:ascii="宋体" w:hAnsi="宋体"/>
                <w:szCs w:val="21"/>
              </w:rPr>
              <w:t>CV</w:t>
            </w:r>
          </w:p>
        </w:tc>
      </w:tr>
      <w:tr w14:paraId="4F07C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139742EA">
            <w:pPr>
              <w:widowControl/>
              <w:spacing w:line="400" w:lineRule="exact"/>
              <w:rPr>
                <w:rFonts w:ascii="宋体" w:hAnsi="宋体"/>
                <w:szCs w:val="21"/>
              </w:rPr>
            </w:pPr>
            <w:r>
              <w:rPr>
                <w:rFonts w:ascii="宋体" w:hAnsi="宋体"/>
                <w:szCs w:val="21"/>
              </w:rPr>
              <w:t>A.提捏进针法  押手拇、</w:t>
            </w:r>
            <w:r>
              <w:rPr>
                <w:rFonts w:hint="eastAsia"/>
                <w:color w:val="000000" w:themeColor="text1"/>
                <w:lang w:val="en-US" w:eastAsia="zh-CN"/>
                <w14:textFill>
                  <w14:solidFill>
                    <w14:schemeClr w14:val="tx1"/>
                  </w14:solidFill>
                </w14:textFill>
              </w:rPr>
              <w:t>示</w:t>
            </w:r>
            <w:r>
              <w:rPr>
                <w:rFonts w:ascii="宋体" w:hAnsi="宋体"/>
                <w:szCs w:val="21"/>
              </w:rPr>
              <w:t>指将欲刺腧穴两旁的皮肤提捏起，刺手持针从提捏的腧穴上刺入。用于皮肉浅薄处进针。</w:t>
            </w:r>
          </w:p>
        </w:tc>
        <w:tc>
          <w:tcPr>
            <w:tcW w:w="0" w:type="auto"/>
            <w:shd w:val="clear" w:color="auto" w:fill="auto"/>
            <w:vAlign w:val="center"/>
          </w:tcPr>
          <w:p w14:paraId="2575D0B9">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0.53 </w:t>
            </w:r>
          </w:p>
        </w:tc>
        <w:tc>
          <w:tcPr>
            <w:tcW w:w="0" w:type="auto"/>
            <w:shd w:val="clear" w:color="auto" w:fill="auto"/>
            <w:vAlign w:val="center"/>
          </w:tcPr>
          <w:p w14:paraId="22DC3A5E">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47.06%</w:t>
            </w:r>
          </w:p>
        </w:tc>
        <w:tc>
          <w:tcPr>
            <w:tcW w:w="0" w:type="auto"/>
            <w:shd w:val="clear" w:color="auto" w:fill="auto"/>
            <w:vAlign w:val="center"/>
          </w:tcPr>
          <w:p w14:paraId="6FCC4B70">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18</w:t>
            </w:r>
          </w:p>
        </w:tc>
        <w:tc>
          <w:tcPr>
            <w:tcW w:w="0" w:type="auto"/>
            <w:shd w:val="clear" w:color="auto" w:fill="auto"/>
            <w:vAlign w:val="center"/>
          </w:tcPr>
          <w:p w14:paraId="411CF8E4">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95.70%</w:t>
            </w:r>
          </w:p>
        </w:tc>
      </w:tr>
      <w:tr w14:paraId="680D0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75DAA191">
            <w:pPr>
              <w:widowControl/>
              <w:spacing w:line="400" w:lineRule="exact"/>
              <w:rPr>
                <w:rFonts w:ascii="宋体" w:hAnsi="宋体"/>
                <w:szCs w:val="21"/>
              </w:rPr>
            </w:pPr>
            <w:r>
              <w:rPr>
                <w:rFonts w:ascii="宋体" w:hAnsi="宋体"/>
                <w:szCs w:val="21"/>
              </w:rPr>
              <w:t>B.沿用国家标准原文。</w:t>
            </w:r>
          </w:p>
        </w:tc>
        <w:tc>
          <w:tcPr>
            <w:tcW w:w="0" w:type="auto"/>
            <w:shd w:val="clear" w:color="auto" w:fill="auto"/>
            <w:vAlign w:val="center"/>
          </w:tcPr>
          <w:p w14:paraId="222096A7">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0.47 </w:t>
            </w:r>
          </w:p>
        </w:tc>
        <w:tc>
          <w:tcPr>
            <w:tcW w:w="0" w:type="auto"/>
            <w:shd w:val="clear" w:color="auto" w:fill="auto"/>
            <w:vAlign w:val="center"/>
          </w:tcPr>
          <w:p w14:paraId="366B3C00">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52.94%</w:t>
            </w:r>
          </w:p>
        </w:tc>
        <w:tc>
          <w:tcPr>
            <w:tcW w:w="0" w:type="auto"/>
            <w:shd w:val="clear" w:color="auto" w:fill="auto"/>
            <w:vAlign w:val="center"/>
          </w:tcPr>
          <w:p w14:paraId="41DA5466">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16</w:t>
            </w:r>
          </w:p>
        </w:tc>
        <w:tc>
          <w:tcPr>
            <w:tcW w:w="0" w:type="auto"/>
            <w:shd w:val="clear" w:color="auto" w:fill="auto"/>
            <w:vAlign w:val="center"/>
          </w:tcPr>
          <w:p w14:paraId="7103A97A">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107.66%</w:t>
            </w:r>
          </w:p>
        </w:tc>
      </w:tr>
    </w:tbl>
    <w:p w14:paraId="24B30040">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7</w:t>
      </w:r>
      <w:r>
        <w:rPr>
          <w:rFonts w:ascii="宋体" w:hAnsi="宋体"/>
          <w:b/>
          <w:bCs/>
          <w:szCs w:val="21"/>
        </w:rPr>
        <w:t xml:space="preserve"> </w:t>
      </w:r>
      <w:r>
        <w:rPr>
          <w:rFonts w:hint="eastAsia" w:ascii="宋体" w:hAnsi="宋体"/>
          <w:b/>
          <w:bCs/>
          <w:szCs w:val="21"/>
        </w:rPr>
        <w:t>“指切进针法”的命名和定义</w:t>
      </w:r>
      <w:r>
        <w:rPr>
          <w:rFonts w:ascii="宋体" w:hAnsi="宋体"/>
          <w:b/>
          <w:bCs/>
          <w:szCs w:val="21"/>
        </w:rPr>
        <w:t>调查结果</w:t>
      </w:r>
    </w:p>
    <w:p w14:paraId="30DF48C5">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7</w:t>
      </w:r>
      <w:r>
        <w:rPr>
          <w:rFonts w:ascii="宋体" w:hAnsi="宋体"/>
          <w:b/>
          <w:bCs/>
          <w:szCs w:val="21"/>
        </w:rPr>
        <w:t xml:space="preserve"> </w:t>
      </w:r>
      <w:r>
        <w:rPr>
          <w:rFonts w:hint="eastAsia" w:ascii="宋体" w:hAnsi="宋体"/>
          <w:b/>
          <w:bCs/>
          <w:szCs w:val="21"/>
        </w:rPr>
        <w:t>“指切进针法”的命名和定义</w:t>
      </w:r>
      <w:r>
        <w:rPr>
          <w:rFonts w:ascii="宋体" w:hAnsi="宋体"/>
          <w:b/>
          <w:bCs/>
          <w:szCs w:val="21"/>
        </w:rPr>
        <w:t>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63F53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0" w:type="auto"/>
            <w:tcBorders>
              <w:insideH w:val="single" w:sz="4" w:space="0"/>
            </w:tcBorders>
          </w:tcPr>
          <w:p w14:paraId="6DCFA4BD">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6769DEE4">
            <w:pPr>
              <w:widowControl/>
              <w:spacing w:line="400" w:lineRule="exact"/>
              <w:rPr>
                <w:rFonts w:ascii="宋体" w:hAnsi="宋体"/>
                <w:szCs w:val="21"/>
              </w:rPr>
            </w:pPr>
            <w:r>
              <w:rPr>
                <w:rFonts w:ascii="宋体" w:hAnsi="宋体"/>
                <w:szCs w:val="21"/>
              </w:rPr>
              <w:object>
                <v:shape id="_x0000_i1035"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35" DrawAspect="Content" ObjectID="_1468075735" r:id="rId24">
                  <o:LockedField>false</o:LockedField>
                </o:OLEObject>
              </w:object>
            </w:r>
          </w:p>
        </w:tc>
        <w:tc>
          <w:tcPr>
            <w:tcW w:w="0" w:type="auto"/>
            <w:tcBorders>
              <w:insideH w:val="single" w:sz="4" w:space="0"/>
            </w:tcBorders>
          </w:tcPr>
          <w:p w14:paraId="4D69ECE5">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7B7DC466">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46D5AE4C">
            <w:pPr>
              <w:widowControl/>
              <w:spacing w:line="400" w:lineRule="exact"/>
              <w:rPr>
                <w:rFonts w:ascii="宋体" w:hAnsi="宋体"/>
                <w:szCs w:val="21"/>
              </w:rPr>
            </w:pPr>
            <w:r>
              <w:rPr>
                <w:rFonts w:ascii="宋体" w:hAnsi="宋体"/>
                <w:szCs w:val="21"/>
              </w:rPr>
              <w:t>CV</w:t>
            </w:r>
          </w:p>
        </w:tc>
      </w:tr>
      <w:tr w14:paraId="3B394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11EF236E">
            <w:pPr>
              <w:widowControl/>
              <w:spacing w:line="400" w:lineRule="exact"/>
              <w:rPr>
                <w:rFonts w:ascii="宋体" w:hAnsi="宋体"/>
                <w:szCs w:val="21"/>
              </w:rPr>
            </w:pPr>
            <w:r>
              <w:rPr>
                <w:rFonts w:ascii="宋体" w:hAnsi="宋体"/>
                <w:szCs w:val="21"/>
              </w:rPr>
              <w:t>A.爪切进针法  押手拇指或</w:t>
            </w:r>
            <w:r>
              <w:rPr>
                <w:rFonts w:hint="eastAsia"/>
                <w:color w:val="000000" w:themeColor="text1"/>
                <w:lang w:val="en-US" w:eastAsia="zh-CN"/>
                <w14:textFill>
                  <w14:solidFill>
                    <w14:schemeClr w14:val="tx1"/>
                  </w14:solidFill>
                </w14:textFill>
              </w:rPr>
              <w:t>示</w:t>
            </w:r>
            <w:r>
              <w:rPr>
                <w:rFonts w:ascii="宋体" w:hAnsi="宋体"/>
                <w:szCs w:val="21"/>
              </w:rPr>
              <w:t>指的指甲掐切腧穴皮肤，刺手持针，针尖紧靠押手指甲缘迅速刺入。</w:t>
            </w:r>
          </w:p>
        </w:tc>
        <w:tc>
          <w:tcPr>
            <w:tcW w:w="0" w:type="auto"/>
            <w:shd w:val="clear" w:color="auto" w:fill="auto"/>
            <w:vAlign w:val="center"/>
          </w:tcPr>
          <w:p w14:paraId="2D4EF65F">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0.55 </w:t>
            </w:r>
          </w:p>
        </w:tc>
        <w:tc>
          <w:tcPr>
            <w:tcW w:w="0" w:type="auto"/>
            <w:shd w:val="clear" w:color="auto" w:fill="auto"/>
            <w:vAlign w:val="center"/>
          </w:tcPr>
          <w:p w14:paraId="51A91DB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44.12%</w:t>
            </w:r>
          </w:p>
        </w:tc>
        <w:tc>
          <w:tcPr>
            <w:tcW w:w="0" w:type="auto"/>
            <w:shd w:val="clear" w:color="auto" w:fill="auto"/>
            <w:vAlign w:val="center"/>
          </w:tcPr>
          <w:p w14:paraId="221120C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18</w:t>
            </w:r>
          </w:p>
        </w:tc>
        <w:tc>
          <w:tcPr>
            <w:tcW w:w="0" w:type="auto"/>
            <w:shd w:val="clear" w:color="auto" w:fill="auto"/>
            <w:vAlign w:val="center"/>
          </w:tcPr>
          <w:p w14:paraId="267154A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92.88%</w:t>
            </w:r>
          </w:p>
        </w:tc>
      </w:tr>
      <w:tr w14:paraId="700F2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40D4D3A2">
            <w:pPr>
              <w:widowControl/>
              <w:spacing w:line="400" w:lineRule="exact"/>
              <w:rPr>
                <w:rFonts w:ascii="宋体" w:hAnsi="宋体"/>
                <w:szCs w:val="21"/>
              </w:rPr>
            </w:pPr>
            <w:r>
              <w:rPr>
                <w:rFonts w:ascii="宋体" w:hAnsi="宋体"/>
                <w:szCs w:val="21"/>
              </w:rPr>
              <w:t>B.沿用国家标准原文。</w:t>
            </w:r>
          </w:p>
        </w:tc>
        <w:tc>
          <w:tcPr>
            <w:tcW w:w="0" w:type="auto"/>
            <w:shd w:val="clear" w:color="auto" w:fill="auto"/>
            <w:vAlign w:val="center"/>
          </w:tcPr>
          <w:p w14:paraId="1F2BF87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0.45 </w:t>
            </w:r>
          </w:p>
        </w:tc>
        <w:tc>
          <w:tcPr>
            <w:tcW w:w="0" w:type="auto"/>
            <w:shd w:val="clear" w:color="auto" w:fill="auto"/>
            <w:vAlign w:val="center"/>
          </w:tcPr>
          <w:p w14:paraId="5342473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52.94%</w:t>
            </w:r>
          </w:p>
        </w:tc>
        <w:tc>
          <w:tcPr>
            <w:tcW w:w="0" w:type="auto"/>
            <w:shd w:val="clear" w:color="auto" w:fill="auto"/>
            <w:vAlign w:val="center"/>
          </w:tcPr>
          <w:p w14:paraId="6489682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15</w:t>
            </w:r>
          </w:p>
        </w:tc>
        <w:tc>
          <w:tcPr>
            <w:tcW w:w="0" w:type="auto"/>
            <w:shd w:val="clear" w:color="auto" w:fill="auto"/>
            <w:vAlign w:val="center"/>
          </w:tcPr>
          <w:p w14:paraId="74D9EB79">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110.88%</w:t>
            </w:r>
          </w:p>
        </w:tc>
      </w:tr>
    </w:tbl>
    <w:p w14:paraId="1E20F775">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8</w:t>
      </w:r>
      <w:r>
        <w:rPr>
          <w:rFonts w:ascii="宋体" w:hAnsi="宋体"/>
          <w:b/>
          <w:bCs/>
          <w:szCs w:val="21"/>
        </w:rPr>
        <w:t xml:space="preserve"> “针管进针法”的命名和定义调查结果</w:t>
      </w:r>
    </w:p>
    <w:p w14:paraId="49A49AA3">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8</w:t>
      </w:r>
      <w:r>
        <w:rPr>
          <w:rFonts w:ascii="宋体" w:hAnsi="宋体"/>
          <w:b/>
          <w:bCs/>
          <w:szCs w:val="21"/>
        </w:rPr>
        <w:t xml:space="preserve"> “针管进针法”的命名和定义调查结果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657F1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0" w:type="auto"/>
            <w:tcBorders>
              <w:insideH w:val="single" w:sz="4" w:space="0"/>
            </w:tcBorders>
          </w:tcPr>
          <w:p w14:paraId="6E199C46">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25741F1D">
            <w:pPr>
              <w:widowControl/>
              <w:spacing w:line="400" w:lineRule="exact"/>
              <w:rPr>
                <w:rFonts w:ascii="宋体" w:hAnsi="宋体"/>
                <w:szCs w:val="21"/>
              </w:rPr>
            </w:pPr>
            <w:r>
              <w:rPr>
                <w:rFonts w:ascii="宋体" w:hAnsi="宋体"/>
                <w:szCs w:val="21"/>
              </w:rPr>
              <w:object>
                <v:shape id="_x0000_i1036"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36" DrawAspect="Content" ObjectID="_1468075736" r:id="rId25">
                  <o:LockedField>false</o:LockedField>
                </o:OLEObject>
              </w:object>
            </w:r>
          </w:p>
        </w:tc>
        <w:tc>
          <w:tcPr>
            <w:tcW w:w="0" w:type="auto"/>
            <w:tcBorders>
              <w:insideH w:val="single" w:sz="4" w:space="0"/>
            </w:tcBorders>
          </w:tcPr>
          <w:p w14:paraId="2CC149D8">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074B8759">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3B27194F">
            <w:pPr>
              <w:widowControl/>
              <w:spacing w:line="400" w:lineRule="exact"/>
              <w:rPr>
                <w:rFonts w:ascii="宋体" w:hAnsi="宋体"/>
                <w:szCs w:val="21"/>
              </w:rPr>
            </w:pPr>
            <w:r>
              <w:rPr>
                <w:rFonts w:ascii="宋体" w:hAnsi="宋体"/>
                <w:szCs w:val="21"/>
              </w:rPr>
              <w:t>CV</w:t>
            </w:r>
          </w:p>
        </w:tc>
      </w:tr>
      <w:tr w14:paraId="25323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5E090D55">
            <w:pPr>
              <w:widowControl/>
              <w:spacing w:line="400" w:lineRule="exact"/>
              <w:rPr>
                <w:rFonts w:ascii="宋体" w:hAnsi="宋体"/>
                <w:szCs w:val="21"/>
              </w:rPr>
            </w:pPr>
            <w:r>
              <w:rPr>
                <w:rFonts w:ascii="宋体" w:hAnsi="宋体"/>
                <w:szCs w:val="21"/>
              </w:rPr>
              <w:t>A.管针进针法  将针先插入用玻璃、塑料或金属制成的比针短7.5 mm（3分）的小针管内，触及腧穴表面皮肤；押手压紧针管，刺手</w:t>
            </w:r>
            <w:r>
              <w:rPr>
                <w:rFonts w:hint="eastAsia"/>
                <w:color w:val="000000" w:themeColor="text1"/>
                <w:lang w:val="en-US" w:eastAsia="zh-CN"/>
                <w14:textFill>
                  <w14:solidFill>
                    <w14:schemeClr w14:val="tx1"/>
                  </w14:solidFill>
                </w14:textFill>
              </w:rPr>
              <w:t>示</w:t>
            </w:r>
            <w:r>
              <w:rPr>
                <w:rFonts w:ascii="宋体" w:hAnsi="宋体"/>
                <w:szCs w:val="21"/>
              </w:rPr>
              <w:t>指对准针尾弹击，使针尖迅速刺入皮肤；然后将针管去掉，再将针刺入穴内。</w:t>
            </w:r>
          </w:p>
        </w:tc>
        <w:tc>
          <w:tcPr>
            <w:tcW w:w="0" w:type="auto"/>
            <w:shd w:val="clear" w:color="auto" w:fill="auto"/>
            <w:vAlign w:val="center"/>
          </w:tcPr>
          <w:p w14:paraId="1E8F7077">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0.68 </w:t>
            </w:r>
          </w:p>
        </w:tc>
        <w:tc>
          <w:tcPr>
            <w:tcW w:w="0" w:type="auto"/>
            <w:shd w:val="clear" w:color="auto" w:fill="auto"/>
            <w:vAlign w:val="center"/>
          </w:tcPr>
          <w:p w14:paraId="631DED37">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32.35%</w:t>
            </w:r>
          </w:p>
        </w:tc>
        <w:tc>
          <w:tcPr>
            <w:tcW w:w="0" w:type="auto"/>
            <w:shd w:val="clear" w:color="auto" w:fill="auto"/>
            <w:vAlign w:val="center"/>
          </w:tcPr>
          <w:p w14:paraId="7D90707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23</w:t>
            </w:r>
          </w:p>
        </w:tc>
        <w:tc>
          <w:tcPr>
            <w:tcW w:w="0" w:type="auto"/>
            <w:shd w:val="clear" w:color="auto" w:fill="auto"/>
            <w:vAlign w:val="center"/>
          </w:tcPr>
          <w:p w14:paraId="4874C11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70.20%</w:t>
            </w:r>
          </w:p>
        </w:tc>
      </w:tr>
      <w:tr w14:paraId="25803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381F6012">
            <w:pPr>
              <w:widowControl/>
              <w:spacing w:line="400" w:lineRule="exact"/>
              <w:rPr>
                <w:rFonts w:ascii="宋体" w:hAnsi="宋体"/>
                <w:szCs w:val="21"/>
              </w:rPr>
            </w:pPr>
            <w:r>
              <w:rPr>
                <w:rFonts w:ascii="宋体" w:hAnsi="宋体"/>
                <w:szCs w:val="21"/>
              </w:rPr>
              <w:t>B.沿用国家标准原文。</w:t>
            </w:r>
          </w:p>
        </w:tc>
        <w:tc>
          <w:tcPr>
            <w:tcW w:w="0" w:type="auto"/>
            <w:shd w:val="clear" w:color="auto" w:fill="auto"/>
            <w:vAlign w:val="center"/>
          </w:tcPr>
          <w:p w14:paraId="0707DC8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0.32 </w:t>
            </w:r>
          </w:p>
        </w:tc>
        <w:tc>
          <w:tcPr>
            <w:tcW w:w="0" w:type="auto"/>
            <w:shd w:val="clear" w:color="auto" w:fill="auto"/>
            <w:vAlign w:val="center"/>
          </w:tcPr>
          <w:p w14:paraId="575162E6">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67.65%</w:t>
            </w:r>
          </w:p>
        </w:tc>
        <w:tc>
          <w:tcPr>
            <w:tcW w:w="0" w:type="auto"/>
            <w:shd w:val="clear" w:color="auto" w:fill="auto"/>
            <w:vAlign w:val="center"/>
          </w:tcPr>
          <w:p w14:paraId="24FA3F06">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11</w:t>
            </w:r>
          </w:p>
        </w:tc>
        <w:tc>
          <w:tcPr>
            <w:tcW w:w="0" w:type="auto"/>
            <w:shd w:val="clear" w:color="auto" w:fill="auto"/>
            <w:vAlign w:val="center"/>
          </w:tcPr>
          <w:p w14:paraId="397F303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146.77%</w:t>
            </w:r>
          </w:p>
        </w:tc>
      </w:tr>
    </w:tbl>
    <w:p w14:paraId="360D844D">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9</w:t>
      </w:r>
      <w:r>
        <w:rPr>
          <w:rFonts w:ascii="宋体" w:hAnsi="宋体"/>
          <w:b/>
          <w:bCs/>
          <w:szCs w:val="21"/>
        </w:rPr>
        <w:t xml:space="preserve"> “直刺”定义调查结果</w:t>
      </w:r>
    </w:p>
    <w:p w14:paraId="6F47A639">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9</w:t>
      </w:r>
      <w:r>
        <w:rPr>
          <w:rFonts w:ascii="宋体" w:hAnsi="宋体"/>
          <w:b/>
          <w:bCs/>
          <w:szCs w:val="21"/>
        </w:rPr>
        <w:t xml:space="preserve"> “直刺”定义调查结果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4C583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62BBA166">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7271BDA7">
            <w:pPr>
              <w:widowControl/>
              <w:spacing w:line="400" w:lineRule="exact"/>
              <w:rPr>
                <w:rFonts w:ascii="宋体" w:hAnsi="宋体"/>
                <w:szCs w:val="21"/>
              </w:rPr>
            </w:pPr>
            <w:r>
              <w:rPr>
                <w:rFonts w:ascii="宋体" w:hAnsi="宋体"/>
                <w:szCs w:val="21"/>
              </w:rPr>
              <w:object>
                <v:shape id="_x0000_i1037"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37" DrawAspect="Content" ObjectID="_1468075737" r:id="rId26">
                  <o:LockedField>false</o:LockedField>
                </o:OLEObject>
              </w:object>
            </w:r>
          </w:p>
        </w:tc>
        <w:tc>
          <w:tcPr>
            <w:tcW w:w="0" w:type="auto"/>
            <w:tcBorders>
              <w:insideH w:val="single" w:sz="4" w:space="0"/>
            </w:tcBorders>
          </w:tcPr>
          <w:p w14:paraId="74B055AB">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4F9FA081">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38EECFBE">
            <w:pPr>
              <w:widowControl/>
              <w:spacing w:line="400" w:lineRule="exact"/>
              <w:rPr>
                <w:rFonts w:ascii="宋体" w:hAnsi="宋体"/>
                <w:szCs w:val="21"/>
              </w:rPr>
            </w:pPr>
            <w:r>
              <w:rPr>
                <w:rFonts w:ascii="宋体" w:hAnsi="宋体"/>
                <w:szCs w:val="21"/>
              </w:rPr>
              <w:t>CV</w:t>
            </w:r>
          </w:p>
        </w:tc>
      </w:tr>
      <w:tr w14:paraId="19260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39FDA740">
            <w:pPr>
              <w:widowControl/>
              <w:spacing w:line="400" w:lineRule="exact"/>
              <w:rPr>
                <w:rFonts w:ascii="宋体" w:hAnsi="宋体"/>
                <w:szCs w:val="21"/>
              </w:rPr>
            </w:pPr>
            <w:r>
              <w:rPr>
                <w:rFonts w:ascii="宋体" w:hAnsi="宋体"/>
                <w:szCs w:val="21"/>
              </w:rPr>
              <w:t>A.将针体与皮肤呈90°角左右，垂直刺入皮肤。直刺法适用于大多数穴位，浅刺与深刺均可。</w:t>
            </w:r>
          </w:p>
        </w:tc>
        <w:tc>
          <w:tcPr>
            <w:tcW w:w="0" w:type="auto"/>
            <w:shd w:val="clear" w:color="auto" w:fill="auto"/>
            <w:vAlign w:val="center"/>
          </w:tcPr>
          <w:p w14:paraId="56852F4F">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0.56 </w:t>
            </w:r>
          </w:p>
        </w:tc>
        <w:tc>
          <w:tcPr>
            <w:tcW w:w="0" w:type="auto"/>
            <w:shd w:val="clear" w:color="auto" w:fill="auto"/>
            <w:vAlign w:val="center"/>
          </w:tcPr>
          <w:p w14:paraId="3D524C48">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44.12%</w:t>
            </w:r>
          </w:p>
        </w:tc>
        <w:tc>
          <w:tcPr>
            <w:tcW w:w="0" w:type="auto"/>
            <w:shd w:val="clear" w:color="auto" w:fill="auto"/>
            <w:vAlign w:val="center"/>
          </w:tcPr>
          <w:p w14:paraId="483CD8A4">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19</w:t>
            </w:r>
          </w:p>
        </w:tc>
        <w:tc>
          <w:tcPr>
            <w:tcW w:w="0" w:type="auto"/>
            <w:shd w:val="clear" w:color="auto" w:fill="auto"/>
            <w:vAlign w:val="center"/>
          </w:tcPr>
          <w:p w14:paraId="32FA775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90.19%</w:t>
            </w:r>
          </w:p>
        </w:tc>
      </w:tr>
      <w:tr w14:paraId="2CEA7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315EF20A">
            <w:pPr>
              <w:widowControl/>
              <w:spacing w:line="400" w:lineRule="exact"/>
              <w:rPr>
                <w:rFonts w:ascii="宋体" w:hAnsi="宋体"/>
                <w:szCs w:val="21"/>
              </w:rPr>
            </w:pPr>
            <w:r>
              <w:rPr>
                <w:rFonts w:ascii="宋体" w:hAnsi="宋体"/>
                <w:szCs w:val="21"/>
              </w:rPr>
              <w:t>B.沿用国家标准原文。</w:t>
            </w:r>
          </w:p>
        </w:tc>
        <w:tc>
          <w:tcPr>
            <w:tcW w:w="0" w:type="auto"/>
            <w:shd w:val="clear" w:color="auto" w:fill="auto"/>
            <w:vAlign w:val="center"/>
          </w:tcPr>
          <w:p w14:paraId="656B71A2">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0.44 </w:t>
            </w:r>
          </w:p>
        </w:tc>
        <w:tc>
          <w:tcPr>
            <w:tcW w:w="0" w:type="auto"/>
            <w:shd w:val="clear" w:color="auto" w:fill="auto"/>
            <w:vAlign w:val="center"/>
          </w:tcPr>
          <w:p w14:paraId="1C2B5700">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55.88%</w:t>
            </w:r>
          </w:p>
        </w:tc>
        <w:tc>
          <w:tcPr>
            <w:tcW w:w="0" w:type="auto"/>
            <w:shd w:val="clear" w:color="auto" w:fill="auto"/>
            <w:vAlign w:val="center"/>
          </w:tcPr>
          <w:p w14:paraId="2D432CDD">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15</w:t>
            </w:r>
          </w:p>
        </w:tc>
        <w:tc>
          <w:tcPr>
            <w:tcW w:w="0" w:type="auto"/>
            <w:shd w:val="clear" w:color="auto" w:fill="auto"/>
            <w:vAlign w:val="center"/>
          </w:tcPr>
          <w:p w14:paraId="704E3A6E">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114.24%</w:t>
            </w:r>
          </w:p>
        </w:tc>
      </w:tr>
    </w:tbl>
    <w:p w14:paraId="4E3B857A">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10</w:t>
      </w:r>
      <w:r>
        <w:rPr>
          <w:rFonts w:ascii="宋体" w:hAnsi="宋体"/>
          <w:b/>
          <w:bCs/>
          <w:szCs w:val="21"/>
        </w:rPr>
        <w:t xml:space="preserve"> “斜刺”定义调查结果</w:t>
      </w:r>
    </w:p>
    <w:p w14:paraId="00BD7899">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10</w:t>
      </w:r>
      <w:r>
        <w:rPr>
          <w:rFonts w:ascii="宋体" w:hAnsi="宋体"/>
          <w:b/>
          <w:bCs/>
          <w:szCs w:val="21"/>
        </w:rPr>
        <w:t xml:space="preserve"> “斜刺”定义调查结果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76C7C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67E12D64">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505E6BF1">
            <w:pPr>
              <w:widowControl/>
              <w:spacing w:line="400" w:lineRule="exact"/>
              <w:rPr>
                <w:rFonts w:ascii="宋体" w:hAnsi="宋体"/>
                <w:szCs w:val="21"/>
              </w:rPr>
            </w:pPr>
            <w:r>
              <w:rPr>
                <w:rFonts w:ascii="宋体" w:hAnsi="宋体"/>
                <w:szCs w:val="21"/>
              </w:rPr>
              <w:object>
                <v:shape id="_x0000_i1038"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38" DrawAspect="Content" ObjectID="_1468075738" r:id="rId27">
                  <o:LockedField>false</o:LockedField>
                </o:OLEObject>
              </w:object>
            </w:r>
          </w:p>
        </w:tc>
        <w:tc>
          <w:tcPr>
            <w:tcW w:w="0" w:type="auto"/>
            <w:tcBorders>
              <w:insideH w:val="single" w:sz="4" w:space="0"/>
            </w:tcBorders>
          </w:tcPr>
          <w:p w14:paraId="35772FFF">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7D3407C6">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2CD99A6E">
            <w:pPr>
              <w:widowControl/>
              <w:spacing w:line="400" w:lineRule="exact"/>
              <w:rPr>
                <w:rFonts w:ascii="宋体" w:hAnsi="宋体"/>
                <w:szCs w:val="21"/>
              </w:rPr>
            </w:pPr>
            <w:r>
              <w:rPr>
                <w:rFonts w:ascii="宋体" w:hAnsi="宋体"/>
                <w:szCs w:val="21"/>
              </w:rPr>
              <w:t>CV</w:t>
            </w:r>
          </w:p>
        </w:tc>
      </w:tr>
      <w:tr w14:paraId="28FBF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272F5F4C">
            <w:pPr>
              <w:widowControl/>
              <w:spacing w:line="400" w:lineRule="exact"/>
              <w:rPr>
                <w:rFonts w:ascii="宋体" w:hAnsi="宋体"/>
                <w:szCs w:val="21"/>
              </w:rPr>
            </w:pPr>
            <w:r>
              <w:rPr>
                <w:rFonts w:ascii="宋体" w:hAnsi="宋体"/>
                <w:szCs w:val="21"/>
              </w:rPr>
              <w:t>A.斜刺法  将针体与皮肤呈45°角左右，倾斜刺入皮肤。斜刺法适用于控制针感方向</w:t>
            </w:r>
            <w:r>
              <w:rPr>
                <w:rFonts w:hint="eastAsia" w:ascii="宋体" w:hAnsi="宋体"/>
                <w:szCs w:val="21"/>
              </w:rPr>
              <w:t>。</w:t>
            </w:r>
          </w:p>
        </w:tc>
        <w:tc>
          <w:tcPr>
            <w:tcW w:w="0" w:type="auto"/>
            <w:shd w:val="clear" w:color="auto" w:fill="auto"/>
            <w:vAlign w:val="center"/>
          </w:tcPr>
          <w:p w14:paraId="27D52CA9">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0.38 </w:t>
            </w:r>
          </w:p>
        </w:tc>
        <w:tc>
          <w:tcPr>
            <w:tcW w:w="0" w:type="auto"/>
            <w:shd w:val="clear" w:color="auto" w:fill="auto"/>
            <w:vAlign w:val="center"/>
          </w:tcPr>
          <w:p w14:paraId="739542AF">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61.76%</w:t>
            </w:r>
          </w:p>
        </w:tc>
        <w:tc>
          <w:tcPr>
            <w:tcW w:w="0" w:type="auto"/>
            <w:shd w:val="clear" w:color="auto" w:fill="auto"/>
            <w:vAlign w:val="center"/>
          </w:tcPr>
          <w:p w14:paraId="6F67D15E">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13</w:t>
            </w:r>
          </w:p>
        </w:tc>
        <w:tc>
          <w:tcPr>
            <w:tcW w:w="0" w:type="auto"/>
            <w:shd w:val="clear" w:color="auto" w:fill="auto"/>
            <w:vAlign w:val="center"/>
          </w:tcPr>
          <w:p w14:paraId="70F46780">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129.01%</w:t>
            </w:r>
          </w:p>
        </w:tc>
      </w:tr>
      <w:tr w14:paraId="42139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6F59E81B">
            <w:pPr>
              <w:widowControl/>
              <w:spacing w:line="400" w:lineRule="exact"/>
              <w:rPr>
                <w:rFonts w:ascii="宋体" w:hAnsi="宋体"/>
                <w:szCs w:val="21"/>
              </w:rPr>
            </w:pPr>
            <w:r>
              <w:rPr>
                <w:rFonts w:ascii="宋体" w:hAnsi="宋体"/>
                <w:szCs w:val="21"/>
              </w:rPr>
              <w:t>B.沿用国家标准原文。</w:t>
            </w:r>
          </w:p>
        </w:tc>
        <w:tc>
          <w:tcPr>
            <w:tcW w:w="0" w:type="auto"/>
            <w:shd w:val="clear" w:color="auto" w:fill="auto"/>
            <w:vAlign w:val="center"/>
          </w:tcPr>
          <w:p w14:paraId="3248C546">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0.62 </w:t>
            </w:r>
          </w:p>
        </w:tc>
        <w:tc>
          <w:tcPr>
            <w:tcW w:w="0" w:type="auto"/>
            <w:shd w:val="clear" w:color="auto" w:fill="auto"/>
            <w:vAlign w:val="center"/>
          </w:tcPr>
          <w:p w14:paraId="2401D38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38.24%</w:t>
            </w:r>
          </w:p>
        </w:tc>
        <w:tc>
          <w:tcPr>
            <w:tcW w:w="0" w:type="auto"/>
            <w:shd w:val="clear" w:color="auto" w:fill="auto"/>
            <w:vAlign w:val="center"/>
          </w:tcPr>
          <w:p w14:paraId="619F554A">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21</w:t>
            </w:r>
          </w:p>
        </w:tc>
        <w:tc>
          <w:tcPr>
            <w:tcW w:w="0" w:type="auto"/>
            <w:shd w:val="clear" w:color="auto" w:fill="auto"/>
            <w:vAlign w:val="center"/>
          </w:tcPr>
          <w:p w14:paraId="49C99C8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79.86%</w:t>
            </w:r>
          </w:p>
        </w:tc>
      </w:tr>
    </w:tbl>
    <w:p w14:paraId="167CAC04">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11</w:t>
      </w:r>
      <w:r>
        <w:rPr>
          <w:rFonts w:ascii="宋体" w:hAnsi="宋体"/>
          <w:b/>
          <w:bCs/>
          <w:szCs w:val="21"/>
        </w:rPr>
        <w:t xml:space="preserve"> “平刺”的命名与定义调查结果</w:t>
      </w:r>
    </w:p>
    <w:p w14:paraId="3BBF26F3">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11</w:t>
      </w:r>
      <w:r>
        <w:rPr>
          <w:rFonts w:ascii="宋体" w:hAnsi="宋体"/>
          <w:b/>
          <w:bCs/>
          <w:szCs w:val="21"/>
        </w:rPr>
        <w:t xml:space="preserve"> “平刺”的命名与定义调查结果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4CB87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04D99ED3">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0FEE4FA8">
            <w:pPr>
              <w:widowControl/>
              <w:spacing w:line="400" w:lineRule="exact"/>
              <w:rPr>
                <w:rFonts w:ascii="宋体" w:hAnsi="宋体"/>
                <w:szCs w:val="21"/>
              </w:rPr>
            </w:pPr>
            <w:r>
              <w:rPr>
                <w:rFonts w:ascii="宋体" w:hAnsi="宋体"/>
                <w:szCs w:val="21"/>
              </w:rPr>
              <w:object>
                <v:shape id="_x0000_i1039"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39" DrawAspect="Content" ObjectID="_1468075739" r:id="rId28">
                  <o:LockedField>false</o:LockedField>
                </o:OLEObject>
              </w:object>
            </w:r>
          </w:p>
        </w:tc>
        <w:tc>
          <w:tcPr>
            <w:tcW w:w="0" w:type="auto"/>
            <w:tcBorders>
              <w:insideH w:val="single" w:sz="4" w:space="0"/>
            </w:tcBorders>
          </w:tcPr>
          <w:p w14:paraId="300B7F75">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61E3A3E2">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0C5F8640">
            <w:pPr>
              <w:widowControl/>
              <w:spacing w:line="400" w:lineRule="exact"/>
              <w:rPr>
                <w:rFonts w:ascii="宋体" w:hAnsi="宋体"/>
                <w:szCs w:val="21"/>
              </w:rPr>
            </w:pPr>
            <w:r>
              <w:rPr>
                <w:rFonts w:ascii="宋体" w:hAnsi="宋体"/>
                <w:szCs w:val="21"/>
              </w:rPr>
              <w:t>CV</w:t>
            </w:r>
          </w:p>
        </w:tc>
      </w:tr>
      <w:tr w14:paraId="73348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4395F2AB">
            <w:pPr>
              <w:widowControl/>
              <w:spacing w:line="400" w:lineRule="exact"/>
              <w:rPr>
                <w:rFonts w:ascii="宋体" w:hAnsi="宋体"/>
                <w:szCs w:val="21"/>
              </w:rPr>
            </w:pPr>
            <w:r>
              <w:rPr>
                <w:rFonts w:ascii="宋体" w:hAnsi="宋体"/>
                <w:szCs w:val="21"/>
              </w:rPr>
              <w:t>A.横刺法  针体与皮肤呈15°角左右，横向刺入皮肤。横刺法适用于头面部，胸背及肌肉浅薄处。</w:t>
            </w:r>
          </w:p>
        </w:tc>
        <w:tc>
          <w:tcPr>
            <w:tcW w:w="0" w:type="auto"/>
            <w:shd w:val="clear" w:color="auto" w:fill="auto"/>
            <w:vAlign w:val="center"/>
          </w:tcPr>
          <w:p w14:paraId="6D0A074D">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0.50 </w:t>
            </w:r>
          </w:p>
        </w:tc>
        <w:tc>
          <w:tcPr>
            <w:tcW w:w="0" w:type="auto"/>
            <w:shd w:val="clear" w:color="auto" w:fill="auto"/>
            <w:vAlign w:val="center"/>
          </w:tcPr>
          <w:p w14:paraId="582336A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50.00%</w:t>
            </w:r>
          </w:p>
        </w:tc>
        <w:tc>
          <w:tcPr>
            <w:tcW w:w="0" w:type="auto"/>
            <w:shd w:val="clear" w:color="auto" w:fill="auto"/>
            <w:vAlign w:val="center"/>
          </w:tcPr>
          <w:p w14:paraId="1C691056">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17</w:t>
            </w:r>
          </w:p>
        </w:tc>
        <w:tc>
          <w:tcPr>
            <w:tcW w:w="0" w:type="auto"/>
            <w:shd w:val="clear" w:color="auto" w:fill="auto"/>
            <w:vAlign w:val="center"/>
          </w:tcPr>
          <w:p w14:paraId="1B6C9D68">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101.50%</w:t>
            </w:r>
          </w:p>
        </w:tc>
      </w:tr>
      <w:tr w14:paraId="3797E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2AD5759D">
            <w:pPr>
              <w:widowControl/>
              <w:spacing w:line="400" w:lineRule="exact"/>
              <w:rPr>
                <w:rFonts w:ascii="宋体" w:hAnsi="宋体"/>
                <w:szCs w:val="21"/>
              </w:rPr>
            </w:pPr>
            <w:r>
              <w:rPr>
                <w:rFonts w:ascii="宋体" w:hAnsi="宋体"/>
                <w:szCs w:val="21"/>
              </w:rPr>
              <w:t>B.沿用国家标准原文。</w:t>
            </w:r>
          </w:p>
        </w:tc>
        <w:tc>
          <w:tcPr>
            <w:tcW w:w="0" w:type="auto"/>
            <w:shd w:val="clear" w:color="auto" w:fill="auto"/>
            <w:vAlign w:val="center"/>
          </w:tcPr>
          <w:p w14:paraId="27857A8E">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0.50 </w:t>
            </w:r>
          </w:p>
        </w:tc>
        <w:tc>
          <w:tcPr>
            <w:tcW w:w="0" w:type="auto"/>
            <w:shd w:val="clear" w:color="auto" w:fill="auto"/>
            <w:vAlign w:val="center"/>
          </w:tcPr>
          <w:p w14:paraId="1CA429AE">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50.00%</w:t>
            </w:r>
          </w:p>
        </w:tc>
        <w:tc>
          <w:tcPr>
            <w:tcW w:w="0" w:type="auto"/>
            <w:shd w:val="clear" w:color="auto" w:fill="auto"/>
            <w:vAlign w:val="center"/>
          </w:tcPr>
          <w:p w14:paraId="01650950">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17</w:t>
            </w:r>
          </w:p>
        </w:tc>
        <w:tc>
          <w:tcPr>
            <w:tcW w:w="0" w:type="auto"/>
            <w:shd w:val="clear" w:color="auto" w:fill="auto"/>
            <w:vAlign w:val="center"/>
          </w:tcPr>
          <w:p w14:paraId="73B3DBF8">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101.50%</w:t>
            </w:r>
          </w:p>
        </w:tc>
      </w:tr>
    </w:tbl>
    <w:p w14:paraId="14475F44">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12</w:t>
      </w:r>
      <w:r>
        <w:rPr>
          <w:rFonts w:ascii="宋体" w:hAnsi="宋体"/>
          <w:b/>
          <w:bCs/>
          <w:szCs w:val="21"/>
        </w:rPr>
        <w:t xml:space="preserve"> “留针”的定义调查结果</w:t>
      </w:r>
    </w:p>
    <w:p w14:paraId="492ED9CB">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12</w:t>
      </w:r>
      <w:r>
        <w:rPr>
          <w:rFonts w:ascii="宋体" w:hAnsi="宋体"/>
          <w:b/>
          <w:bCs/>
          <w:szCs w:val="21"/>
        </w:rPr>
        <w:t xml:space="preserve"> “留针”的定义调查结果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5A3B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44394D29">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02673760">
            <w:pPr>
              <w:widowControl/>
              <w:spacing w:line="400" w:lineRule="exact"/>
              <w:rPr>
                <w:rFonts w:ascii="宋体" w:hAnsi="宋体"/>
                <w:szCs w:val="21"/>
              </w:rPr>
            </w:pPr>
            <w:r>
              <w:rPr>
                <w:rFonts w:ascii="宋体" w:hAnsi="宋体"/>
                <w:szCs w:val="21"/>
              </w:rPr>
              <w:object>
                <v:shape id="_x0000_i1040"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40" DrawAspect="Content" ObjectID="_1468075740" r:id="rId29">
                  <o:LockedField>false</o:LockedField>
                </o:OLEObject>
              </w:object>
            </w:r>
          </w:p>
        </w:tc>
        <w:tc>
          <w:tcPr>
            <w:tcW w:w="0" w:type="auto"/>
            <w:tcBorders>
              <w:insideH w:val="single" w:sz="4" w:space="0"/>
            </w:tcBorders>
          </w:tcPr>
          <w:p w14:paraId="060903DE">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0F276600">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22E0910C">
            <w:pPr>
              <w:widowControl/>
              <w:spacing w:line="400" w:lineRule="exact"/>
              <w:rPr>
                <w:rFonts w:ascii="宋体" w:hAnsi="宋体"/>
                <w:szCs w:val="21"/>
              </w:rPr>
            </w:pPr>
            <w:r>
              <w:rPr>
                <w:rFonts w:ascii="宋体" w:hAnsi="宋体"/>
                <w:szCs w:val="21"/>
              </w:rPr>
              <w:t>CV</w:t>
            </w:r>
          </w:p>
        </w:tc>
      </w:tr>
      <w:tr w14:paraId="7BF9E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05B7A2C6">
            <w:pPr>
              <w:widowControl/>
              <w:spacing w:line="400" w:lineRule="exact"/>
              <w:rPr>
                <w:rFonts w:ascii="宋体" w:hAnsi="宋体"/>
                <w:szCs w:val="21"/>
              </w:rPr>
            </w:pPr>
            <w:r>
              <w:rPr>
                <w:rFonts w:ascii="宋体" w:hAnsi="宋体"/>
                <w:szCs w:val="21"/>
              </w:rPr>
              <w:t>A. 将针刺入腧穴后，留置20 min～30 min左右，医生可根据病情来确定留针时间，在此期间可行针。由于小儿不易配合，所以一般不留针。</w:t>
            </w:r>
          </w:p>
        </w:tc>
        <w:tc>
          <w:tcPr>
            <w:tcW w:w="0" w:type="auto"/>
            <w:shd w:val="clear" w:color="auto" w:fill="auto"/>
            <w:vAlign w:val="center"/>
          </w:tcPr>
          <w:p w14:paraId="7501F77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0.44 </w:t>
            </w:r>
          </w:p>
        </w:tc>
        <w:tc>
          <w:tcPr>
            <w:tcW w:w="0" w:type="auto"/>
            <w:shd w:val="clear" w:color="auto" w:fill="auto"/>
            <w:vAlign w:val="center"/>
          </w:tcPr>
          <w:p w14:paraId="7725FDD8">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55.88%</w:t>
            </w:r>
          </w:p>
        </w:tc>
        <w:tc>
          <w:tcPr>
            <w:tcW w:w="0" w:type="auto"/>
            <w:shd w:val="clear" w:color="auto" w:fill="auto"/>
            <w:vAlign w:val="center"/>
          </w:tcPr>
          <w:p w14:paraId="1CE9BBAB">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15</w:t>
            </w:r>
          </w:p>
        </w:tc>
        <w:tc>
          <w:tcPr>
            <w:tcW w:w="0" w:type="auto"/>
            <w:shd w:val="clear" w:color="auto" w:fill="auto"/>
            <w:vAlign w:val="center"/>
          </w:tcPr>
          <w:p w14:paraId="52599944">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114.24%</w:t>
            </w:r>
          </w:p>
        </w:tc>
      </w:tr>
      <w:tr w14:paraId="60C51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0C5C736F">
            <w:pPr>
              <w:widowControl/>
              <w:spacing w:line="400" w:lineRule="exact"/>
              <w:rPr>
                <w:rFonts w:ascii="宋体" w:hAnsi="宋体"/>
                <w:szCs w:val="21"/>
              </w:rPr>
            </w:pPr>
            <w:r>
              <w:rPr>
                <w:rFonts w:ascii="宋体" w:hAnsi="宋体"/>
                <w:szCs w:val="21"/>
              </w:rPr>
              <w:t>B.沿用国家标准原文。</w:t>
            </w:r>
          </w:p>
        </w:tc>
        <w:tc>
          <w:tcPr>
            <w:tcW w:w="0" w:type="auto"/>
            <w:shd w:val="clear" w:color="auto" w:fill="auto"/>
            <w:vAlign w:val="center"/>
          </w:tcPr>
          <w:p w14:paraId="216955B1">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0.56 </w:t>
            </w:r>
          </w:p>
        </w:tc>
        <w:tc>
          <w:tcPr>
            <w:tcW w:w="0" w:type="auto"/>
            <w:shd w:val="clear" w:color="auto" w:fill="auto"/>
            <w:vAlign w:val="center"/>
          </w:tcPr>
          <w:p w14:paraId="144EBEA2">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44.12%</w:t>
            </w:r>
          </w:p>
        </w:tc>
        <w:tc>
          <w:tcPr>
            <w:tcW w:w="0" w:type="auto"/>
            <w:shd w:val="clear" w:color="auto" w:fill="auto"/>
            <w:vAlign w:val="center"/>
          </w:tcPr>
          <w:p w14:paraId="012390B4">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19</w:t>
            </w:r>
          </w:p>
        </w:tc>
        <w:tc>
          <w:tcPr>
            <w:tcW w:w="0" w:type="auto"/>
            <w:shd w:val="clear" w:color="auto" w:fill="auto"/>
            <w:vAlign w:val="center"/>
          </w:tcPr>
          <w:p w14:paraId="623F009D">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90.19%</w:t>
            </w:r>
          </w:p>
        </w:tc>
      </w:tr>
    </w:tbl>
    <w:p w14:paraId="5E0EA657">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13</w:t>
      </w:r>
      <w:r>
        <w:rPr>
          <w:rFonts w:ascii="宋体" w:hAnsi="宋体"/>
          <w:b/>
          <w:bCs/>
          <w:szCs w:val="21"/>
        </w:rPr>
        <w:t xml:space="preserve"> 出针操作步骤调查结果</w:t>
      </w:r>
    </w:p>
    <w:p w14:paraId="1DB48DCE">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13</w:t>
      </w:r>
      <w:r>
        <w:rPr>
          <w:rFonts w:ascii="宋体" w:hAnsi="宋体"/>
          <w:b/>
          <w:bCs/>
          <w:szCs w:val="21"/>
        </w:rPr>
        <w:t xml:space="preserve"> 出针操作步骤调查结果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49BA3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50C0B381">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3063483F">
            <w:pPr>
              <w:widowControl/>
              <w:spacing w:line="400" w:lineRule="exact"/>
              <w:rPr>
                <w:rFonts w:ascii="宋体" w:hAnsi="宋体"/>
                <w:szCs w:val="21"/>
              </w:rPr>
            </w:pPr>
            <w:r>
              <w:rPr>
                <w:rFonts w:ascii="宋体" w:hAnsi="宋体"/>
                <w:szCs w:val="21"/>
              </w:rPr>
              <w:object>
                <v:shape id="_x0000_i1041"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41" DrawAspect="Content" ObjectID="_1468075741" r:id="rId30">
                  <o:LockedField>false</o:LockedField>
                </o:OLEObject>
              </w:object>
            </w:r>
          </w:p>
        </w:tc>
        <w:tc>
          <w:tcPr>
            <w:tcW w:w="0" w:type="auto"/>
            <w:tcBorders>
              <w:insideH w:val="single" w:sz="4" w:space="0"/>
            </w:tcBorders>
          </w:tcPr>
          <w:p w14:paraId="7804E89A">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4AAA3D87">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76C701DE">
            <w:pPr>
              <w:widowControl/>
              <w:spacing w:line="400" w:lineRule="exact"/>
              <w:rPr>
                <w:rFonts w:ascii="宋体" w:hAnsi="宋体"/>
                <w:szCs w:val="21"/>
              </w:rPr>
            </w:pPr>
            <w:r>
              <w:rPr>
                <w:rFonts w:ascii="宋体" w:hAnsi="宋体"/>
                <w:szCs w:val="21"/>
              </w:rPr>
              <w:t>CV</w:t>
            </w:r>
          </w:p>
        </w:tc>
      </w:tr>
      <w:tr w14:paraId="7F179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3EA0D54C">
            <w:pPr>
              <w:widowControl/>
              <w:spacing w:line="400" w:lineRule="exact"/>
              <w:rPr>
                <w:rFonts w:ascii="宋体" w:hAnsi="宋体"/>
                <w:szCs w:val="21"/>
              </w:rPr>
            </w:pPr>
            <w:r>
              <w:rPr>
                <w:rFonts w:ascii="宋体" w:hAnsi="宋体"/>
                <w:szCs w:val="21"/>
              </w:rPr>
              <w:t>A.出针 留针时间已到，针下轻滑，即可出针；如针下仍沉紧者，则稍稍向上提针，待针下轻滑时即可出针。 押手持消毒干棉球轻压针刺部位，刺手拇、</w:t>
            </w:r>
            <w:r>
              <w:rPr>
                <w:rFonts w:hint="eastAsia"/>
                <w:color w:val="000000" w:themeColor="text1"/>
                <w:lang w:val="en-US" w:eastAsia="zh-CN"/>
                <w14:textFill>
                  <w14:solidFill>
                    <w14:schemeClr w14:val="tx1"/>
                  </w14:solidFill>
                </w14:textFill>
              </w:rPr>
              <w:t>示</w:t>
            </w:r>
            <w:r>
              <w:rPr>
                <w:rFonts w:ascii="宋体" w:hAnsi="宋体"/>
                <w:szCs w:val="21"/>
              </w:rPr>
              <w:t>指持针柄，将针退出皮肤后，立即用棉球按压针孔，以防止出血。</w:t>
            </w:r>
          </w:p>
        </w:tc>
        <w:tc>
          <w:tcPr>
            <w:tcW w:w="0" w:type="auto"/>
            <w:shd w:val="clear" w:color="auto" w:fill="auto"/>
            <w:vAlign w:val="center"/>
          </w:tcPr>
          <w:p w14:paraId="4C78F7F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0.47 </w:t>
            </w:r>
          </w:p>
        </w:tc>
        <w:tc>
          <w:tcPr>
            <w:tcW w:w="0" w:type="auto"/>
            <w:shd w:val="clear" w:color="auto" w:fill="auto"/>
            <w:vAlign w:val="center"/>
          </w:tcPr>
          <w:p w14:paraId="77CCC3BD">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50.00%</w:t>
            </w:r>
          </w:p>
        </w:tc>
        <w:tc>
          <w:tcPr>
            <w:tcW w:w="0" w:type="auto"/>
            <w:shd w:val="clear" w:color="auto" w:fill="auto"/>
            <w:vAlign w:val="center"/>
          </w:tcPr>
          <w:p w14:paraId="3094D571">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15</w:t>
            </w:r>
          </w:p>
        </w:tc>
        <w:tc>
          <w:tcPr>
            <w:tcW w:w="0" w:type="auto"/>
            <w:shd w:val="clear" w:color="auto" w:fill="auto"/>
            <w:vAlign w:val="center"/>
          </w:tcPr>
          <w:p w14:paraId="5E858F24">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107.52%</w:t>
            </w:r>
          </w:p>
        </w:tc>
      </w:tr>
      <w:tr w14:paraId="3533C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656C6957">
            <w:pPr>
              <w:widowControl/>
              <w:spacing w:line="400" w:lineRule="exact"/>
              <w:rPr>
                <w:rFonts w:ascii="宋体" w:hAnsi="宋体"/>
                <w:szCs w:val="21"/>
              </w:rPr>
            </w:pPr>
            <w:r>
              <w:rPr>
                <w:rFonts w:ascii="宋体" w:hAnsi="宋体"/>
                <w:szCs w:val="21"/>
              </w:rPr>
              <w:t>B.沿用国家标准原文。</w:t>
            </w:r>
          </w:p>
        </w:tc>
        <w:tc>
          <w:tcPr>
            <w:tcW w:w="0" w:type="auto"/>
            <w:shd w:val="clear" w:color="auto" w:fill="auto"/>
            <w:vAlign w:val="center"/>
          </w:tcPr>
          <w:p w14:paraId="672F8B1D">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0.53 </w:t>
            </w:r>
          </w:p>
        </w:tc>
        <w:tc>
          <w:tcPr>
            <w:tcW w:w="0" w:type="auto"/>
            <w:shd w:val="clear" w:color="auto" w:fill="auto"/>
            <w:vAlign w:val="center"/>
          </w:tcPr>
          <w:p w14:paraId="6EE6402B">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44.12%</w:t>
            </w:r>
          </w:p>
        </w:tc>
        <w:tc>
          <w:tcPr>
            <w:tcW w:w="0" w:type="auto"/>
            <w:shd w:val="clear" w:color="auto" w:fill="auto"/>
            <w:vAlign w:val="center"/>
          </w:tcPr>
          <w:p w14:paraId="5BCCD6E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17</w:t>
            </w:r>
          </w:p>
        </w:tc>
        <w:tc>
          <w:tcPr>
            <w:tcW w:w="0" w:type="auto"/>
            <w:shd w:val="clear" w:color="auto" w:fill="auto"/>
            <w:vAlign w:val="center"/>
          </w:tcPr>
          <w:p w14:paraId="44F7BE0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95.53%</w:t>
            </w:r>
          </w:p>
        </w:tc>
      </w:tr>
    </w:tbl>
    <w:p w14:paraId="12B67618">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14</w:t>
      </w:r>
      <w:r>
        <w:rPr>
          <w:rFonts w:ascii="宋体" w:hAnsi="宋体"/>
          <w:b/>
          <w:bCs/>
          <w:szCs w:val="21"/>
        </w:rPr>
        <w:t xml:space="preserve"> 针具选择表述调查结果</w:t>
      </w:r>
    </w:p>
    <w:p w14:paraId="222EF0DF">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14</w:t>
      </w:r>
      <w:r>
        <w:rPr>
          <w:rFonts w:ascii="宋体" w:hAnsi="宋体"/>
          <w:b/>
          <w:bCs/>
          <w:szCs w:val="21"/>
        </w:rPr>
        <w:t xml:space="preserve"> 针具选择表述调查结果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5BCB7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06620821">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11600914">
            <w:pPr>
              <w:widowControl/>
              <w:spacing w:line="400" w:lineRule="exact"/>
              <w:rPr>
                <w:rFonts w:ascii="宋体" w:hAnsi="宋体"/>
                <w:szCs w:val="21"/>
              </w:rPr>
            </w:pPr>
            <w:r>
              <w:rPr>
                <w:rFonts w:ascii="宋体" w:hAnsi="宋体"/>
                <w:szCs w:val="21"/>
              </w:rPr>
              <w:object>
                <v:shape id="_x0000_i1042"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42" DrawAspect="Content" ObjectID="_1468075742" r:id="rId31">
                  <o:LockedField>false</o:LockedField>
                </o:OLEObject>
              </w:object>
            </w:r>
          </w:p>
        </w:tc>
        <w:tc>
          <w:tcPr>
            <w:tcW w:w="0" w:type="auto"/>
            <w:tcBorders>
              <w:insideH w:val="single" w:sz="4" w:space="0"/>
            </w:tcBorders>
          </w:tcPr>
          <w:p w14:paraId="74037336">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16F1D29C">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695EB42F">
            <w:pPr>
              <w:widowControl/>
              <w:spacing w:line="400" w:lineRule="exact"/>
              <w:rPr>
                <w:rFonts w:ascii="宋体" w:hAnsi="宋体"/>
                <w:szCs w:val="21"/>
              </w:rPr>
            </w:pPr>
            <w:r>
              <w:rPr>
                <w:rFonts w:ascii="宋体" w:hAnsi="宋体"/>
                <w:szCs w:val="21"/>
              </w:rPr>
              <w:t>CV</w:t>
            </w:r>
          </w:p>
        </w:tc>
      </w:tr>
      <w:tr w14:paraId="2BB3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7A832526">
            <w:pPr>
              <w:widowControl/>
              <w:spacing w:line="400" w:lineRule="exact"/>
              <w:rPr>
                <w:rFonts w:ascii="宋体" w:hAnsi="宋体"/>
                <w:szCs w:val="21"/>
              </w:rPr>
            </w:pPr>
            <w:r>
              <w:rPr>
                <w:rFonts w:ascii="宋体" w:hAnsi="宋体"/>
                <w:szCs w:val="21"/>
              </w:rPr>
              <w:t>A.根据病情需要和操作部位选择不同型号的三棱针。针身应光滑、无锈蚀，针尖应锐利、无倒钩。</w:t>
            </w:r>
          </w:p>
        </w:tc>
        <w:tc>
          <w:tcPr>
            <w:tcW w:w="0" w:type="auto"/>
            <w:shd w:val="clear" w:color="auto" w:fill="auto"/>
            <w:vAlign w:val="center"/>
          </w:tcPr>
          <w:p w14:paraId="6D658E69">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0.47 </w:t>
            </w:r>
          </w:p>
        </w:tc>
        <w:tc>
          <w:tcPr>
            <w:tcW w:w="0" w:type="auto"/>
            <w:shd w:val="clear" w:color="auto" w:fill="auto"/>
            <w:vAlign w:val="center"/>
          </w:tcPr>
          <w:p w14:paraId="24FB1EE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50.00%</w:t>
            </w:r>
          </w:p>
        </w:tc>
        <w:tc>
          <w:tcPr>
            <w:tcW w:w="0" w:type="auto"/>
            <w:shd w:val="clear" w:color="auto" w:fill="auto"/>
            <w:vAlign w:val="center"/>
          </w:tcPr>
          <w:p w14:paraId="56BCE5AD">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15</w:t>
            </w:r>
          </w:p>
        </w:tc>
        <w:tc>
          <w:tcPr>
            <w:tcW w:w="0" w:type="auto"/>
            <w:shd w:val="clear" w:color="auto" w:fill="auto"/>
            <w:vAlign w:val="center"/>
          </w:tcPr>
          <w:p w14:paraId="61892B8D">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107.52%</w:t>
            </w:r>
          </w:p>
        </w:tc>
      </w:tr>
      <w:tr w14:paraId="34F7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6C6C0252">
            <w:pPr>
              <w:widowControl/>
              <w:spacing w:line="400" w:lineRule="exact"/>
              <w:rPr>
                <w:rFonts w:ascii="宋体" w:hAnsi="宋体"/>
                <w:szCs w:val="21"/>
              </w:rPr>
            </w:pPr>
            <w:r>
              <w:rPr>
                <w:rFonts w:ascii="宋体" w:hAnsi="宋体"/>
                <w:szCs w:val="21"/>
              </w:rPr>
              <w:t>B.沿用国家标准原文。</w:t>
            </w:r>
          </w:p>
        </w:tc>
        <w:tc>
          <w:tcPr>
            <w:tcW w:w="0" w:type="auto"/>
            <w:shd w:val="clear" w:color="auto" w:fill="auto"/>
            <w:vAlign w:val="center"/>
          </w:tcPr>
          <w:p w14:paraId="1C61401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0.53 </w:t>
            </w:r>
          </w:p>
        </w:tc>
        <w:tc>
          <w:tcPr>
            <w:tcW w:w="0" w:type="auto"/>
            <w:shd w:val="clear" w:color="auto" w:fill="auto"/>
            <w:vAlign w:val="center"/>
          </w:tcPr>
          <w:p w14:paraId="2EF698C4">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44.12%</w:t>
            </w:r>
          </w:p>
        </w:tc>
        <w:tc>
          <w:tcPr>
            <w:tcW w:w="0" w:type="auto"/>
            <w:shd w:val="clear" w:color="auto" w:fill="auto"/>
            <w:vAlign w:val="center"/>
          </w:tcPr>
          <w:p w14:paraId="465C16C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17</w:t>
            </w:r>
          </w:p>
        </w:tc>
        <w:tc>
          <w:tcPr>
            <w:tcW w:w="0" w:type="auto"/>
            <w:shd w:val="clear" w:color="auto" w:fill="auto"/>
            <w:vAlign w:val="center"/>
          </w:tcPr>
          <w:p w14:paraId="33E41766">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95.53%</w:t>
            </w:r>
          </w:p>
        </w:tc>
      </w:tr>
    </w:tbl>
    <w:p w14:paraId="38F96515">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15</w:t>
      </w:r>
      <w:r>
        <w:rPr>
          <w:rFonts w:ascii="宋体" w:hAnsi="宋体"/>
          <w:b/>
          <w:bCs/>
          <w:szCs w:val="21"/>
        </w:rPr>
        <w:t xml:space="preserve"> 三棱针点刺法操作步骤调查结果</w:t>
      </w:r>
    </w:p>
    <w:p w14:paraId="184BD920">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15</w:t>
      </w:r>
      <w:r>
        <w:rPr>
          <w:rFonts w:ascii="宋体" w:hAnsi="宋体"/>
          <w:b/>
          <w:bCs/>
          <w:szCs w:val="21"/>
        </w:rPr>
        <w:t xml:space="preserve"> 三棱针点刺法操作步骤调查结果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230BE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7D8BA6D2">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1A7F0F2E">
            <w:pPr>
              <w:widowControl/>
              <w:spacing w:line="400" w:lineRule="exact"/>
              <w:rPr>
                <w:rFonts w:ascii="宋体" w:hAnsi="宋体"/>
                <w:szCs w:val="21"/>
              </w:rPr>
            </w:pPr>
            <w:r>
              <w:rPr>
                <w:rFonts w:ascii="宋体" w:hAnsi="宋体"/>
                <w:szCs w:val="21"/>
              </w:rPr>
              <w:object>
                <v:shape id="_x0000_i1043"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43" DrawAspect="Content" ObjectID="_1468075743" r:id="rId32">
                  <o:LockedField>false</o:LockedField>
                </o:OLEObject>
              </w:object>
            </w:r>
          </w:p>
        </w:tc>
        <w:tc>
          <w:tcPr>
            <w:tcW w:w="0" w:type="auto"/>
            <w:tcBorders>
              <w:insideH w:val="single" w:sz="4" w:space="0"/>
            </w:tcBorders>
          </w:tcPr>
          <w:p w14:paraId="25411DE7">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29945586">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517FF402">
            <w:pPr>
              <w:widowControl/>
              <w:spacing w:line="400" w:lineRule="exact"/>
              <w:rPr>
                <w:rFonts w:ascii="宋体" w:hAnsi="宋体"/>
                <w:szCs w:val="21"/>
              </w:rPr>
            </w:pPr>
            <w:r>
              <w:rPr>
                <w:rFonts w:ascii="宋体" w:hAnsi="宋体"/>
                <w:szCs w:val="21"/>
              </w:rPr>
              <w:t>CV</w:t>
            </w:r>
          </w:p>
        </w:tc>
      </w:tr>
      <w:tr w14:paraId="0A1DB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772ED946">
            <w:pPr>
              <w:widowControl/>
              <w:spacing w:line="400" w:lineRule="exact"/>
              <w:rPr>
                <w:rFonts w:ascii="宋体" w:hAnsi="宋体"/>
                <w:szCs w:val="21"/>
              </w:rPr>
            </w:pPr>
            <w:r>
              <w:rPr>
                <w:rFonts w:ascii="宋体" w:hAnsi="宋体"/>
                <w:szCs w:val="21"/>
              </w:rPr>
              <w:t>A.针尖露出0.5 mm～5 mm，对准已消毒的部位，刺入0.5 mm～5 mm深，随即将针迅速退出；轻轻挤压针孔周围。</w:t>
            </w:r>
          </w:p>
        </w:tc>
        <w:tc>
          <w:tcPr>
            <w:tcW w:w="0" w:type="auto"/>
            <w:shd w:val="clear" w:color="auto" w:fill="auto"/>
            <w:vAlign w:val="center"/>
          </w:tcPr>
          <w:p w14:paraId="489E84D4">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0.53 </w:t>
            </w:r>
          </w:p>
        </w:tc>
        <w:tc>
          <w:tcPr>
            <w:tcW w:w="0" w:type="auto"/>
            <w:shd w:val="clear" w:color="auto" w:fill="auto"/>
            <w:vAlign w:val="center"/>
          </w:tcPr>
          <w:p w14:paraId="66A73697">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47.06%</w:t>
            </w:r>
          </w:p>
        </w:tc>
        <w:tc>
          <w:tcPr>
            <w:tcW w:w="0" w:type="auto"/>
            <w:shd w:val="clear" w:color="auto" w:fill="auto"/>
            <w:vAlign w:val="center"/>
          </w:tcPr>
          <w:p w14:paraId="24D8EB3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18</w:t>
            </w:r>
          </w:p>
        </w:tc>
        <w:tc>
          <w:tcPr>
            <w:tcW w:w="0" w:type="auto"/>
            <w:shd w:val="clear" w:color="auto" w:fill="auto"/>
            <w:vAlign w:val="center"/>
          </w:tcPr>
          <w:p w14:paraId="73267902">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95.70%</w:t>
            </w:r>
          </w:p>
        </w:tc>
      </w:tr>
      <w:tr w14:paraId="75A82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648BD229">
            <w:pPr>
              <w:widowControl/>
              <w:spacing w:line="400" w:lineRule="exact"/>
              <w:rPr>
                <w:rFonts w:ascii="宋体" w:hAnsi="宋体"/>
                <w:szCs w:val="21"/>
              </w:rPr>
            </w:pPr>
            <w:r>
              <w:rPr>
                <w:rFonts w:ascii="宋体" w:hAnsi="宋体"/>
                <w:szCs w:val="21"/>
              </w:rPr>
              <w:t>B.沿用国家标准原文。</w:t>
            </w:r>
          </w:p>
        </w:tc>
        <w:tc>
          <w:tcPr>
            <w:tcW w:w="0" w:type="auto"/>
            <w:shd w:val="clear" w:color="auto" w:fill="auto"/>
            <w:vAlign w:val="center"/>
          </w:tcPr>
          <w:p w14:paraId="67098E74">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0.47 </w:t>
            </w:r>
          </w:p>
        </w:tc>
        <w:tc>
          <w:tcPr>
            <w:tcW w:w="0" w:type="auto"/>
            <w:shd w:val="clear" w:color="auto" w:fill="auto"/>
            <w:vAlign w:val="center"/>
          </w:tcPr>
          <w:p w14:paraId="213517B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52.94%</w:t>
            </w:r>
          </w:p>
        </w:tc>
        <w:tc>
          <w:tcPr>
            <w:tcW w:w="0" w:type="auto"/>
            <w:shd w:val="clear" w:color="auto" w:fill="auto"/>
            <w:vAlign w:val="center"/>
          </w:tcPr>
          <w:p w14:paraId="421A5ECD">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16</w:t>
            </w:r>
          </w:p>
        </w:tc>
        <w:tc>
          <w:tcPr>
            <w:tcW w:w="0" w:type="auto"/>
            <w:shd w:val="clear" w:color="auto" w:fill="auto"/>
            <w:vAlign w:val="center"/>
          </w:tcPr>
          <w:p w14:paraId="6E54A29A">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107.66%</w:t>
            </w:r>
          </w:p>
        </w:tc>
      </w:tr>
    </w:tbl>
    <w:p w14:paraId="3DB47DFE">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16</w:t>
      </w:r>
      <w:r>
        <w:rPr>
          <w:rFonts w:ascii="宋体" w:hAnsi="宋体"/>
          <w:b/>
          <w:bCs/>
          <w:szCs w:val="21"/>
        </w:rPr>
        <w:t xml:space="preserve"> 三棱针刺络法操作步骤调查结果</w:t>
      </w:r>
    </w:p>
    <w:p w14:paraId="2C192563">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16</w:t>
      </w:r>
      <w:r>
        <w:rPr>
          <w:rFonts w:ascii="宋体" w:hAnsi="宋体"/>
          <w:b/>
          <w:bCs/>
          <w:szCs w:val="21"/>
        </w:rPr>
        <w:t xml:space="preserve"> 三棱针刺络法操作步骤调查结果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68434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5F526579">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65352A4F">
            <w:pPr>
              <w:widowControl/>
              <w:spacing w:line="400" w:lineRule="exact"/>
              <w:rPr>
                <w:rFonts w:ascii="宋体" w:hAnsi="宋体"/>
                <w:szCs w:val="21"/>
              </w:rPr>
            </w:pPr>
            <w:r>
              <w:rPr>
                <w:rFonts w:ascii="宋体" w:hAnsi="宋体"/>
                <w:szCs w:val="21"/>
              </w:rPr>
              <w:object>
                <v:shape id="_x0000_i1044"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44" DrawAspect="Content" ObjectID="_1468075744" r:id="rId33">
                  <o:LockedField>false</o:LockedField>
                </o:OLEObject>
              </w:object>
            </w:r>
          </w:p>
        </w:tc>
        <w:tc>
          <w:tcPr>
            <w:tcW w:w="0" w:type="auto"/>
            <w:tcBorders>
              <w:insideH w:val="single" w:sz="4" w:space="0"/>
            </w:tcBorders>
          </w:tcPr>
          <w:p w14:paraId="4C3222EE">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71BD8909">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486138FC">
            <w:pPr>
              <w:widowControl/>
              <w:spacing w:line="400" w:lineRule="exact"/>
              <w:rPr>
                <w:rFonts w:ascii="宋体" w:hAnsi="宋体"/>
                <w:szCs w:val="21"/>
              </w:rPr>
            </w:pPr>
            <w:r>
              <w:rPr>
                <w:rFonts w:ascii="宋体" w:hAnsi="宋体"/>
                <w:szCs w:val="21"/>
              </w:rPr>
              <w:t>CV</w:t>
            </w:r>
          </w:p>
        </w:tc>
      </w:tr>
      <w:tr w14:paraId="57A16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524BB38A">
            <w:pPr>
              <w:widowControl/>
              <w:spacing w:line="400" w:lineRule="exact"/>
              <w:rPr>
                <w:rFonts w:ascii="宋体" w:hAnsi="宋体"/>
                <w:szCs w:val="21"/>
              </w:rPr>
            </w:pPr>
            <w:r>
              <w:rPr>
                <w:rFonts w:ascii="宋体" w:hAnsi="宋体"/>
                <w:szCs w:val="21"/>
              </w:rPr>
              <w:t>A.三棱针刺络法：刺络前，可在被刺部位或其周围用推、揉、挤、捋等方法，四肢部位可在被刺部位的近心端以止血带结扎，使局部充血。刺络时，用一手固定被刺部位，另一手持针，露出针尖3mm～5mm，对准所刺部位快速刺入后出针，放出适量血液，松开止血带。</w:t>
            </w:r>
          </w:p>
        </w:tc>
        <w:tc>
          <w:tcPr>
            <w:tcW w:w="0" w:type="auto"/>
            <w:shd w:val="clear" w:color="auto" w:fill="auto"/>
            <w:vAlign w:val="center"/>
          </w:tcPr>
          <w:p w14:paraId="392B47FE">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0.56 </w:t>
            </w:r>
          </w:p>
        </w:tc>
        <w:tc>
          <w:tcPr>
            <w:tcW w:w="0" w:type="auto"/>
            <w:shd w:val="clear" w:color="auto" w:fill="auto"/>
            <w:vAlign w:val="center"/>
          </w:tcPr>
          <w:p w14:paraId="6C33BE5B">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44.12%</w:t>
            </w:r>
          </w:p>
        </w:tc>
        <w:tc>
          <w:tcPr>
            <w:tcW w:w="0" w:type="auto"/>
            <w:shd w:val="clear" w:color="auto" w:fill="auto"/>
            <w:vAlign w:val="center"/>
          </w:tcPr>
          <w:p w14:paraId="39A3829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19</w:t>
            </w:r>
          </w:p>
        </w:tc>
        <w:tc>
          <w:tcPr>
            <w:tcW w:w="0" w:type="auto"/>
            <w:shd w:val="clear" w:color="auto" w:fill="auto"/>
            <w:vAlign w:val="center"/>
          </w:tcPr>
          <w:p w14:paraId="6C78FE11">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90.19%</w:t>
            </w:r>
          </w:p>
        </w:tc>
      </w:tr>
      <w:tr w14:paraId="35813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0" w:type="auto"/>
          </w:tcPr>
          <w:p w14:paraId="51F586D2">
            <w:pPr>
              <w:widowControl/>
              <w:spacing w:line="400" w:lineRule="exact"/>
              <w:rPr>
                <w:rFonts w:ascii="宋体" w:hAnsi="宋体"/>
                <w:szCs w:val="21"/>
              </w:rPr>
            </w:pPr>
            <w:r>
              <w:rPr>
                <w:rFonts w:ascii="宋体" w:hAnsi="宋体"/>
                <w:szCs w:val="21"/>
              </w:rPr>
              <w:t>B.沿用国家标准原文。</w:t>
            </w:r>
          </w:p>
        </w:tc>
        <w:tc>
          <w:tcPr>
            <w:tcW w:w="0" w:type="auto"/>
            <w:shd w:val="clear" w:color="auto" w:fill="auto"/>
            <w:vAlign w:val="center"/>
          </w:tcPr>
          <w:p w14:paraId="53B03EF4">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0.44 </w:t>
            </w:r>
          </w:p>
        </w:tc>
        <w:tc>
          <w:tcPr>
            <w:tcW w:w="0" w:type="auto"/>
            <w:shd w:val="clear" w:color="auto" w:fill="auto"/>
            <w:vAlign w:val="center"/>
          </w:tcPr>
          <w:p w14:paraId="4CF454D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55.88%</w:t>
            </w:r>
          </w:p>
        </w:tc>
        <w:tc>
          <w:tcPr>
            <w:tcW w:w="0" w:type="auto"/>
            <w:shd w:val="clear" w:color="auto" w:fill="auto"/>
            <w:vAlign w:val="center"/>
          </w:tcPr>
          <w:p w14:paraId="24DA8910">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15</w:t>
            </w:r>
          </w:p>
        </w:tc>
        <w:tc>
          <w:tcPr>
            <w:tcW w:w="0" w:type="auto"/>
            <w:shd w:val="clear" w:color="auto" w:fill="auto"/>
            <w:vAlign w:val="center"/>
          </w:tcPr>
          <w:p w14:paraId="18BD4CF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114.24%</w:t>
            </w:r>
          </w:p>
        </w:tc>
      </w:tr>
    </w:tbl>
    <w:p w14:paraId="76F30C6C">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17</w:t>
      </w:r>
      <w:r>
        <w:rPr>
          <w:rFonts w:ascii="宋体" w:hAnsi="宋体"/>
          <w:b/>
          <w:bCs/>
          <w:szCs w:val="21"/>
        </w:rPr>
        <w:t xml:space="preserve"> 三棱针散刺法操作步骤调查结果</w:t>
      </w:r>
    </w:p>
    <w:p w14:paraId="62BD6ED9">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17</w:t>
      </w:r>
      <w:r>
        <w:rPr>
          <w:rFonts w:ascii="宋体" w:hAnsi="宋体"/>
          <w:b/>
          <w:bCs/>
          <w:szCs w:val="21"/>
        </w:rPr>
        <w:t xml:space="preserve"> 三棱针散刺法操作步骤调查结果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6"/>
        <w:gridCol w:w="616"/>
        <w:gridCol w:w="816"/>
        <w:gridCol w:w="416"/>
        <w:gridCol w:w="916"/>
      </w:tblGrid>
      <w:tr w14:paraId="237F3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0BFBCDF8">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3F437985">
            <w:pPr>
              <w:widowControl/>
              <w:spacing w:line="400" w:lineRule="exact"/>
              <w:rPr>
                <w:rFonts w:ascii="宋体" w:hAnsi="宋体"/>
                <w:szCs w:val="21"/>
              </w:rPr>
            </w:pPr>
            <w:r>
              <w:rPr>
                <w:rFonts w:ascii="宋体" w:hAnsi="宋体"/>
                <w:szCs w:val="21"/>
              </w:rPr>
              <w:object>
                <v:shape id="_x0000_i1045"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45" DrawAspect="Content" ObjectID="_1468075745" r:id="rId34">
                  <o:LockedField>false</o:LockedField>
                </o:OLEObject>
              </w:object>
            </w:r>
          </w:p>
        </w:tc>
        <w:tc>
          <w:tcPr>
            <w:tcW w:w="0" w:type="auto"/>
            <w:tcBorders>
              <w:insideH w:val="single" w:sz="4" w:space="0"/>
            </w:tcBorders>
          </w:tcPr>
          <w:p w14:paraId="36BF136C">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571A9801">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17F0E6D5">
            <w:pPr>
              <w:widowControl/>
              <w:spacing w:line="400" w:lineRule="exact"/>
              <w:rPr>
                <w:rFonts w:ascii="宋体" w:hAnsi="宋体"/>
                <w:szCs w:val="21"/>
              </w:rPr>
            </w:pPr>
            <w:r>
              <w:rPr>
                <w:rFonts w:ascii="宋体" w:hAnsi="宋体"/>
                <w:szCs w:val="21"/>
              </w:rPr>
              <w:t>CV</w:t>
            </w:r>
          </w:p>
        </w:tc>
      </w:tr>
      <w:tr w14:paraId="6221B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2B6382E5">
            <w:pPr>
              <w:widowControl/>
              <w:spacing w:line="400" w:lineRule="exact"/>
              <w:rPr>
                <w:rFonts w:ascii="宋体" w:hAnsi="宋体"/>
                <w:szCs w:val="21"/>
              </w:rPr>
            </w:pPr>
            <w:r>
              <w:rPr>
                <w:rFonts w:ascii="宋体" w:hAnsi="宋体"/>
                <w:szCs w:val="21"/>
              </w:rPr>
              <w:t>A.用一手固定被刺部位，另一手持针在施术部位点刺多点。</w:t>
            </w:r>
          </w:p>
        </w:tc>
        <w:tc>
          <w:tcPr>
            <w:tcW w:w="0" w:type="auto"/>
            <w:shd w:val="clear" w:color="auto" w:fill="auto"/>
            <w:vAlign w:val="center"/>
          </w:tcPr>
          <w:p w14:paraId="6C52782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0.47 </w:t>
            </w:r>
          </w:p>
        </w:tc>
        <w:tc>
          <w:tcPr>
            <w:tcW w:w="0" w:type="auto"/>
            <w:shd w:val="clear" w:color="auto" w:fill="auto"/>
            <w:vAlign w:val="center"/>
          </w:tcPr>
          <w:p w14:paraId="5554E931">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52.94%</w:t>
            </w:r>
          </w:p>
        </w:tc>
        <w:tc>
          <w:tcPr>
            <w:tcW w:w="0" w:type="auto"/>
            <w:shd w:val="clear" w:color="auto" w:fill="auto"/>
            <w:vAlign w:val="center"/>
          </w:tcPr>
          <w:p w14:paraId="14119F3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16</w:t>
            </w:r>
          </w:p>
        </w:tc>
        <w:tc>
          <w:tcPr>
            <w:tcW w:w="0" w:type="auto"/>
            <w:shd w:val="clear" w:color="auto" w:fill="auto"/>
            <w:vAlign w:val="center"/>
          </w:tcPr>
          <w:p w14:paraId="0E3EA1E0">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107.66%</w:t>
            </w:r>
          </w:p>
        </w:tc>
      </w:tr>
      <w:tr w14:paraId="16EA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763FA0D2">
            <w:pPr>
              <w:widowControl/>
              <w:spacing w:line="400" w:lineRule="exact"/>
              <w:rPr>
                <w:rFonts w:ascii="宋体" w:hAnsi="宋体"/>
                <w:szCs w:val="21"/>
              </w:rPr>
            </w:pPr>
            <w:r>
              <w:rPr>
                <w:rFonts w:ascii="宋体" w:hAnsi="宋体"/>
                <w:szCs w:val="21"/>
              </w:rPr>
              <w:t>B.沿用国家标准原文。</w:t>
            </w:r>
          </w:p>
        </w:tc>
        <w:tc>
          <w:tcPr>
            <w:tcW w:w="0" w:type="auto"/>
            <w:shd w:val="clear" w:color="auto" w:fill="auto"/>
            <w:vAlign w:val="center"/>
          </w:tcPr>
          <w:p w14:paraId="702878A1">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0.53 </w:t>
            </w:r>
          </w:p>
        </w:tc>
        <w:tc>
          <w:tcPr>
            <w:tcW w:w="0" w:type="auto"/>
            <w:shd w:val="clear" w:color="auto" w:fill="auto"/>
            <w:vAlign w:val="center"/>
          </w:tcPr>
          <w:p w14:paraId="71A9140F">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47.06%</w:t>
            </w:r>
          </w:p>
        </w:tc>
        <w:tc>
          <w:tcPr>
            <w:tcW w:w="0" w:type="auto"/>
            <w:shd w:val="clear" w:color="auto" w:fill="auto"/>
            <w:vAlign w:val="center"/>
          </w:tcPr>
          <w:p w14:paraId="2A78F2A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18</w:t>
            </w:r>
          </w:p>
        </w:tc>
        <w:tc>
          <w:tcPr>
            <w:tcW w:w="0" w:type="auto"/>
            <w:shd w:val="clear" w:color="auto" w:fill="auto"/>
            <w:vAlign w:val="center"/>
          </w:tcPr>
          <w:p w14:paraId="4432CF7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95.70%</w:t>
            </w:r>
          </w:p>
        </w:tc>
      </w:tr>
    </w:tbl>
    <w:p w14:paraId="36DF82D6">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18</w:t>
      </w:r>
      <w:r>
        <w:rPr>
          <w:rFonts w:ascii="宋体" w:hAnsi="宋体"/>
          <w:b/>
          <w:bCs/>
          <w:szCs w:val="21"/>
        </w:rPr>
        <w:t xml:space="preserve"> 实按灸法操作步骤调查结果</w:t>
      </w:r>
    </w:p>
    <w:p w14:paraId="745CDDA1">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18</w:t>
      </w:r>
      <w:r>
        <w:rPr>
          <w:rFonts w:ascii="宋体" w:hAnsi="宋体"/>
          <w:b/>
          <w:bCs/>
          <w:szCs w:val="21"/>
        </w:rPr>
        <w:t xml:space="preserve"> 实按灸法操作步骤调查结果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6A9F5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2D16B0F4">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6973EC05">
            <w:pPr>
              <w:widowControl/>
              <w:spacing w:line="400" w:lineRule="exact"/>
              <w:rPr>
                <w:rFonts w:ascii="宋体" w:hAnsi="宋体"/>
                <w:szCs w:val="21"/>
              </w:rPr>
            </w:pPr>
            <w:r>
              <w:rPr>
                <w:rFonts w:ascii="宋体" w:hAnsi="宋体"/>
                <w:szCs w:val="21"/>
              </w:rPr>
              <w:object>
                <v:shape id="_x0000_i1046"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46" DrawAspect="Content" ObjectID="_1468075746" r:id="rId35">
                  <o:LockedField>false</o:LockedField>
                </o:OLEObject>
              </w:object>
            </w:r>
          </w:p>
        </w:tc>
        <w:tc>
          <w:tcPr>
            <w:tcW w:w="0" w:type="auto"/>
            <w:tcBorders>
              <w:insideH w:val="single" w:sz="4" w:space="0"/>
            </w:tcBorders>
          </w:tcPr>
          <w:p w14:paraId="050902C9">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3B31BAD0">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4D1309C2">
            <w:pPr>
              <w:widowControl/>
              <w:spacing w:line="400" w:lineRule="exact"/>
              <w:rPr>
                <w:rFonts w:ascii="宋体" w:hAnsi="宋体"/>
                <w:szCs w:val="21"/>
              </w:rPr>
            </w:pPr>
            <w:r>
              <w:rPr>
                <w:rFonts w:ascii="宋体" w:hAnsi="宋体"/>
                <w:szCs w:val="21"/>
              </w:rPr>
              <w:t>CV</w:t>
            </w:r>
          </w:p>
        </w:tc>
      </w:tr>
      <w:tr w14:paraId="63D69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716EA1F2">
            <w:pPr>
              <w:widowControl/>
              <w:spacing w:line="400" w:lineRule="exact"/>
              <w:rPr>
                <w:rFonts w:ascii="宋体" w:hAnsi="宋体"/>
                <w:szCs w:val="21"/>
              </w:rPr>
            </w:pPr>
            <w:r>
              <w:rPr>
                <w:rFonts w:ascii="宋体" w:hAnsi="宋体"/>
                <w:szCs w:val="21"/>
              </w:rPr>
              <w:t xml:space="preserve">A.在施灸部位上铺设6层～8层绵纸、纱布、绸布或棉布；术者手持艾条，将艾条的一端点燃，艾条燃着端对准施灸部位直按其上，停1s～2s，使热力透达深部。待病人感到按灸局部灼烫、疼痛即拿开艾条。每次每穴可按3次～7次，移去艾条和铺设的纸或布，见皮肤红晕为度。 </w:t>
            </w:r>
          </w:p>
        </w:tc>
        <w:tc>
          <w:tcPr>
            <w:tcW w:w="0" w:type="auto"/>
            <w:shd w:val="clear" w:color="auto" w:fill="auto"/>
            <w:vAlign w:val="center"/>
          </w:tcPr>
          <w:p w14:paraId="756E494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0.32 </w:t>
            </w:r>
          </w:p>
        </w:tc>
        <w:tc>
          <w:tcPr>
            <w:tcW w:w="0" w:type="auto"/>
            <w:shd w:val="clear" w:color="auto" w:fill="auto"/>
            <w:vAlign w:val="center"/>
          </w:tcPr>
          <w:p w14:paraId="0D58D2A6">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67.65%</w:t>
            </w:r>
          </w:p>
        </w:tc>
        <w:tc>
          <w:tcPr>
            <w:tcW w:w="0" w:type="auto"/>
            <w:shd w:val="clear" w:color="auto" w:fill="auto"/>
            <w:vAlign w:val="center"/>
          </w:tcPr>
          <w:p w14:paraId="090E497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11</w:t>
            </w:r>
          </w:p>
        </w:tc>
        <w:tc>
          <w:tcPr>
            <w:tcW w:w="0" w:type="auto"/>
            <w:shd w:val="clear" w:color="auto" w:fill="auto"/>
            <w:vAlign w:val="center"/>
          </w:tcPr>
          <w:p w14:paraId="75633A5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146.77%</w:t>
            </w:r>
          </w:p>
        </w:tc>
      </w:tr>
      <w:tr w14:paraId="0954F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4C24450E">
            <w:pPr>
              <w:widowControl/>
              <w:spacing w:line="400" w:lineRule="exact"/>
              <w:rPr>
                <w:rFonts w:ascii="宋体" w:hAnsi="宋体"/>
                <w:szCs w:val="21"/>
              </w:rPr>
            </w:pPr>
            <w:r>
              <w:rPr>
                <w:rFonts w:ascii="宋体" w:hAnsi="宋体"/>
                <w:szCs w:val="21"/>
              </w:rPr>
              <w:t>B.在施灸部位上铺设6层～8层棉纸、纱布、绸布或棉布。施术者以执笔状手持艾条，将艾条的一端点燃，艾条燃着端对准施灸部位直按其上，停2s～4s，使药气热力透达深部；或受术者感到按灸局部灼烫、疼痛即提起艾条，待灼烫感或疼痛减轻后再行按压。若操作中艾火熄灭，可取预先点燃的备用艾条迅速接替施灸，如此反复。每次每穴可按3次～7次，或以移去铺设物后见施灸部位皮肤红晕为度。每日或隔日1次。</w:t>
            </w:r>
          </w:p>
        </w:tc>
        <w:tc>
          <w:tcPr>
            <w:tcW w:w="0" w:type="auto"/>
            <w:shd w:val="clear" w:color="auto" w:fill="auto"/>
            <w:vAlign w:val="center"/>
          </w:tcPr>
          <w:p w14:paraId="767A789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0.18 </w:t>
            </w:r>
          </w:p>
        </w:tc>
        <w:tc>
          <w:tcPr>
            <w:tcW w:w="0" w:type="auto"/>
            <w:shd w:val="clear" w:color="auto" w:fill="auto"/>
            <w:vAlign w:val="center"/>
          </w:tcPr>
          <w:p w14:paraId="0A76D2DF">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82.35%</w:t>
            </w:r>
          </w:p>
        </w:tc>
        <w:tc>
          <w:tcPr>
            <w:tcW w:w="0" w:type="auto"/>
            <w:shd w:val="clear" w:color="auto" w:fill="auto"/>
            <w:vAlign w:val="center"/>
          </w:tcPr>
          <w:p w14:paraId="1F19914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6</w:t>
            </w:r>
          </w:p>
        </w:tc>
        <w:tc>
          <w:tcPr>
            <w:tcW w:w="0" w:type="auto"/>
            <w:shd w:val="clear" w:color="auto" w:fill="auto"/>
            <w:vAlign w:val="center"/>
          </w:tcPr>
          <w:p w14:paraId="1C8C298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219.27%</w:t>
            </w:r>
          </w:p>
        </w:tc>
      </w:tr>
      <w:tr w14:paraId="704D0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6B675FAA">
            <w:pPr>
              <w:widowControl/>
              <w:spacing w:line="400" w:lineRule="exact"/>
              <w:rPr>
                <w:rFonts w:ascii="宋体" w:hAnsi="宋体"/>
                <w:szCs w:val="21"/>
              </w:rPr>
            </w:pPr>
            <w:r>
              <w:rPr>
                <w:rFonts w:ascii="宋体" w:hAnsi="宋体"/>
                <w:szCs w:val="21"/>
              </w:rPr>
              <w:t>C.沿用国家标准原文。</w:t>
            </w:r>
          </w:p>
        </w:tc>
        <w:tc>
          <w:tcPr>
            <w:tcW w:w="0" w:type="auto"/>
            <w:shd w:val="clear" w:color="auto" w:fill="auto"/>
            <w:vAlign w:val="center"/>
          </w:tcPr>
          <w:p w14:paraId="21FE1D41">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0.29 </w:t>
            </w:r>
          </w:p>
        </w:tc>
        <w:tc>
          <w:tcPr>
            <w:tcW w:w="0" w:type="auto"/>
            <w:shd w:val="clear" w:color="auto" w:fill="auto"/>
            <w:vAlign w:val="center"/>
          </w:tcPr>
          <w:p w14:paraId="739CC50A">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70.59%</w:t>
            </w:r>
          </w:p>
        </w:tc>
        <w:tc>
          <w:tcPr>
            <w:tcW w:w="0" w:type="auto"/>
            <w:shd w:val="clear" w:color="auto" w:fill="auto"/>
            <w:vAlign w:val="center"/>
          </w:tcPr>
          <w:p w14:paraId="09B94AE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10</w:t>
            </w:r>
          </w:p>
        </w:tc>
        <w:tc>
          <w:tcPr>
            <w:tcW w:w="0" w:type="auto"/>
            <w:shd w:val="clear" w:color="auto" w:fill="auto"/>
            <w:vAlign w:val="center"/>
          </w:tcPr>
          <w:p w14:paraId="75F97C4E">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157.25%</w:t>
            </w:r>
          </w:p>
        </w:tc>
      </w:tr>
      <w:tr w14:paraId="48B6A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08A14921">
            <w:pPr>
              <w:widowControl/>
              <w:spacing w:line="400" w:lineRule="exact"/>
              <w:rPr>
                <w:rFonts w:ascii="宋体" w:hAnsi="宋体"/>
                <w:szCs w:val="21"/>
              </w:rPr>
            </w:pPr>
            <w:r>
              <w:rPr>
                <w:rFonts w:ascii="宋体" w:hAnsi="宋体"/>
                <w:szCs w:val="21"/>
              </w:rPr>
              <w:t>D.综合以上内容。</w:t>
            </w:r>
          </w:p>
        </w:tc>
        <w:tc>
          <w:tcPr>
            <w:tcW w:w="0" w:type="auto"/>
            <w:shd w:val="clear" w:color="auto" w:fill="auto"/>
            <w:vAlign w:val="center"/>
          </w:tcPr>
          <w:p w14:paraId="30A754BA">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0.21 </w:t>
            </w:r>
          </w:p>
        </w:tc>
        <w:tc>
          <w:tcPr>
            <w:tcW w:w="0" w:type="auto"/>
            <w:shd w:val="clear" w:color="auto" w:fill="auto"/>
            <w:vAlign w:val="center"/>
          </w:tcPr>
          <w:p w14:paraId="2BA4AF01">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79.41%</w:t>
            </w:r>
          </w:p>
        </w:tc>
        <w:tc>
          <w:tcPr>
            <w:tcW w:w="0" w:type="auto"/>
            <w:shd w:val="clear" w:color="auto" w:fill="auto"/>
            <w:vAlign w:val="center"/>
          </w:tcPr>
          <w:p w14:paraId="3BC74304">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7</w:t>
            </w:r>
          </w:p>
        </w:tc>
        <w:tc>
          <w:tcPr>
            <w:tcW w:w="0" w:type="auto"/>
            <w:shd w:val="clear" w:color="auto" w:fill="auto"/>
            <w:vAlign w:val="center"/>
          </w:tcPr>
          <w:p w14:paraId="4DA8DFFD">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199.35%</w:t>
            </w:r>
          </w:p>
        </w:tc>
      </w:tr>
    </w:tbl>
    <w:p w14:paraId="0B337B0F">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19</w:t>
      </w:r>
      <w:r>
        <w:rPr>
          <w:rFonts w:ascii="宋体" w:hAnsi="宋体"/>
          <w:b/>
          <w:bCs/>
          <w:szCs w:val="21"/>
        </w:rPr>
        <w:t xml:space="preserve"> 温针灸法操作描述调查结果</w:t>
      </w:r>
    </w:p>
    <w:p w14:paraId="4142CA56">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19</w:t>
      </w:r>
      <w:r>
        <w:rPr>
          <w:rFonts w:ascii="宋体" w:hAnsi="宋体"/>
          <w:b/>
          <w:bCs/>
          <w:szCs w:val="21"/>
        </w:rPr>
        <w:t xml:space="preserve"> 温针灸法操作描述调查结果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1CCE0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2F4BFC52">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79ADBBD6">
            <w:pPr>
              <w:widowControl/>
              <w:spacing w:line="400" w:lineRule="exact"/>
              <w:rPr>
                <w:rFonts w:ascii="宋体" w:hAnsi="宋体"/>
                <w:szCs w:val="21"/>
              </w:rPr>
            </w:pPr>
            <w:r>
              <w:rPr>
                <w:rFonts w:ascii="宋体" w:hAnsi="宋体"/>
                <w:szCs w:val="21"/>
              </w:rPr>
              <w:object>
                <v:shape id="_x0000_i1047"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47" DrawAspect="Content" ObjectID="_1468075747" r:id="rId36">
                  <o:LockedField>false</o:LockedField>
                </o:OLEObject>
              </w:object>
            </w:r>
          </w:p>
        </w:tc>
        <w:tc>
          <w:tcPr>
            <w:tcW w:w="0" w:type="auto"/>
            <w:tcBorders>
              <w:insideH w:val="single" w:sz="4" w:space="0"/>
            </w:tcBorders>
          </w:tcPr>
          <w:p w14:paraId="31D71BDF">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2529DCE3">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364204BF">
            <w:pPr>
              <w:widowControl/>
              <w:spacing w:line="400" w:lineRule="exact"/>
              <w:rPr>
                <w:rFonts w:ascii="宋体" w:hAnsi="宋体"/>
                <w:szCs w:val="21"/>
              </w:rPr>
            </w:pPr>
            <w:r>
              <w:rPr>
                <w:rFonts w:ascii="宋体" w:hAnsi="宋体"/>
                <w:szCs w:val="21"/>
              </w:rPr>
              <w:t>CV</w:t>
            </w:r>
          </w:p>
        </w:tc>
      </w:tr>
      <w:tr w14:paraId="39A90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5209D9FB">
            <w:pPr>
              <w:widowControl/>
              <w:spacing w:line="400" w:lineRule="exact"/>
              <w:rPr>
                <w:rFonts w:ascii="宋体" w:hAnsi="宋体"/>
                <w:szCs w:val="21"/>
              </w:rPr>
            </w:pPr>
            <w:r>
              <w:rPr>
                <w:rFonts w:ascii="宋体" w:hAnsi="宋体"/>
                <w:szCs w:val="21"/>
              </w:rPr>
              <w:t>A.温针灸法  首先在选定的腧穴上针刺，毫针刺入穴位得气并施行适当的补泻手法后，在留针时将2g～3g艾 绒包裹于毫针针柄顶端捏紧成团状，或将１cm～３cm长短的艾条段直接插在针柄上，点燃施灸，待艾绒或艾条燃尽无热度后除去灰烬。艾灸结束，将针取出。</w:t>
            </w:r>
          </w:p>
        </w:tc>
        <w:tc>
          <w:tcPr>
            <w:tcW w:w="0" w:type="auto"/>
            <w:shd w:val="clear" w:color="auto" w:fill="auto"/>
            <w:vAlign w:val="center"/>
          </w:tcPr>
          <w:p w14:paraId="2E6E3D77">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0.47 </w:t>
            </w:r>
          </w:p>
        </w:tc>
        <w:tc>
          <w:tcPr>
            <w:tcW w:w="0" w:type="auto"/>
            <w:shd w:val="clear" w:color="auto" w:fill="auto"/>
            <w:vAlign w:val="center"/>
          </w:tcPr>
          <w:p w14:paraId="73DC617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50.00%</w:t>
            </w:r>
          </w:p>
        </w:tc>
        <w:tc>
          <w:tcPr>
            <w:tcW w:w="0" w:type="auto"/>
            <w:shd w:val="clear" w:color="auto" w:fill="auto"/>
            <w:vAlign w:val="center"/>
          </w:tcPr>
          <w:p w14:paraId="65E9718E">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15</w:t>
            </w:r>
          </w:p>
        </w:tc>
        <w:tc>
          <w:tcPr>
            <w:tcW w:w="0" w:type="auto"/>
            <w:shd w:val="clear" w:color="auto" w:fill="auto"/>
            <w:vAlign w:val="center"/>
          </w:tcPr>
          <w:p w14:paraId="47708319">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107.52%</w:t>
            </w:r>
          </w:p>
        </w:tc>
      </w:tr>
      <w:tr w14:paraId="57D5B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57D9F4B3">
            <w:pPr>
              <w:widowControl/>
              <w:spacing w:line="400" w:lineRule="exact"/>
              <w:rPr>
                <w:rFonts w:ascii="宋体" w:hAnsi="宋体"/>
                <w:szCs w:val="21"/>
              </w:rPr>
            </w:pPr>
            <w:r>
              <w:rPr>
                <w:rFonts w:ascii="宋体" w:hAnsi="宋体"/>
                <w:szCs w:val="21"/>
              </w:rPr>
              <w:t>B.沿用国家标准原文。</w:t>
            </w:r>
          </w:p>
        </w:tc>
        <w:tc>
          <w:tcPr>
            <w:tcW w:w="0" w:type="auto"/>
            <w:shd w:val="clear" w:color="auto" w:fill="auto"/>
            <w:vAlign w:val="center"/>
          </w:tcPr>
          <w:p w14:paraId="7E72A43D">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0.53 </w:t>
            </w:r>
          </w:p>
        </w:tc>
        <w:tc>
          <w:tcPr>
            <w:tcW w:w="0" w:type="auto"/>
            <w:shd w:val="clear" w:color="auto" w:fill="auto"/>
            <w:vAlign w:val="center"/>
          </w:tcPr>
          <w:p w14:paraId="5710BD6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44.12%</w:t>
            </w:r>
          </w:p>
        </w:tc>
        <w:tc>
          <w:tcPr>
            <w:tcW w:w="0" w:type="auto"/>
            <w:shd w:val="clear" w:color="auto" w:fill="auto"/>
            <w:vAlign w:val="center"/>
          </w:tcPr>
          <w:p w14:paraId="17F2306A">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17</w:t>
            </w:r>
          </w:p>
        </w:tc>
        <w:tc>
          <w:tcPr>
            <w:tcW w:w="0" w:type="auto"/>
            <w:shd w:val="clear" w:color="auto" w:fill="auto"/>
            <w:vAlign w:val="center"/>
          </w:tcPr>
          <w:p w14:paraId="71E812B9">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95.53%</w:t>
            </w:r>
          </w:p>
        </w:tc>
      </w:tr>
    </w:tbl>
    <w:p w14:paraId="144FA9F9">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20</w:t>
      </w:r>
      <w:r>
        <w:rPr>
          <w:rFonts w:ascii="宋体" w:hAnsi="宋体"/>
          <w:b/>
          <w:bCs/>
          <w:szCs w:val="21"/>
        </w:rPr>
        <w:t xml:space="preserve"> 艾灸术后护理调查结果</w:t>
      </w:r>
    </w:p>
    <w:p w14:paraId="0E3E8CD5">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20</w:t>
      </w:r>
      <w:r>
        <w:rPr>
          <w:rFonts w:ascii="宋体" w:hAnsi="宋体"/>
          <w:b/>
          <w:bCs/>
          <w:szCs w:val="21"/>
        </w:rPr>
        <w:t xml:space="preserve"> 艾灸术后护理调查结果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2E36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327C18D1">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0331318B">
            <w:pPr>
              <w:widowControl/>
              <w:spacing w:line="400" w:lineRule="exact"/>
              <w:rPr>
                <w:rFonts w:ascii="宋体" w:hAnsi="宋体"/>
                <w:szCs w:val="21"/>
              </w:rPr>
            </w:pPr>
            <w:r>
              <w:rPr>
                <w:rFonts w:ascii="宋体" w:hAnsi="宋体"/>
                <w:szCs w:val="21"/>
              </w:rPr>
              <w:object>
                <v:shape id="_x0000_i1048"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48" DrawAspect="Content" ObjectID="_1468075748" r:id="rId37">
                  <o:LockedField>false</o:LockedField>
                </o:OLEObject>
              </w:object>
            </w:r>
          </w:p>
        </w:tc>
        <w:tc>
          <w:tcPr>
            <w:tcW w:w="0" w:type="auto"/>
            <w:tcBorders>
              <w:insideH w:val="single" w:sz="4" w:space="0"/>
            </w:tcBorders>
          </w:tcPr>
          <w:p w14:paraId="0F578D42">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1C293E6E">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4EAF3AD1">
            <w:pPr>
              <w:widowControl/>
              <w:spacing w:line="400" w:lineRule="exact"/>
              <w:rPr>
                <w:rFonts w:ascii="宋体" w:hAnsi="宋体"/>
                <w:szCs w:val="21"/>
              </w:rPr>
            </w:pPr>
            <w:r>
              <w:rPr>
                <w:rFonts w:ascii="宋体" w:hAnsi="宋体"/>
                <w:szCs w:val="21"/>
              </w:rPr>
              <w:t>CV</w:t>
            </w:r>
          </w:p>
        </w:tc>
      </w:tr>
      <w:tr w14:paraId="3F10B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09B4032F">
            <w:pPr>
              <w:widowControl/>
              <w:spacing w:line="400" w:lineRule="exact"/>
              <w:rPr>
                <w:rFonts w:ascii="宋体" w:hAnsi="宋体"/>
                <w:szCs w:val="21"/>
              </w:rPr>
            </w:pPr>
            <w:r>
              <w:rPr>
                <w:rFonts w:ascii="宋体" w:hAnsi="宋体"/>
                <w:szCs w:val="21"/>
              </w:rPr>
              <w:t>A.施灸后，皮肤多有红晕灼热感，不需处理，可自行消失。 灸后如对表皮基底层以上的皮肤组织造成灼伤可发生水肿或水泡。如水泡直径在１cm左右，一般不需任何处理，待其自行吸收即可；如水泡较大，可用消毒针剪刺破或剪开泡皮放出水泡内容物，并剪去泡皮，暴露被破坏的基底层，涂搽消炎膏药以防止感染，创面的无菌脓液不必清理，直至结痂自愈。灸泡皮肤可以在5d～8d内结痂并自动脱落，愈后一般不留瘢痕。 灸后有时会破坏皮肤基底层或真皮组织，发生水肿、溃烂、体液渗出，甚至形成无菌性化脓。轻者仅破坏皮肤基底层，受损伤的皮肤在7d～20d内结痂并自动脱落，留有永久性浅在瘢痕；重者真皮组织 被破坏，创面在20d～50d结厚痂自动脱落，愈后留有永久性瘢痕，即古代医著所记载的灸疮。在灸疮化脓期间，不宜从事体力劳动，要注意休息，严防感染。若感染发生，轻度发红或红肿，可在局部作消炎处理，一般短时间内可消失；如出现红肿热痛且范围较大，在上述处理的同时口服或外用消炎药物；化脓 部位较深，则应请外科医生协助处理。</w:t>
            </w:r>
          </w:p>
        </w:tc>
        <w:tc>
          <w:tcPr>
            <w:tcW w:w="0" w:type="auto"/>
            <w:shd w:val="clear" w:color="auto" w:fill="auto"/>
            <w:vAlign w:val="center"/>
          </w:tcPr>
          <w:p w14:paraId="0115F849">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0.50 </w:t>
            </w:r>
          </w:p>
        </w:tc>
        <w:tc>
          <w:tcPr>
            <w:tcW w:w="0" w:type="auto"/>
            <w:shd w:val="clear" w:color="auto" w:fill="auto"/>
            <w:vAlign w:val="center"/>
          </w:tcPr>
          <w:p w14:paraId="255D5C1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50.00%</w:t>
            </w:r>
          </w:p>
        </w:tc>
        <w:tc>
          <w:tcPr>
            <w:tcW w:w="0" w:type="auto"/>
            <w:shd w:val="clear" w:color="auto" w:fill="auto"/>
            <w:vAlign w:val="center"/>
          </w:tcPr>
          <w:p w14:paraId="0600F6C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17</w:t>
            </w:r>
          </w:p>
        </w:tc>
        <w:tc>
          <w:tcPr>
            <w:tcW w:w="0" w:type="auto"/>
            <w:shd w:val="clear" w:color="auto" w:fill="auto"/>
            <w:vAlign w:val="center"/>
          </w:tcPr>
          <w:p w14:paraId="2D1B8A6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101.50%</w:t>
            </w:r>
          </w:p>
        </w:tc>
      </w:tr>
      <w:tr w14:paraId="52C06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7FD6F4E0">
            <w:pPr>
              <w:widowControl/>
              <w:spacing w:line="400" w:lineRule="exact"/>
              <w:rPr>
                <w:rFonts w:ascii="宋体" w:hAnsi="宋体"/>
                <w:szCs w:val="21"/>
              </w:rPr>
            </w:pPr>
            <w:r>
              <w:rPr>
                <w:rFonts w:ascii="宋体" w:hAnsi="宋体"/>
                <w:szCs w:val="21"/>
              </w:rPr>
              <w:t>B.沿用国家标准原文。</w:t>
            </w:r>
          </w:p>
        </w:tc>
        <w:tc>
          <w:tcPr>
            <w:tcW w:w="0" w:type="auto"/>
            <w:shd w:val="clear" w:color="auto" w:fill="auto"/>
            <w:vAlign w:val="center"/>
          </w:tcPr>
          <w:p w14:paraId="470947DB">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0.50 </w:t>
            </w:r>
          </w:p>
        </w:tc>
        <w:tc>
          <w:tcPr>
            <w:tcW w:w="0" w:type="auto"/>
            <w:shd w:val="clear" w:color="auto" w:fill="auto"/>
            <w:vAlign w:val="center"/>
          </w:tcPr>
          <w:p w14:paraId="5A0BC52D">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50.00%</w:t>
            </w:r>
          </w:p>
        </w:tc>
        <w:tc>
          <w:tcPr>
            <w:tcW w:w="0" w:type="auto"/>
            <w:shd w:val="clear" w:color="auto" w:fill="auto"/>
            <w:vAlign w:val="center"/>
          </w:tcPr>
          <w:p w14:paraId="4F080FFA">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17</w:t>
            </w:r>
          </w:p>
        </w:tc>
        <w:tc>
          <w:tcPr>
            <w:tcW w:w="0" w:type="auto"/>
            <w:shd w:val="clear" w:color="auto" w:fill="auto"/>
            <w:vAlign w:val="center"/>
          </w:tcPr>
          <w:p w14:paraId="177CF70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101.50%</w:t>
            </w:r>
          </w:p>
        </w:tc>
      </w:tr>
    </w:tbl>
    <w:p w14:paraId="776D719B">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21</w:t>
      </w:r>
      <w:r>
        <w:rPr>
          <w:rFonts w:ascii="宋体" w:hAnsi="宋体"/>
          <w:b/>
          <w:bCs/>
          <w:szCs w:val="21"/>
        </w:rPr>
        <w:t xml:space="preserve"> “附录Ａ （资料性）常用毫针”规格调查结果</w:t>
      </w:r>
    </w:p>
    <w:p w14:paraId="5B7A0E2C">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21</w:t>
      </w:r>
      <w:r>
        <w:rPr>
          <w:rFonts w:ascii="宋体" w:hAnsi="宋体"/>
          <w:b/>
          <w:bCs/>
          <w:szCs w:val="21"/>
        </w:rPr>
        <w:t xml:space="preserve"> “</w:t>
      </w:r>
      <w:bookmarkStart w:id="10" w:name="_Toc22993"/>
      <w:bookmarkStart w:id="11" w:name="_Toc20164"/>
      <w:r>
        <w:rPr>
          <w:rFonts w:ascii="宋体" w:hAnsi="宋体"/>
          <w:b/>
          <w:bCs/>
          <w:szCs w:val="21"/>
        </w:rPr>
        <w:t>附录Ａ</w:t>
      </w:r>
      <w:bookmarkEnd w:id="10"/>
      <w:bookmarkEnd w:id="11"/>
      <w:r>
        <w:rPr>
          <w:rFonts w:ascii="宋体" w:hAnsi="宋体"/>
          <w:b/>
          <w:bCs/>
          <w:szCs w:val="21"/>
        </w:rPr>
        <w:t xml:space="preserve"> </w:t>
      </w:r>
      <w:bookmarkStart w:id="12" w:name="_Toc26627"/>
      <w:bookmarkStart w:id="13" w:name="_Toc2479"/>
      <w:r>
        <w:rPr>
          <w:rFonts w:ascii="宋体" w:hAnsi="宋体"/>
          <w:b/>
          <w:bCs/>
          <w:szCs w:val="21"/>
        </w:rPr>
        <w:t>（资料性）</w:t>
      </w:r>
      <w:bookmarkEnd w:id="12"/>
      <w:bookmarkEnd w:id="13"/>
      <w:bookmarkStart w:id="14" w:name="_Toc13791"/>
      <w:bookmarkStart w:id="15" w:name="_Toc11959"/>
      <w:r>
        <w:rPr>
          <w:rFonts w:ascii="宋体" w:hAnsi="宋体"/>
          <w:b/>
          <w:bCs/>
          <w:szCs w:val="21"/>
        </w:rPr>
        <w:t>常用毫针</w:t>
      </w:r>
      <w:bookmarkEnd w:id="14"/>
      <w:bookmarkEnd w:id="15"/>
      <w:r>
        <w:rPr>
          <w:rFonts w:ascii="宋体" w:hAnsi="宋体"/>
          <w:b/>
          <w:bCs/>
          <w:szCs w:val="21"/>
        </w:rPr>
        <w:t>”规格调查结果</w:t>
      </w:r>
    </w:p>
    <w:tbl>
      <w:tblPr>
        <w:tblStyle w:val="17"/>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3"/>
        <w:gridCol w:w="1408"/>
        <w:gridCol w:w="2093"/>
        <w:gridCol w:w="949"/>
        <w:gridCol w:w="1636"/>
      </w:tblGrid>
      <w:tr w14:paraId="16B2C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413" w:type="dxa"/>
            <w:tcBorders>
              <w:insideH w:val="single" w:sz="4" w:space="0"/>
            </w:tcBorders>
            <w:vAlign w:val="center"/>
          </w:tcPr>
          <w:p w14:paraId="14A4E6FC">
            <w:pPr>
              <w:widowControl/>
              <w:snapToGrid w:val="0"/>
              <w:jc w:val="center"/>
              <w:rPr>
                <w:rFonts w:ascii="宋体" w:hAnsi="宋体"/>
                <w:b/>
                <w:szCs w:val="21"/>
              </w:rPr>
            </w:pPr>
            <w:r>
              <w:rPr>
                <w:rFonts w:ascii="宋体" w:hAnsi="宋体"/>
                <w:b/>
                <w:szCs w:val="21"/>
              </w:rPr>
              <w:t>选项</w:t>
            </w:r>
          </w:p>
        </w:tc>
        <w:tc>
          <w:tcPr>
            <w:tcW w:w="1408" w:type="dxa"/>
            <w:tcBorders>
              <w:insideH w:val="single" w:sz="4" w:space="0"/>
            </w:tcBorders>
            <w:vAlign w:val="center"/>
          </w:tcPr>
          <w:p w14:paraId="6E9053A0">
            <w:pPr>
              <w:widowControl/>
              <w:snapToGrid w:val="0"/>
              <w:jc w:val="center"/>
              <w:rPr>
                <w:rFonts w:ascii="宋体" w:hAnsi="宋体"/>
                <w:b/>
                <w:szCs w:val="21"/>
              </w:rPr>
            </w:pPr>
            <w:r>
              <w:rPr>
                <w:rFonts w:ascii="宋体" w:hAnsi="宋体"/>
                <w:b/>
                <w:szCs w:val="21"/>
              </w:rPr>
              <w:object>
                <v:shape id="_x0000_i1049"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49" DrawAspect="Content" ObjectID="_1468075749" r:id="rId38">
                  <o:LockedField>false</o:LockedField>
                </o:OLEObject>
              </w:object>
            </w:r>
          </w:p>
        </w:tc>
        <w:tc>
          <w:tcPr>
            <w:tcW w:w="2093" w:type="dxa"/>
            <w:tcBorders>
              <w:insideH w:val="single" w:sz="4" w:space="0"/>
            </w:tcBorders>
            <w:vAlign w:val="center"/>
          </w:tcPr>
          <w:p w14:paraId="421412C1">
            <w:pPr>
              <w:widowControl/>
              <w:snapToGrid w:val="0"/>
              <w:jc w:val="center"/>
              <w:rPr>
                <w:rFonts w:ascii="宋体" w:hAnsi="宋体"/>
                <w:b/>
                <w:szCs w:val="21"/>
              </w:rPr>
            </w:pPr>
            <w:r>
              <w:rPr>
                <w:rFonts w:ascii="宋体" w:hAnsi="宋体"/>
                <w:b/>
                <w:szCs w:val="21"/>
              </w:rPr>
              <w:t>R</w:t>
            </w:r>
          </w:p>
        </w:tc>
        <w:tc>
          <w:tcPr>
            <w:tcW w:w="949" w:type="dxa"/>
            <w:tcBorders>
              <w:insideH w:val="single" w:sz="4" w:space="0"/>
            </w:tcBorders>
            <w:vAlign w:val="center"/>
          </w:tcPr>
          <w:p w14:paraId="5EAFD224">
            <w:pPr>
              <w:widowControl/>
              <w:snapToGrid w:val="0"/>
              <w:jc w:val="center"/>
              <w:rPr>
                <w:rFonts w:ascii="宋体" w:hAnsi="宋体"/>
                <w:b/>
                <w:szCs w:val="21"/>
              </w:rPr>
            </w:pPr>
            <w:r>
              <w:rPr>
                <w:rFonts w:ascii="宋体" w:hAnsi="宋体"/>
                <w:b/>
                <w:szCs w:val="21"/>
              </w:rPr>
              <w:t>S</w:t>
            </w:r>
          </w:p>
        </w:tc>
        <w:tc>
          <w:tcPr>
            <w:tcW w:w="1636" w:type="dxa"/>
            <w:tcBorders>
              <w:insideH w:val="single" w:sz="4" w:space="0"/>
            </w:tcBorders>
            <w:vAlign w:val="center"/>
          </w:tcPr>
          <w:p w14:paraId="5F19D11E">
            <w:pPr>
              <w:widowControl/>
              <w:snapToGrid w:val="0"/>
              <w:jc w:val="center"/>
              <w:rPr>
                <w:rFonts w:ascii="宋体" w:hAnsi="宋体"/>
                <w:b/>
                <w:szCs w:val="21"/>
              </w:rPr>
            </w:pPr>
            <w:r>
              <w:rPr>
                <w:rFonts w:ascii="宋体" w:hAnsi="宋体"/>
                <w:b/>
                <w:szCs w:val="21"/>
              </w:rPr>
              <w:t>CV</w:t>
            </w:r>
          </w:p>
        </w:tc>
      </w:tr>
      <w:tr w14:paraId="68CE5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3" w:type="dxa"/>
            <w:vAlign w:val="center"/>
          </w:tcPr>
          <w:p w14:paraId="5816C98E">
            <w:pPr>
              <w:widowControl/>
              <w:snapToGrid w:val="0"/>
              <w:jc w:val="center"/>
              <w:rPr>
                <w:rFonts w:ascii="宋体" w:hAnsi="宋体"/>
                <w:sz w:val="20"/>
                <w:szCs w:val="21"/>
              </w:rPr>
            </w:pPr>
            <w:r>
              <w:rPr>
                <w:rFonts w:ascii="宋体" w:hAnsi="宋体"/>
                <w:sz w:val="20"/>
                <w:szCs w:val="21"/>
              </w:rPr>
              <w:t>A.同意</w:t>
            </w:r>
          </w:p>
        </w:tc>
        <w:tc>
          <w:tcPr>
            <w:tcW w:w="1408" w:type="dxa"/>
            <w:shd w:val="clear" w:color="auto" w:fill="auto"/>
            <w:vAlign w:val="center"/>
          </w:tcPr>
          <w:p w14:paraId="34056332">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1.00 </w:t>
            </w:r>
          </w:p>
        </w:tc>
        <w:tc>
          <w:tcPr>
            <w:tcW w:w="2093" w:type="dxa"/>
            <w:shd w:val="clear" w:color="auto" w:fill="auto"/>
            <w:vAlign w:val="center"/>
          </w:tcPr>
          <w:p w14:paraId="69597D43">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0.00%</w:t>
            </w:r>
          </w:p>
        </w:tc>
        <w:tc>
          <w:tcPr>
            <w:tcW w:w="949" w:type="dxa"/>
            <w:shd w:val="clear" w:color="auto" w:fill="auto"/>
            <w:vAlign w:val="center"/>
          </w:tcPr>
          <w:p w14:paraId="08A72406">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34</w:t>
            </w:r>
          </w:p>
        </w:tc>
        <w:tc>
          <w:tcPr>
            <w:tcW w:w="1636" w:type="dxa"/>
            <w:shd w:val="clear" w:color="auto" w:fill="auto"/>
            <w:vAlign w:val="center"/>
          </w:tcPr>
          <w:p w14:paraId="6808E235">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0.00%</w:t>
            </w:r>
          </w:p>
        </w:tc>
      </w:tr>
      <w:tr w14:paraId="2D688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3" w:type="dxa"/>
            <w:vAlign w:val="center"/>
          </w:tcPr>
          <w:p w14:paraId="7D956B16">
            <w:pPr>
              <w:widowControl/>
              <w:snapToGrid w:val="0"/>
              <w:jc w:val="center"/>
              <w:rPr>
                <w:rFonts w:ascii="宋体" w:hAnsi="宋体"/>
                <w:sz w:val="20"/>
                <w:szCs w:val="21"/>
              </w:rPr>
            </w:pPr>
            <w:r>
              <w:rPr>
                <w:rFonts w:ascii="宋体" w:hAnsi="宋体"/>
                <w:sz w:val="20"/>
                <w:szCs w:val="21"/>
              </w:rPr>
              <w:t>B.不同意</w:t>
            </w:r>
          </w:p>
        </w:tc>
        <w:tc>
          <w:tcPr>
            <w:tcW w:w="1408" w:type="dxa"/>
            <w:shd w:val="clear" w:color="auto" w:fill="auto"/>
            <w:vAlign w:val="center"/>
          </w:tcPr>
          <w:p w14:paraId="23E7AD23">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0.00 </w:t>
            </w:r>
          </w:p>
        </w:tc>
        <w:tc>
          <w:tcPr>
            <w:tcW w:w="2093" w:type="dxa"/>
            <w:shd w:val="clear" w:color="auto" w:fill="auto"/>
            <w:vAlign w:val="center"/>
          </w:tcPr>
          <w:p w14:paraId="304B0412">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100.00%</w:t>
            </w:r>
          </w:p>
        </w:tc>
        <w:tc>
          <w:tcPr>
            <w:tcW w:w="949" w:type="dxa"/>
            <w:shd w:val="clear" w:color="auto" w:fill="auto"/>
            <w:vAlign w:val="center"/>
          </w:tcPr>
          <w:p w14:paraId="258BD11B">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0</w:t>
            </w:r>
          </w:p>
        </w:tc>
        <w:tc>
          <w:tcPr>
            <w:tcW w:w="1636" w:type="dxa"/>
            <w:shd w:val="clear" w:color="auto" w:fill="auto"/>
            <w:vAlign w:val="center"/>
          </w:tcPr>
          <w:p w14:paraId="735B200C">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w:t>
            </w:r>
          </w:p>
        </w:tc>
      </w:tr>
    </w:tbl>
    <w:p w14:paraId="6AB1D200">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22</w:t>
      </w:r>
      <w:r>
        <w:rPr>
          <w:rFonts w:ascii="宋体" w:hAnsi="宋体"/>
          <w:b/>
          <w:bCs/>
          <w:szCs w:val="21"/>
        </w:rPr>
        <w:t xml:space="preserve"> 循法操作调查结果</w:t>
      </w:r>
    </w:p>
    <w:p w14:paraId="2BBAFC6F">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22</w:t>
      </w:r>
      <w:r>
        <w:rPr>
          <w:rFonts w:ascii="宋体" w:hAnsi="宋体"/>
          <w:b/>
          <w:bCs/>
          <w:szCs w:val="21"/>
        </w:rPr>
        <w:t xml:space="preserve"> </w:t>
      </w:r>
      <w:bookmarkStart w:id="16" w:name="_Toc3112"/>
      <w:bookmarkStart w:id="17" w:name="_Toc28197"/>
      <w:r>
        <w:rPr>
          <w:rFonts w:ascii="宋体" w:hAnsi="宋体"/>
          <w:b/>
          <w:bCs/>
          <w:szCs w:val="21"/>
        </w:rPr>
        <w:t>循法操作</w:t>
      </w:r>
      <w:bookmarkEnd w:id="16"/>
      <w:bookmarkEnd w:id="17"/>
      <w:r>
        <w:rPr>
          <w:rFonts w:ascii="宋体" w:hAnsi="宋体"/>
          <w:b/>
          <w:bCs/>
          <w:szCs w:val="21"/>
        </w:rPr>
        <w:t>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001E4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719E9506">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00924E64">
            <w:pPr>
              <w:widowControl/>
              <w:spacing w:line="400" w:lineRule="exact"/>
              <w:rPr>
                <w:rFonts w:ascii="宋体" w:hAnsi="宋体"/>
                <w:szCs w:val="21"/>
              </w:rPr>
            </w:pPr>
            <w:r>
              <w:rPr>
                <w:rFonts w:ascii="宋体" w:hAnsi="宋体"/>
                <w:szCs w:val="21"/>
              </w:rPr>
              <w:object>
                <v:shape id="_x0000_i1050"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50" DrawAspect="Content" ObjectID="_1468075750" r:id="rId39">
                  <o:LockedField>false</o:LockedField>
                </o:OLEObject>
              </w:object>
            </w:r>
          </w:p>
        </w:tc>
        <w:tc>
          <w:tcPr>
            <w:tcW w:w="0" w:type="auto"/>
            <w:tcBorders>
              <w:insideH w:val="single" w:sz="4" w:space="0"/>
            </w:tcBorders>
          </w:tcPr>
          <w:p w14:paraId="2443136A">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0CDF91FA">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30073D5D">
            <w:pPr>
              <w:widowControl/>
              <w:spacing w:line="400" w:lineRule="exact"/>
              <w:rPr>
                <w:rFonts w:ascii="宋体" w:hAnsi="宋体"/>
                <w:szCs w:val="21"/>
              </w:rPr>
            </w:pPr>
            <w:r>
              <w:rPr>
                <w:rFonts w:ascii="宋体" w:hAnsi="宋体"/>
                <w:szCs w:val="21"/>
              </w:rPr>
              <w:t>CV</w:t>
            </w:r>
          </w:p>
        </w:tc>
      </w:tr>
      <w:tr w14:paraId="7EB5B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4996028E">
            <w:pPr>
              <w:widowControl/>
              <w:spacing w:line="400" w:lineRule="exact"/>
              <w:rPr>
                <w:rFonts w:ascii="宋体" w:hAnsi="宋体"/>
                <w:szCs w:val="21"/>
              </w:rPr>
            </w:pPr>
            <w:r>
              <w:rPr>
                <w:rFonts w:ascii="宋体" w:hAnsi="宋体"/>
                <w:szCs w:val="21"/>
              </w:rPr>
              <w:t>A.循法  屈曲第二指关节，垂直于经脉上，以指头沿针刺腧穴所属之经的路线上向心循按。</w:t>
            </w:r>
          </w:p>
        </w:tc>
        <w:tc>
          <w:tcPr>
            <w:tcW w:w="0" w:type="auto"/>
            <w:shd w:val="clear" w:color="auto" w:fill="auto"/>
            <w:vAlign w:val="center"/>
          </w:tcPr>
          <w:p w14:paraId="6D230219">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0.32 </w:t>
            </w:r>
          </w:p>
        </w:tc>
        <w:tc>
          <w:tcPr>
            <w:tcW w:w="0" w:type="auto"/>
            <w:shd w:val="clear" w:color="auto" w:fill="auto"/>
            <w:vAlign w:val="center"/>
          </w:tcPr>
          <w:p w14:paraId="45DD0057">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67.65%</w:t>
            </w:r>
          </w:p>
        </w:tc>
        <w:tc>
          <w:tcPr>
            <w:tcW w:w="0" w:type="auto"/>
            <w:shd w:val="clear" w:color="auto" w:fill="auto"/>
            <w:vAlign w:val="center"/>
          </w:tcPr>
          <w:p w14:paraId="536E9B41">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11</w:t>
            </w:r>
          </w:p>
        </w:tc>
        <w:tc>
          <w:tcPr>
            <w:tcW w:w="0" w:type="auto"/>
            <w:shd w:val="clear" w:color="auto" w:fill="auto"/>
            <w:vAlign w:val="center"/>
          </w:tcPr>
          <w:p w14:paraId="75E1DCAB">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146.77%</w:t>
            </w:r>
          </w:p>
        </w:tc>
      </w:tr>
      <w:tr w14:paraId="69BB4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3BDAB507">
            <w:pPr>
              <w:widowControl/>
              <w:spacing w:line="400" w:lineRule="exact"/>
              <w:rPr>
                <w:rFonts w:ascii="宋体" w:hAnsi="宋体"/>
                <w:szCs w:val="21"/>
              </w:rPr>
            </w:pPr>
            <w:r>
              <w:rPr>
                <w:rFonts w:ascii="宋体" w:hAnsi="宋体"/>
                <w:szCs w:val="21"/>
              </w:rPr>
              <w:t>B.沿用国家标准原文。</w:t>
            </w:r>
          </w:p>
        </w:tc>
        <w:tc>
          <w:tcPr>
            <w:tcW w:w="0" w:type="auto"/>
            <w:shd w:val="clear" w:color="auto" w:fill="auto"/>
            <w:vAlign w:val="center"/>
          </w:tcPr>
          <w:p w14:paraId="0345C2B8">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0.68 </w:t>
            </w:r>
          </w:p>
        </w:tc>
        <w:tc>
          <w:tcPr>
            <w:tcW w:w="0" w:type="auto"/>
            <w:shd w:val="clear" w:color="auto" w:fill="auto"/>
            <w:vAlign w:val="center"/>
          </w:tcPr>
          <w:p w14:paraId="0192ABF6">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32.35%</w:t>
            </w:r>
          </w:p>
        </w:tc>
        <w:tc>
          <w:tcPr>
            <w:tcW w:w="0" w:type="auto"/>
            <w:shd w:val="clear" w:color="auto" w:fill="auto"/>
            <w:vAlign w:val="center"/>
          </w:tcPr>
          <w:p w14:paraId="5C57FE5A">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23</w:t>
            </w:r>
          </w:p>
        </w:tc>
        <w:tc>
          <w:tcPr>
            <w:tcW w:w="0" w:type="auto"/>
            <w:shd w:val="clear" w:color="auto" w:fill="auto"/>
            <w:vAlign w:val="center"/>
          </w:tcPr>
          <w:p w14:paraId="381BCF31">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70.20%</w:t>
            </w:r>
          </w:p>
        </w:tc>
      </w:tr>
    </w:tbl>
    <w:p w14:paraId="5A639819">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23</w:t>
      </w:r>
      <w:r>
        <w:rPr>
          <w:rFonts w:ascii="宋体" w:hAnsi="宋体"/>
          <w:b/>
          <w:bCs/>
          <w:szCs w:val="21"/>
        </w:rPr>
        <w:t xml:space="preserve"> 弹法操作（弹叩针柄法）调查结果</w:t>
      </w:r>
    </w:p>
    <w:p w14:paraId="5A32B0A5">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23</w:t>
      </w:r>
      <w:r>
        <w:rPr>
          <w:rFonts w:ascii="宋体" w:hAnsi="宋体"/>
          <w:b/>
          <w:bCs/>
          <w:szCs w:val="21"/>
        </w:rPr>
        <w:t xml:space="preserve"> 弹法操作（弹叩针柄法）调查结果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54CF4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2E8DFB30">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3590C88C">
            <w:pPr>
              <w:widowControl/>
              <w:spacing w:line="400" w:lineRule="exact"/>
              <w:rPr>
                <w:rFonts w:ascii="宋体" w:hAnsi="宋体"/>
                <w:szCs w:val="21"/>
              </w:rPr>
            </w:pPr>
            <w:r>
              <w:rPr>
                <w:rFonts w:ascii="宋体" w:hAnsi="宋体"/>
                <w:szCs w:val="21"/>
              </w:rPr>
              <w:object>
                <v:shape id="_x0000_i1051"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51" DrawAspect="Content" ObjectID="_1468075751" r:id="rId40">
                  <o:LockedField>false</o:LockedField>
                </o:OLEObject>
              </w:object>
            </w:r>
          </w:p>
        </w:tc>
        <w:tc>
          <w:tcPr>
            <w:tcW w:w="0" w:type="auto"/>
            <w:tcBorders>
              <w:insideH w:val="single" w:sz="4" w:space="0"/>
            </w:tcBorders>
          </w:tcPr>
          <w:p w14:paraId="0CA9C9B7">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7D133A2A">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1D1D9BDC">
            <w:pPr>
              <w:widowControl/>
              <w:spacing w:line="400" w:lineRule="exact"/>
              <w:rPr>
                <w:rFonts w:ascii="宋体" w:hAnsi="宋体"/>
                <w:szCs w:val="21"/>
              </w:rPr>
            </w:pPr>
            <w:r>
              <w:rPr>
                <w:rFonts w:ascii="宋体" w:hAnsi="宋体"/>
                <w:szCs w:val="21"/>
              </w:rPr>
              <w:t>CV</w:t>
            </w:r>
          </w:p>
        </w:tc>
      </w:tr>
      <w:tr w14:paraId="524D7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0B3C1BEF">
            <w:pPr>
              <w:widowControl/>
              <w:spacing w:line="400" w:lineRule="exact"/>
              <w:rPr>
                <w:rFonts w:ascii="宋体" w:hAnsi="宋体"/>
                <w:szCs w:val="21"/>
              </w:rPr>
            </w:pPr>
            <w:r>
              <w:rPr>
                <w:rFonts w:ascii="宋体" w:hAnsi="宋体"/>
                <w:szCs w:val="21"/>
              </w:rPr>
              <w:t>A.弹法 用指甲弹击针柄的方法。以拇指、</w:t>
            </w:r>
            <w:r>
              <w:rPr>
                <w:rFonts w:hint="eastAsia"/>
                <w:color w:val="000000" w:themeColor="text1"/>
                <w:lang w:val="en-US" w:eastAsia="zh-CN"/>
                <w14:textFill>
                  <w14:solidFill>
                    <w14:schemeClr w14:val="tx1"/>
                  </w14:solidFill>
                </w14:textFill>
              </w:rPr>
              <w:t>示</w:t>
            </w:r>
            <w:r>
              <w:rPr>
                <w:rFonts w:ascii="宋体" w:hAnsi="宋体"/>
                <w:szCs w:val="21"/>
              </w:rPr>
              <w:t>指交互或拇指、中指交互，以拇指指肚扣住</w:t>
            </w:r>
            <w:r>
              <w:rPr>
                <w:rFonts w:hint="eastAsia"/>
                <w:color w:val="000000" w:themeColor="text1"/>
                <w:lang w:val="en-US" w:eastAsia="zh-CN"/>
                <w14:textFill>
                  <w14:solidFill>
                    <w14:schemeClr w14:val="tx1"/>
                  </w14:solidFill>
                </w14:textFill>
              </w:rPr>
              <w:t>示</w:t>
            </w:r>
            <w:r>
              <w:rPr>
                <w:rFonts w:ascii="宋体" w:hAnsi="宋体"/>
                <w:szCs w:val="21"/>
              </w:rPr>
              <w:t>指或中指指端，用</w:t>
            </w:r>
            <w:r>
              <w:rPr>
                <w:rFonts w:hint="eastAsia"/>
                <w:color w:val="000000" w:themeColor="text1"/>
                <w:lang w:val="en-US" w:eastAsia="zh-CN"/>
                <w14:textFill>
                  <w14:solidFill>
                    <w14:schemeClr w14:val="tx1"/>
                  </w14:solidFill>
                </w14:textFill>
              </w:rPr>
              <w:t>示</w:t>
            </w:r>
            <w:r>
              <w:rPr>
                <w:rFonts w:ascii="宋体" w:hAnsi="宋体"/>
                <w:szCs w:val="21"/>
              </w:rPr>
              <w:t>指甲或中指甲弹击针柄。在进针时亦可用同法由针尾向针身弹击进针。</w:t>
            </w:r>
          </w:p>
        </w:tc>
        <w:tc>
          <w:tcPr>
            <w:tcW w:w="0" w:type="auto"/>
            <w:shd w:val="clear" w:color="auto" w:fill="auto"/>
            <w:vAlign w:val="center"/>
          </w:tcPr>
          <w:p w14:paraId="75A4E2BB">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0.50 </w:t>
            </w:r>
          </w:p>
        </w:tc>
        <w:tc>
          <w:tcPr>
            <w:tcW w:w="0" w:type="auto"/>
            <w:shd w:val="clear" w:color="auto" w:fill="auto"/>
            <w:vAlign w:val="center"/>
          </w:tcPr>
          <w:p w14:paraId="1E2C744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50.00%</w:t>
            </w:r>
          </w:p>
        </w:tc>
        <w:tc>
          <w:tcPr>
            <w:tcW w:w="0" w:type="auto"/>
            <w:shd w:val="clear" w:color="auto" w:fill="auto"/>
            <w:vAlign w:val="center"/>
          </w:tcPr>
          <w:p w14:paraId="7FA731F9">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17</w:t>
            </w:r>
          </w:p>
        </w:tc>
        <w:tc>
          <w:tcPr>
            <w:tcW w:w="0" w:type="auto"/>
            <w:shd w:val="clear" w:color="auto" w:fill="auto"/>
            <w:vAlign w:val="center"/>
          </w:tcPr>
          <w:p w14:paraId="52D6D42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101.50%</w:t>
            </w:r>
          </w:p>
        </w:tc>
      </w:tr>
      <w:tr w14:paraId="763D6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2D587F80">
            <w:pPr>
              <w:widowControl/>
              <w:spacing w:line="400" w:lineRule="exact"/>
              <w:rPr>
                <w:rFonts w:ascii="宋体" w:hAnsi="宋体"/>
                <w:szCs w:val="21"/>
              </w:rPr>
            </w:pPr>
            <w:r>
              <w:rPr>
                <w:rFonts w:ascii="宋体" w:hAnsi="宋体"/>
                <w:szCs w:val="21"/>
              </w:rPr>
              <w:t>B.沿用国家标准原文。</w:t>
            </w:r>
          </w:p>
        </w:tc>
        <w:tc>
          <w:tcPr>
            <w:tcW w:w="0" w:type="auto"/>
            <w:shd w:val="clear" w:color="auto" w:fill="auto"/>
            <w:vAlign w:val="center"/>
          </w:tcPr>
          <w:p w14:paraId="65388A8B">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0.50 </w:t>
            </w:r>
          </w:p>
        </w:tc>
        <w:tc>
          <w:tcPr>
            <w:tcW w:w="0" w:type="auto"/>
            <w:shd w:val="clear" w:color="auto" w:fill="auto"/>
            <w:vAlign w:val="center"/>
          </w:tcPr>
          <w:p w14:paraId="0527D2A8">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50.00%</w:t>
            </w:r>
          </w:p>
        </w:tc>
        <w:tc>
          <w:tcPr>
            <w:tcW w:w="0" w:type="auto"/>
            <w:shd w:val="clear" w:color="auto" w:fill="auto"/>
            <w:vAlign w:val="center"/>
          </w:tcPr>
          <w:p w14:paraId="1FEF9EEA">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17</w:t>
            </w:r>
          </w:p>
        </w:tc>
        <w:tc>
          <w:tcPr>
            <w:tcW w:w="0" w:type="auto"/>
            <w:shd w:val="clear" w:color="auto" w:fill="auto"/>
            <w:vAlign w:val="center"/>
          </w:tcPr>
          <w:p w14:paraId="2EB2D0F6">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101.50%</w:t>
            </w:r>
          </w:p>
        </w:tc>
      </w:tr>
    </w:tbl>
    <w:p w14:paraId="5E094877">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24</w:t>
      </w:r>
      <w:r>
        <w:rPr>
          <w:rFonts w:ascii="宋体" w:hAnsi="宋体"/>
          <w:b/>
          <w:bCs/>
          <w:szCs w:val="21"/>
        </w:rPr>
        <w:t xml:space="preserve"> 刮法操作调查结果</w:t>
      </w:r>
    </w:p>
    <w:p w14:paraId="37C29543">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24</w:t>
      </w:r>
      <w:r>
        <w:rPr>
          <w:rFonts w:ascii="宋体" w:hAnsi="宋体"/>
          <w:b/>
          <w:bCs/>
          <w:szCs w:val="21"/>
        </w:rPr>
        <w:t xml:space="preserve"> </w:t>
      </w:r>
      <w:bookmarkStart w:id="18" w:name="_Toc29626"/>
      <w:bookmarkStart w:id="19" w:name="_Toc10148"/>
      <w:r>
        <w:rPr>
          <w:rFonts w:ascii="宋体" w:hAnsi="宋体"/>
          <w:b/>
          <w:bCs/>
          <w:szCs w:val="21"/>
        </w:rPr>
        <w:t>刮法操作</w:t>
      </w:r>
      <w:bookmarkEnd w:id="18"/>
      <w:bookmarkEnd w:id="19"/>
      <w:r>
        <w:rPr>
          <w:rFonts w:ascii="宋体" w:hAnsi="宋体"/>
          <w:b/>
          <w:bCs/>
          <w:szCs w:val="21"/>
        </w:rPr>
        <w:t>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7F817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13F8F8E3">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0DDBDBD9">
            <w:pPr>
              <w:widowControl/>
              <w:spacing w:line="400" w:lineRule="exact"/>
              <w:rPr>
                <w:rFonts w:ascii="宋体" w:hAnsi="宋体"/>
                <w:szCs w:val="21"/>
              </w:rPr>
            </w:pPr>
            <w:r>
              <w:rPr>
                <w:rFonts w:ascii="宋体" w:hAnsi="宋体"/>
                <w:szCs w:val="21"/>
              </w:rPr>
              <w:object>
                <v:shape id="_x0000_i1052"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52" DrawAspect="Content" ObjectID="_1468075752" r:id="rId41">
                  <o:LockedField>false</o:LockedField>
                </o:OLEObject>
              </w:object>
            </w:r>
          </w:p>
        </w:tc>
        <w:tc>
          <w:tcPr>
            <w:tcW w:w="0" w:type="auto"/>
            <w:tcBorders>
              <w:insideH w:val="single" w:sz="4" w:space="0"/>
            </w:tcBorders>
          </w:tcPr>
          <w:p w14:paraId="1B6601F2">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3AE98479">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3C137235">
            <w:pPr>
              <w:widowControl/>
              <w:spacing w:line="400" w:lineRule="exact"/>
              <w:rPr>
                <w:rFonts w:ascii="宋体" w:hAnsi="宋体"/>
                <w:szCs w:val="21"/>
              </w:rPr>
            </w:pPr>
            <w:r>
              <w:rPr>
                <w:rFonts w:ascii="宋体" w:hAnsi="宋体"/>
                <w:szCs w:val="21"/>
              </w:rPr>
              <w:t>CV</w:t>
            </w:r>
          </w:p>
        </w:tc>
      </w:tr>
      <w:tr w14:paraId="74179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00D1C031">
            <w:pPr>
              <w:widowControl/>
              <w:spacing w:line="400" w:lineRule="exact"/>
              <w:rPr>
                <w:rFonts w:ascii="宋体" w:hAnsi="宋体"/>
                <w:szCs w:val="21"/>
              </w:rPr>
            </w:pPr>
            <w:r>
              <w:rPr>
                <w:rFonts w:ascii="宋体" w:hAnsi="宋体"/>
                <w:szCs w:val="21"/>
              </w:rPr>
              <w:t>A.刮法分向上刮和向下刮。用拇指抵住针尾，以</w:t>
            </w:r>
            <w:r>
              <w:rPr>
                <w:rFonts w:hint="eastAsia"/>
                <w:color w:val="000000" w:themeColor="text1"/>
                <w:lang w:val="en-US" w:eastAsia="zh-CN"/>
                <w14:textFill>
                  <w14:solidFill>
                    <w14:schemeClr w14:val="tx1"/>
                  </w14:solidFill>
                </w14:textFill>
              </w:rPr>
              <w:t>示</w:t>
            </w:r>
            <w:r>
              <w:rPr>
                <w:rFonts w:ascii="宋体" w:hAnsi="宋体"/>
                <w:szCs w:val="21"/>
              </w:rPr>
              <w:t>指或中指的指甲刮针柄;或以</w:t>
            </w:r>
            <w:r>
              <w:rPr>
                <w:rFonts w:hint="eastAsia"/>
                <w:color w:val="000000" w:themeColor="text1"/>
                <w:lang w:val="en-US" w:eastAsia="zh-CN"/>
                <w14:textFill>
                  <w14:solidFill>
                    <w14:schemeClr w14:val="tx1"/>
                  </w14:solidFill>
                </w14:textFill>
              </w:rPr>
              <w:t>示</w:t>
            </w:r>
            <w:r>
              <w:rPr>
                <w:rFonts w:ascii="宋体" w:hAnsi="宋体"/>
                <w:szCs w:val="21"/>
              </w:rPr>
              <w:t>指、中指抵住针尾， 用拇指甲刮针柄。</w:t>
            </w:r>
          </w:p>
        </w:tc>
        <w:tc>
          <w:tcPr>
            <w:tcW w:w="0" w:type="auto"/>
            <w:shd w:val="clear" w:color="auto" w:fill="auto"/>
            <w:vAlign w:val="center"/>
          </w:tcPr>
          <w:p w14:paraId="64510151">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0.44 </w:t>
            </w:r>
          </w:p>
        </w:tc>
        <w:tc>
          <w:tcPr>
            <w:tcW w:w="0" w:type="auto"/>
            <w:shd w:val="clear" w:color="auto" w:fill="auto"/>
            <w:vAlign w:val="center"/>
          </w:tcPr>
          <w:p w14:paraId="3054003F">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55.88%</w:t>
            </w:r>
          </w:p>
        </w:tc>
        <w:tc>
          <w:tcPr>
            <w:tcW w:w="0" w:type="auto"/>
            <w:shd w:val="clear" w:color="auto" w:fill="auto"/>
            <w:vAlign w:val="center"/>
          </w:tcPr>
          <w:p w14:paraId="69FA4EE8">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15</w:t>
            </w:r>
          </w:p>
        </w:tc>
        <w:tc>
          <w:tcPr>
            <w:tcW w:w="0" w:type="auto"/>
            <w:shd w:val="clear" w:color="auto" w:fill="auto"/>
            <w:vAlign w:val="center"/>
          </w:tcPr>
          <w:p w14:paraId="44BC678F">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114.24%</w:t>
            </w:r>
          </w:p>
        </w:tc>
      </w:tr>
      <w:tr w14:paraId="0C82A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71295E40">
            <w:pPr>
              <w:widowControl/>
              <w:spacing w:line="400" w:lineRule="exact"/>
              <w:rPr>
                <w:rFonts w:ascii="宋体" w:hAnsi="宋体"/>
                <w:szCs w:val="21"/>
              </w:rPr>
            </w:pPr>
            <w:r>
              <w:rPr>
                <w:rFonts w:ascii="宋体" w:hAnsi="宋体"/>
                <w:szCs w:val="21"/>
              </w:rPr>
              <w:t>B.沿用国家标准原文。</w:t>
            </w:r>
          </w:p>
        </w:tc>
        <w:tc>
          <w:tcPr>
            <w:tcW w:w="0" w:type="auto"/>
            <w:shd w:val="clear" w:color="auto" w:fill="auto"/>
            <w:vAlign w:val="center"/>
          </w:tcPr>
          <w:p w14:paraId="1A15CE71">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0.56 </w:t>
            </w:r>
          </w:p>
        </w:tc>
        <w:tc>
          <w:tcPr>
            <w:tcW w:w="0" w:type="auto"/>
            <w:shd w:val="clear" w:color="auto" w:fill="auto"/>
            <w:vAlign w:val="center"/>
          </w:tcPr>
          <w:p w14:paraId="7DD9A281">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44.12%</w:t>
            </w:r>
          </w:p>
        </w:tc>
        <w:tc>
          <w:tcPr>
            <w:tcW w:w="0" w:type="auto"/>
            <w:shd w:val="clear" w:color="auto" w:fill="auto"/>
            <w:vAlign w:val="center"/>
          </w:tcPr>
          <w:p w14:paraId="657F320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19</w:t>
            </w:r>
          </w:p>
        </w:tc>
        <w:tc>
          <w:tcPr>
            <w:tcW w:w="0" w:type="auto"/>
            <w:shd w:val="clear" w:color="auto" w:fill="auto"/>
            <w:vAlign w:val="center"/>
          </w:tcPr>
          <w:p w14:paraId="30038052">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90.19%</w:t>
            </w:r>
          </w:p>
        </w:tc>
      </w:tr>
    </w:tbl>
    <w:p w14:paraId="671CA6F7">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25</w:t>
      </w:r>
      <w:r>
        <w:rPr>
          <w:rFonts w:ascii="宋体" w:hAnsi="宋体"/>
          <w:b/>
          <w:bCs/>
          <w:szCs w:val="21"/>
        </w:rPr>
        <w:t xml:space="preserve"> 摇法操作调查结果</w:t>
      </w:r>
    </w:p>
    <w:p w14:paraId="0D7DBB1B">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25</w:t>
      </w:r>
      <w:r>
        <w:rPr>
          <w:rFonts w:ascii="宋体" w:hAnsi="宋体"/>
          <w:b/>
          <w:bCs/>
          <w:szCs w:val="21"/>
        </w:rPr>
        <w:t xml:space="preserve"> 摇法操作调查结果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581C1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0" w:type="auto"/>
            <w:tcBorders>
              <w:insideH w:val="single" w:sz="4" w:space="0"/>
            </w:tcBorders>
          </w:tcPr>
          <w:p w14:paraId="1834A381">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60DFFDDE">
            <w:pPr>
              <w:widowControl/>
              <w:spacing w:line="400" w:lineRule="exact"/>
              <w:rPr>
                <w:rFonts w:ascii="宋体" w:hAnsi="宋体"/>
                <w:szCs w:val="21"/>
              </w:rPr>
            </w:pPr>
            <w:r>
              <w:rPr>
                <w:rFonts w:ascii="宋体" w:hAnsi="宋体"/>
                <w:szCs w:val="21"/>
              </w:rPr>
              <w:object>
                <v:shape id="_x0000_i1053"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53" DrawAspect="Content" ObjectID="_1468075753" r:id="rId42">
                  <o:LockedField>false</o:LockedField>
                </o:OLEObject>
              </w:object>
            </w:r>
          </w:p>
        </w:tc>
        <w:tc>
          <w:tcPr>
            <w:tcW w:w="0" w:type="auto"/>
            <w:tcBorders>
              <w:insideH w:val="single" w:sz="4" w:space="0"/>
            </w:tcBorders>
          </w:tcPr>
          <w:p w14:paraId="60011476">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249FAAB7">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631F52E7">
            <w:pPr>
              <w:widowControl/>
              <w:spacing w:line="400" w:lineRule="exact"/>
              <w:rPr>
                <w:rFonts w:ascii="宋体" w:hAnsi="宋体"/>
                <w:szCs w:val="21"/>
              </w:rPr>
            </w:pPr>
            <w:r>
              <w:rPr>
                <w:rFonts w:ascii="宋体" w:hAnsi="宋体"/>
                <w:szCs w:val="21"/>
              </w:rPr>
              <w:t>CV</w:t>
            </w:r>
          </w:p>
        </w:tc>
      </w:tr>
      <w:tr w14:paraId="3DEEC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7B91289F">
            <w:pPr>
              <w:widowControl/>
              <w:spacing w:line="400" w:lineRule="exact"/>
              <w:rPr>
                <w:rFonts w:ascii="宋体" w:hAnsi="宋体"/>
                <w:szCs w:val="21"/>
              </w:rPr>
            </w:pPr>
            <w:r>
              <w:rPr>
                <w:rFonts w:ascii="宋体" w:hAnsi="宋体"/>
                <w:szCs w:val="21"/>
              </w:rPr>
              <w:t>A.摇法  针刺入一定深度后，手持针柄，将针按一定程序摇动，是使针感通过关节的一种方法。详见“4.3.2.1”与“4.3.2.2”。……4.3.2.1 青龙摆尾法  进针得气以后，在浅部行针，针感传至关节处受阻时应用。用刺手拇</w:t>
            </w:r>
            <w:r>
              <w:rPr>
                <w:rFonts w:hint="eastAsia" w:ascii="宋体" w:hAnsi="宋体"/>
                <w:szCs w:val="21"/>
                <w:lang w:eastAsia="zh-CN"/>
              </w:rPr>
              <w:t>、</w:t>
            </w:r>
            <w:r>
              <w:rPr>
                <w:rFonts w:hint="eastAsia"/>
                <w:color w:val="000000" w:themeColor="text1"/>
                <w:lang w:val="en-US" w:eastAsia="zh-CN"/>
                <w14:textFill>
                  <w14:solidFill>
                    <w14:schemeClr w14:val="tx1"/>
                  </w14:solidFill>
                </w14:textFill>
              </w:rPr>
              <w:t>示</w:t>
            </w:r>
            <w:r>
              <w:rPr>
                <w:rFonts w:ascii="宋体" w:hAnsi="宋体"/>
                <w:szCs w:val="21"/>
              </w:rPr>
              <w:t>两指持针柄，如扶船舵，不进不退，一左一右，慢慢拨动，因似龙尾摆动故名。可反复操作，并要同时配合使用循、摄之法。 4.3.2.2 白虎摇头法  进针得气后，在深部行针，针感传至关节处受阻时应用。用刺手拇</w:t>
            </w:r>
            <w:r>
              <w:rPr>
                <w:rFonts w:hint="eastAsia" w:ascii="宋体" w:hAnsi="宋体"/>
                <w:szCs w:val="21"/>
                <w:lang w:eastAsia="zh-CN"/>
              </w:rPr>
              <w:t>、</w:t>
            </w:r>
            <w:r>
              <w:rPr>
                <w:rFonts w:hint="eastAsia"/>
                <w:color w:val="000000" w:themeColor="text1"/>
                <w:lang w:val="en-US" w:eastAsia="zh-CN"/>
                <w14:textFill>
                  <w14:solidFill>
                    <w14:schemeClr w14:val="tx1"/>
                  </w14:solidFill>
                </w14:textFill>
              </w:rPr>
              <w:t>示</w:t>
            </w:r>
            <w:r>
              <w:rPr>
                <w:rFonts w:ascii="宋体" w:hAnsi="宋体"/>
                <w:szCs w:val="21"/>
              </w:rPr>
              <w:t>两指捏住针柄，进行摇针，先由右下方摇向左上方，呈半圆形（进圆）；再由左上方退至右下方，呈半方形（退方），手持针柄，要力到针尖， 是深而小摇之法。行此法时手似摇铃，退方时要一摇退一振，因似虎之摇头故名。可反复操作，并要同时配合使用循、摄之法。</w:t>
            </w:r>
          </w:p>
        </w:tc>
        <w:tc>
          <w:tcPr>
            <w:tcW w:w="0" w:type="auto"/>
            <w:shd w:val="clear" w:color="auto" w:fill="auto"/>
            <w:vAlign w:val="center"/>
          </w:tcPr>
          <w:p w14:paraId="2D8998B1">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0.29 </w:t>
            </w:r>
          </w:p>
        </w:tc>
        <w:tc>
          <w:tcPr>
            <w:tcW w:w="0" w:type="auto"/>
            <w:shd w:val="clear" w:color="auto" w:fill="auto"/>
            <w:vAlign w:val="center"/>
          </w:tcPr>
          <w:p w14:paraId="1D67069D">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70.59%</w:t>
            </w:r>
          </w:p>
        </w:tc>
        <w:tc>
          <w:tcPr>
            <w:tcW w:w="0" w:type="auto"/>
            <w:shd w:val="clear" w:color="auto" w:fill="auto"/>
            <w:vAlign w:val="center"/>
          </w:tcPr>
          <w:p w14:paraId="305A4F9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10</w:t>
            </w:r>
          </w:p>
        </w:tc>
        <w:tc>
          <w:tcPr>
            <w:tcW w:w="0" w:type="auto"/>
            <w:shd w:val="clear" w:color="auto" w:fill="auto"/>
            <w:vAlign w:val="center"/>
          </w:tcPr>
          <w:p w14:paraId="370C0BC2">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157.25%</w:t>
            </w:r>
          </w:p>
        </w:tc>
      </w:tr>
      <w:tr w14:paraId="5260E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2685A955">
            <w:pPr>
              <w:widowControl/>
              <w:spacing w:line="400" w:lineRule="exact"/>
              <w:rPr>
                <w:rFonts w:ascii="宋体" w:hAnsi="宋体"/>
                <w:szCs w:val="21"/>
              </w:rPr>
            </w:pPr>
            <w:r>
              <w:rPr>
                <w:rFonts w:ascii="宋体" w:hAnsi="宋体"/>
                <w:szCs w:val="21"/>
              </w:rPr>
              <w:t>B.沿用国家标准原文。</w:t>
            </w:r>
          </w:p>
        </w:tc>
        <w:tc>
          <w:tcPr>
            <w:tcW w:w="0" w:type="auto"/>
            <w:shd w:val="clear" w:color="auto" w:fill="auto"/>
            <w:vAlign w:val="center"/>
          </w:tcPr>
          <w:p w14:paraId="129FA458">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0.71 </w:t>
            </w:r>
          </w:p>
        </w:tc>
        <w:tc>
          <w:tcPr>
            <w:tcW w:w="0" w:type="auto"/>
            <w:shd w:val="clear" w:color="auto" w:fill="auto"/>
            <w:vAlign w:val="center"/>
          </w:tcPr>
          <w:p w14:paraId="5057DBA8">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29.41%</w:t>
            </w:r>
          </w:p>
        </w:tc>
        <w:tc>
          <w:tcPr>
            <w:tcW w:w="0" w:type="auto"/>
            <w:shd w:val="clear" w:color="auto" w:fill="auto"/>
            <w:vAlign w:val="center"/>
          </w:tcPr>
          <w:p w14:paraId="4F069169">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24</w:t>
            </w:r>
          </w:p>
        </w:tc>
        <w:tc>
          <w:tcPr>
            <w:tcW w:w="0" w:type="auto"/>
            <w:shd w:val="clear" w:color="auto" w:fill="auto"/>
            <w:vAlign w:val="center"/>
          </w:tcPr>
          <w:p w14:paraId="307EB1EF">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65.52%</w:t>
            </w:r>
          </w:p>
        </w:tc>
      </w:tr>
    </w:tbl>
    <w:p w14:paraId="12EE8EE5">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26 飞法操作</w:t>
      </w:r>
      <w:r>
        <w:rPr>
          <w:rFonts w:ascii="宋体" w:hAnsi="宋体"/>
          <w:b/>
          <w:bCs/>
          <w:szCs w:val="21"/>
        </w:rPr>
        <w:t>调查结果</w:t>
      </w:r>
    </w:p>
    <w:p w14:paraId="5D5F74B1">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26 飞法操作</w:t>
      </w:r>
      <w:r>
        <w:rPr>
          <w:rFonts w:ascii="宋体" w:hAnsi="宋体"/>
          <w:b/>
          <w:bCs/>
          <w:szCs w:val="21"/>
        </w:rPr>
        <w:t>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3938A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29ABD2AB">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43FC2A6A">
            <w:pPr>
              <w:widowControl/>
              <w:spacing w:line="400" w:lineRule="exact"/>
              <w:rPr>
                <w:rFonts w:ascii="宋体" w:hAnsi="宋体"/>
                <w:szCs w:val="21"/>
              </w:rPr>
            </w:pPr>
            <w:r>
              <w:rPr>
                <w:rFonts w:ascii="宋体" w:hAnsi="宋体"/>
                <w:szCs w:val="21"/>
              </w:rPr>
              <w:object>
                <v:shape id="_x0000_i1054"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54" DrawAspect="Content" ObjectID="_1468075754" r:id="rId43">
                  <o:LockedField>false</o:LockedField>
                </o:OLEObject>
              </w:object>
            </w:r>
          </w:p>
        </w:tc>
        <w:tc>
          <w:tcPr>
            <w:tcW w:w="0" w:type="auto"/>
            <w:tcBorders>
              <w:insideH w:val="single" w:sz="4" w:space="0"/>
            </w:tcBorders>
          </w:tcPr>
          <w:p w14:paraId="18734D52">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37D8E8A0">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195929C2">
            <w:pPr>
              <w:widowControl/>
              <w:spacing w:line="400" w:lineRule="exact"/>
              <w:rPr>
                <w:rFonts w:ascii="宋体" w:hAnsi="宋体"/>
                <w:szCs w:val="21"/>
              </w:rPr>
            </w:pPr>
            <w:r>
              <w:rPr>
                <w:rFonts w:ascii="宋体" w:hAnsi="宋体"/>
                <w:szCs w:val="21"/>
              </w:rPr>
              <w:t>CV</w:t>
            </w:r>
          </w:p>
        </w:tc>
      </w:tr>
      <w:tr w14:paraId="63674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7B2CE2E4">
            <w:pPr>
              <w:widowControl/>
              <w:spacing w:line="400" w:lineRule="exact"/>
              <w:rPr>
                <w:rFonts w:ascii="宋体" w:hAnsi="宋体"/>
                <w:szCs w:val="21"/>
              </w:rPr>
            </w:pPr>
            <w:r>
              <w:rPr>
                <w:rFonts w:ascii="宋体" w:hAnsi="宋体"/>
                <w:szCs w:val="21"/>
              </w:rPr>
              <w:t>A.刺手拇</w:t>
            </w:r>
            <w:r>
              <w:rPr>
                <w:rFonts w:hint="eastAsia" w:ascii="宋体" w:hAnsi="宋体"/>
                <w:szCs w:val="21"/>
                <w:lang w:eastAsia="zh-CN"/>
              </w:rPr>
              <w:t>、</w:t>
            </w:r>
            <w:r>
              <w:rPr>
                <w:rFonts w:hint="eastAsia"/>
                <w:color w:val="000000" w:themeColor="text1"/>
                <w:lang w:val="en-US" w:eastAsia="zh-CN"/>
                <w14:textFill>
                  <w14:solidFill>
                    <w14:schemeClr w14:val="tx1"/>
                  </w14:solidFill>
                </w14:textFill>
              </w:rPr>
              <w:t>示</w:t>
            </w:r>
            <w:r>
              <w:rPr>
                <w:rFonts w:ascii="宋体" w:hAnsi="宋体"/>
                <w:szCs w:val="21"/>
              </w:rPr>
              <w:t>两指相对，由针尾上方下到针根部后，轻捏针根，然后向上飞旋，使术者指感有如提针，但要提而不出。由下而上的旋摩同时伴以由左而右(顺时针)的旋摩，要使术者的指感有如捻转，但要捻而不转，使其力呈下紧上松之漏斗型。在施术过程中，两指一捏一放如飞鸟展翅之象故名曰飞。</w:t>
            </w:r>
          </w:p>
        </w:tc>
        <w:tc>
          <w:tcPr>
            <w:tcW w:w="0" w:type="auto"/>
            <w:shd w:val="clear" w:color="auto" w:fill="auto"/>
            <w:vAlign w:val="center"/>
          </w:tcPr>
          <w:p w14:paraId="6E5EBEC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0.41 </w:t>
            </w:r>
          </w:p>
        </w:tc>
        <w:tc>
          <w:tcPr>
            <w:tcW w:w="0" w:type="auto"/>
            <w:shd w:val="clear" w:color="auto" w:fill="auto"/>
            <w:vAlign w:val="center"/>
          </w:tcPr>
          <w:p w14:paraId="50AEEAEA">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58.82%</w:t>
            </w:r>
          </w:p>
        </w:tc>
        <w:tc>
          <w:tcPr>
            <w:tcW w:w="0" w:type="auto"/>
            <w:shd w:val="clear" w:color="auto" w:fill="auto"/>
            <w:vAlign w:val="center"/>
          </w:tcPr>
          <w:p w14:paraId="1A98F13A">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14</w:t>
            </w:r>
          </w:p>
        </w:tc>
        <w:tc>
          <w:tcPr>
            <w:tcW w:w="0" w:type="auto"/>
            <w:shd w:val="clear" w:color="auto" w:fill="auto"/>
            <w:vAlign w:val="center"/>
          </w:tcPr>
          <w:p w14:paraId="1782414D">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121.32%</w:t>
            </w:r>
          </w:p>
        </w:tc>
      </w:tr>
      <w:tr w14:paraId="14EEC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4926094C">
            <w:pPr>
              <w:widowControl/>
              <w:spacing w:line="400" w:lineRule="exact"/>
              <w:rPr>
                <w:rFonts w:ascii="宋体" w:hAnsi="宋体"/>
                <w:szCs w:val="21"/>
              </w:rPr>
            </w:pPr>
            <w:r>
              <w:rPr>
                <w:rFonts w:ascii="宋体" w:hAnsi="宋体"/>
                <w:szCs w:val="21"/>
              </w:rPr>
              <w:t xml:space="preserve">B.沿用国家标准原文。 </w:t>
            </w:r>
          </w:p>
        </w:tc>
        <w:tc>
          <w:tcPr>
            <w:tcW w:w="0" w:type="auto"/>
            <w:shd w:val="clear" w:color="auto" w:fill="auto"/>
            <w:vAlign w:val="center"/>
          </w:tcPr>
          <w:p w14:paraId="0A2BC5BA">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0.59 </w:t>
            </w:r>
          </w:p>
        </w:tc>
        <w:tc>
          <w:tcPr>
            <w:tcW w:w="0" w:type="auto"/>
            <w:shd w:val="clear" w:color="auto" w:fill="auto"/>
            <w:vAlign w:val="center"/>
          </w:tcPr>
          <w:p w14:paraId="5038A0B2">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41.18%</w:t>
            </w:r>
          </w:p>
        </w:tc>
        <w:tc>
          <w:tcPr>
            <w:tcW w:w="0" w:type="auto"/>
            <w:shd w:val="clear" w:color="auto" w:fill="auto"/>
            <w:vAlign w:val="center"/>
          </w:tcPr>
          <w:p w14:paraId="21CFF2BE">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20</w:t>
            </w:r>
          </w:p>
        </w:tc>
        <w:tc>
          <w:tcPr>
            <w:tcW w:w="0" w:type="auto"/>
            <w:shd w:val="clear" w:color="auto" w:fill="auto"/>
            <w:vAlign w:val="center"/>
          </w:tcPr>
          <w:p w14:paraId="3854BA71">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84.92%</w:t>
            </w:r>
          </w:p>
        </w:tc>
      </w:tr>
    </w:tbl>
    <w:p w14:paraId="75921A55">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27</w:t>
      </w:r>
      <w:r>
        <w:rPr>
          <w:rFonts w:ascii="宋体" w:hAnsi="宋体"/>
          <w:b/>
          <w:bCs/>
          <w:szCs w:val="21"/>
        </w:rPr>
        <w:t xml:space="preserve"> 震颤法的命名与操作调查结果</w:t>
      </w:r>
    </w:p>
    <w:p w14:paraId="70485A4C">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27</w:t>
      </w:r>
      <w:r>
        <w:rPr>
          <w:rFonts w:ascii="宋体" w:hAnsi="宋体"/>
          <w:b/>
          <w:bCs/>
          <w:szCs w:val="21"/>
        </w:rPr>
        <w:t xml:space="preserve"> 震颤法的命名与操作调查结果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427EC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44EA5823">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05CA9B15">
            <w:pPr>
              <w:widowControl/>
              <w:spacing w:line="400" w:lineRule="exact"/>
              <w:rPr>
                <w:rFonts w:ascii="宋体" w:hAnsi="宋体"/>
                <w:szCs w:val="21"/>
              </w:rPr>
            </w:pPr>
            <w:r>
              <w:rPr>
                <w:rFonts w:ascii="宋体" w:hAnsi="宋体"/>
                <w:szCs w:val="21"/>
              </w:rPr>
              <w:object>
                <v:shape id="_x0000_i1055"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55" DrawAspect="Content" ObjectID="_1468075755" r:id="rId44">
                  <o:LockedField>false</o:LockedField>
                </o:OLEObject>
              </w:object>
            </w:r>
          </w:p>
        </w:tc>
        <w:tc>
          <w:tcPr>
            <w:tcW w:w="0" w:type="auto"/>
            <w:tcBorders>
              <w:insideH w:val="single" w:sz="4" w:space="0"/>
            </w:tcBorders>
          </w:tcPr>
          <w:p w14:paraId="54767697">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63B6CDF1">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58C58221">
            <w:pPr>
              <w:widowControl/>
              <w:spacing w:line="400" w:lineRule="exact"/>
              <w:rPr>
                <w:rFonts w:ascii="宋体" w:hAnsi="宋体"/>
                <w:szCs w:val="21"/>
              </w:rPr>
            </w:pPr>
            <w:r>
              <w:rPr>
                <w:rFonts w:ascii="宋体" w:hAnsi="宋体"/>
                <w:szCs w:val="21"/>
              </w:rPr>
              <w:t>CV</w:t>
            </w:r>
          </w:p>
        </w:tc>
      </w:tr>
      <w:tr w14:paraId="66025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339295B3">
            <w:pPr>
              <w:widowControl/>
              <w:spacing w:line="400" w:lineRule="exact"/>
              <w:rPr>
                <w:rFonts w:ascii="宋体" w:hAnsi="宋体"/>
                <w:szCs w:val="21"/>
              </w:rPr>
            </w:pPr>
            <w:r>
              <w:rPr>
                <w:rFonts w:ascii="宋体" w:hAnsi="宋体"/>
                <w:szCs w:val="21"/>
              </w:rPr>
              <w:t>A.颤法  手持针柄颤动针体，颤动的速度较快，幅度要小，力度要均匀。</w:t>
            </w:r>
          </w:p>
        </w:tc>
        <w:tc>
          <w:tcPr>
            <w:tcW w:w="0" w:type="auto"/>
            <w:shd w:val="clear" w:color="auto" w:fill="auto"/>
            <w:vAlign w:val="center"/>
          </w:tcPr>
          <w:p w14:paraId="2A0ED9EA">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0.35 </w:t>
            </w:r>
          </w:p>
        </w:tc>
        <w:tc>
          <w:tcPr>
            <w:tcW w:w="0" w:type="auto"/>
            <w:shd w:val="clear" w:color="auto" w:fill="auto"/>
            <w:vAlign w:val="center"/>
          </w:tcPr>
          <w:p w14:paraId="532C48CD">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64.71%</w:t>
            </w:r>
          </w:p>
        </w:tc>
        <w:tc>
          <w:tcPr>
            <w:tcW w:w="0" w:type="auto"/>
            <w:shd w:val="clear" w:color="auto" w:fill="auto"/>
            <w:vAlign w:val="center"/>
          </w:tcPr>
          <w:p w14:paraId="26F7C39A">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12</w:t>
            </w:r>
          </w:p>
        </w:tc>
        <w:tc>
          <w:tcPr>
            <w:tcW w:w="0" w:type="auto"/>
            <w:shd w:val="clear" w:color="auto" w:fill="auto"/>
            <w:vAlign w:val="center"/>
          </w:tcPr>
          <w:p w14:paraId="4F6D5467">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137.44%</w:t>
            </w:r>
          </w:p>
        </w:tc>
      </w:tr>
      <w:tr w14:paraId="30663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36FA193A">
            <w:pPr>
              <w:widowControl/>
              <w:spacing w:line="400" w:lineRule="exact"/>
              <w:rPr>
                <w:rFonts w:ascii="宋体" w:hAnsi="宋体"/>
                <w:szCs w:val="21"/>
              </w:rPr>
            </w:pPr>
            <w:r>
              <w:rPr>
                <w:rFonts w:ascii="宋体" w:hAnsi="宋体"/>
                <w:szCs w:val="21"/>
              </w:rPr>
              <w:t xml:space="preserve">B.沿用国家标准原文。 </w:t>
            </w:r>
          </w:p>
        </w:tc>
        <w:tc>
          <w:tcPr>
            <w:tcW w:w="0" w:type="auto"/>
            <w:shd w:val="clear" w:color="auto" w:fill="auto"/>
            <w:vAlign w:val="center"/>
          </w:tcPr>
          <w:p w14:paraId="3EDF371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0.65 </w:t>
            </w:r>
          </w:p>
        </w:tc>
        <w:tc>
          <w:tcPr>
            <w:tcW w:w="0" w:type="auto"/>
            <w:shd w:val="clear" w:color="auto" w:fill="auto"/>
            <w:vAlign w:val="center"/>
          </w:tcPr>
          <w:p w14:paraId="5F4D9AE1">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35.29%</w:t>
            </w:r>
          </w:p>
        </w:tc>
        <w:tc>
          <w:tcPr>
            <w:tcW w:w="0" w:type="auto"/>
            <w:shd w:val="clear" w:color="auto" w:fill="auto"/>
            <w:vAlign w:val="center"/>
          </w:tcPr>
          <w:p w14:paraId="2399B4E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22</w:t>
            </w:r>
          </w:p>
        </w:tc>
        <w:tc>
          <w:tcPr>
            <w:tcW w:w="0" w:type="auto"/>
            <w:shd w:val="clear" w:color="auto" w:fill="auto"/>
            <w:vAlign w:val="center"/>
          </w:tcPr>
          <w:p w14:paraId="2894779F">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74.97%</w:t>
            </w:r>
          </w:p>
        </w:tc>
      </w:tr>
    </w:tbl>
    <w:p w14:paraId="469858BD">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28</w:t>
      </w:r>
      <w:r>
        <w:rPr>
          <w:rFonts w:ascii="宋体" w:hAnsi="宋体"/>
          <w:b/>
          <w:bCs/>
          <w:szCs w:val="21"/>
        </w:rPr>
        <w:t xml:space="preserve"> 单式补泻手法各手法操作调查结果</w:t>
      </w:r>
    </w:p>
    <w:p w14:paraId="41D5E095">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28</w:t>
      </w:r>
      <w:r>
        <w:rPr>
          <w:rFonts w:ascii="宋体" w:hAnsi="宋体"/>
          <w:b/>
          <w:bCs/>
          <w:szCs w:val="21"/>
        </w:rPr>
        <w:t xml:space="preserve"> </w:t>
      </w:r>
      <w:bookmarkStart w:id="20" w:name="_Toc22452"/>
      <w:bookmarkStart w:id="21" w:name="_Toc23941"/>
      <w:r>
        <w:rPr>
          <w:rFonts w:ascii="宋体" w:hAnsi="宋体"/>
          <w:b/>
          <w:bCs/>
          <w:szCs w:val="21"/>
        </w:rPr>
        <w:t>单式补泻手法</w:t>
      </w:r>
      <w:bookmarkEnd w:id="20"/>
      <w:bookmarkEnd w:id="21"/>
      <w:r>
        <w:rPr>
          <w:rFonts w:ascii="宋体" w:hAnsi="宋体"/>
          <w:b/>
          <w:bCs/>
          <w:szCs w:val="21"/>
        </w:rPr>
        <w:t>各手法操作调查结果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0AA2D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2CE6C7AB">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3453CEED">
            <w:pPr>
              <w:widowControl/>
              <w:spacing w:line="400" w:lineRule="exact"/>
              <w:rPr>
                <w:rFonts w:ascii="宋体" w:hAnsi="宋体"/>
                <w:szCs w:val="21"/>
              </w:rPr>
            </w:pPr>
            <w:r>
              <w:rPr>
                <w:rFonts w:ascii="宋体" w:hAnsi="宋体"/>
                <w:szCs w:val="21"/>
              </w:rPr>
              <w:object>
                <v:shape id="_x0000_i1056"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56" DrawAspect="Content" ObjectID="_1468075756" r:id="rId45">
                  <o:LockedField>false</o:LockedField>
                </o:OLEObject>
              </w:object>
            </w:r>
          </w:p>
        </w:tc>
        <w:tc>
          <w:tcPr>
            <w:tcW w:w="0" w:type="auto"/>
            <w:tcBorders>
              <w:insideH w:val="single" w:sz="4" w:space="0"/>
            </w:tcBorders>
          </w:tcPr>
          <w:p w14:paraId="5D867522">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090375B5">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2CC94F2C">
            <w:pPr>
              <w:widowControl/>
              <w:spacing w:line="400" w:lineRule="exact"/>
              <w:rPr>
                <w:rFonts w:ascii="宋体" w:hAnsi="宋体"/>
                <w:szCs w:val="21"/>
              </w:rPr>
            </w:pPr>
            <w:r>
              <w:rPr>
                <w:rFonts w:ascii="宋体" w:hAnsi="宋体"/>
                <w:szCs w:val="21"/>
              </w:rPr>
              <w:t>CV</w:t>
            </w:r>
          </w:p>
        </w:tc>
      </w:tr>
      <w:tr w14:paraId="2991E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0CD0FC50">
            <w:pPr>
              <w:widowControl/>
              <w:spacing w:line="400" w:lineRule="exact"/>
              <w:rPr>
                <w:rFonts w:ascii="宋体" w:hAnsi="宋体"/>
                <w:szCs w:val="21"/>
              </w:rPr>
            </w:pPr>
            <w:r>
              <w:rPr>
                <w:rFonts w:ascii="宋体" w:hAnsi="宋体"/>
                <w:szCs w:val="21"/>
              </w:rPr>
              <w:t>A.徐疾补泻：补法，针刺得气后，用重力慢(徐入)插针；泻法，针刺得气后，用轻力慢(徐出)提针。提插补泻：补法，针刺得气后，用重力插针；泻法，针刺得气后，用轻力提针。捻转补泻：补法，针刺得气后，拇指向前(顺时针)用力重捻；泻法，针刺得气后，拇指向后(逆时针)用力轻捻。</w:t>
            </w:r>
          </w:p>
        </w:tc>
        <w:tc>
          <w:tcPr>
            <w:tcW w:w="0" w:type="auto"/>
            <w:shd w:val="clear" w:color="auto" w:fill="auto"/>
            <w:vAlign w:val="center"/>
          </w:tcPr>
          <w:p w14:paraId="252D8EB1">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0.32 </w:t>
            </w:r>
          </w:p>
        </w:tc>
        <w:tc>
          <w:tcPr>
            <w:tcW w:w="0" w:type="auto"/>
            <w:shd w:val="clear" w:color="auto" w:fill="auto"/>
            <w:vAlign w:val="center"/>
          </w:tcPr>
          <w:p w14:paraId="5FF2555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67.65%</w:t>
            </w:r>
          </w:p>
        </w:tc>
        <w:tc>
          <w:tcPr>
            <w:tcW w:w="0" w:type="auto"/>
            <w:shd w:val="clear" w:color="auto" w:fill="auto"/>
            <w:vAlign w:val="center"/>
          </w:tcPr>
          <w:p w14:paraId="0D1237CA">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11</w:t>
            </w:r>
          </w:p>
        </w:tc>
        <w:tc>
          <w:tcPr>
            <w:tcW w:w="0" w:type="auto"/>
            <w:shd w:val="clear" w:color="auto" w:fill="auto"/>
            <w:vAlign w:val="center"/>
          </w:tcPr>
          <w:p w14:paraId="6EABA39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146.77%</w:t>
            </w:r>
          </w:p>
        </w:tc>
      </w:tr>
      <w:tr w14:paraId="3A7F2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166BE503">
            <w:pPr>
              <w:widowControl/>
              <w:spacing w:line="400" w:lineRule="exact"/>
              <w:rPr>
                <w:rFonts w:ascii="宋体" w:hAnsi="宋体"/>
                <w:szCs w:val="21"/>
              </w:rPr>
            </w:pPr>
            <w:r>
              <w:rPr>
                <w:rFonts w:ascii="宋体" w:hAnsi="宋体"/>
                <w:szCs w:val="21"/>
              </w:rPr>
              <w:t xml:space="preserve">B.沿用国家标准原文。 </w:t>
            </w:r>
          </w:p>
        </w:tc>
        <w:tc>
          <w:tcPr>
            <w:tcW w:w="0" w:type="auto"/>
            <w:shd w:val="clear" w:color="auto" w:fill="auto"/>
            <w:vAlign w:val="center"/>
          </w:tcPr>
          <w:p w14:paraId="07EA7D96">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0.68 </w:t>
            </w:r>
          </w:p>
        </w:tc>
        <w:tc>
          <w:tcPr>
            <w:tcW w:w="0" w:type="auto"/>
            <w:shd w:val="clear" w:color="auto" w:fill="auto"/>
            <w:vAlign w:val="center"/>
          </w:tcPr>
          <w:p w14:paraId="6B8FE7EF">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32.35%</w:t>
            </w:r>
          </w:p>
        </w:tc>
        <w:tc>
          <w:tcPr>
            <w:tcW w:w="0" w:type="auto"/>
            <w:shd w:val="clear" w:color="auto" w:fill="auto"/>
            <w:vAlign w:val="center"/>
          </w:tcPr>
          <w:p w14:paraId="769541EE">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23</w:t>
            </w:r>
          </w:p>
        </w:tc>
        <w:tc>
          <w:tcPr>
            <w:tcW w:w="0" w:type="auto"/>
            <w:shd w:val="clear" w:color="auto" w:fill="auto"/>
            <w:vAlign w:val="center"/>
          </w:tcPr>
          <w:p w14:paraId="083145EB">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70.20%</w:t>
            </w:r>
          </w:p>
        </w:tc>
      </w:tr>
    </w:tbl>
    <w:p w14:paraId="5FFCBDCF">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29</w:t>
      </w:r>
      <w:r>
        <w:rPr>
          <w:rFonts w:ascii="宋体" w:hAnsi="宋体"/>
          <w:b/>
          <w:bCs/>
          <w:szCs w:val="21"/>
        </w:rPr>
        <w:t xml:space="preserve"> 隔姜灸操作步骤调查结果</w:t>
      </w:r>
    </w:p>
    <w:p w14:paraId="08784CB1">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29</w:t>
      </w:r>
      <w:r>
        <w:rPr>
          <w:rFonts w:ascii="宋体" w:hAnsi="宋体"/>
          <w:b/>
          <w:bCs/>
          <w:szCs w:val="21"/>
        </w:rPr>
        <w:t xml:space="preserve"> 隔姜灸操作步骤调查结果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2B103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752D8314">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7FC122FD">
            <w:pPr>
              <w:widowControl/>
              <w:spacing w:line="400" w:lineRule="exact"/>
              <w:rPr>
                <w:rFonts w:ascii="宋体" w:hAnsi="宋体"/>
                <w:szCs w:val="21"/>
              </w:rPr>
            </w:pPr>
            <w:r>
              <w:rPr>
                <w:rFonts w:ascii="宋体" w:hAnsi="宋体"/>
                <w:szCs w:val="21"/>
              </w:rPr>
              <w:object>
                <v:shape id="_x0000_i1057"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57" DrawAspect="Content" ObjectID="_1468075757" r:id="rId46">
                  <o:LockedField>false</o:LockedField>
                </o:OLEObject>
              </w:object>
            </w:r>
          </w:p>
        </w:tc>
        <w:tc>
          <w:tcPr>
            <w:tcW w:w="0" w:type="auto"/>
            <w:tcBorders>
              <w:insideH w:val="single" w:sz="4" w:space="0"/>
            </w:tcBorders>
          </w:tcPr>
          <w:p w14:paraId="2E7F4CFB">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6697EF63">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0A66EE4C">
            <w:pPr>
              <w:widowControl/>
              <w:spacing w:line="400" w:lineRule="exact"/>
              <w:rPr>
                <w:rFonts w:ascii="宋体" w:hAnsi="宋体"/>
                <w:szCs w:val="21"/>
              </w:rPr>
            </w:pPr>
            <w:r>
              <w:rPr>
                <w:rFonts w:ascii="宋体" w:hAnsi="宋体"/>
                <w:szCs w:val="21"/>
              </w:rPr>
              <w:t>CV</w:t>
            </w:r>
          </w:p>
        </w:tc>
      </w:tr>
      <w:tr w14:paraId="609B6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038B3CA8">
            <w:pPr>
              <w:widowControl/>
              <w:spacing w:line="400" w:lineRule="exact"/>
              <w:rPr>
                <w:rFonts w:ascii="宋体" w:hAnsi="宋体"/>
                <w:szCs w:val="21"/>
              </w:rPr>
            </w:pPr>
            <w:r>
              <w:rPr>
                <w:rFonts w:ascii="宋体" w:hAnsi="宋体"/>
                <w:szCs w:val="21"/>
              </w:rPr>
              <w:t>A.隔姜灸  用鲜姜切成直径大约2cm～3cm、厚约0.4cm～0.6cm 的薄片，中间以针刺数孔，然后置于应灸的腧穴部位或患处，再将艾炷放在姜片上点燃施灸。当艾炷燃尽，易炷再灸，直至灸完应灸的壮数。常用于因寒而导致的呕吐、腹痛、腹泻及风寒痹痛等。</w:t>
            </w:r>
          </w:p>
        </w:tc>
        <w:tc>
          <w:tcPr>
            <w:tcW w:w="0" w:type="auto"/>
            <w:shd w:val="clear" w:color="auto" w:fill="auto"/>
            <w:vAlign w:val="center"/>
          </w:tcPr>
          <w:p w14:paraId="7AA70B7F">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0.47 </w:t>
            </w:r>
          </w:p>
        </w:tc>
        <w:tc>
          <w:tcPr>
            <w:tcW w:w="0" w:type="auto"/>
            <w:shd w:val="clear" w:color="auto" w:fill="auto"/>
            <w:vAlign w:val="center"/>
          </w:tcPr>
          <w:p w14:paraId="4A94917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52.94%</w:t>
            </w:r>
          </w:p>
        </w:tc>
        <w:tc>
          <w:tcPr>
            <w:tcW w:w="0" w:type="auto"/>
            <w:shd w:val="clear" w:color="auto" w:fill="auto"/>
            <w:vAlign w:val="center"/>
          </w:tcPr>
          <w:p w14:paraId="257375B6">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16</w:t>
            </w:r>
          </w:p>
        </w:tc>
        <w:tc>
          <w:tcPr>
            <w:tcW w:w="0" w:type="auto"/>
            <w:shd w:val="clear" w:color="auto" w:fill="auto"/>
            <w:vAlign w:val="center"/>
          </w:tcPr>
          <w:p w14:paraId="2EBC6FF8">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107.66%</w:t>
            </w:r>
          </w:p>
        </w:tc>
      </w:tr>
      <w:tr w14:paraId="6791C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4FE17E36">
            <w:pPr>
              <w:widowControl/>
              <w:spacing w:line="400" w:lineRule="exact"/>
              <w:rPr>
                <w:rFonts w:ascii="宋体" w:hAnsi="宋体"/>
                <w:szCs w:val="21"/>
              </w:rPr>
            </w:pPr>
            <w:r>
              <w:rPr>
                <w:rFonts w:ascii="宋体" w:hAnsi="宋体"/>
                <w:szCs w:val="21"/>
              </w:rPr>
              <w:t xml:space="preserve">B.沿用国家标准原文。 </w:t>
            </w:r>
          </w:p>
        </w:tc>
        <w:tc>
          <w:tcPr>
            <w:tcW w:w="0" w:type="auto"/>
            <w:shd w:val="clear" w:color="auto" w:fill="auto"/>
            <w:vAlign w:val="center"/>
          </w:tcPr>
          <w:p w14:paraId="67B064F4">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0.53 </w:t>
            </w:r>
          </w:p>
        </w:tc>
        <w:tc>
          <w:tcPr>
            <w:tcW w:w="0" w:type="auto"/>
            <w:shd w:val="clear" w:color="auto" w:fill="auto"/>
            <w:vAlign w:val="center"/>
          </w:tcPr>
          <w:p w14:paraId="28D54CED">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47.06%</w:t>
            </w:r>
          </w:p>
        </w:tc>
        <w:tc>
          <w:tcPr>
            <w:tcW w:w="0" w:type="auto"/>
            <w:shd w:val="clear" w:color="auto" w:fill="auto"/>
            <w:vAlign w:val="center"/>
          </w:tcPr>
          <w:p w14:paraId="44061506">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18</w:t>
            </w:r>
          </w:p>
        </w:tc>
        <w:tc>
          <w:tcPr>
            <w:tcW w:w="0" w:type="auto"/>
            <w:shd w:val="clear" w:color="auto" w:fill="auto"/>
            <w:vAlign w:val="center"/>
          </w:tcPr>
          <w:p w14:paraId="6F8848E8">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95.70%</w:t>
            </w:r>
          </w:p>
        </w:tc>
      </w:tr>
    </w:tbl>
    <w:p w14:paraId="094B1721">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30</w:t>
      </w:r>
      <w:r>
        <w:rPr>
          <w:rFonts w:ascii="宋体" w:hAnsi="宋体"/>
          <w:b/>
          <w:bCs/>
          <w:szCs w:val="21"/>
        </w:rPr>
        <w:t xml:space="preserve"> 刺四缝疗程调查结果</w:t>
      </w:r>
    </w:p>
    <w:p w14:paraId="397915A6">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30</w:t>
      </w:r>
      <w:r>
        <w:rPr>
          <w:rFonts w:ascii="宋体" w:hAnsi="宋体"/>
          <w:b/>
          <w:bCs/>
          <w:szCs w:val="21"/>
        </w:rPr>
        <w:t xml:space="preserve"> </w:t>
      </w:r>
      <w:bookmarkStart w:id="22" w:name="_Toc3869"/>
      <w:bookmarkStart w:id="23" w:name="_Toc15847"/>
      <w:r>
        <w:rPr>
          <w:rFonts w:ascii="宋体" w:hAnsi="宋体"/>
          <w:b/>
          <w:bCs/>
          <w:szCs w:val="21"/>
        </w:rPr>
        <w:t>刺四缝疗程</w:t>
      </w:r>
      <w:bookmarkEnd w:id="22"/>
      <w:bookmarkEnd w:id="23"/>
      <w:r>
        <w:rPr>
          <w:rFonts w:ascii="宋体" w:hAnsi="宋体"/>
          <w:b/>
          <w:bCs/>
          <w:szCs w:val="21"/>
        </w:rPr>
        <w:t>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5EEF0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709824B8">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3873C09F">
            <w:pPr>
              <w:widowControl/>
              <w:spacing w:line="400" w:lineRule="exact"/>
              <w:rPr>
                <w:rFonts w:ascii="宋体" w:hAnsi="宋体"/>
                <w:szCs w:val="21"/>
              </w:rPr>
            </w:pPr>
            <w:r>
              <w:rPr>
                <w:rFonts w:ascii="宋体" w:hAnsi="宋体"/>
                <w:szCs w:val="21"/>
              </w:rPr>
              <w:object>
                <v:shape id="_x0000_i1058"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58" DrawAspect="Content" ObjectID="_1468075758" r:id="rId47">
                  <o:LockedField>false</o:LockedField>
                </o:OLEObject>
              </w:object>
            </w:r>
          </w:p>
        </w:tc>
        <w:tc>
          <w:tcPr>
            <w:tcW w:w="0" w:type="auto"/>
            <w:tcBorders>
              <w:insideH w:val="single" w:sz="4" w:space="0"/>
            </w:tcBorders>
          </w:tcPr>
          <w:p w14:paraId="55B10933">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701E4E7E">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04F24389">
            <w:pPr>
              <w:widowControl/>
              <w:spacing w:line="400" w:lineRule="exact"/>
              <w:rPr>
                <w:rFonts w:ascii="宋体" w:hAnsi="宋体"/>
                <w:szCs w:val="21"/>
              </w:rPr>
            </w:pPr>
            <w:r>
              <w:rPr>
                <w:rFonts w:ascii="宋体" w:hAnsi="宋体"/>
                <w:szCs w:val="21"/>
              </w:rPr>
              <w:t>CV</w:t>
            </w:r>
          </w:p>
        </w:tc>
      </w:tr>
      <w:tr w14:paraId="51548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306639F3">
            <w:pPr>
              <w:widowControl/>
              <w:spacing w:line="400" w:lineRule="exact"/>
              <w:rPr>
                <w:rFonts w:ascii="宋体" w:hAnsi="宋体"/>
                <w:szCs w:val="21"/>
              </w:rPr>
            </w:pPr>
            <w:r>
              <w:rPr>
                <w:rFonts w:ascii="宋体" w:hAnsi="宋体"/>
                <w:szCs w:val="21"/>
              </w:rPr>
              <w:t>A.每周刺1~2次，病重者可隔日刺1次，待病情好转后减为每周1次、10天1次或15天1次，最多不超过10次。</w:t>
            </w:r>
          </w:p>
        </w:tc>
        <w:tc>
          <w:tcPr>
            <w:tcW w:w="0" w:type="auto"/>
            <w:shd w:val="clear" w:color="auto" w:fill="auto"/>
            <w:vAlign w:val="center"/>
          </w:tcPr>
          <w:p w14:paraId="5892D45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0.68 </w:t>
            </w:r>
          </w:p>
        </w:tc>
        <w:tc>
          <w:tcPr>
            <w:tcW w:w="0" w:type="auto"/>
            <w:shd w:val="clear" w:color="auto" w:fill="auto"/>
            <w:vAlign w:val="center"/>
          </w:tcPr>
          <w:p w14:paraId="02DB9FE6">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32.35%</w:t>
            </w:r>
          </w:p>
        </w:tc>
        <w:tc>
          <w:tcPr>
            <w:tcW w:w="0" w:type="auto"/>
            <w:shd w:val="clear" w:color="auto" w:fill="auto"/>
            <w:vAlign w:val="center"/>
          </w:tcPr>
          <w:p w14:paraId="4C179571">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23</w:t>
            </w:r>
          </w:p>
        </w:tc>
        <w:tc>
          <w:tcPr>
            <w:tcW w:w="0" w:type="auto"/>
            <w:shd w:val="clear" w:color="auto" w:fill="auto"/>
            <w:vAlign w:val="center"/>
          </w:tcPr>
          <w:p w14:paraId="7FC28AB1">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70.20%</w:t>
            </w:r>
          </w:p>
        </w:tc>
      </w:tr>
      <w:tr w14:paraId="0A38D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66292E09">
            <w:pPr>
              <w:widowControl/>
              <w:spacing w:line="400" w:lineRule="exact"/>
              <w:rPr>
                <w:rFonts w:ascii="宋体" w:hAnsi="宋体"/>
                <w:szCs w:val="21"/>
              </w:rPr>
            </w:pPr>
            <w:r>
              <w:rPr>
                <w:rFonts w:ascii="宋体" w:hAnsi="宋体"/>
                <w:szCs w:val="21"/>
              </w:rPr>
              <w:t xml:space="preserve">B.沿用国家标准原文。 </w:t>
            </w:r>
          </w:p>
        </w:tc>
        <w:tc>
          <w:tcPr>
            <w:tcW w:w="0" w:type="auto"/>
            <w:shd w:val="clear" w:color="auto" w:fill="auto"/>
            <w:vAlign w:val="center"/>
          </w:tcPr>
          <w:p w14:paraId="1CB2517F">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0.32 </w:t>
            </w:r>
          </w:p>
        </w:tc>
        <w:tc>
          <w:tcPr>
            <w:tcW w:w="0" w:type="auto"/>
            <w:shd w:val="clear" w:color="auto" w:fill="auto"/>
            <w:vAlign w:val="center"/>
          </w:tcPr>
          <w:p w14:paraId="12EDA76E">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67.65%</w:t>
            </w:r>
          </w:p>
        </w:tc>
        <w:tc>
          <w:tcPr>
            <w:tcW w:w="0" w:type="auto"/>
            <w:shd w:val="clear" w:color="auto" w:fill="auto"/>
            <w:vAlign w:val="center"/>
          </w:tcPr>
          <w:p w14:paraId="68889E6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11</w:t>
            </w:r>
          </w:p>
        </w:tc>
        <w:tc>
          <w:tcPr>
            <w:tcW w:w="0" w:type="auto"/>
            <w:shd w:val="clear" w:color="auto" w:fill="auto"/>
            <w:vAlign w:val="center"/>
          </w:tcPr>
          <w:p w14:paraId="1E996580">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146.77%</w:t>
            </w:r>
          </w:p>
        </w:tc>
      </w:tr>
    </w:tbl>
    <w:p w14:paraId="098F804E">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31</w:t>
      </w:r>
      <w:r>
        <w:rPr>
          <w:rFonts w:ascii="宋体" w:hAnsi="宋体"/>
          <w:b/>
          <w:bCs/>
          <w:szCs w:val="21"/>
        </w:rPr>
        <w:t xml:space="preserve"> 隔盐灸操作步骤调查结果</w:t>
      </w:r>
    </w:p>
    <w:p w14:paraId="3176EB06">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31</w:t>
      </w:r>
      <w:r>
        <w:rPr>
          <w:rFonts w:ascii="宋体" w:hAnsi="宋体"/>
          <w:b/>
          <w:bCs/>
          <w:szCs w:val="21"/>
        </w:rPr>
        <w:t xml:space="preserve"> 隔盐灸操作步骤调查结果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6B03C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4057D1A6">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2324DF75">
            <w:pPr>
              <w:widowControl/>
              <w:spacing w:line="400" w:lineRule="exact"/>
              <w:rPr>
                <w:rFonts w:ascii="宋体" w:hAnsi="宋体"/>
                <w:szCs w:val="21"/>
              </w:rPr>
            </w:pPr>
            <w:r>
              <w:rPr>
                <w:rFonts w:ascii="宋体" w:hAnsi="宋体"/>
                <w:szCs w:val="21"/>
              </w:rPr>
              <w:object>
                <v:shape id="_x0000_i1059"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59" DrawAspect="Content" ObjectID="_1468075759" r:id="rId48">
                  <o:LockedField>false</o:LockedField>
                </o:OLEObject>
              </w:object>
            </w:r>
          </w:p>
        </w:tc>
        <w:tc>
          <w:tcPr>
            <w:tcW w:w="0" w:type="auto"/>
            <w:tcBorders>
              <w:insideH w:val="single" w:sz="4" w:space="0"/>
            </w:tcBorders>
          </w:tcPr>
          <w:p w14:paraId="2F2627BE">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6C06DE6E">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7B7D4EFC">
            <w:pPr>
              <w:widowControl/>
              <w:spacing w:line="400" w:lineRule="exact"/>
              <w:rPr>
                <w:rFonts w:ascii="宋体" w:hAnsi="宋体"/>
                <w:szCs w:val="21"/>
              </w:rPr>
            </w:pPr>
            <w:r>
              <w:rPr>
                <w:rFonts w:ascii="宋体" w:hAnsi="宋体"/>
                <w:szCs w:val="21"/>
              </w:rPr>
              <w:t>CV</w:t>
            </w:r>
          </w:p>
        </w:tc>
      </w:tr>
      <w:tr w14:paraId="06C79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29C961B9">
            <w:pPr>
              <w:widowControl/>
              <w:spacing w:line="400" w:lineRule="exact"/>
              <w:rPr>
                <w:rFonts w:ascii="宋体" w:hAnsi="宋体"/>
                <w:szCs w:val="21"/>
              </w:rPr>
            </w:pPr>
            <w:r>
              <w:rPr>
                <w:rFonts w:ascii="宋体" w:hAnsi="宋体"/>
                <w:szCs w:val="21"/>
              </w:rPr>
              <w:t>A.用纯净的食盐填敷于脐部，或于盐上再置一薄姜片，上置大艾炷施灸。当艾炷燃尽，易炷再灸，直至灸完应灸的壮数。此法多用于治疗伤寒阴证或吐泻并作、中风脱证等。</w:t>
            </w:r>
          </w:p>
        </w:tc>
        <w:tc>
          <w:tcPr>
            <w:tcW w:w="0" w:type="auto"/>
            <w:shd w:val="clear" w:color="auto" w:fill="auto"/>
            <w:vAlign w:val="center"/>
          </w:tcPr>
          <w:p w14:paraId="56E78044">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0.35 </w:t>
            </w:r>
          </w:p>
        </w:tc>
        <w:tc>
          <w:tcPr>
            <w:tcW w:w="0" w:type="auto"/>
            <w:shd w:val="clear" w:color="auto" w:fill="auto"/>
            <w:vAlign w:val="center"/>
          </w:tcPr>
          <w:p w14:paraId="74B1E0BF">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64.71%</w:t>
            </w:r>
          </w:p>
        </w:tc>
        <w:tc>
          <w:tcPr>
            <w:tcW w:w="0" w:type="auto"/>
            <w:shd w:val="clear" w:color="auto" w:fill="auto"/>
            <w:vAlign w:val="center"/>
          </w:tcPr>
          <w:p w14:paraId="1E38F32D">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12</w:t>
            </w:r>
          </w:p>
        </w:tc>
        <w:tc>
          <w:tcPr>
            <w:tcW w:w="0" w:type="auto"/>
            <w:shd w:val="clear" w:color="auto" w:fill="auto"/>
            <w:vAlign w:val="center"/>
          </w:tcPr>
          <w:p w14:paraId="692B199D">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137.44%</w:t>
            </w:r>
          </w:p>
        </w:tc>
      </w:tr>
      <w:tr w14:paraId="2A3AF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6F02900D">
            <w:pPr>
              <w:widowControl/>
              <w:spacing w:line="400" w:lineRule="exact"/>
              <w:rPr>
                <w:rFonts w:ascii="宋体" w:hAnsi="宋体"/>
                <w:szCs w:val="21"/>
              </w:rPr>
            </w:pPr>
            <w:r>
              <w:rPr>
                <w:rFonts w:ascii="宋体" w:hAnsi="宋体"/>
                <w:szCs w:val="21"/>
              </w:rPr>
              <w:t xml:space="preserve">B.沿用国家标准原文。 </w:t>
            </w:r>
          </w:p>
        </w:tc>
        <w:tc>
          <w:tcPr>
            <w:tcW w:w="0" w:type="auto"/>
            <w:shd w:val="clear" w:color="auto" w:fill="auto"/>
            <w:vAlign w:val="center"/>
          </w:tcPr>
          <w:p w14:paraId="795E9A36">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0.65 </w:t>
            </w:r>
          </w:p>
        </w:tc>
        <w:tc>
          <w:tcPr>
            <w:tcW w:w="0" w:type="auto"/>
            <w:shd w:val="clear" w:color="auto" w:fill="auto"/>
            <w:vAlign w:val="center"/>
          </w:tcPr>
          <w:p w14:paraId="6BE145D9">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35.29%</w:t>
            </w:r>
          </w:p>
        </w:tc>
        <w:tc>
          <w:tcPr>
            <w:tcW w:w="0" w:type="auto"/>
            <w:shd w:val="clear" w:color="auto" w:fill="auto"/>
            <w:vAlign w:val="center"/>
          </w:tcPr>
          <w:p w14:paraId="56F9A0D4">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22</w:t>
            </w:r>
          </w:p>
        </w:tc>
        <w:tc>
          <w:tcPr>
            <w:tcW w:w="0" w:type="auto"/>
            <w:shd w:val="clear" w:color="auto" w:fill="auto"/>
            <w:vAlign w:val="center"/>
          </w:tcPr>
          <w:p w14:paraId="35BA194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74.97%</w:t>
            </w:r>
          </w:p>
        </w:tc>
      </w:tr>
    </w:tbl>
    <w:p w14:paraId="762EEEB8">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32</w:t>
      </w:r>
      <w:r>
        <w:rPr>
          <w:rFonts w:ascii="宋体" w:hAnsi="宋体"/>
          <w:b/>
          <w:bCs/>
          <w:szCs w:val="21"/>
        </w:rPr>
        <w:t xml:space="preserve"> 隔附子灸的名称和操作步骤调查结果</w:t>
      </w:r>
    </w:p>
    <w:p w14:paraId="16E63D53">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32</w:t>
      </w:r>
      <w:r>
        <w:rPr>
          <w:rFonts w:ascii="宋体" w:hAnsi="宋体"/>
          <w:b/>
          <w:bCs/>
          <w:szCs w:val="21"/>
        </w:rPr>
        <w:t xml:space="preserve"> 隔附子灸的名称和操作步骤调查结果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4021B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55CB2645">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639DCE0A">
            <w:pPr>
              <w:widowControl/>
              <w:spacing w:line="400" w:lineRule="exact"/>
              <w:rPr>
                <w:rFonts w:ascii="宋体" w:hAnsi="宋体"/>
                <w:szCs w:val="21"/>
              </w:rPr>
            </w:pPr>
            <w:r>
              <w:rPr>
                <w:rFonts w:ascii="宋体" w:hAnsi="宋体"/>
                <w:szCs w:val="21"/>
              </w:rPr>
              <w:object>
                <v:shape id="_x0000_i1060"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60" DrawAspect="Content" ObjectID="_1468075760" r:id="rId49">
                  <o:LockedField>false</o:LockedField>
                </o:OLEObject>
              </w:object>
            </w:r>
          </w:p>
        </w:tc>
        <w:tc>
          <w:tcPr>
            <w:tcW w:w="0" w:type="auto"/>
            <w:tcBorders>
              <w:insideH w:val="single" w:sz="4" w:space="0"/>
            </w:tcBorders>
          </w:tcPr>
          <w:p w14:paraId="7F58A804">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6726E0AD">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7FEB9894">
            <w:pPr>
              <w:widowControl/>
              <w:spacing w:line="400" w:lineRule="exact"/>
              <w:rPr>
                <w:rFonts w:ascii="宋体" w:hAnsi="宋体"/>
                <w:szCs w:val="21"/>
              </w:rPr>
            </w:pPr>
            <w:r>
              <w:rPr>
                <w:rFonts w:ascii="宋体" w:hAnsi="宋体"/>
                <w:szCs w:val="21"/>
              </w:rPr>
              <w:t>CV</w:t>
            </w:r>
          </w:p>
        </w:tc>
      </w:tr>
      <w:tr w14:paraId="41124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464CE74D">
            <w:pPr>
              <w:widowControl/>
              <w:spacing w:line="400" w:lineRule="exact"/>
              <w:rPr>
                <w:rFonts w:ascii="宋体" w:hAnsi="宋体"/>
                <w:szCs w:val="21"/>
              </w:rPr>
            </w:pPr>
            <w:r>
              <w:rPr>
                <w:rFonts w:ascii="宋体" w:hAnsi="宋体"/>
                <w:szCs w:val="21"/>
              </w:rPr>
              <w:t>A.隔附子饼灸  将附子研成粉末，用酒调和做成直径0.2 cm ～0.3 cm、厚0.5 cm～0.8 cm的薄饼，中间以针刺数孔，然后置于应灸的腧穴部位或患处，再将艾炷放在附子饼上点燃施灸。当艾炷燃尽，易炷再灸，直至灸完应灸的壮数。</w:t>
            </w:r>
          </w:p>
        </w:tc>
        <w:tc>
          <w:tcPr>
            <w:tcW w:w="0" w:type="auto"/>
            <w:shd w:val="clear" w:color="auto" w:fill="auto"/>
            <w:vAlign w:val="center"/>
          </w:tcPr>
          <w:p w14:paraId="00FE1500">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0.45 </w:t>
            </w:r>
          </w:p>
        </w:tc>
        <w:tc>
          <w:tcPr>
            <w:tcW w:w="0" w:type="auto"/>
            <w:shd w:val="clear" w:color="auto" w:fill="auto"/>
            <w:vAlign w:val="center"/>
          </w:tcPr>
          <w:p w14:paraId="4F777A5E">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52.94%</w:t>
            </w:r>
          </w:p>
        </w:tc>
        <w:tc>
          <w:tcPr>
            <w:tcW w:w="0" w:type="auto"/>
            <w:shd w:val="clear" w:color="auto" w:fill="auto"/>
            <w:vAlign w:val="center"/>
          </w:tcPr>
          <w:p w14:paraId="25B8775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15</w:t>
            </w:r>
          </w:p>
        </w:tc>
        <w:tc>
          <w:tcPr>
            <w:tcW w:w="0" w:type="auto"/>
            <w:shd w:val="clear" w:color="auto" w:fill="auto"/>
            <w:vAlign w:val="center"/>
          </w:tcPr>
          <w:p w14:paraId="3CF5A86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110.88%</w:t>
            </w:r>
          </w:p>
        </w:tc>
      </w:tr>
      <w:tr w14:paraId="1714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4DA09F82">
            <w:pPr>
              <w:widowControl/>
              <w:spacing w:line="400" w:lineRule="exact"/>
              <w:rPr>
                <w:rFonts w:ascii="宋体" w:hAnsi="宋体"/>
                <w:szCs w:val="21"/>
              </w:rPr>
            </w:pPr>
            <w:r>
              <w:rPr>
                <w:rFonts w:ascii="宋体" w:hAnsi="宋体"/>
                <w:szCs w:val="21"/>
              </w:rPr>
              <w:t xml:space="preserve">B.沿用国家标准原文。 </w:t>
            </w:r>
          </w:p>
        </w:tc>
        <w:tc>
          <w:tcPr>
            <w:tcW w:w="0" w:type="auto"/>
            <w:shd w:val="clear" w:color="auto" w:fill="auto"/>
            <w:vAlign w:val="center"/>
          </w:tcPr>
          <w:p w14:paraId="25C87E3D">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0.55 </w:t>
            </w:r>
          </w:p>
        </w:tc>
        <w:tc>
          <w:tcPr>
            <w:tcW w:w="0" w:type="auto"/>
            <w:shd w:val="clear" w:color="auto" w:fill="auto"/>
            <w:vAlign w:val="center"/>
          </w:tcPr>
          <w:p w14:paraId="1AF57CF9">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44.12%</w:t>
            </w:r>
          </w:p>
        </w:tc>
        <w:tc>
          <w:tcPr>
            <w:tcW w:w="0" w:type="auto"/>
            <w:shd w:val="clear" w:color="auto" w:fill="auto"/>
            <w:vAlign w:val="center"/>
          </w:tcPr>
          <w:p w14:paraId="250AD3F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18</w:t>
            </w:r>
          </w:p>
        </w:tc>
        <w:tc>
          <w:tcPr>
            <w:tcW w:w="0" w:type="auto"/>
            <w:shd w:val="clear" w:color="auto" w:fill="auto"/>
            <w:vAlign w:val="center"/>
          </w:tcPr>
          <w:p w14:paraId="5DA8C7D0">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92.88%</w:t>
            </w:r>
          </w:p>
        </w:tc>
      </w:tr>
    </w:tbl>
    <w:p w14:paraId="2CDC7E20">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33</w:t>
      </w:r>
      <w:r>
        <w:rPr>
          <w:rFonts w:ascii="宋体" w:hAnsi="宋体"/>
          <w:b/>
          <w:bCs/>
          <w:szCs w:val="21"/>
        </w:rPr>
        <w:t xml:space="preserve"> 雷火神针操作调查结果</w:t>
      </w:r>
    </w:p>
    <w:p w14:paraId="7E56AEE2">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33</w:t>
      </w:r>
      <w:r>
        <w:rPr>
          <w:rFonts w:ascii="宋体" w:hAnsi="宋体"/>
          <w:b/>
          <w:bCs/>
          <w:szCs w:val="21"/>
        </w:rPr>
        <w:t xml:space="preserve"> 雷火神针操作调查结果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58A2C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03EBBCB2">
            <w:pPr>
              <w:widowControl/>
              <w:spacing w:line="400" w:lineRule="exact"/>
              <w:rPr>
                <w:rFonts w:ascii="宋体" w:hAnsi="宋体"/>
                <w:szCs w:val="21"/>
              </w:rPr>
            </w:pPr>
            <w:r>
              <w:rPr>
                <w:rFonts w:ascii="宋体" w:hAnsi="宋体"/>
                <w:szCs w:val="21"/>
              </w:rPr>
              <w:t>选项</w:t>
            </w:r>
          </w:p>
        </w:tc>
        <w:tc>
          <w:tcPr>
            <w:tcW w:w="456" w:type="dxa"/>
            <w:tcBorders>
              <w:insideH w:val="single" w:sz="4" w:space="0"/>
            </w:tcBorders>
          </w:tcPr>
          <w:p w14:paraId="5162383C">
            <w:pPr>
              <w:widowControl/>
              <w:spacing w:line="400" w:lineRule="exact"/>
              <w:rPr>
                <w:rFonts w:ascii="宋体" w:hAnsi="宋体"/>
                <w:szCs w:val="21"/>
              </w:rPr>
            </w:pPr>
            <w:r>
              <w:rPr>
                <w:rFonts w:ascii="宋体" w:hAnsi="宋体"/>
                <w:szCs w:val="21"/>
              </w:rPr>
              <w:object>
                <v:shape id="_x0000_i1061"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61" DrawAspect="Content" ObjectID="_1468075761" r:id="rId50">
                  <o:LockedField>false</o:LockedField>
                </o:OLEObject>
              </w:object>
            </w:r>
          </w:p>
        </w:tc>
        <w:tc>
          <w:tcPr>
            <w:tcW w:w="321" w:type="dxa"/>
            <w:tcBorders>
              <w:insideH w:val="single" w:sz="4" w:space="0"/>
            </w:tcBorders>
          </w:tcPr>
          <w:p w14:paraId="28C31575">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4A409CE4">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30CB1BFF">
            <w:pPr>
              <w:widowControl/>
              <w:spacing w:line="400" w:lineRule="exact"/>
              <w:rPr>
                <w:rFonts w:ascii="宋体" w:hAnsi="宋体"/>
                <w:szCs w:val="21"/>
              </w:rPr>
            </w:pPr>
            <w:r>
              <w:rPr>
                <w:rFonts w:ascii="宋体" w:hAnsi="宋体"/>
                <w:szCs w:val="21"/>
              </w:rPr>
              <w:t>CV</w:t>
            </w:r>
          </w:p>
        </w:tc>
      </w:tr>
      <w:tr w14:paraId="299FE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5A04AE50">
            <w:pPr>
              <w:widowControl/>
              <w:spacing w:line="400" w:lineRule="exact"/>
              <w:rPr>
                <w:rFonts w:ascii="宋体" w:hAnsi="宋体"/>
                <w:szCs w:val="21"/>
              </w:rPr>
            </w:pPr>
            <w:r>
              <w:rPr>
                <w:rFonts w:ascii="宋体" w:hAnsi="宋体"/>
                <w:szCs w:val="21"/>
              </w:rPr>
              <w:t>A.艾绒94 g，沉香、木香、乳香、茵陈、羌活、干姜各9 g，加入麝香少许，研末，混匀。将药物平铺在桑皮纸上，卷紧如爆竹状，再用木板搓捻卷紧，外用鸡蛋清涂抹，阴干保存备用。</w:t>
            </w:r>
          </w:p>
        </w:tc>
        <w:tc>
          <w:tcPr>
            <w:tcW w:w="456" w:type="dxa"/>
            <w:shd w:val="clear" w:color="auto" w:fill="auto"/>
            <w:vAlign w:val="center"/>
          </w:tcPr>
          <w:p w14:paraId="32B69B9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0.94 </w:t>
            </w:r>
          </w:p>
        </w:tc>
        <w:tc>
          <w:tcPr>
            <w:tcW w:w="321" w:type="dxa"/>
            <w:shd w:val="clear" w:color="auto" w:fill="auto"/>
            <w:vAlign w:val="center"/>
          </w:tcPr>
          <w:p w14:paraId="7A3C5C6F">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5.88%</w:t>
            </w:r>
          </w:p>
        </w:tc>
        <w:tc>
          <w:tcPr>
            <w:tcW w:w="0" w:type="auto"/>
            <w:shd w:val="clear" w:color="auto" w:fill="auto"/>
            <w:vAlign w:val="center"/>
          </w:tcPr>
          <w:p w14:paraId="19D0B299">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32</w:t>
            </w:r>
          </w:p>
        </w:tc>
        <w:tc>
          <w:tcPr>
            <w:tcW w:w="0" w:type="auto"/>
            <w:shd w:val="clear" w:color="auto" w:fill="auto"/>
            <w:vAlign w:val="center"/>
          </w:tcPr>
          <w:p w14:paraId="2B3A9CF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25.38%</w:t>
            </w:r>
          </w:p>
        </w:tc>
      </w:tr>
      <w:tr w14:paraId="37F53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32CBF2E4">
            <w:pPr>
              <w:widowControl/>
              <w:spacing w:line="400" w:lineRule="exact"/>
              <w:rPr>
                <w:rFonts w:ascii="宋体" w:hAnsi="宋体"/>
                <w:szCs w:val="21"/>
              </w:rPr>
            </w:pPr>
            <w:r>
              <w:rPr>
                <w:rFonts w:ascii="宋体" w:hAnsi="宋体"/>
                <w:szCs w:val="21"/>
              </w:rPr>
              <w:t xml:space="preserve">B.沿用国家标准原文。 </w:t>
            </w:r>
          </w:p>
        </w:tc>
        <w:tc>
          <w:tcPr>
            <w:tcW w:w="456" w:type="dxa"/>
            <w:shd w:val="clear" w:color="auto" w:fill="auto"/>
            <w:vAlign w:val="center"/>
          </w:tcPr>
          <w:p w14:paraId="2178DF87">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0.06 </w:t>
            </w:r>
          </w:p>
        </w:tc>
        <w:tc>
          <w:tcPr>
            <w:tcW w:w="321" w:type="dxa"/>
            <w:shd w:val="clear" w:color="auto" w:fill="auto"/>
            <w:vAlign w:val="center"/>
          </w:tcPr>
          <w:p w14:paraId="5B0BD155">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94.12%</w:t>
            </w:r>
          </w:p>
        </w:tc>
        <w:tc>
          <w:tcPr>
            <w:tcW w:w="0" w:type="auto"/>
            <w:shd w:val="clear" w:color="auto" w:fill="auto"/>
            <w:vAlign w:val="center"/>
          </w:tcPr>
          <w:p w14:paraId="1B215BEB">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w:t>
            </w:r>
          </w:p>
        </w:tc>
        <w:tc>
          <w:tcPr>
            <w:tcW w:w="0" w:type="auto"/>
            <w:shd w:val="clear" w:color="auto" w:fill="auto"/>
            <w:vAlign w:val="center"/>
          </w:tcPr>
          <w:p w14:paraId="08EFCC3A">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406.02%</w:t>
            </w:r>
          </w:p>
        </w:tc>
      </w:tr>
    </w:tbl>
    <w:p w14:paraId="025D0D64">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34</w:t>
      </w:r>
      <w:r>
        <w:rPr>
          <w:rFonts w:ascii="宋体" w:hAnsi="宋体"/>
          <w:b/>
          <w:bCs/>
          <w:szCs w:val="21"/>
        </w:rPr>
        <w:t xml:space="preserve"> 太乙神针组成和制作方法调查结果</w:t>
      </w:r>
    </w:p>
    <w:p w14:paraId="12D3FCD6">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34</w:t>
      </w:r>
      <w:r>
        <w:rPr>
          <w:rFonts w:ascii="宋体" w:hAnsi="宋体"/>
          <w:b/>
          <w:bCs/>
          <w:szCs w:val="21"/>
        </w:rPr>
        <w:t xml:space="preserve"> 太乙神针组成和制作方法调查结果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66309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6627DE4D">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4DCCC2B2">
            <w:pPr>
              <w:widowControl/>
              <w:spacing w:line="400" w:lineRule="exact"/>
              <w:rPr>
                <w:rFonts w:ascii="宋体" w:hAnsi="宋体"/>
                <w:szCs w:val="21"/>
              </w:rPr>
            </w:pPr>
            <w:r>
              <w:rPr>
                <w:rFonts w:ascii="宋体" w:hAnsi="宋体"/>
                <w:szCs w:val="21"/>
              </w:rPr>
              <w:object>
                <v:shape id="_x0000_i1062"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62" DrawAspect="Content" ObjectID="_1468075762" r:id="rId51">
                  <o:LockedField>false</o:LockedField>
                </o:OLEObject>
              </w:object>
            </w:r>
          </w:p>
        </w:tc>
        <w:tc>
          <w:tcPr>
            <w:tcW w:w="0" w:type="auto"/>
            <w:tcBorders>
              <w:insideH w:val="single" w:sz="4" w:space="0"/>
            </w:tcBorders>
          </w:tcPr>
          <w:p w14:paraId="56F547D4">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7C0841EB">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53A9BC3F">
            <w:pPr>
              <w:widowControl/>
              <w:spacing w:line="400" w:lineRule="exact"/>
              <w:rPr>
                <w:rFonts w:ascii="宋体" w:hAnsi="宋体"/>
                <w:szCs w:val="21"/>
              </w:rPr>
            </w:pPr>
            <w:r>
              <w:rPr>
                <w:rFonts w:ascii="宋体" w:hAnsi="宋体"/>
                <w:szCs w:val="21"/>
              </w:rPr>
              <w:t>CV</w:t>
            </w:r>
          </w:p>
        </w:tc>
      </w:tr>
      <w:tr w14:paraId="5FD21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39A0721D">
            <w:pPr>
              <w:widowControl/>
              <w:spacing w:line="400" w:lineRule="exact"/>
              <w:rPr>
                <w:rFonts w:ascii="宋体" w:hAnsi="宋体"/>
                <w:szCs w:val="21"/>
              </w:rPr>
            </w:pPr>
            <w:r>
              <w:rPr>
                <w:rFonts w:ascii="宋体" w:hAnsi="宋体"/>
                <w:szCs w:val="21"/>
              </w:rPr>
              <w:t>A.太乙神针  其药物配方历代医家记载各异。近代处方为:人参 250 g，参三七 250 g，山羊血 62.5g，千年健 500 g，钻地风 500 g，肉桂 500 g，川椒500 g，乳香 500 g，没药 500 g，炮甲 250 g，小茴香500 g，蕲艾 2000 g，甘草 1000g，防风 2000g，人工麝香少许，经加工炮制后共研为末，将药末混入艾绒中，每支艾条加药末25 g。</w:t>
            </w:r>
          </w:p>
        </w:tc>
        <w:tc>
          <w:tcPr>
            <w:tcW w:w="0" w:type="auto"/>
            <w:shd w:val="clear" w:color="auto" w:fill="auto"/>
            <w:vAlign w:val="center"/>
          </w:tcPr>
          <w:p w14:paraId="61FF74F4">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0.39 </w:t>
            </w:r>
          </w:p>
        </w:tc>
        <w:tc>
          <w:tcPr>
            <w:tcW w:w="0" w:type="auto"/>
            <w:shd w:val="clear" w:color="auto" w:fill="auto"/>
            <w:vAlign w:val="center"/>
          </w:tcPr>
          <w:p w14:paraId="1337E649">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58.82%</w:t>
            </w:r>
          </w:p>
        </w:tc>
        <w:tc>
          <w:tcPr>
            <w:tcW w:w="0" w:type="auto"/>
            <w:shd w:val="clear" w:color="auto" w:fill="auto"/>
            <w:vAlign w:val="center"/>
          </w:tcPr>
          <w:p w14:paraId="0DAA0A6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13</w:t>
            </w:r>
          </w:p>
        </w:tc>
        <w:tc>
          <w:tcPr>
            <w:tcW w:w="0" w:type="auto"/>
            <w:shd w:val="clear" w:color="auto" w:fill="auto"/>
            <w:vAlign w:val="center"/>
          </w:tcPr>
          <w:p w14:paraId="51F08F90">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125.96%</w:t>
            </w:r>
          </w:p>
        </w:tc>
      </w:tr>
      <w:tr w14:paraId="14B2D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3D240E3A">
            <w:pPr>
              <w:widowControl/>
              <w:spacing w:line="400" w:lineRule="exact"/>
              <w:rPr>
                <w:rFonts w:ascii="宋体" w:hAnsi="宋体"/>
                <w:szCs w:val="21"/>
              </w:rPr>
            </w:pPr>
            <w:r>
              <w:rPr>
                <w:rFonts w:ascii="宋体" w:hAnsi="宋体"/>
                <w:szCs w:val="21"/>
              </w:rPr>
              <w:t xml:space="preserve">B.沿用国家标准原文。 </w:t>
            </w:r>
          </w:p>
        </w:tc>
        <w:tc>
          <w:tcPr>
            <w:tcW w:w="0" w:type="auto"/>
            <w:shd w:val="clear" w:color="auto" w:fill="auto"/>
            <w:vAlign w:val="center"/>
          </w:tcPr>
          <w:p w14:paraId="430A6BCA">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0.61 </w:t>
            </w:r>
          </w:p>
        </w:tc>
        <w:tc>
          <w:tcPr>
            <w:tcW w:w="0" w:type="auto"/>
            <w:shd w:val="clear" w:color="auto" w:fill="auto"/>
            <w:vAlign w:val="center"/>
          </w:tcPr>
          <w:p w14:paraId="1432C2BC">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38.24%</w:t>
            </w:r>
          </w:p>
        </w:tc>
        <w:tc>
          <w:tcPr>
            <w:tcW w:w="0" w:type="auto"/>
            <w:shd w:val="clear" w:color="auto" w:fill="auto"/>
            <w:vAlign w:val="center"/>
          </w:tcPr>
          <w:p w14:paraId="557171B6">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20</w:t>
            </w:r>
          </w:p>
        </w:tc>
        <w:tc>
          <w:tcPr>
            <w:tcW w:w="0" w:type="auto"/>
            <w:shd w:val="clear" w:color="auto" w:fill="auto"/>
            <w:vAlign w:val="center"/>
          </w:tcPr>
          <w:p w14:paraId="53763BE9">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82.43%</w:t>
            </w:r>
          </w:p>
        </w:tc>
      </w:tr>
    </w:tbl>
    <w:p w14:paraId="4B2F6A40">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35</w:t>
      </w:r>
      <w:r>
        <w:rPr>
          <w:rFonts w:ascii="宋体" w:hAnsi="宋体"/>
          <w:b/>
          <w:bCs/>
          <w:szCs w:val="21"/>
        </w:rPr>
        <w:t xml:space="preserve"> 艾灸治疗时间及疗程调查结果</w:t>
      </w:r>
    </w:p>
    <w:p w14:paraId="5F8AFAD9">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35</w:t>
      </w:r>
      <w:r>
        <w:rPr>
          <w:rFonts w:ascii="宋体" w:hAnsi="宋体"/>
          <w:b/>
          <w:bCs/>
          <w:szCs w:val="21"/>
        </w:rPr>
        <w:t xml:space="preserve"> 艾灸治疗时间及疗程调查结果</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5"/>
        <w:gridCol w:w="616"/>
        <w:gridCol w:w="816"/>
        <w:gridCol w:w="416"/>
        <w:gridCol w:w="916"/>
      </w:tblGrid>
      <w:tr w14:paraId="31F1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Borders>
              <w:insideH w:val="single" w:sz="4" w:space="0"/>
            </w:tcBorders>
          </w:tcPr>
          <w:p w14:paraId="0748A264">
            <w:pPr>
              <w:widowControl/>
              <w:spacing w:line="400" w:lineRule="exact"/>
              <w:rPr>
                <w:rFonts w:ascii="宋体" w:hAnsi="宋体"/>
                <w:szCs w:val="21"/>
              </w:rPr>
            </w:pPr>
            <w:r>
              <w:rPr>
                <w:rFonts w:ascii="宋体" w:hAnsi="宋体"/>
                <w:szCs w:val="21"/>
              </w:rPr>
              <w:t>选项</w:t>
            </w:r>
          </w:p>
        </w:tc>
        <w:tc>
          <w:tcPr>
            <w:tcW w:w="0" w:type="auto"/>
            <w:tcBorders>
              <w:insideH w:val="single" w:sz="4" w:space="0"/>
            </w:tcBorders>
          </w:tcPr>
          <w:p w14:paraId="29358D2D">
            <w:pPr>
              <w:widowControl/>
              <w:spacing w:line="400" w:lineRule="exact"/>
              <w:rPr>
                <w:rFonts w:ascii="宋体" w:hAnsi="宋体"/>
                <w:szCs w:val="21"/>
              </w:rPr>
            </w:pPr>
            <w:r>
              <w:rPr>
                <w:rFonts w:ascii="宋体" w:hAnsi="宋体"/>
                <w:szCs w:val="21"/>
              </w:rPr>
              <w:object>
                <v:shape id="_x0000_i1063"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63" DrawAspect="Content" ObjectID="_1468075763" r:id="rId52">
                  <o:LockedField>false</o:LockedField>
                </o:OLEObject>
              </w:object>
            </w:r>
          </w:p>
        </w:tc>
        <w:tc>
          <w:tcPr>
            <w:tcW w:w="0" w:type="auto"/>
            <w:tcBorders>
              <w:insideH w:val="single" w:sz="4" w:space="0"/>
            </w:tcBorders>
          </w:tcPr>
          <w:p w14:paraId="6D17F34C">
            <w:pPr>
              <w:widowControl/>
              <w:spacing w:line="400" w:lineRule="exact"/>
              <w:rPr>
                <w:rFonts w:ascii="宋体" w:hAnsi="宋体"/>
                <w:szCs w:val="21"/>
              </w:rPr>
            </w:pPr>
            <w:r>
              <w:rPr>
                <w:rFonts w:ascii="宋体" w:hAnsi="宋体"/>
                <w:szCs w:val="21"/>
              </w:rPr>
              <w:t>R</w:t>
            </w:r>
          </w:p>
        </w:tc>
        <w:tc>
          <w:tcPr>
            <w:tcW w:w="0" w:type="auto"/>
            <w:tcBorders>
              <w:insideH w:val="single" w:sz="4" w:space="0"/>
            </w:tcBorders>
          </w:tcPr>
          <w:p w14:paraId="55E96C3A">
            <w:pPr>
              <w:widowControl/>
              <w:spacing w:line="400" w:lineRule="exact"/>
              <w:rPr>
                <w:rFonts w:ascii="宋体" w:hAnsi="宋体"/>
                <w:szCs w:val="21"/>
              </w:rPr>
            </w:pPr>
            <w:r>
              <w:rPr>
                <w:rFonts w:ascii="宋体" w:hAnsi="宋体"/>
                <w:szCs w:val="21"/>
              </w:rPr>
              <w:t>S</w:t>
            </w:r>
          </w:p>
        </w:tc>
        <w:tc>
          <w:tcPr>
            <w:tcW w:w="0" w:type="auto"/>
            <w:tcBorders>
              <w:insideH w:val="single" w:sz="4" w:space="0"/>
            </w:tcBorders>
          </w:tcPr>
          <w:p w14:paraId="72EF9913">
            <w:pPr>
              <w:widowControl/>
              <w:spacing w:line="400" w:lineRule="exact"/>
              <w:rPr>
                <w:rFonts w:ascii="宋体" w:hAnsi="宋体"/>
                <w:szCs w:val="21"/>
              </w:rPr>
            </w:pPr>
            <w:r>
              <w:rPr>
                <w:rFonts w:ascii="宋体" w:hAnsi="宋体"/>
                <w:szCs w:val="21"/>
              </w:rPr>
              <w:t>CV</w:t>
            </w:r>
          </w:p>
        </w:tc>
      </w:tr>
      <w:tr w14:paraId="54D8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47C51055">
            <w:pPr>
              <w:widowControl/>
              <w:spacing w:line="400" w:lineRule="exact"/>
              <w:rPr>
                <w:rFonts w:ascii="宋体" w:hAnsi="宋体"/>
                <w:szCs w:val="21"/>
              </w:rPr>
            </w:pPr>
            <w:r>
              <w:rPr>
                <w:rFonts w:ascii="宋体" w:hAnsi="宋体"/>
                <w:szCs w:val="21"/>
              </w:rPr>
              <w:t>A.艾灸时间不宜过长，以每穴3~10 min为宜。夏季时间宜短，冬季时间可略长。艾灸频率、疗程视小儿情况而定，可每日、隔日或3天灸一次。</w:t>
            </w:r>
          </w:p>
        </w:tc>
        <w:tc>
          <w:tcPr>
            <w:tcW w:w="0" w:type="auto"/>
            <w:shd w:val="clear" w:color="auto" w:fill="auto"/>
            <w:vAlign w:val="center"/>
          </w:tcPr>
          <w:p w14:paraId="50F15744">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0.74 </w:t>
            </w:r>
          </w:p>
        </w:tc>
        <w:tc>
          <w:tcPr>
            <w:tcW w:w="0" w:type="auto"/>
            <w:shd w:val="clear" w:color="auto" w:fill="auto"/>
            <w:vAlign w:val="center"/>
          </w:tcPr>
          <w:p w14:paraId="101168A7">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26.47%</w:t>
            </w:r>
          </w:p>
        </w:tc>
        <w:tc>
          <w:tcPr>
            <w:tcW w:w="0" w:type="auto"/>
            <w:shd w:val="clear" w:color="auto" w:fill="auto"/>
            <w:vAlign w:val="center"/>
          </w:tcPr>
          <w:p w14:paraId="3F6A5A4E">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25</w:t>
            </w:r>
          </w:p>
        </w:tc>
        <w:tc>
          <w:tcPr>
            <w:tcW w:w="0" w:type="auto"/>
            <w:shd w:val="clear" w:color="auto" w:fill="auto"/>
            <w:vAlign w:val="center"/>
          </w:tcPr>
          <w:p w14:paraId="6900E323">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60.90%</w:t>
            </w:r>
          </w:p>
        </w:tc>
      </w:tr>
      <w:tr w14:paraId="3E5CA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tcPr>
          <w:p w14:paraId="49167A00">
            <w:pPr>
              <w:widowControl/>
              <w:spacing w:line="400" w:lineRule="exact"/>
              <w:rPr>
                <w:rFonts w:ascii="宋体" w:hAnsi="宋体"/>
                <w:szCs w:val="21"/>
              </w:rPr>
            </w:pPr>
            <w:r>
              <w:rPr>
                <w:rFonts w:ascii="宋体" w:hAnsi="宋体"/>
                <w:szCs w:val="21"/>
              </w:rPr>
              <w:t xml:space="preserve">B.沿用国家标准原文。 </w:t>
            </w:r>
          </w:p>
        </w:tc>
        <w:tc>
          <w:tcPr>
            <w:tcW w:w="0" w:type="auto"/>
            <w:shd w:val="clear" w:color="auto" w:fill="auto"/>
            <w:vAlign w:val="center"/>
          </w:tcPr>
          <w:p w14:paraId="18CE5F0A">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0.26 </w:t>
            </w:r>
          </w:p>
        </w:tc>
        <w:tc>
          <w:tcPr>
            <w:tcW w:w="0" w:type="auto"/>
            <w:shd w:val="clear" w:color="auto" w:fill="auto"/>
            <w:vAlign w:val="center"/>
          </w:tcPr>
          <w:p w14:paraId="00DADE77">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73.53%</w:t>
            </w:r>
          </w:p>
        </w:tc>
        <w:tc>
          <w:tcPr>
            <w:tcW w:w="0" w:type="auto"/>
            <w:shd w:val="clear" w:color="auto" w:fill="auto"/>
            <w:vAlign w:val="center"/>
          </w:tcPr>
          <w:p w14:paraId="290503F7">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w:t>
            </w:r>
          </w:p>
        </w:tc>
        <w:tc>
          <w:tcPr>
            <w:tcW w:w="0" w:type="auto"/>
            <w:shd w:val="clear" w:color="auto" w:fill="auto"/>
            <w:vAlign w:val="center"/>
          </w:tcPr>
          <w:p w14:paraId="7F26E982">
            <w:pPr>
              <w:widowControl/>
              <w:spacing w:after="160" w:line="278" w:lineRule="auto"/>
              <w:jc w:val="left"/>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169.17%</w:t>
            </w:r>
          </w:p>
        </w:tc>
      </w:tr>
    </w:tbl>
    <w:p w14:paraId="48AB6FA2">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36</w:t>
      </w:r>
      <w:r>
        <w:rPr>
          <w:rFonts w:ascii="宋体" w:hAnsi="宋体"/>
          <w:b/>
          <w:bCs/>
          <w:szCs w:val="21"/>
        </w:rPr>
        <w:t xml:space="preserve"> 小儿囟门附近针刺操作调查结果</w:t>
      </w:r>
    </w:p>
    <w:p w14:paraId="3F145946">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36</w:t>
      </w:r>
      <w:r>
        <w:rPr>
          <w:rFonts w:ascii="宋体" w:hAnsi="宋体"/>
          <w:b/>
          <w:bCs/>
          <w:szCs w:val="21"/>
        </w:rPr>
        <w:t xml:space="preserve"> 小儿囟门附近针刺操作调查结果</w:t>
      </w:r>
    </w:p>
    <w:tbl>
      <w:tblPr>
        <w:tblStyle w:val="17"/>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39"/>
        <w:gridCol w:w="935"/>
        <w:gridCol w:w="1035"/>
        <w:gridCol w:w="464"/>
        <w:gridCol w:w="1026"/>
      </w:tblGrid>
      <w:tr w14:paraId="7E5CA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039" w:type="dxa"/>
            <w:tcBorders>
              <w:insideH w:val="single" w:sz="4" w:space="0"/>
            </w:tcBorders>
            <w:vAlign w:val="center"/>
          </w:tcPr>
          <w:p w14:paraId="6C66F695">
            <w:pPr>
              <w:widowControl/>
              <w:snapToGrid w:val="0"/>
              <w:jc w:val="center"/>
              <w:rPr>
                <w:rFonts w:ascii="宋体" w:hAnsi="宋体"/>
                <w:b/>
                <w:szCs w:val="21"/>
              </w:rPr>
            </w:pPr>
            <w:r>
              <w:rPr>
                <w:rFonts w:ascii="宋体" w:hAnsi="宋体"/>
                <w:b/>
                <w:szCs w:val="21"/>
              </w:rPr>
              <w:t>选项</w:t>
            </w:r>
          </w:p>
        </w:tc>
        <w:tc>
          <w:tcPr>
            <w:tcW w:w="935" w:type="dxa"/>
            <w:tcBorders>
              <w:insideH w:val="single" w:sz="4" w:space="0"/>
            </w:tcBorders>
            <w:vAlign w:val="center"/>
          </w:tcPr>
          <w:p w14:paraId="65886494">
            <w:pPr>
              <w:widowControl/>
              <w:snapToGrid w:val="0"/>
              <w:jc w:val="center"/>
              <w:rPr>
                <w:rFonts w:ascii="宋体" w:hAnsi="宋体"/>
                <w:b/>
                <w:szCs w:val="21"/>
              </w:rPr>
            </w:pPr>
            <w:r>
              <w:rPr>
                <w:rFonts w:ascii="宋体" w:hAnsi="宋体"/>
                <w:b/>
                <w:szCs w:val="21"/>
              </w:rPr>
              <w:object>
                <v:shape id="_x0000_i1064"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64" DrawAspect="Content" ObjectID="_1468075764" r:id="rId53">
                  <o:LockedField>false</o:LockedField>
                </o:OLEObject>
              </w:object>
            </w:r>
          </w:p>
        </w:tc>
        <w:tc>
          <w:tcPr>
            <w:tcW w:w="1035" w:type="dxa"/>
            <w:tcBorders>
              <w:insideH w:val="single" w:sz="4" w:space="0"/>
            </w:tcBorders>
            <w:vAlign w:val="center"/>
          </w:tcPr>
          <w:p w14:paraId="1762E3D7">
            <w:pPr>
              <w:widowControl/>
              <w:snapToGrid w:val="0"/>
              <w:jc w:val="center"/>
              <w:rPr>
                <w:rFonts w:ascii="宋体" w:hAnsi="宋体"/>
                <w:b/>
                <w:szCs w:val="21"/>
              </w:rPr>
            </w:pPr>
            <w:r>
              <w:rPr>
                <w:rFonts w:ascii="宋体" w:hAnsi="宋体"/>
                <w:b/>
                <w:szCs w:val="21"/>
              </w:rPr>
              <w:t>R</w:t>
            </w:r>
          </w:p>
        </w:tc>
        <w:tc>
          <w:tcPr>
            <w:tcW w:w="464" w:type="dxa"/>
            <w:tcBorders>
              <w:insideH w:val="single" w:sz="4" w:space="0"/>
            </w:tcBorders>
            <w:vAlign w:val="center"/>
          </w:tcPr>
          <w:p w14:paraId="07E0D7CD">
            <w:pPr>
              <w:widowControl/>
              <w:snapToGrid w:val="0"/>
              <w:jc w:val="center"/>
              <w:rPr>
                <w:rFonts w:ascii="宋体" w:hAnsi="宋体"/>
                <w:b/>
                <w:szCs w:val="21"/>
              </w:rPr>
            </w:pPr>
            <w:r>
              <w:rPr>
                <w:rFonts w:ascii="宋体" w:hAnsi="宋体"/>
                <w:b/>
                <w:szCs w:val="21"/>
              </w:rPr>
              <w:t>S</w:t>
            </w:r>
          </w:p>
        </w:tc>
        <w:tc>
          <w:tcPr>
            <w:tcW w:w="1026" w:type="dxa"/>
            <w:tcBorders>
              <w:insideH w:val="single" w:sz="4" w:space="0"/>
            </w:tcBorders>
            <w:vAlign w:val="center"/>
          </w:tcPr>
          <w:p w14:paraId="6D5FD9F6">
            <w:pPr>
              <w:widowControl/>
              <w:snapToGrid w:val="0"/>
              <w:jc w:val="center"/>
              <w:rPr>
                <w:rFonts w:ascii="宋体" w:hAnsi="宋体"/>
                <w:b/>
                <w:szCs w:val="21"/>
              </w:rPr>
            </w:pPr>
            <w:r>
              <w:rPr>
                <w:rFonts w:ascii="宋体" w:hAnsi="宋体"/>
                <w:b/>
                <w:szCs w:val="21"/>
              </w:rPr>
              <w:t>CV</w:t>
            </w:r>
          </w:p>
        </w:tc>
      </w:tr>
      <w:tr w14:paraId="6B50C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9" w:type="dxa"/>
            <w:vAlign w:val="center"/>
          </w:tcPr>
          <w:p w14:paraId="397718EF">
            <w:pPr>
              <w:widowControl/>
              <w:snapToGrid w:val="0"/>
              <w:jc w:val="left"/>
              <w:rPr>
                <w:rFonts w:ascii="宋体" w:hAnsi="宋体"/>
                <w:sz w:val="20"/>
                <w:szCs w:val="21"/>
              </w:rPr>
            </w:pPr>
            <w:r>
              <w:rPr>
                <w:rFonts w:ascii="宋体" w:hAnsi="宋体"/>
                <w:sz w:val="20"/>
                <w:szCs w:val="21"/>
              </w:rPr>
              <w:t>A.小儿囟门未闭合时，囟门附近的腧穴不宜针刺。</w:t>
            </w:r>
          </w:p>
        </w:tc>
        <w:tc>
          <w:tcPr>
            <w:tcW w:w="935" w:type="dxa"/>
            <w:shd w:val="clear" w:color="auto" w:fill="auto"/>
            <w:vAlign w:val="center"/>
          </w:tcPr>
          <w:p w14:paraId="3D66396F">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0.74 </w:t>
            </w:r>
          </w:p>
        </w:tc>
        <w:tc>
          <w:tcPr>
            <w:tcW w:w="1035" w:type="dxa"/>
            <w:shd w:val="clear" w:color="auto" w:fill="auto"/>
            <w:vAlign w:val="center"/>
          </w:tcPr>
          <w:p w14:paraId="5F52FA6B">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26.47%</w:t>
            </w:r>
          </w:p>
        </w:tc>
        <w:tc>
          <w:tcPr>
            <w:tcW w:w="464" w:type="dxa"/>
            <w:shd w:val="clear" w:color="auto" w:fill="auto"/>
            <w:vAlign w:val="center"/>
          </w:tcPr>
          <w:p w14:paraId="5237D3FF">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25</w:t>
            </w:r>
          </w:p>
        </w:tc>
        <w:tc>
          <w:tcPr>
            <w:tcW w:w="1026" w:type="dxa"/>
            <w:shd w:val="clear" w:color="auto" w:fill="auto"/>
            <w:vAlign w:val="center"/>
          </w:tcPr>
          <w:p w14:paraId="735B27EE">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60.90%</w:t>
            </w:r>
          </w:p>
        </w:tc>
      </w:tr>
      <w:tr w14:paraId="78A2E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9" w:type="dxa"/>
            <w:vAlign w:val="center"/>
          </w:tcPr>
          <w:p w14:paraId="1B7B8C8F">
            <w:pPr>
              <w:widowControl/>
              <w:snapToGrid w:val="0"/>
              <w:jc w:val="left"/>
              <w:rPr>
                <w:rFonts w:ascii="宋体" w:hAnsi="宋体"/>
                <w:sz w:val="20"/>
                <w:szCs w:val="21"/>
              </w:rPr>
            </w:pPr>
            <w:r>
              <w:rPr>
                <w:rFonts w:ascii="宋体" w:hAnsi="宋体"/>
                <w:sz w:val="20"/>
                <w:szCs w:val="21"/>
              </w:rPr>
              <w:t xml:space="preserve">B.沿用国家标准原文。 </w:t>
            </w:r>
          </w:p>
        </w:tc>
        <w:tc>
          <w:tcPr>
            <w:tcW w:w="935" w:type="dxa"/>
            <w:shd w:val="clear" w:color="auto" w:fill="auto"/>
            <w:vAlign w:val="center"/>
          </w:tcPr>
          <w:p w14:paraId="2D4922D8">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0.26 </w:t>
            </w:r>
          </w:p>
        </w:tc>
        <w:tc>
          <w:tcPr>
            <w:tcW w:w="1035" w:type="dxa"/>
            <w:shd w:val="clear" w:color="auto" w:fill="auto"/>
            <w:vAlign w:val="center"/>
          </w:tcPr>
          <w:p w14:paraId="0C18DF3E">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73.53%</w:t>
            </w:r>
          </w:p>
        </w:tc>
        <w:tc>
          <w:tcPr>
            <w:tcW w:w="464" w:type="dxa"/>
            <w:shd w:val="clear" w:color="auto" w:fill="auto"/>
            <w:vAlign w:val="center"/>
          </w:tcPr>
          <w:p w14:paraId="07F3E2F8">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w:t>
            </w:r>
          </w:p>
        </w:tc>
        <w:tc>
          <w:tcPr>
            <w:tcW w:w="1026" w:type="dxa"/>
            <w:shd w:val="clear" w:color="auto" w:fill="auto"/>
            <w:vAlign w:val="center"/>
          </w:tcPr>
          <w:p w14:paraId="69DB6F28">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169.17%</w:t>
            </w:r>
          </w:p>
        </w:tc>
      </w:tr>
    </w:tbl>
    <w:p w14:paraId="047617C7">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37</w:t>
      </w:r>
      <w:r>
        <w:rPr>
          <w:rFonts w:ascii="宋体" w:hAnsi="宋体"/>
          <w:b/>
          <w:bCs/>
          <w:szCs w:val="21"/>
        </w:rPr>
        <w:t xml:space="preserve"> 修改“1 范围”调查结果</w:t>
      </w:r>
    </w:p>
    <w:p w14:paraId="0089A924">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37</w:t>
      </w:r>
      <w:r>
        <w:rPr>
          <w:rFonts w:ascii="宋体" w:hAnsi="宋体"/>
          <w:b/>
          <w:bCs/>
          <w:szCs w:val="21"/>
        </w:rPr>
        <w:t xml:space="preserve"> 修改“1 范围”调查结果</w:t>
      </w:r>
    </w:p>
    <w:tbl>
      <w:tblPr>
        <w:tblStyle w:val="17"/>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9"/>
        <w:gridCol w:w="1371"/>
        <w:gridCol w:w="1816"/>
        <w:gridCol w:w="925"/>
        <w:gridCol w:w="2038"/>
      </w:tblGrid>
      <w:tr w14:paraId="437C4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349" w:type="dxa"/>
            <w:tcBorders>
              <w:insideH w:val="single" w:sz="4" w:space="0"/>
            </w:tcBorders>
            <w:vAlign w:val="center"/>
          </w:tcPr>
          <w:p w14:paraId="09C62B16">
            <w:pPr>
              <w:widowControl/>
              <w:snapToGrid w:val="0"/>
              <w:jc w:val="center"/>
              <w:rPr>
                <w:rFonts w:ascii="宋体" w:hAnsi="宋体"/>
                <w:b/>
                <w:szCs w:val="21"/>
              </w:rPr>
            </w:pPr>
            <w:r>
              <w:rPr>
                <w:rFonts w:ascii="宋体" w:hAnsi="宋体"/>
                <w:b/>
                <w:szCs w:val="21"/>
              </w:rPr>
              <w:t>选项</w:t>
            </w:r>
          </w:p>
        </w:tc>
        <w:tc>
          <w:tcPr>
            <w:tcW w:w="1371" w:type="dxa"/>
            <w:tcBorders>
              <w:insideH w:val="single" w:sz="4" w:space="0"/>
            </w:tcBorders>
            <w:vAlign w:val="center"/>
          </w:tcPr>
          <w:p w14:paraId="4DE37CF3">
            <w:pPr>
              <w:widowControl/>
              <w:snapToGrid w:val="0"/>
              <w:jc w:val="center"/>
              <w:rPr>
                <w:rFonts w:ascii="宋体" w:hAnsi="宋体"/>
                <w:b/>
                <w:szCs w:val="21"/>
              </w:rPr>
            </w:pPr>
            <w:r>
              <w:rPr>
                <w:rFonts w:ascii="宋体" w:hAnsi="宋体"/>
                <w:b/>
                <w:szCs w:val="21"/>
              </w:rPr>
              <w:object>
                <v:shape id="_x0000_i1065"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65" DrawAspect="Content" ObjectID="_1468075765" r:id="rId54">
                  <o:LockedField>false</o:LockedField>
                </o:OLEObject>
              </w:object>
            </w:r>
          </w:p>
        </w:tc>
        <w:tc>
          <w:tcPr>
            <w:tcW w:w="1816" w:type="dxa"/>
            <w:tcBorders>
              <w:insideH w:val="single" w:sz="4" w:space="0"/>
            </w:tcBorders>
            <w:vAlign w:val="center"/>
          </w:tcPr>
          <w:p w14:paraId="4F22A89D">
            <w:pPr>
              <w:widowControl/>
              <w:snapToGrid w:val="0"/>
              <w:jc w:val="center"/>
              <w:rPr>
                <w:rFonts w:ascii="宋体" w:hAnsi="宋体"/>
                <w:b/>
                <w:szCs w:val="21"/>
              </w:rPr>
            </w:pPr>
            <w:r>
              <w:rPr>
                <w:rFonts w:ascii="宋体" w:hAnsi="宋体"/>
                <w:b/>
                <w:szCs w:val="21"/>
              </w:rPr>
              <w:t>R</w:t>
            </w:r>
          </w:p>
        </w:tc>
        <w:tc>
          <w:tcPr>
            <w:tcW w:w="925" w:type="dxa"/>
            <w:tcBorders>
              <w:insideH w:val="single" w:sz="4" w:space="0"/>
            </w:tcBorders>
            <w:vAlign w:val="center"/>
          </w:tcPr>
          <w:p w14:paraId="6CF2F420">
            <w:pPr>
              <w:widowControl/>
              <w:snapToGrid w:val="0"/>
              <w:jc w:val="center"/>
              <w:rPr>
                <w:rFonts w:ascii="宋体" w:hAnsi="宋体"/>
                <w:b/>
                <w:szCs w:val="21"/>
              </w:rPr>
            </w:pPr>
            <w:r>
              <w:rPr>
                <w:rFonts w:ascii="宋体" w:hAnsi="宋体"/>
                <w:b/>
                <w:szCs w:val="21"/>
              </w:rPr>
              <w:t>S</w:t>
            </w:r>
          </w:p>
        </w:tc>
        <w:tc>
          <w:tcPr>
            <w:tcW w:w="2038" w:type="dxa"/>
            <w:tcBorders>
              <w:insideH w:val="single" w:sz="4" w:space="0"/>
            </w:tcBorders>
            <w:vAlign w:val="center"/>
          </w:tcPr>
          <w:p w14:paraId="57F51F48">
            <w:pPr>
              <w:widowControl/>
              <w:snapToGrid w:val="0"/>
              <w:jc w:val="center"/>
              <w:rPr>
                <w:rFonts w:ascii="宋体" w:hAnsi="宋体"/>
                <w:b/>
                <w:szCs w:val="21"/>
              </w:rPr>
            </w:pPr>
            <w:r>
              <w:rPr>
                <w:rFonts w:ascii="宋体" w:hAnsi="宋体"/>
                <w:b/>
                <w:szCs w:val="21"/>
              </w:rPr>
              <w:t>CV</w:t>
            </w:r>
          </w:p>
        </w:tc>
      </w:tr>
      <w:tr w14:paraId="7CA98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17D1C919">
            <w:pPr>
              <w:widowControl/>
              <w:snapToGrid w:val="0"/>
              <w:jc w:val="center"/>
              <w:rPr>
                <w:rFonts w:ascii="宋体" w:hAnsi="宋体"/>
                <w:sz w:val="20"/>
                <w:szCs w:val="21"/>
              </w:rPr>
            </w:pPr>
            <w:r>
              <w:rPr>
                <w:rFonts w:ascii="宋体" w:hAnsi="宋体"/>
                <w:sz w:val="20"/>
                <w:szCs w:val="21"/>
              </w:rPr>
              <w:t>A.同意</w:t>
            </w:r>
          </w:p>
        </w:tc>
        <w:tc>
          <w:tcPr>
            <w:tcW w:w="1371" w:type="dxa"/>
            <w:shd w:val="clear" w:color="auto" w:fill="auto"/>
            <w:vAlign w:val="center"/>
          </w:tcPr>
          <w:p w14:paraId="5BC6DCA2">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0.97 </w:t>
            </w:r>
          </w:p>
        </w:tc>
        <w:tc>
          <w:tcPr>
            <w:tcW w:w="1816" w:type="dxa"/>
            <w:shd w:val="clear" w:color="auto" w:fill="auto"/>
            <w:vAlign w:val="center"/>
          </w:tcPr>
          <w:p w14:paraId="5DD9AB61">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2.94%</w:t>
            </w:r>
          </w:p>
        </w:tc>
        <w:tc>
          <w:tcPr>
            <w:tcW w:w="925" w:type="dxa"/>
            <w:shd w:val="clear" w:color="auto" w:fill="auto"/>
            <w:vAlign w:val="center"/>
          </w:tcPr>
          <w:p w14:paraId="3C3F5A09">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33</w:t>
            </w:r>
          </w:p>
        </w:tc>
        <w:tc>
          <w:tcPr>
            <w:tcW w:w="2038" w:type="dxa"/>
            <w:shd w:val="clear" w:color="auto" w:fill="auto"/>
            <w:vAlign w:val="center"/>
          </w:tcPr>
          <w:p w14:paraId="2E3A9981">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17.67%</w:t>
            </w:r>
          </w:p>
        </w:tc>
      </w:tr>
      <w:tr w14:paraId="2942A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1C26A2F7">
            <w:pPr>
              <w:widowControl/>
              <w:snapToGrid w:val="0"/>
              <w:jc w:val="center"/>
              <w:rPr>
                <w:rFonts w:ascii="宋体" w:hAnsi="宋体"/>
                <w:sz w:val="20"/>
                <w:szCs w:val="21"/>
              </w:rPr>
            </w:pPr>
            <w:r>
              <w:rPr>
                <w:rFonts w:ascii="宋体" w:hAnsi="宋体"/>
                <w:sz w:val="20"/>
                <w:szCs w:val="21"/>
              </w:rPr>
              <w:t>B.不同意</w:t>
            </w:r>
          </w:p>
        </w:tc>
        <w:tc>
          <w:tcPr>
            <w:tcW w:w="1371" w:type="dxa"/>
            <w:shd w:val="clear" w:color="auto" w:fill="auto"/>
            <w:vAlign w:val="center"/>
          </w:tcPr>
          <w:p w14:paraId="75F18523">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0.03 </w:t>
            </w:r>
          </w:p>
        </w:tc>
        <w:tc>
          <w:tcPr>
            <w:tcW w:w="1816" w:type="dxa"/>
            <w:shd w:val="clear" w:color="auto" w:fill="auto"/>
            <w:vAlign w:val="center"/>
          </w:tcPr>
          <w:p w14:paraId="1C0D5BF9">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97.06%</w:t>
            </w:r>
          </w:p>
        </w:tc>
        <w:tc>
          <w:tcPr>
            <w:tcW w:w="925" w:type="dxa"/>
            <w:shd w:val="clear" w:color="auto" w:fill="auto"/>
            <w:vAlign w:val="center"/>
          </w:tcPr>
          <w:p w14:paraId="7D5CBCB7">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w:t>
            </w:r>
          </w:p>
        </w:tc>
        <w:tc>
          <w:tcPr>
            <w:tcW w:w="2038" w:type="dxa"/>
            <w:shd w:val="clear" w:color="auto" w:fill="auto"/>
            <w:vAlign w:val="center"/>
          </w:tcPr>
          <w:p w14:paraId="6082090F">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583.10%</w:t>
            </w:r>
          </w:p>
        </w:tc>
      </w:tr>
    </w:tbl>
    <w:p w14:paraId="1D51C099">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38</w:t>
      </w:r>
      <w:r>
        <w:rPr>
          <w:rFonts w:ascii="宋体" w:hAnsi="宋体"/>
          <w:b/>
          <w:bCs/>
          <w:szCs w:val="21"/>
        </w:rPr>
        <w:t xml:space="preserve"> 修改“2 规范性引用文件”调查结果</w:t>
      </w:r>
    </w:p>
    <w:p w14:paraId="7CA21A34">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38</w:t>
      </w:r>
      <w:r>
        <w:rPr>
          <w:rFonts w:ascii="宋体" w:hAnsi="宋体"/>
          <w:b/>
          <w:bCs/>
          <w:szCs w:val="21"/>
        </w:rPr>
        <w:t xml:space="preserve"> 修改“2 规范性引用文件”调查结果</w:t>
      </w:r>
    </w:p>
    <w:tbl>
      <w:tblPr>
        <w:tblStyle w:val="17"/>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9"/>
        <w:gridCol w:w="1371"/>
        <w:gridCol w:w="1816"/>
        <w:gridCol w:w="925"/>
        <w:gridCol w:w="2038"/>
      </w:tblGrid>
      <w:tr w14:paraId="65E8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349" w:type="dxa"/>
            <w:tcBorders>
              <w:insideH w:val="single" w:sz="4" w:space="0"/>
            </w:tcBorders>
            <w:vAlign w:val="center"/>
          </w:tcPr>
          <w:p w14:paraId="53156827">
            <w:pPr>
              <w:widowControl/>
              <w:snapToGrid w:val="0"/>
              <w:jc w:val="center"/>
              <w:rPr>
                <w:rFonts w:ascii="宋体" w:hAnsi="宋体"/>
                <w:b/>
                <w:szCs w:val="21"/>
              </w:rPr>
            </w:pPr>
            <w:r>
              <w:rPr>
                <w:rFonts w:ascii="宋体" w:hAnsi="宋体"/>
                <w:b/>
                <w:szCs w:val="21"/>
              </w:rPr>
              <w:t>选项</w:t>
            </w:r>
          </w:p>
        </w:tc>
        <w:tc>
          <w:tcPr>
            <w:tcW w:w="1371" w:type="dxa"/>
            <w:tcBorders>
              <w:insideH w:val="single" w:sz="4" w:space="0"/>
            </w:tcBorders>
            <w:vAlign w:val="center"/>
          </w:tcPr>
          <w:p w14:paraId="759A9965">
            <w:pPr>
              <w:widowControl/>
              <w:snapToGrid w:val="0"/>
              <w:jc w:val="center"/>
              <w:rPr>
                <w:rFonts w:ascii="宋体" w:hAnsi="宋体"/>
                <w:b/>
                <w:szCs w:val="21"/>
              </w:rPr>
            </w:pPr>
            <w:r>
              <w:rPr>
                <w:rFonts w:ascii="宋体" w:hAnsi="宋体"/>
                <w:b/>
                <w:szCs w:val="21"/>
              </w:rPr>
              <w:object>
                <v:shape id="_x0000_i1066"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66" DrawAspect="Content" ObjectID="_1468075766" r:id="rId55">
                  <o:LockedField>false</o:LockedField>
                </o:OLEObject>
              </w:object>
            </w:r>
          </w:p>
        </w:tc>
        <w:tc>
          <w:tcPr>
            <w:tcW w:w="1816" w:type="dxa"/>
            <w:tcBorders>
              <w:insideH w:val="single" w:sz="4" w:space="0"/>
            </w:tcBorders>
            <w:vAlign w:val="center"/>
          </w:tcPr>
          <w:p w14:paraId="22DC6CFE">
            <w:pPr>
              <w:widowControl/>
              <w:snapToGrid w:val="0"/>
              <w:jc w:val="center"/>
              <w:rPr>
                <w:rFonts w:ascii="宋体" w:hAnsi="宋体"/>
                <w:b/>
                <w:szCs w:val="21"/>
              </w:rPr>
            </w:pPr>
            <w:r>
              <w:rPr>
                <w:rFonts w:ascii="宋体" w:hAnsi="宋体"/>
                <w:b/>
                <w:szCs w:val="21"/>
              </w:rPr>
              <w:t>R</w:t>
            </w:r>
          </w:p>
        </w:tc>
        <w:tc>
          <w:tcPr>
            <w:tcW w:w="925" w:type="dxa"/>
            <w:tcBorders>
              <w:insideH w:val="single" w:sz="4" w:space="0"/>
            </w:tcBorders>
            <w:vAlign w:val="center"/>
          </w:tcPr>
          <w:p w14:paraId="22E49613">
            <w:pPr>
              <w:widowControl/>
              <w:snapToGrid w:val="0"/>
              <w:jc w:val="center"/>
              <w:rPr>
                <w:rFonts w:ascii="宋体" w:hAnsi="宋体"/>
                <w:b/>
                <w:szCs w:val="21"/>
              </w:rPr>
            </w:pPr>
            <w:r>
              <w:rPr>
                <w:rFonts w:ascii="宋体" w:hAnsi="宋体"/>
                <w:b/>
                <w:szCs w:val="21"/>
              </w:rPr>
              <w:t>S</w:t>
            </w:r>
          </w:p>
        </w:tc>
        <w:tc>
          <w:tcPr>
            <w:tcW w:w="2038" w:type="dxa"/>
            <w:tcBorders>
              <w:insideH w:val="single" w:sz="4" w:space="0"/>
            </w:tcBorders>
            <w:vAlign w:val="center"/>
          </w:tcPr>
          <w:p w14:paraId="270D04D5">
            <w:pPr>
              <w:widowControl/>
              <w:snapToGrid w:val="0"/>
              <w:jc w:val="center"/>
              <w:rPr>
                <w:rFonts w:ascii="宋体" w:hAnsi="宋体"/>
                <w:b/>
                <w:szCs w:val="21"/>
              </w:rPr>
            </w:pPr>
            <w:r>
              <w:rPr>
                <w:rFonts w:ascii="宋体" w:hAnsi="宋体"/>
                <w:b/>
                <w:szCs w:val="21"/>
              </w:rPr>
              <w:t>CV</w:t>
            </w:r>
          </w:p>
        </w:tc>
      </w:tr>
      <w:tr w14:paraId="52D53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6314FBCC">
            <w:pPr>
              <w:widowControl/>
              <w:snapToGrid w:val="0"/>
              <w:jc w:val="center"/>
              <w:rPr>
                <w:rFonts w:ascii="宋体" w:hAnsi="宋体"/>
                <w:sz w:val="20"/>
                <w:szCs w:val="21"/>
              </w:rPr>
            </w:pPr>
            <w:r>
              <w:rPr>
                <w:rFonts w:ascii="宋体" w:hAnsi="宋体"/>
                <w:sz w:val="20"/>
                <w:szCs w:val="21"/>
              </w:rPr>
              <w:t>A.同意</w:t>
            </w:r>
          </w:p>
        </w:tc>
        <w:tc>
          <w:tcPr>
            <w:tcW w:w="1371" w:type="dxa"/>
            <w:shd w:val="clear" w:color="auto" w:fill="auto"/>
            <w:vAlign w:val="center"/>
          </w:tcPr>
          <w:p w14:paraId="7E1FDCC7">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0.97 </w:t>
            </w:r>
          </w:p>
        </w:tc>
        <w:tc>
          <w:tcPr>
            <w:tcW w:w="1816" w:type="dxa"/>
            <w:shd w:val="clear" w:color="auto" w:fill="auto"/>
            <w:vAlign w:val="center"/>
          </w:tcPr>
          <w:p w14:paraId="1FD6A4FA">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2.94%</w:t>
            </w:r>
          </w:p>
        </w:tc>
        <w:tc>
          <w:tcPr>
            <w:tcW w:w="925" w:type="dxa"/>
            <w:shd w:val="clear" w:color="auto" w:fill="auto"/>
            <w:vAlign w:val="center"/>
          </w:tcPr>
          <w:p w14:paraId="1BC67F4E">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33</w:t>
            </w:r>
          </w:p>
        </w:tc>
        <w:tc>
          <w:tcPr>
            <w:tcW w:w="2038" w:type="dxa"/>
            <w:shd w:val="clear" w:color="auto" w:fill="auto"/>
            <w:vAlign w:val="center"/>
          </w:tcPr>
          <w:p w14:paraId="41C4C77A">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17.67%</w:t>
            </w:r>
          </w:p>
        </w:tc>
      </w:tr>
      <w:tr w14:paraId="3995B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59A5184E">
            <w:pPr>
              <w:widowControl/>
              <w:snapToGrid w:val="0"/>
              <w:jc w:val="center"/>
              <w:rPr>
                <w:rFonts w:ascii="宋体" w:hAnsi="宋体"/>
                <w:sz w:val="20"/>
                <w:szCs w:val="21"/>
              </w:rPr>
            </w:pPr>
            <w:r>
              <w:rPr>
                <w:rFonts w:ascii="宋体" w:hAnsi="宋体"/>
                <w:sz w:val="20"/>
                <w:szCs w:val="21"/>
              </w:rPr>
              <w:t>B.不同意</w:t>
            </w:r>
          </w:p>
        </w:tc>
        <w:tc>
          <w:tcPr>
            <w:tcW w:w="1371" w:type="dxa"/>
            <w:shd w:val="clear" w:color="auto" w:fill="auto"/>
            <w:vAlign w:val="center"/>
          </w:tcPr>
          <w:p w14:paraId="63663A2A">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0.03 </w:t>
            </w:r>
          </w:p>
        </w:tc>
        <w:tc>
          <w:tcPr>
            <w:tcW w:w="1816" w:type="dxa"/>
            <w:shd w:val="clear" w:color="auto" w:fill="auto"/>
            <w:vAlign w:val="center"/>
          </w:tcPr>
          <w:p w14:paraId="0130A0C5">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97.06%</w:t>
            </w:r>
          </w:p>
        </w:tc>
        <w:tc>
          <w:tcPr>
            <w:tcW w:w="925" w:type="dxa"/>
            <w:shd w:val="clear" w:color="auto" w:fill="auto"/>
            <w:vAlign w:val="center"/>
          </w:tcPr>
          <w:p w14:paraId="361CBFB8">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w:t>
            </w:r>
          </w:p>
        </w:tc>
        <w:tc>
          <w:tcPr>
            <w:tcW w:w="2038" w:type="dxa"/>
            <w:shd w:val="clear" w:color="auto" w:fill="auto"/>
            <w:vAlign w:val="center"/>
          </w:tcPr>
          <w:p w14:paraId="3B87D982">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583.10%</w:t>
            </w:r>
          </w:p>
        </w:tc>
      </w:tr>
    </w:tbl>
    <w:p w14:paraId="7A5FC4A3">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39</w:t>
      </w:r>
      <w:r>
        <w:rPr>
          <w:rFonts w:ascii="宋体" w:hAnsi="宋体"/>
          <w:b/>
          <w:bCs/>
          <w:szCs w:val="21"/>
        </w:rPr>
        <w:t xml:space="preserve"> 修改“4.1.5 穴位”调查结果</w:t>
      </w:r>
    </w:p>
    <w:p w14:paraId="2E0FF453">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39</w:t>
      </w:r>
      <w:r>
        <w:rPr>
          <w:rFonts w:ascii="宋体" w:hAnsi="宋体"/>
          <w:b/>
          <w:bCs/>
          <w:szCs w:val="21"/>
        </w:rPr>
        <w:t xml:space="preserve"> 修改“4.1.5 穴位”调查结果</w:t>
      </w:r>
    </w:p>
    <w:tbl>
      <w:tblPr>
        <w:tblStyle w:val="17"/>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3"/>
        <w:gridCol w:w="1408"/>
        <w:gridCol w:w="2093"/>
        <w:gridCol w:w="949"/>
        <w:gridCol w:w="1636"/>
      </w:tblGrid>
      <w:tr w14:paraId="16417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413" w:type="dxa"/>
            <w:tcBorders>
              <w:insideH w:val="single" w:sz="4" w:space="0"/>
            </w:tcBorders>
            <w:vAlign w:val="center"/>
          </w:tcPr>
          <w:p w14:paraId="788080AB">
            <w:pPr>
              <w:widowControl/>
              <w:snapToGrid w:val="0"/>
              <w:jc w:val="center"/>
              <w:rPr>
                <w:rFonts w:ascii="宋体" w:hAnsi="宋体"/>
                <w:b/>
                <w:szCs w:val="21"/>
              </w:rPr>
            </w:pPr>
            <w:r>
              <w:rPr>
                <w:rFonts w:ascii="宋体" w:hAnsi="宋体"/>
                <w:b/>
                <w:szCs w:val="21"/>
              </w:rPr>
              <w:t>选项</w:t>
            </w:r>
          </w:p>
        </w:tc>
        <w:tc>
          <w:tcPr>
            <w:tcW w:w="1408" w:type="dxa"/>
            <w:tcBorders>
              <w:insideH w:val="single" w:sz="4" w:space="0"/>
            </w:tcBorders>
            <w:vAlign w:val="center"/>
          </w:tcPr>
          <w:p w14:paraId="47D31967">
            <w:pPr>
              <w:widowControl/>
              <w:snapToGrid w:val="0"/>
              <w:jc w:val="center"/>
              <w:rPr>
                <w:rFonts w:ascii="宋体" w:hAnsi="宋体"/>
                <w:b/>
                <w:szCs w:val="21"/>
              </w:rPr>
            </w:pPr>
            <w:r>
              <w:rPr>
                <w:rFonts w:ascii="宋体" w:hAnsi="宋体"/>
                <w:b/>
                <w:szCs w:val="21"/>
              </w:rPr>
              <w:object>
                <v:shape id="_x0000_i1067"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67" DrawAspect="Content" ObjectID="_1468075767" r:id="rId56">
                  <o:LockedField>false</o:LockedField>
                </o:OLEObject>
              </w:object>
            </w:r>
          </w:p>
        </w:tc>
        <w:tc>
          <w:tcPr>
            <w:tcW w:w="2093" w:type="dxa"/>
            <w:tcBorders>
              <w:insideH w:val="single" w:sz="4" w:space="0"/>
            </w:tcBorders>
            <w:vAlign w:val="center"/>
          </w:tcPr>
          <w:p w14:paraId="5C0C9B44">
            <w:pPr>
              <w:widowControl/>
              <w:snapToGrid w:val="0"/>
              <w:jc w:val="center"/>
              <w:rPr>
                <w:rFonts w:ascii="宋体" w:hAnsi="宋体"/>
                <w:b/>
                <w:szCs w:val="21"/>
              </w:rPr>
            </w:pPr>
            <w:r>
              <w:rPr>
                <w:rFonts w:ascii="宋体" w:hAnsi="宋体"/>
                <w:b/>
                <w:szCs w:val="21"/>
              </w:rPr>
              <w:t>R</w:t>
            </w:r>
          </w:p>
        </w:tc>
        <w:tc>
          <w:tcPr>
            <w:tcW w:w="949" w:type="dxa"/>
            <w:tcBorders>
              <w:insideH w:val="single" w:sz="4" w:space="0"/>
            </w:tcBorders>
            <w:vAlign w:val="center"/>
          </w:tcPr>
          <w:p w14:paraId="33ADD396">
            <w:pPr>
              <w:widowControl/>
              <w:snapToGrid w:val="0"/>
              <w:jc w:val="center"/>
              <w:rPr>
                <w:rFonts w:ascii="宋体" w:hAnsi="宋体"/>
                <w:b/>
                <w:szCs w:val="21"/>
              </w:rPr>
            </w:pPr>
            <w:r>
              <w:rPr>
                <w:rFonts w:ascii="宋体" w:hAnsi="宋体"/>
                <w:b/>
                <w:szCs w:val="21"/>
              </w:rPr>
              <w:t>S</w:t>
            </w:r>
          </w:p>
        </w:tc>
        <w:tc>
          <w:tcPr>
            <w:tcW w:w="1636" w:type="dxa"/>
            <w:tcBorders>
              <w:insideH w:val="single" w:sz="4" w:space="0"/>
            </w:tcBorders>
            <w:vAlign w:val="center"/>
          </w:tcPr>
          <w:p w14:paraId="14D16308">
            <w:pPr>
              <w:widowControl/>
              <w:snapToGrid w:val="0"/>
              <w:jc w:val="center"/>
              <w:rPr>
                <w:rFonts w:ascii="宋体" w:hAnsi="宋体"/>
                <w:b/>
                <w:szCs w:val="21"/>
              </w:rPr>
            </w:pPr>
            <w:r>
              <w:rPr>
                <w:rFonts w:ascii="宋体" w:hAnsi="宋体"/>
                <w:b/>
                <w:szCs w:val="21"/>
              </w:rPr>
              <w:t>CV</w:t>
            </w:r>
          </w:p>
        </w:tc>
      </w:tr>
      <w:tr w14:paraId="1AEE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3" w:type="dxa"/>
            <w:shd w:val="clear" w:color="auto" w:fill="auto"/>
            <w:vAlign w:val="center"/>
          </w:tcPr>
          <w:p w14:paraId="0B7DDA4D">
            <w:pPr>
              <w:widowControl/>
              <w:snapToGrid w:val="0"/>
              <w:jc w:val="center"/>
              <w:rPr>
                <w:rFonts w:ascii="宋体" w:hAnsi="宋体"/>
                <w:sz w:val="20"/>
                <w:szCs w:val="21"/>
              </w:rPr>
            </w:pPr>
            <w:r>
              <w:rPr>
                <w:rFonts w:ascii="宋体" w:hAnsi="宋体"/>
                <w:sz w:val="20"/>
                <w:szCs w:val="21"/>
              </w:rPr>
              <w:t>A.同意</w:t>
            </w:r>
          </w:p>
        </w:tc>
        <w:tc>
          <w:tcPr>
            <w:tcW w:w="1408" w:type="dxa"/>
            <w:shd w:val="clear" w:color="auto" w:fill="auto"/>
            <w:vAlign w:val="center"/>
          </w:tcPr>
          <w:p w14:paraId="0DF5AFC5">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1.00 </w:t>
            </w:r>
          </w:p>
        </w:tc>
        <w:tc>
          <w:tcPr>
            <w:tcW w:w="2093" w:type="dxa"/>
            <w:shd w:val="clear" w:color="auto" w:fill="auto"/>
            <w:vAlign w:val="center"/>
          </w:tcPr>
          <w:p w14:paraId="564D7C10">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0.00%</w:t>
            </w:r>
          </w:p>
        </w:tc>
        <w:tc>
          <w:tcPr>
            <w:tcW w:w="949" w:type="dxa"/>
            <w:shd w:val="clear" w:color="auto" w:fill="auto"/>
            <w:vAlign w:val="center"/>
          </w:tcPr>
          <w:p w14:paraId="5AD965DC">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34</w:t>
            </w:r>
          </w:p>
        </w:tc>
        <w:tc>
          <w:tcPr>
            <w:tcW w:w="1636" w:type="dxa"/>
            <w:shd w:val="clear" w:color="auto" w:fill="auto"/>
            <w:vAlign w:val="center"/>
          </w:tcPr>
          <w:p w14:paraId="70D1BE95">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0.00%</w:t>
            </w:r>
          </w:p>
        </w:tc>
      </w:tr>
      <w:tr w14:paraId="2814D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3" w:type="dxa"/>
            <w:shd w:val="clear" w:color="auto" w:fill="auto"/>
            <w:vAlign w:val="center"/>
          </w:tcPr>
          <w:p w14:paraId="703A3871">
            <w:pPr>
              <w:widowControl/>
              <w:snapToGrid w:val="0"/>
              <w:jc w:val="center"/>
              <w:rPr>
                <w:rFonts w:ascii="宋体" w:hAnsi="宋体"/>
                <w:sz w:val="20"/>
                <w:szCs w:val="21"/>
              </w:rPr>
            </w:pPr>
            <w:r>
              <w:rPr>
                <w:rFonts w:ascii="宋体" w:hAnsi="宋体"/>
                <w:sz w:val="20"/>
                <w:szCs w:val="21"/>
              </w:rPr>
              <w:t>B.不同意</w:t>
            </w:r>
          </w:p>
        </w:tc>
        <w:tc>
          <w:tcPr>
            <w:tcW w:w="1408" w:type="dxa"/>
            <w:shd w:val="clear" w:color="auto" w:fill="auto"/>
            <w:vAlign w:val="center"/>
          </w:tcPr>
          <w:p w14:paraId="60BA7583">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0.00 </w:t>
            </w:r>
          </w:p>
        </w:tc>
        <w:tc>
          <w:tcPr>
            <w:tcW w:w="2093" w:type="dxa"/>
            <w:shd w:val="clear" w:color="auto" w:fill="auto"/>
            <w:vAlign w:val="center"/>
          </w:tcPr>
          <w:p w14:paraId="2456898A">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100.00%</w:t>
            </w:r>
          </w:p>
        </w:tc>
        <w:tc>
          <w:tcPr>
            <w:tcW w:w="949" w:type="dxa"/>
            <w:shd w:val="clear" w:color="auto" w:fill="auto"/>
            <w:vAlign w:val="center"/>
          </w:tcPr>
          <w:p w14:paraId="5D9985E2">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0</w:t>
            </w:r>
          </w:p>
        </w:tc>
        <w:tc>
          <w:tcPr>
            <w:tcW w:w="1636" w:type="dxa"/>
            <w:shd w:val="clear" w:color="auto" w:fill="auto"/>
            <w:vAlign w:val="center"/>
          </w:tcPr>
          <w:p w14:paraId="613810D3">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w:t>
            </w:r>
          </w:p>
        </w:tc>
      </w:tr>
    </w:tbl>
    <w:p w14:paraId="5FDAE56B">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40</w:t>
      </w:r>
      <w:r>
        <w:rPr>
          <w:rFonts w:ascii="宋体" w:hAnsi="宋体"/>
          <w:b/>
          <w:bCs/>
          <w:szCs w:val="21"/>
        </w:rPr>
        <w:t xml:space="preserve"> 修改“4.2.1  进针方法”调查结果</w:t>
      </w:r>
    </w:p>
    <w:p w14:paraId="58C0C8B3">
      <w:pPr>
        <w:keepNext/>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40</w:t>
      </w:r>
      <w:r>
        <w:rPr>
          <w:rFonts w:ascii="宋体" w:hAnsi="宋体"/>
          <w:b/>
          <w:bCs/>
          <w:szCs w:val="21"/>
        </w:rPr>
        <w:t xml:space="preserve"> 修改“4.2.1  进针方法”调查结果</w:t>
      </w:r>
    </w:p>
    <w:tbl>
      <w:tblPr>
        <w:tblStyle w:val="17"/>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3"/>
        <w:gridCol w:w="1408"/>
        <w:gridCol w:w="2093"/>
        <w:gridCol w:w="949"/>
        <w:gridCol w:w="1636"/>
      </w:tblGrid>
      <w:tr w14:paraId="772AB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413" w:type="dxa"/>
            <w:tcBorders>
              <w:insideH w:val="single" w:sz="4" w:space="0"/>
            </w:tcBorders>
            <w:vAlign w:val="center"/>
          </w:tcPr>
          <w:p w14:paraId="35191978">
            <w:pPr>
              <w:keepNext/>
              <w:widowControl/>
              <w:snapToGrid w:val="0"/>
              <w:jc w:val="center"/>
              <w:rPr>
                <w:rFonts w:ascii="宋体" w:hAnsi="宋体"/>
                <w:b/>
                <w:szCs w:val="21"/>
              </w:rPr>
            </w:pPr>
            <w:r>
              <w:rPr>
                <w:rFonts w:ascii="宋体" w:hAnsi="宋体"/>
                <w:b/>
                <w:szCs w:val="21"/>
              </w:rPr>
              <w:t>选项</w:t>
            </w:r>
          </w:p>
        </w:tc>
        <w:tc>
          <w:tcPr>
            <w:tcW w:w="1408" w:type="dxa"/>
            <w:tcBorders>
              <w:insideH w:val="single" w:sz="4" w:space="0"/>
            </w:tcBorders>
            <w:vAlign w:val="center"/>
          </w:tcPr>
          <w:p w14:paraId="6CA82A5C">
            <w:pPr>
              <w:keepNext/>
              <w:widowControl/>
              <w:snapToGrid w:val="0"/>
              <w:jc w:val="center"/>
              <w:rPr>
                <w:rFonts w:ascii="宋体" w:hAnsi="宋体"/>
                <w:b/>
                <w:szCs w:val="21"/>
              </w:rPr>
            </w:pPr>
            <w:r>
              <w:rPr>
                <w:rFonts w:ascii="宋体" w:hAnsi="宋体"/>
                <w:b/>
                <w:szCs w:val="21"/>
              </w:rPr>
              <w:object>
                <v:shape id="_x0000_i1068"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68" DrawAspect="Content" ObjectID="_1468075768" r:id="rId57">
                  <o:LockedField>false</o:LockedField>
                </o:OLEObject>
              </w:object>
            </w:r>
          </w:p>
        </w:tc>
        <w:tc>
          <w:tcPr>
            <w:tcW w:w="2093" w:type="dxa"/>
            <w:tcBorders>
              <w:insideH w:val="single" w:sz="4" w:space="0"/>
            </w:tcBorders>
            <w:vAlign w:val="center"/>
          </w:tcPr>
          <w:p w14:paraId="3928CEBC">
            <w:pPr>
              <w:keepNext/>
              <w:widowControl/>
              <w:snapToGrid w:val="0"/>
              <w:jc w:val="center"/>
              <w:rPr>
                <w:rFonts w:ascii="宋体" w:hAnsi="宋体"/>
                <w:b/>
                <w:szCs w:val="21"/>
              </w:rPr>
            </w:pPr>
            <w:r>
              <w:rPr>
                <w:rFonts w:ascii="宋体" w:hAnsi="宋体"/>
                <w:b/>
                <w:szCs w:val="21"/>
              </w:rPr>
              <w:t>R</w:t>
            </w:r>
          </w:p>
        </w:tc>
        <w:tc>
          <w:tcPr>
            <w:tcW w:w="949" w:type="dxa"/>
            <w:tcBorders>
              <w:insideH w:val="single" w:sz="4" w:space="0"/>
            </w:tcBorders>
            <w:vAlign w:val="center"/>
          </w:tcPr>
          <w:p w14:paraId="49C0A978">
            <w:pPr>
              <w:keepNext/>
              <w:widowControl/>
              <w:snapToGrid w:val="0"/>
              <w:jc w:val="center"/>
              <w:rPr>
                <w:rFonts w:ascii="宋体" w:hAnsi="宋体"/>
                <w:b/>
                <w:szCs w:val="21"/>
              </w:rPr>
            </w:pPr>
            <w:r>
              <w:rPr>
                <w:rFonts w:ascii="宋体" w:hAnsi="宋体"/>
                <w:b/>
                <w:szCs w:val="21"/>
              </w:rPr>
              <w:t>S</w:t>
            </w:r>
          </w:p>
        </w:tc>
        <w:tc>
          <w:tcPr>
            <w:tcW w:w="1636" w:type="dxa"/>
            <w:tcBorders>
              <w:insideH w:val="single" w:sz="4" w:space="0"/>
            </w:tcBorders>
            <w:vAlign w:val="center"/>
          </w:tcPr>
          <w:p w14:paraId="0E7FD575">
            <w:pPr>
              <w:keepNext/>
              <w:widowControl/>
              <w:snapToGrid w:val="0"/>
              <w:jc w:val="center"/>
              <w:rPr>
                <w:rFonts w:ascii="宋体" w:hAnsi="宋体"/>
                <w:b/>
                <w:szCs w:val="21"/>
              </w:rPr>
            </w:pPr>
            <w:r>
              <w:rPr>
                <w:rFonts w:ascii="宋体" w:hAnsi="宋体"/>
                <w:b/>
                <w:szCs w:val="21"/>
              </w:rPr>
              <w:t>CV</w:t>
            </w:r>
          </w:p>
        </w:tc>
      </w:tr>
      <w:tr w14:paraId="5788F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3" w:type="dxa"/>
            <w:shd w:val="clear" w:color="auto" w:fill="auto"/>
            <w:vAlign w:val="center"/>
          </w:tcPr>
          <w:p w14:paraId="67CE0D81">
            <w:pPr>
              <w:keepNext/>
              <w:widowControl/>
              <w:snapToGrid w:val="0"/>
              <w:jc w:val="center"/>
              <w:rPr>
                <w:rFonts w:ascii="宋体" w:hAnsi="宋体"/>
                <w:sz w:val="20"/>
                <w:szCs w:val="21"/>
              </w:rPr>
            </w:pPr>
            <w:r>
              <w:rPr>
                <w:rFonts w:ascii="宋体" w:hAnsi="宋体"/>
                <w:sz w:val="20"/>
                <w:szCs w:val="21"/>
              </w:rPr>
              <w:t>A.同意</w:t>
            </w:r>
          </w:p>
        </w:tc>
        <w:tc>
          <w:tcPr>
            <w:tcW w:w="1408" w:type="dxa"/>
            <w:shd w:val="clear" w:color="auto" w:fill="auto"/>
            <w:vAlign w:val="center"/>
          </w:tcPr>
          <w:p w14:paraId="4F664B64">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1.00 </w:t>
            </w:r>
          </w:p>
        </w:tc>
        <w:tc>
          <w:tcPr>
            <w:tcW w:w="2093" w:type="dxa"/>
            <w:shd w:val="clear" w:color="auto" w:fill="auto"/>
            <w:vAlign w:val="center"/>
          </w:tcPr>
          <w:p w14:paraId="587B9883">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0.00%</w:t>
            </w:r>
          </w:p>
        </w:tc>
        <w:tc>
          <w:tcPr>
            <w:tcW w:w="949" w:type="dxa"/>
            <w:shd w:val="clear" w:color="auto" w:fill="auto"/>
            <w:vAlign w:val="center"/>
          </w:tcPr>
          <w:p w14:paraId="150463CC">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34</w:t>
            </w:r>
          </w:p>
        </w:tc>
        <w:tc>
          <w:tcPr>
            <w:tcW w:w="1636" w:type="dxa"/>
            <w:shd w:val="clear" w:color="auto" w:fill="auto"/>
            <w:vAlign w:val="center"/>
          </w:tcPr>
          <w:p w14:paraId="7F7F62A3">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0.00%</w:t>
            </w:r>
          </w:p>
        </w:tc>
      </w:tr>
      <w:tr w14:paraId="2A2A1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3" w:type="dxa"/>
            <w:shd w:val="clear" w:color="auto" w:fill="auto"/>
            <w:vAlign w:val="center"/>
          </w:tcPr>
          <w:p w14:paraId="752C406B">
            <w:pPr>
              <w:keepNext/>
              <w:widowControl/>
              <w:snapToGrid w:val="0"/>
              <w:jc w:val="center"/>
              <w:rPr>
                <w:rFonts w:ascii="宋体" w:hAnsi="宋体"/>
                <w:sz w:val="20"/>
                <w:szCs w:val="21"/>
              </w:rPr>
            </w:pPr>
            <w:r>
              <w:rPr>
                <w:rFonts w:ascii="宋体" w:hAnsi="宋体"/>
                <w:sz w:val="20"/>
                <w:szCs w:val="21"/>
              </w:rPr>
              <w:t>B.不同意</w:t>
            </w:r>
          </w:p>
        </w:tc>
        <w:tc>
          <w:tcPr>
            <w:tcW w:w="1408" w:type="dxa"/>
            <w:shd w:val="clear" w:color="auto" w:fill="auto"/>
            <w:vAlign w:val="center"/>
          </w:tcPr>
          <w:p w14:paraId="1160947D">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0.00 </w:t>
            </w:r>
          </w:p>
        </w:tc>
        <w:tc>
          <w:tcPr>
            <w:tcW w:w="2093" w:type="dxa"/>
            <w:shd w:val="clear" w:color="auto" w:fill="auto"/>
            <w:vAlign w:val="center"/>
          </w:tcPr>
          <w:p w14:paraId="01D5A296">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100.00%</w:t>
            </w:r>
          </w:p>
        </w:tc>
        <w:tc>
          <w:tcPr>
            <w:tcW w:w="949" w:type="dxa"/>
            <w:shd w:val="clear" w:color="auto" w:fill="auto"/>
            <w:vAlign w:val="center"/>
          </w:tcPr>
          <w:p w14:paraId="3393F539">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0</w:t>
            </w:r>
          </w:p>
        </w:tc>
        <w:tc>
          <w:tcPr>
            <w:tcW w:w="1636" w:type="dxa"/>
            <w:shd w:val="clear" w:color="auto" w:fill="auto"/>
            <w:vAlign w:val="center"/>
          </w:tcPr>
          <w:p w14:paraId="026AC136">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w:t>
            </w:r>
          </w:p>
        </w:tc>
      </w:tr>
    </w:tbl>
    <w:p w14:paraId="03BD614D">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41</w:t>
      </w:r>
      <w:r>
        <w:rPr>
          <w:rFonts w:ascii="宋体" w:hAnsi="宋体"/>
          <w:b/>
          <w:bCs/>
          <w:szCs w:val="21"/>
        </w:rPr>
        <w:t xml:space="preserve"> 修改“4.2.1.2.5  针管进针法”调查结果</w:t>
      </w:r>
    </w:p>
    <w:p w14:paraId="080AE514">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41</w:t>
      </w:r>
      <w:r>
        <w:rPr>
          <w:rFonts w:ascii="宋体" w:hAnsi="宋体"/>
          <w:b/>
          <w:bCs/>
          <w:szCs w:val="21"/>
        </w:rPr>
        <w:t xml:space="preserve"> 修改“4.2.1.2.5  针管进针法”调查结果</w:t>
      </w:r>
    </w:p>
    <w:tbl>
      <w:tblPr>
        <w:tblStyle w:val="17"/>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9"/>
        <w:gridCol w:w="1371"/>
        <w:gridCol w:w="1816"/>
        <w:gridCol w:w="925"/>
        <w:gridCol w:w="2038"/>
      </w:tblGrid>
      <w:tr w14:paraId="74743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349" w:type="dxa"/>
            <w:tcBorders>
              <w:insideH w:val="single" w:sz="4" w:space="0"/>
            </w:tcBorders>
            <w:vAlign w:val="center"/>
          </w:tcPr>
          <w:p w14:paraId="4D6D52CB">
            <w:pPr>
              <w:widowControl/>
              <w:snapToGrid w:val="0"/>
              <w:jc w:val="center"/>
              <w:rPr>
                <w:rFonts w:ascii="宋体" w:hAnsi="宋体"/>
                <w:b/>
                <w:szCs w:val="21"/>
              </w:rPr>
            </w:pPr>
            <w:r>
              <w:rPr>
                <w:rFonts w:ascii="宋体" w:hAnsi="宋体"/>
                <w:b/>
                <w:szCs w:val="21"/>
              </w:rPr>
              <w:t>选项</w:t>
            </w:r>
          </w:p>
        </w:tc>
        <w:tc>
          <w:tcPr>
            <w:tcW w:w="1371" w:type="dxa"/>
            <w:tcBorders>
              <w:insideH w:val="single" w:sz="4" w:space="0"/>
            </w:tcBorders>
            <w:vAlign w:val="center"/>
          </w:tcPr>
          <w:p w14:paraId="2B77BA2B">
            <w:pPr>
              <w:widowControl/>
              <w:snapToGrid w:val="0"/>
              <w:jc w:val="center"/>
              <w:rPr>
                <w:rFonts w:ascii="宋体" w:hAnsi="宋体"/>
                <w:b/>
                <w:szCs w:val="21"/>
              </w:rPr>
            </w:pPr>
            <w:r>
              <w:rPr>
                <w:rFonts w:ascii="宋体" w:hAnsi="宋体"/>
                <w:b/>
                <w:szCs w:val="21"/>
              </w:rPr>
              <w:object>
                <v:shape id="_x0000_i1069"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69" DrawAspect="Content" ObjectID="_1468075769" r:id="rId58">
                  <o:LockedField>false</o:LockedField>
                </o:OLEObject>
              </w:object>
            </w:r>
          </w:p>
        </w:tc>
        <w:tc>
          <w:tcPr>
            <w:tcW w:w="1816" w:type="dxa"/>
            <w:tcBorders>
              <w:insideH w:val="single" w:sz="4" w:space="0"/>
            </w:tcBorders>
            <w:vAlign w:val="center"/>
          </w:tcPr>
          <w:p w14:paraId="54EFF6B8">
            <w:pPr>
              <w:widowControl/>
              <w:snapToGrid w:val="0"/>
              <w:jc w:val="center"/>
              <w:rPr>
                <w:rFonts w:ascii="宋体" w:hAnsi="宋体"/>
                <w:b/>
                <w:szCs w:val="21"/>
              </w:rPr>
            </w:pPr>
            <w:r>
              <w:rPr>
                <w:rFonts w:ascii="宋体" w:hAnsi="宋体"/>
                <w:b/>
                <w:szCs w:val="21"/>
              </w:rPr>
              <w:t>R</w:t>
            </w:r>
          </w:p>
        </w:tc>
        <w:tc>
          <w:tcPr>
            <w:tcW w:w="925" w:type="dxa"/>
            <w:tcBorders>
              <w:insideH w:val="single" w:sz="4" w:space="0"/>
            </w:tcBorders>
            <w:vAlign w:val="center"/>
          </w:tcPr>
          <w:p w14:paraId="28815DEE">
            <w:pPr>
              <w:widowControl/>
              <w:snapToGrid w:val="0"/>
              <w:jc w:val="center"/>
              <w:rPr>
                <w:rFonts w:ascii="宋体" w:hAnsi="宋体"/>
                <w:b/>
                <w:szCs w:val="21"/>
              </w:rPr>
            </w:pPr>
            <w:r>
              <w:rPr>
                <w:rFonts w:ascii="宋体" w:hAnsi="宋体"/>
                <w:b/>
                <w:szCs w:val="21"/>
              </w:rPr>
              <w:t>S</w:t>
            </w:r>
          </w:p>
        </w:tc>
        <w:tc>
          <w:tcPr>
            <w:tcW w:w="2038" w:type="dxa"/>
            <w:tcBorders>
              <w:insideH w:val="single" w:sz="4" w:space="0"/>
            </w:tcBorders>
            <w:vAlign w:val="center"/>
          </w:tcPr>
          <w:p w14:paraId="2343EFB7">
            <w:pPr>
              <w:widowControl/>
              <w:snapToGrid w:val="0"/>
              <w:jc w:val="center"/>
              <w:rPr>
                <w:rFonts w:ascii="宋体" w:hAnsi="宋体"/>
                <w:b/>
                <w:szCs w:val="21"/>
              </w:rPr>
            </w:pPr>
            <w:r>
              <w:rPr>
                <w:rFonts w:ascii="宋体" w:hAnsi="宋体"/>
                <w:b/>
                <w:szCs w:val="21"/>
              </w:rPr>
              <w:t>CV</w:t>
            </w:r>
          </w:p>
        </w:tc>
      </w:tr>
      <w:tr w14:paraId="7E0D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14E73C41">
            <w:pPr>
              <w:widowControl/>
              <w:snapToGrid w:val="0"/>
              <w:jc w:val="center"/>
              <w:rPr>
                <w:rFonts w:ascii="宋体" w:hAnsi="宋体"/>
                <w:sz w:val="20"/>
                <w:szCs w:val="21"/>
              </w:rPr>
            </w:pPr>
            <w:r>
              <w:rPr>
                <w:rFonts w:ascii="宋体" w:hAnsi="宋体"/>
                <w:sz w:val="20"/>
                <w:szCs w:val="21"/>
              </w:rPr>
              <w:t>A.同意</w:t>
            </w:r>
          </w:p>
        </w:tc>
        <w:tc>
          <w:tcPr>
            <w:tcW w:w="1371" w:type="dxa"/>
            <w:shd w:val="clear" w:color="auto" w:fill="auto"/>
            <w:vAlign w:val="center"/>
          </w:tcPr>
          <w:p w14:paraId="0063B8C2">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0.97 </w:t>
            </w:r>
          </w:p>
        </w:tc>
        <w:tc>
          <w:tcPr>
            <w:tcW w:w="1816" w:type="dxa"/>
            <w:shd w:val="clear" w:color="auto" w:fill="auto"/>
            <w:vAlign w:val="center"/>
          </w:tcPr>
          <w:p w14:paraId="02D92132">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2.94%</w:t>
            </w:r>
          </w:p>
        </w:tc>
        <w:tc>
          <w:tcPr>
            <w:tcW w:w="925" w:type="dxa"/>
            <w:shd w:val="clear" w:color="auto" w:fill="auto"/>
            <w:vAlign w:val="center"/>
          </w:tcPr>
          <w:p w14:paraId="15CEDF41">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33</w:t>
            </w:r>
          </w:p>
        </w:tc>
        <w:tc>
          <w:tcPr>
            <w:tcW w:w="2038" w:type="dxa"/>
            <w:shd w:val="clear" w:color="auto" w:fill="auto"/>
            <w:vAlign w:val="center"/>
          </w:tcPr>
          <w:p w14:paraId="0838542E">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17.67%</w:t>
            </w:r>
          </w:p>
        </w:tc>
      </w:tr>
      <w:tr w14:paraId="25A6F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74C9E31E">
            <w:pPr>
              <w:widowControl/>
              <w:snapToGrid w:val="0"/>
              <w:jc w:val="center"/>
              <w:rPr>
                <w:rFonts w:ascii="宋体" w:hAnsi="宋体"/>
                <w:sz w:val="20"/>
                <w:szCs w:val="21"/>
              </w:rPr>
            </w:pPr>
            <w:r>
              <w:rPr>
                <w:rFonts w:ascii="宋体" w:hAnsi="宋体"/>
                <w:sz w:val="20"/>
                <w:szCs w:val="21"/>
              </w:rPr>
              <w:t>B.不同意</w:t>
            </w:r>
          </w:p>
        </w:tc>
        <w:tc>
          <w:tcPr>
            <w:tcW w:w="1371" w:type="dxa"/>
            <w:shd w:val="clear" w:color="auto" w:fill="auto"/>
            <w:vAlign w:val="center"/>
          </w:tcPr>
          <w:p w14:paraId="111CBE67">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0.03 </w:t>
            </w:r>
          </w:p>
        </w:tc>
        <w:tc>
          <w:tcPr>
            <w:tcW w:w="1816" w:type="dxa"/>
            <w:shd w:val="clear" w:color="auto" w:fill="auto"/>
            <w:vAlign w:val="center"/>
          </w:tcPr>
          <w:p w14:paraId="16536416">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97.06%</w:t>
            </w:r>
          </w:p>
        </w:tc>
        <w:tc>
          <w:tcPr>
            <w:tcW w:w="925" w:type="dxa"/>
            <w:shd w:val="clear" w:color="auto" w:fill="auto"/>
            <w:vAlign w:val="center"/>
          </w:tcPr>
          <w:p w14:paraId="251B39C9">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w:t>
            </w:r>
          </w:p>
        </w:tc>
        <w:tc>
          <w:tcPr>
            <w:tcW w:w="2038" w:type="dxa"/>
            <w:shd w:val="clear" w:color="auto" w:fill="auto"/>
            <w:vAlign w:val="center"/>
          </w:tcPr>
          <w:p w14:paraId="63A14C64">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583.10%</w:t>
            </w:r>
          </w:p>
        </w:tc>
      </w:tr>
    </w:tbl>
    <w:p w14:paraId="37536BE3">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42</w:t>
      </w:r>
      <w:r>
        <w:rPr>
          <w:rFonts w:ascii="宋体" w:hAnsi="宋体"/>
          <w:b/>
          <w:bCs/>
          <w:szCs w:val="21"/>
        </w:rPr>
        <w:t xml:space="preserve"> 修改“5.1.2.1 针具”调查结果</w:t>
      </w:r>
    </w:p>
    <w:p w14:paraId="5AE9C9E1">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42</w:t>
      </w:r>
      <w:r>
        <w:rPr>
          <w:rFonts w:ascii="宋体" w:hAnsi="宋体"/>
          <w:b/>
          <w:bCs/>
          <w:szCs w:val="21"/>
        </w:rPr>
        <w:t xml:space="preserve"> 修改“5.1.2.1 针具”调查结果</w:t>
      </w:r>
    </w:p>
    <w:tbl>
      <w:tblPr>
        <w:tblStyle w:val="17"/>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07"/>
        <w:gridCol w:w="930"/>
        <w:gridCol w:w="1030"/>
        <w:gridCol w:w="416"/>
        <w:gridCol w:w="916"/>
      </w:tblGrid>
      <w:tr w14:paraId="04B4B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207" w:type="dxa"/>
            <w:tcBorders>
              <w:insideH w:val="single" w:sz="4" w:space="0"/>
            </w:tcBorders>
            <w:vAlign w:val="center"/>
          </w:tcPr>
          <w:p w14:paraId="5CFB076A">
            <w:pPr>
              <w:widowControl/>
              <w:snapToGrid w:val="0"/>
              <w:jc w:val="center"/>
              <w:rPr>
                <w:rFonts w:ascii="宋体" w:hAnsi="宋体"/>
                <w:b/>
                <w:szCs w:val="21"/>
              </w:rPr>
            </w:pPr>
            <w:r>
              <w:rPr>
                <w:rFonts w:ascii="宋体" w:hAnsi="宋体"/>
                <w:b/>
                <w:szCs w:val="21"/>
              </w:rPr>
              <w:t>选项</w:t>
            </w:r>
          </w:p>
        </w:tc>
        <w:tc>
          <w:tcPr>
            <w:tcW w:w="930" w:type="dxa"/>
            <w:tcBorders>
              <w:insideH w:val="single" w:sz="4" w:space="0"/>
            </w:tcBorders>
            <w:vAlign w:val="center"/>
          </w:tcPr>
          <w:p w14:paraId="635FF563">
            <w:pPr>
              <w:widowControl/>
              <w:snapToGrid w:val="0"/>
              <w:jc w:val="center"/>
              <w:rPr>
                <w:rFonts w:ascii="宋体" w:hAnsi="宋体"/>
                <w:b/>
                <w:szCs w:val="21"/>
              </w:rPr>
            </w:pPr>
            <w:r>
              <w:rPr>
                <w:rFonts w:ascii="宋体" w:hAnsi="宋体"/>
                <w:b/>
                <w:szCs w:val="21"/>
              </w:rPr>
              <w:object>
                <v:shape id="_x0000_i1070"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70" DrawAspect="Content" ObjectID="_1468075770" r:id="rId59">
                  <o:LockedField>false</o:LockedField>
                </o:OLEObject>
              </w:object>
            </w:r>
          </w:p>
        </w:tc>
        <w:tc>
          <w:tcPr>
            <w:tcW w:w="1030" w:type="dxa"/>
            <w:tcBorders>
              <w:insideH w:val="single" w:sz="4" w:space="0"/>
            </w:tcBorders>
            <w:vAlign w:val="center"/>
          </w:tcPr>
          <w:p w14:paraId="69717189">
            <w:pPr>
              <w:widowControl/>
              <w:snapToGrid w:val="0"/>
              <w:jc w:val="center"/>
              <w:rPr>
                <w:rFonts w:ascii="宋体" w:hAnsi="宋体"/>
                <w:b/>
                <w:szCs w:val="21"/>
              </w:rPr>
            </w:pPr>
            <w:r>
              <w:rPr>
                <w:rFonts w:ascii="宋体" w:hAnsi="宋体"/>
                <w:b/>
                <w:szCs w:val="21"/>
              </w:rPr>
              <w:t>R</w:t>
            </w:r>
          </w:p>
        </w:tc>
        <w:tc>
          <w:tcPr>
            <w:tcW w:w="416" w:type="dxa"/>
            <w:tcBorders>
              <w:insideH w:val="single" w:sz="4" w:space="0"/>
            </w:tcBorders>
            <w:vAlign w:val="center"/>
          </w:tcPr>
          <w:p w14:paraId="30F1E352">
            <w:pPr>
              <w:widowControl/>
              <w:snapToGrid w:val="0"/>
              <w:jc w:val="center"/>
              <w:rPr>
                <w:rFonts w:ascii="宋体" w:hAnsi="宋体"/>
                <w:b/>
                <w:szCs w:val="21"/>
              </w:rPr>
            </w:pPr>
            <w:r>
              <w:rPr>
                <w:rFonts w:ascii="宋体" w:hAnsi="宋体"/>
                <w:b/>
                <w:szCs w:val="21"/>
              </w:rPr>
              <w:t>S</w:t>
            </w:r>
          </w:p>
        </w:tc>
        <w:tc>
          <w:tcPr>
            <w:tcW w:w="916" w:type="dxa"/>
            <w:tcBorders>
              <w:insideH w:val="single" w:sz="4" w:space="0"/>
            </w:tcBorders>
            <w:vAlign w:val="center"/>
          </w:tcPr>
          <w:p w14:paraId="3149DA60">
            <w:pPr>
              <w:widowControl/>
              <w:snapToGrid w:val="0"/>
              <w:jc w:val="center"/>
              <w:rPr>
                <w:rFonts w:ascii="宋体" w:hAnsi="宋体"/>
                <w:b/>
                <w:szCs w:val="21"/>
              </w:rPr>
            </w:pPr>
            <w:r>
              <w:rPr>
                <w:rFonts w:ascii="宋体" w:hAnsi="宋体"/>
                <w:b/>
                <w:szCs w:val="21"/>
              </w:rPr>
              <w:t>CV</w:t>
            </w:r>
          </w:p>
        </w:tc>
      </w:tr>
      <w:tr w14:paraId="0B3FD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7" w:type="dxa"/>
            <w:vAlign w:val="center"/>
          </w:tcPr>
          <w:p w14:paraId="7CBAC5DB">
            <w:pPr>
              <w:widowControl/>
              <w:snapToGrid w:val="0"/>
              <w:jc w:val="left"/>
              <w:rPr>
                <w:rFonts w:ascii="宋体" w:hAnsi="宋体"/>
                <w:sz w:val="20"/>
                <w:szCs w:val="21"/>
              </w:rPr>
            </w:pPr>
            <w:r>
              <w:rPr>
                <w:rFonts w:ascii="宋体" w:hAnsi="宋体"/>
                <w:sz w:val="20"/>
                <w:szCs w:val="21"/>
              </w:rPr>
              <w:t>A.选用一次性三棱针，也可采用一次性采血针或无菌注射针。</w:t>
            </w:r>
          </w:p>
        </w:tc>
        <w:tc>
          <w:tcPr>
            <w:tcW w:w="930" w:type="dxa"/>
            <w:shd w:val="clear" w:color="auto" w:fill="auto"/>
            <w:vAlign w:val="center"/>
          </w:tcPr>
          <w:p w14:paraId="7D63344B">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0.76 </w:t>
            </w:r>
          </w:p>
        </w:tc>
        <w:tc>
          <w:tcPr>
            <w:tcW w:w="1030" w:type="dxa"/>
            <w:shd w:val="clear" w:color="auto" w:fill="auto"/>
            <w:vAlign w:val="center"/>
          </w:tcPr>
          <w:p w14:paraId="35A242AF">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23.53%</w:t>
            </w:r>
          </w:p>
        </w:tc>
        <w:tc>
          <w:tcPr>
            <w:tcW w:w="416" w:type="dxa"/>
            <w:shd w:val="clear" w:color="auto" w:fill="auto"/>
            <w:vAlign w:val="center"/>
          </w:tcPr>
          <w:p w14:paraId="21E99E7D">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25</w:t>
            </w:r>
          </w:p>
        </w:tc>
        <w:tc>
          <w:tcPr>
            <w:tcW w:w="916" w:type="dxa"/>
            <w:shd w:val="clear" w:color="auto" w:fill="auto"/>
            <w:vAlign w:val="center"/>
          </w:tcPr>
          <w:p w14:paraId="1FF43FB1">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59.11%</w:t>
            </w:r>
          </w:p>
        </w:tc>
      </w:tr>
      <w:tr w14:paraId="1C0FD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7" w:type="dxa"/>
            <w:vAlign w:val="center"/>
          </w:tcPr>
          <w:p w14:paraId="62B5089A">
            <w:pPr>
              <w:widowControl/>
              <w:snapToGrid w:val="0"/>
              <w:jc w:val="left"/>
              <w:rPr>
                <w:rFonts w:ascii="宋体" w:hAnsi="宋体"/>
                <w:sz w:val="20"/>
                <w:szCs w:val="21"/>
              </w:rPr>
            </w:pPr>
            <w:r>
              <w:rPr>
                <w:rFonts w:ascii="宋体" w:hAnsi="宋体"/>
                <w:sz w:val="20"/>
                <w:szCs w:val="21"/>
              </w:rPr>
              <w:t>B.沿用原标准</w:t>
            </w:r>
          </w:p>
        </w:tc>
        <w:tc>
          <w:tcPr>
            <w:tcW w:w="930" w:type="dxa"/>
            <w:shd w:val="clear" w:color="auto" w:fill="auto"/>
            <w:vAlign w:val="center"/>
          </w:tcPr>
          <w:p w14:paraId="6C76B2AC">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0.24 </w:t>
            </w:r>
          </w:p>
        </w:tc>
        <w:tc>
          <w:tcPr>
            <w:tcW w:w="1030" w:type="dxa"/>
            <w:shd w:val="clear" w:color="auto" w:fill="auto"/>
            <w:vAlign w:val="center"/>
          </w:tcPr>
          <w:p w14:paraId="038E8DDF">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73.53%</w:t>
            </w:r>
          </w:p>
        </w:tc>
        <w:tc>
          <w:tcPr>
            <w:tcW w:w="416" w:type="dxa"/>
            <w:shd w:val="clear" w:color="auto" w:fill="auto"/>
            <w:vAlign w:val="center"/>
          </w:tcPr>
          <w:p w14:paraId="76F83D88">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8</w:t>
            </w:r>
          </w:p>
        </w:tc>
        <w:tc>
          <w:tcPr>
            <w:tcW w:w="916" w:type="dxa"/>
            <w:shd w:val="clear" w:color="auto" w:fill="auto"/>
            <w:vAlign w:val="center"/>
          </w:tcPr>
          <w:p w14:paraId="31D6E398">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177.61%</w:t>
            </w:r>
          </w:p>
        </w:tc>
      </w:tr>
    </w:tbl>
    <w:p w14:paraId="2B4AE0FE">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43</w:t>
      </w:r>
      <w:r>
        <w:rPr>
          <w:rFonts w:ascii="宋体" w:hAnsi="宋体"/>
          <w:b/>
          <w:bCs/>
          <w:szCs w:val="21"/>
        </w:rPr>
        <w:t xml:space="preserve"> 修改“6.1.5  穴位”调查结果</w:t>
      </w:r>
    </w:p>
    <w:p w14:paraId="54B66C35">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43</w:t>
      </w:r>
      <w:r>
        <w:rPr>
          <w:rFonts w:ascii="宋体" w:hAnsi="宋体"/>
          <w:b/>
          <w:bCs/>
          <w:szCs w:val="21"/>
        </w:rPr>
        <w:t xml:space="preserve"> 修改“6.1.5  穴位”调查结果</w:t>
      </w:r>
    </w:p>
    <w:tbl>
      <w:tblPr>
        <w:tblStyle w:val="17"/>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3"/>
        <w:gridCol w:w="1408"/>
        <w:gridCol w:w="2093"/>
        <w:gridCol w:w="949"/>
        <w:gridCol w:w="1636"/>
      </w:tblGrid>
      <w:tr w14:paraId="5C547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413" w:type="dxa"/>
            <w:tcBorders>
              <w:insideH w:val="single" w:sz="4" w:space="0"/>
            </w:tcBorders>
            <w:vAlign w:val="center"/>
          </w:tcPr>
          <w:p w14:paraId="40735D5C">
            <w:pPr>
              <w:widowControl/>
              <w:snapToGrid w:val="0"/>
              <w:jc w:val="center"/>
              <w:rPr>
                <w:rFonts w:ascii="宋体" w:hAnsi="宋体"/>
                <w:b/>
                <w:szCs w:val="21"/>
              </w:rPr>
            </w:pPr>
            <w:r>
              <w:rPr>
                <w:rFonts w:ascii="宋体" w:hAnsi="宋体"/>
                <w:b/>
                <w:szCs w:val="21"/>
              </w:rPr>
              <w:t>选项</w:t>
            </w:r>
          </w:p>
        </w:tc>
        <w:tc>
          <w:tcPr>
            <w:tcW w:w="1408" w:type="dxa"/>
            <w:tcBorders>
              <w:insideH w:val="single" w:sz="4" w:space="0"/>
            </w:tcBorders>
            <w:vAlign w:val="center"/>
          </w:tcPr>
          <w:p w14:paraId="28A8CB13">
            <w:pPr>
              <w:widowControl/>
              <w:snapToGrid w:val="0"/>
              <w:jc w:val="center"/>
              <w:rPr>
                <w:rFonts w:ascii="宋体" w:hAnsi="宋体"/>
                <w:b/>
                <w:szCs w:val="21"/>
              </w:rPr>
            </w:pPr>
            <w:r>
              <w:rPr>
                <w:rFonts w:ascii="宋体" w:hAnsi="宋体"/>
                <w:b/>
                <w:szCs w:val="21"/>
              </w:rPr>
              <w:object>
                <v:shape id="_x0000_i1071"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71" DrawAspect="Content" ObjectID="_1468075771" r:id="rId60">
                  <o:LockedField>false</o:LockedField>
                </o:OLEObject>
              </w:object>
            </w:r>
          </w:p>
        </w:tc>
        <w:tc>
          <w:tcPr>
            <w:tcW w:w="2093" w:type="dxa"/>
            <w:tcBorders>
              <w:insideH w:val="single" w:sz="4" w:space="0"/>
            </w:tcBorders>
            <w:vAlign w:val="center"/>
          </w:tcPr>
          <w:p w14:paraId="484255E5">
            <w:pPr>
              <w:widowControl/>
              <w:snapToGrid w:val="0"/>
              <w:jc w:val="center"/>
              <w:rPr>
                <w:rFonts w:ascii="宋体" w:hAnsi="宋体"/>
                <w:b/>
                <w:szCs w:val="21"/>
              </w:rPr>
            </w:pPr>
            <w:r>
              <w:rPr>
                <w:rFonts w:ascii="宋体" w:hAnsi="宋体"/>
                <w:b/>
                <w:szCs w:val="21"/>
              </w:rPr>
              <w:t>R</w:t>
            </w:r>
          </w:p>
        </w:tc>
        <w:tc>
          <w:tcPr>
            <w:tcW w:w="949" w:type="dxa"/>
            <w:tcBorders>
              <w:insideH w:val="single" w:sz="4" w:space="0"/>
            </w:tcBorders>
            <w:vAlign w:val="center"/>
          </w:tcPr>
          <w:p w14:paraId="4432F4D3">
            <w:pPr>
              <w:widowControl/>
              <w:snapToGrid w:val="0"/>
              <w:jc w:val="center"/>
              <w:rPr>
                <w:rFonts w:ascii="宋体" w:hAnsi="宋体"/>
                <w:b/>
                <w:szCs w:val="21"/>
              </w:rPr>
            </w:pPr>
            <w:r>
              <w:rPr>
                <w:rFonts w:ascii="宋体" w:hAnsi="宋体"/>
                <w:b/>
                <w:szCs w:val="21"/>
              </w:rPr>
              <w:t>S</w:t>
            </w:r>
          </w:p>
        </w:tc>
        <w:tc>
          <w:tcPr>
            <w:tcW w:w="1636" w:type="dxa"/>
            <w:tcBorders>
              <w:insideH w:val="single" w:sz="4" w:space="0"/>
            </w:tcBorders>
            <w:vAlign w:val="center"/>
          </w:tcPr>
          <w:p w14:paraId="33F568CD">
            <w:pPr>
              <w:widowControl/>
              <w:snapToGrid w:val="0"/>
              <w:jc w:val="center"/>
              <w:rPr>
                <w:rFonts w:ascii="宋体" w:hAnsi="宋体"/>
                <w:b/>
                <w:szCs w:val="21"/>
              </w:rPr>
            </w:pPr>
            <w:r>
              <w:rPr>
                <w:rFonts w:ascii="宋体" w:hAnsi="宋体"/>
                <w:b/>
                <w:szCs w:val="21"/>
              </w:rPr>
              <w:t>CV</w:t>
            </w:r>
          </w:p>
        </w:tc>
      </w:tr>
      <w:tr w14:paraId="018EC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3" w:type="dxa"/>
            <w:shd w:val="clear" w:color="auto" w:fill="auto"/>
            <w:vAlign w:val="center"/>
          </w:tcPr>
          <w:p w14:paraId="0121F151">
            <w:pPr>
              <w:widowControl/>
              <w:snapToGrid w:val="0"/>
              <w:jc w:val="center"/>
              <w:rPr>
                <w:rFonts w:ascii="宋体" w:hAnsi="宋体"/>
                <w:sz w:val="20"/>
                <w:szCs w:val="21"/>
              </w:rPr>
            </w:pPr>
            <w:r>
              <w:rPr>
                <w:rFonts w:ascii="宋体" w:hAnsi="宋体"/>
                <w:sz w:val="20"/>
                <w:szCs w:val="21"/>
              </w:rPr>
              <w:t>A.同意</w:t>
            </w:r>
          </w:p>
        </w:tc>
        <w:tc>
          <w:tcPr>
            <w:tcW w:w="1408" w:type="dxa"/>
            <w:shd w:val="clear" w:color="auto" w:fill="auto"/>
            <w:vAlign w:val="center"/>
          </w:tcPr>
          <w:p w14:paraId="480FF9AF">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1.00 </w:t>
            </w:r>
          </w:p>
        </w:tc>
        <w:tc>
          <w:tcPr>
            <w:tcW w:w="2093" w:type="dxa"/>
            <w:shd w:val="clear" w:color="auto" w:fill="auto"/>
            <w:vAlign w:val="center"/>
          </w:tcPr>
          <w:p w14:paraId="0B5E72FE">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0.00%</w:t>
            </w:r>
          </w:p>
        </w:tc>
        <w:tc>
          <w:tcPr>
            <w:tcW w:w="949" w:type="dxa"/>
            <w:shd w:val="clear" w:color="auto" w:fill="auto"/>
            <w:vAlign w:val="center"/>
          </w:tcPr>
          <w:p w14:paraId="52D8F44A">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34</w:t>
            </w:r>
          </w:p>
        </w:tc>
        <w:tc>
          <w:tcPr>
            <w:tcW w:w="1636" w:type="dxa"/>
            <w:shd w:val="clear" w:color="auto" w:fill="auto"/>
            <w:vAlign w:val="center"/>
          </w:tcPr>
          <w:p w14:paraId="74AABCAE">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0.00%</w:t>
            </w:r>
          </w:p>
        </w:tc>
      </w:tr>
      <w:tr w14:paraId="5916D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3" w:type="dxa"/>
            <w:shd w:val="clear" w:color="auto" w:fill="auto"/>
            <w:vAlign w:val="center"/>
          </w:tcPr>
          <w:p w14:paraId="31DDE3A7">
            <w:pPr>
              <w:widowControl/>
              <w:snapToGrid w:val="0"/>
              <w:jc w:val="center"/>
              <w:rPr>
                <w:rFonts w:ascii="宋体" w:hAnsi="宋体"/>
                <w:sz w:val="20"/>
                <w:szCs w:val="21"/>
              </w:rPr>
            </w:pPr>
            <w:r>
              <w:rPr>
                <w:rFonts w:ascii="宋体" w:hAnsi="宋体"/>
                <w:sz w:val="20"/>
                <w:szCs w:val="21"/>
              </w:rPr>
              <w:t>B.不同意</w:t>
            </w:r>
          </w:p>
        </w:tc>
        <w:tc>
          <w:tcPr>
            <w:tcW w:w="1408" w:type="dxa"/>
            <w:shd w:val="clear" w:color="auto" w:fill="auto"/>
            <w:vAlign w:val="center"/>
          </w:tcPr>
          <w:p w14:paraId="594C4458">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0.00 </w:t>
            </w:r>
          </w:p>
        </w:tc>
        <w:tc>
          <w:tcPr>
            <w:tcW w:w="2093" w:type="dxa"/>
            <w:shd w:val="clear" w:color="auto" w:fill="auto"/>
            <w:vAlign w:val="center"/>
          </w:tcPr>
          <w:p w14:paraId="55E06A30">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100.00%</w:t>
            </w:r>
          </w:p>
        </w:tc>
        <w:tc>
          <w:tcPr>
            <w:tcW w:w="949" w:type="dxa"/>
            <w:shd w:val="clear" w:color="auto" w:fill="auto"/>
            <w:vAlign w:val="center"/>
          </w:tcPr>
          <w:p w14:paraId="4CEB4AD3">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0</w:t>
            </w:r>
          </w:p>
        </w:tc>
        <w:tc>
          <w:tcPr>
            <w:tcW w:w="1636" w:type="dxa"/>
            <w:shd w:val="clear" w:color="auto" w:fill="auto"/>
            <w:vAlign w:val="center"/>
          </w:tcPr>
          <w:p w14:paraId="328CA9E3">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w:t>
            </w:r>
          </w:p>
        </w:tc>
      </w:tr>
    </w:tbl>
    <w:p w14:paraId="4ADE6B6B">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44</w:t>
      </w:r>
      <w:r>
        <w:rPr>
          <w:rFonts w:ascii="宋体" w:hAnsi="宋体"/>
          <w:b/>
          <w:bCs/>
          <w:szCs w:val="21"/>
        </w:rPr>
        <w:t xml:space="preserve"> 修改“6.3 施术后处理”调查结果</w:t>
      </w:r>
    </w:p>
    <w:p w14:paraId="0021268C">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44</w:t>
      </w:r>
      <w:r>
        <w:rPr>
          <w:rFonts w:ascii="宋体" w:hAnsi="宋体"/>
          <w:b/>
          <w:bCs/>
          <w:szCs w:val="21"/>
        </w:rPr>
        <w:t xml:space="preserve"> 修改“6.3 施术后处理”调查结果</w:t>
      </w:r>
    </w:p>
    <w:tbl>
      <w:tblPr>
        <w:tblStyle w:val="17"/>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9"/>
        <w:gridCol w:w="1371"/>
        <w:gridCol w:w="1816"/>
        <w:gridCol w:w="925"/>
        <w:gridCol w:w="2038"/>
      </w:tblGrid>
      <w:tr w14:paraId="50D7B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349" w:type="dxa"/>
            <w:tcBorders>
              <w:insideH w:val="single" w:sz="4" w:space="0"/>
            </w:tcBorders>
            <w:vAlign w:val="center"/>
          </w:tcPr>
          <w:p w14:paraId="4E90E80B">
            <w:pPr>
              <w:widowControl/>
              <w:snapToGrid w:val="0"/>
              <w:jc w:val="center"/>
              <w:rPr>
                <w:rFonts w:ascii="宋体" w:hAnsi="宋体"/>
                <w:b/>
                <w:szCs w:val="21"/>
              </w:rPr>
            </w:pPr>
            <w:r>
              <w:rPr>
                <w:rFonts w:ascii="宋体" w:hAnsi="宋体"/>
                <w:b/>
                <w:szCs w:val="21"/>
              </w:rPr>
              <w:t>选项</w:t>
            </w:r>
          </w:p>
        </w:tc>
        <w:tc>
          <w:tcPr>
            <w:tcW w:w="1371" w:type="dxa"/>
            <w:tcBorders>
              <w:insideH w:val="single" w:sz="4" w:space="0"/>
            </w:tcBorders>
            <w:vAlign w:val="center"/>
          </w:tcPr>
          <w:p w14:paraId="0A48993C">
            <w:pPr>
              <w:widowControl/>
              <w:snapToGrid w:val="0"/>
              <w:jc w:val="center"/>
              <w:rPr>
                <w:rFonts w:ascii="宋体" w:hAnsi="宋体"/>
                <w:b/>
                <w:szCs w:val="21"/>
              </w:rPr>
            </w:pPr>
            <w:r>
              <w:rPr>
                <w:rFonts w:ascii="宋体" w:hAnsi="宋体"/>
                <w:b/>
                <w:szCs w:val="21"/>
              </w:rPr>
              <w:object>
                <v:shape id="_x0000_i1072"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72" DrawAspect="Content" ObjectID="_1468075772" r:id="rId61">
                  <o:LockedField>false</o:LockedField>
                </o:OLEObject>
              </w:object>
            </w:r>
          </w:p>
        </w:tc>
        <w:tc>
          <w:tcPr>
            <w:tcW w:w="1816" w:type="dxa"/>
            <w:tcBorders>
              <w:insideH w:val="single" w:sz="4" w:space="0"/>
            </w:tcBorders>
            <w:vAlign w:val="center"/>
          </w:tcPr>
          <w:p w14:paraId="1087132B">
            <w:pPr>
              <w:widowControl/>
              <w:snapToGrid w:val="0"/>
              <w:jc w:val="center"/>
              <w:rPr>
                <w:rFonts w:ascii="宋体" w:hAnsi="宋体"/>
                <w:b/>
                <w:szCs w:val="21"/>
              </w:rPr>
            </w:pPr>
            <w:r>
              <w:rPr>
                <w:rFonts w:ascii="宋体" w:hAnsi="宋体"/>
                <w:b/>
                <w:szCs w:val="21"/>
              </w:rPr>
              <w:t>R</w:t>
            </w:r>
          </w:p>
        </w:tc>
        <w:tc>
          <w:tcPr>
            <w:tcW w:w="925" w:type="dxa"/>
            <w:tcBorders>
              <w:insideH w:val="single" w:sz="4" w:space="0"/>
            </w:tcBorders>
            <w:vAlign w:val="center"/>
          </w:tcPr>
          <w:p w14:paraId="53F0C2D4">
            <w:pPr>
              <w:widowControl/>
              <w:snapToGrid w:val="0"/>
              <w:jc w:val="center"/>
              <w:rPr>
                <w:rFonts w:ascii="宋体" w:hAnsi="宋体"/>
                <w:b/>
                <w:szCs w:val="21"/>
              </w:rPr>
            </w:pPr>
            <w:r>
              <w:rPr>
                <w:rFonts w:ascii="宋体" w:hAnsi="宋体"/>
                <w:b/>
                <w:szCs w:val="21"/>
              </w:rPr>
              <w:t>S</w:t>
            </w:r>
          </w:p>
        </w:tc>
        <w:tc>
          <w:tcPr>
            <w:tcW w:w="2038" w:type="dxa"/>
            <w:tcBorders>
              <w:insideH w:val="single" w:sz="4" w:space="0"/>
            </w:tcBorders>
            <w:vAlign w:val="center"/>
          </w:tcPr>
          <w:p w14:paraId="2A6078BF">
            <w:pPr>
              <w:widowControl/>
              <w:snapToGrid w:val="0"/>
              <w:jc w:val="center"/>
              <w:rPr>
                <w:rFonts w:ascii="宋体" w:hAnsi="宋体"/>
                <w:b/>
                <w:szCs w:val="21"/>
              </w:rPr>
            </w:pPr>
            <w:r>
              <w:rPr>
                <w:rFonts w:ascii="宋体" w:hAnsi="宋体"/>
                <w:b/>
                <w:szCs w:val="21"/>
              </w:rPr>
              <w:t>CV</w:t>
            </w:r>
          </w:p>
        </w:tc>
      </w:tr>
      <w:tr w14:paraId="5ADA8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24E11CD4">
            <w:pPr>
              <w:widowControl/>
              <w:snapToGrid w:val="0"/>
              <w:jc w:val="center"/>
              <w:rPr>
                <w:rFonts w:ascii="宋体" w:hAnsi="宋体"/>
                <w:sz w:val="20"/>
                <w:szCs w:val="21"/>
              </w:rPr>
            </w:pPr>
            <w:r>
              <w:rPr>
                <w:rFonts w:ascii="宋体" w:hAnsi="宋体"/>
                <w:sz w:val="20"/>
                <w:szCs w:val="21"/>
              </w:rPr>
              <w:t>A.同意</w:t>
            </w:r>
          </w:p>
        </w:tc>
        <w:tc>
          <w:tcPr>
            <w:tcW w:w="1371" w:type="dxa"/>
            <w:shd w:val="clear" w:color="auto" w:fill="auto"/>
            <w:vAlign w:val="center"/>
          </w:tcPr>
          <w:p w14:paraId="79075E9E">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0.94 </w:t>
            </w:r>
          </w:p>
        </w:tc>
        <w:tc>
          <w:tcPr>
            <w:tcW w:w="1816" w:type="dxa"/>
            <w:shd w:val="clear" w:color="auto" w:fill="auto"/>
            <w:vAlign w:val="center"/>
          </w:tcPr>
          <w:p w14:paraId="0EC2C080">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5.88%</w:t>
            </w:r>
          </w:p>
        </w:tc>
        <w:tc>
          <w:tcPr>
            <w:tcW w:w="925" w:type="dxa"/>
            <w:shd w:val="clear" w:color="auto" w:fill="auto"/>
            <w:vAlign w:val="center"/>
          </w:tcPr>
          <w:p w14:paraId="13AE168A">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31</w:t>
            </w:r>
          </w:p>
        </w:tc>
        <w:tc>
          <w:tcPr>
            <w:tcW w:w="2038" w:type="dxa"/>
            <w:shd w:val="clear" w:color="auto" w:fill="auto"/>
            <w:vAlign w:val="center"/>
          </w:tcPr>
          <w:p w14:paraId="6EB0C67C">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30.65%</w:t>
            </w:r>
          </w:p>
        </w:tc>
      </w:tr>
      <w:tr w14:paraId="3D4DC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0B0C11DC">
            <w:pPr>
              <w:widowControl/>
              <w:snapToGrid w:val="0"/>
              <w:jc w:val="center"/>
              <w:rPr>
                <w:rFonts w:ascii="宋体" w:hAnsi="宋体"/>
                <w:sz w:val="20"/>
                <w:szCs w:val="21"/>
              </w:rPr>
            </w:pPr>
            <w:r>
              <w:rPr>
                <w:rFonts w:ascii="宋体" w:hAnsi="宋体"/>
                <w:sz w:val="20"/>
                <w:szCs w:val="21"/>
              </w:rPr>
              <w:t>B.不同意</w:t>
            </w:r>
          </w:p>
        </w:tc>
        <w:tc>
          <w:tcPr>
            <w:tcW w:w="1371" w:type="dxa"/>
            <w:shd w:val="clear" w:color="auto" w:fill="auto"/>
            <w:vAlign w:val="center"/>
          </w:tcPr>
          <w:p w14:paraId="7239C1CB">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0.06 </w:t>
            </w:r>
          </w:p>
        </w:tc>
        <w:tc>
          <w:tcPr>
            <w:tcW w:w="1816" w:type="dxa"/>
            <w:shd w:val="clear" w:color="auto" w:fill="auto"/>
            <w:vAlign w:val="center"/>
          </w:tcPr>
          <w:p w14:paraId="1EBC301D">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91.18%</w:t>
            </w:r>
          </w:p>
        </w:tc>
        <w:tc>
          <w:tcPr>
            <w:tcW w:w="925" w:type="dxa"/>
            <w:shd w:val="clear" w:color="auto" w:fill="auto"/>
            <w:vAlign w:val="center"/>
          </w:tcPr>
          <w:p w14:paraId="59EB7E10">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w:t>
            </w:r>
          </w:p>
        </w:tc>
        <w:tc>
          <w:tcPr>
            <w:tcW w:w="2038" w:type="dxa"/>
            <w:shd w:val="clear" w:color="auto" w:fill="auto"/>
            <w:vAlign w:val="center"/>
          </w:tcPr>
          <w:p w14:paraId="6ED051AD">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394.07%</w:t>
            </w:r>
          </w:p>
        </w:tc>
      </w:tr>
    </w:tbl>
    <w:p w14:paraId="5A0C4F90">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45</w:t>
      </w:r>
      <w:r>
        <w:rPr>
          <w:rFonts w:ascii="宋体" w:hAnsi="宋体"/>
          <w:b/>
          <w:bCs/>
          <w:szCs w:val="21"/>
        </w:rPr>
        <w:t xml:space="preserve"> </w:t>
      </w:r>
      <w:r>
        <w:rPr>
          <w:rFonts w:hint="eastAsia" w:ascii="宋体" w:hAnsi="宋体"/>
          <w:b/>
          <w:bCs/>
          <w:szCs w:val="21"/>
        </w:rPr>
        <w:t>增加</w:t>
      </w:r>
      <w:r>
        <w:rPr>
          <w:rFonts w:ascii="宋体" w:hAnsi="宋体"/>
          <w:b/>
          <w:bCs/>
          <w:szCs w:val="21"/>
        </w:rPr>
        <w:t>“7.2.1.1  悬起灸法”温和灸</w:t>
      </w:r>
      <w:r>
        <w:rPr>
          <w:rFonts w:hint="eastAsia" w:ascii="宋体" w:hAnsi="宋体"/>
          <w:b/>
          <w:bCs/>
          <w:szCs w:val="21"/>
        </w:rPr>
        <w:t>描述</w:t>
      </w:r>
      <w:r>
        <w:rPr>
          <w:rFonts w:ascii="宋体" w:hAnsi="宋体"/>
          <w:b/>
          <w:bCs/>
          <w:szCs w:val="21"/>
        </w:rPr>
        <w:t>调查结果</w:t>
      </w:r>
    </w:p>
    <w:p w14:paraId="29CCB43C">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45</w:t>
      </w:r>
      <w:r>
        <w:rPr>
          <w:rFonts w:ascii="宋体" w:hAnsi="宋体"/>
          <w:b/>
          <w:bCs/>
          <w:szCs w:val="21"/>
        </w:rPr>
        <w:t xml:space="preserve"> </w:t>
      </w:r>
      <w:r>
        <w:rPr>
          <w:rFonts w:hint="eastAsia" w:ascii="宋体" w:hAnsi="宋体"/>
          <w:b/>
          <w:bCs/>
          <w:szCs w:val="21"/>
        </w:rPr>
        <w:t>增加</w:t>
      </w:r>
      <w:r>
        <w:rPr>
          <w:rFonts w:ascii="宋体" w:hAnsi="宋体"/>
          <w:b/>
          <w:bCs/>
          <w:szCs w:val="21"/>
        </w:rPr>
        <w:t>“7.2.1.1  悬起灸法”温和灸</w:t>
      </w:r>
      <w:r>
        <w:rPr>
          <w:rFonts w:hint="eastAsia" w:ascii="宋体" w:hAnsi="宋体"/>
          <w:b/>
          <w:bCs/>
          <w:szCs w:val="21"/>
        </w:rPr>
        <w:t>描述</w:t>
      </w:r>
      <w:r>
        <w:rPr>
          <w:rFonts w:ascii="宋体" w:hAnsi="宋体"/>
          <w:b/>
          <w:bCs/>
          <w:szCs w:val="21"/>
        </w:rPr>
        <w:t>调查结果</w:t>
      </w:r>
    </w:p>
    <w:tbl>
      <w:tblPr>
        <w:tblStyle w:val="17"/>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9"/>
        <w:gridCol w:w="1371"/>
        <w:gridCol w:w="1816"/>
        <w:gridCol w:w="925"/>
        <w:gridCol w:w="2038"/>
      </w:tblGrid>
      <w:tr w14:paraId="4B58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349" w:type="dxa"/>
            <w:tcBorders>
              <w:insideH w:val="single" w:sz="4" w:space="0"/>
            </w:tcBorders>
            <w:vAlign w:val="center"/>
          </w:tcPr>
          <w:p w14:paraId="1727EF7A">
            <w:pPr>
              <w:widowControl/>
              <w:snapToGrid w:val="0"/>
              <w:jc w:val="center"/>
              <w:rPr>
                <w:rFonts w:ascii="宋体" w:hAnsi="宋体"/>
                <w:b/>
                <w:szCs w:val="21"/>
              </w:rPr>
            </w:pPr>
            <w:r>
              <w:rPr>
                <w:rFonts w:ascii="宋体" w:hAnsi="宋体"/>
                <w:b/>
                <w:szCs w:val="21"/>
              </w:rPr>
              <w:t>选项</w:t>
            </w:r>
          </w:p>
        </w:tc>
        <w:tc>
          <w:tcPr>
            <w:tcW w:w="1371" w:type="dxa"/>
            <w:tcBorders>
              <w:insideH w:val="single" w:sz="4" w:space="0"/>
            </w:tcBorders>
            <w:vAlign w:val="center"/>
          </w:tcPr>
          <w:p w14:paraId="15CC2876">
            <w:pPr>
              <w:widowControl/>
              <w:snapToGrid w:val="0"/>
              <w:jc w:val="center"/>
              <w:rPr>
                <w:rFonts w:ascii="宋体" w:hAnsi="宋体"/>
                <w:b/>
                <w:szCs w:val="21"/>
              </w:rPr>
            </w:pPr>
            <w:r>
              <w:rPr>
                <w:rFonts w:ascii="宋体" w:hAnsi="宋体"/>
                <w:b/>
                <w:szCs w:val="21"/>
              </w:rPr>
              <w:object>
                <v:shape id="_x0000_i1073"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73" DrawAspect="Content" ObjectID="_1468075773" r:id="rId62">
                  <o:LockedField>false</o:LockedField>
                </o:OLEObject>
              </w:object>
            </w:r>
          </w:p>
        </w:tc>
        <w:tc>
          <w:tcPr>
            <w:tcW w:w="1816" w:type="dxa"/>
            <w:tcBorders>
              <w:insideH w:val="single" w:sz="4" w:space="0"/>
            </w:tcBorders>
            <w:vAlign w:val="center"/>
          </w:tcPr>
          <w:p w14:paraId="78142ED6">
            <w:pPr>
              <w:widowControl/>
              <w:snapToGrid w:val="0"/>
              <w:jc w:val="center"/>
              <w:rPr>
                <w:rFonts w:ascii="宋体" w:hAnsi="宋体"/>
                <w:b/>
                <w:szCs w:val="21"/>
              </w:rPr>
            </w:pPr>
            <w:r>
              <w:rPr>
                <w:rFonts w:ascii="宋体" w:hAnsi="宋体"/>
                <w:b/>
                <w:szCs w:val="21"/>
              </w:rPr>
              <w:t>R</w:t>
            </w:r>
          </w:p>
        </w:tc>
        <w:tc>
          <w:tcPr>
            <w:tcW w:w="925" w:type="dxa"/>
            <w:tcBorders>
              <w:insideH w:val="single" w:sz="4" w:space="0"/>
            </w:tcBorders>
            <w:vAlign w:val="center"/>
          </w:tcPr>
          <w:p w14:paraId="6AE76406">
            <w:pPr>
              <w:widowControl/>
              <w:snapToGrid w:val="0"/>
              <w:jc w:val="center"/>
              <w:rPr>
                <w:rFonts w:ascii="宋体" w:hAnsi="宋体"/>
                <w:b/>
                <w:szCs w:val="21"/>
              </w:rPr>
            </w:pPr>
            <w:r>
              <w:rPr>
                <w:rFonts w:ascii="宋体" w:hAnsi="宋体"/>
                <w:b/>
                <w:szCs w:val="21"/>
              </w:rPr>
              <w:t>S</w:t>
            </w:r>
          </w:p>
        </w:tc>
        <w:tc>
          <w:tcPr>
            <w:tcW w:w="2038" w:type="dxa"/>
            <w:tcBorders>
              <w:insideH w:val="single" w:sz="4" w:space="0"/>
            </w:tcBorders>
            <w:vAlign w:val="center"/>
          </w:tcPr>
          <w:p w14:paraId="15BA703D">
            <w:pPr>
              <w:widowControl/>
              <w:snapToGrid w:val="0"/>
              <w:jc w:val="center"/>
              <w:rPr>
                <w:rFonts w:ascii="宋体" w:hAnsi="宋体"/>
                <w:b/>
                <w:szCs w:val="21"/>
              </w:rPr>
            </w:pPr>
            <w:r>
              <w:rPr>
                <w:rFonts w:ascii="宋体" w:hAnsi="宋体"/>
                <w:b/>
                <w:szCs w:val="21"/>
              </w:rPr>
              <w:t>CV</w:t>
            </w:r>
          </w:p>
        </w:tc>
      </w:tr>
      <w:tr w14:paraId="2A3BE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2268CC6E">
            <w:pPr>
              <w:widowControl/>
              <w:snapToGrid w:val="0"/>
              <w:jc w:val="center"/>
              <w:rPr>
                <w:rFonts w:ascii="宋体" w:hAnsi="宋体"/>
                <w:sz w:val="20"/>
                <w:szCs w:val="21"/>
              </w:rPr>
            </w:pPr>
            <w:r>
              <w:rPr>
                <w:rFonts w:ascii="宋体" w:hAnsi="宋体"/>
                <w:sz w:val="20"/>
                <w:szCs w:val="21"/>
              </w:rPr>
              <w:t>A.同意</w:t>
            </w:r>
          </w:p>
        </w:tc>
        <w:tc>
          <w:tcPr>
            <w:tcW w:w="1371" w:type="dxa"/>
            <w:shd w:val="clear" w:color="auto" w:fill="auto"/>
            <w:vAlign w:val="center"/>
          </w:tcPr>
          <w:p w14:paraId="27341048">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0.97 </w:t>
            </w:r>
          </w:p>
        </w:tc>
        <w:tc>
          <w:tcPr>
            <w:tcW w:w="1816" w:type="dxa"/>
            <w:shd w:val="clear" w:color="auto" w:fill="auto"/>
            <w:vAlign w:val="center"/>
          </w:tcPr>
          <w:p w14:paraId="12CFD3E9">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2.94%</w:t>
            </w:r>
          </w:p>
        </w:tc>
        <w:tc>
          <w:tcPr>
            <w:tcW w:w="925" w:type="dxa"/>
            <w:shd w:val="clear" w:color="auto" w:fill="auto"/>
            <w:vAlign w:val="center"/>
          </w:tcPr>
          <w:p w14:paraId="6361AED9">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33</w:t>
            </w:r>
          </w:p>
        </w:tc>
        <w:tc>
          <w:tcPr>
            <w:tcW w:w="2038" w:type="dxa"/>
            <w:shd w:val="clear" w:color="auto" w:fill="auto"/>
            <w:vAlign w:val="center"/>
          </w:tcPr>
          <w:p w14:paraId="26234512">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17.67%</w:t>
            </w:r>
          </w:p>
        </w:tc>
      </w:tr>
      <w:tr w14:paraId="7B0D2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4781D6DA">
            <w:pPr>
              <w:widowControl/>
              <w:snapToGrid w:val="0"/>
              <w:jc w:val="center"/>
              <w:rPr>
                <w:rFonts w:ascii="宋体" w:hAnsi="宋体"/>
                <w:sz w:val="20"/>
                <w:szCs w:val="21"/>
              </w:rPr>
            </w:pPr>
            <w:r>
              <w:rPr>
                <w:rFonts w:ascii="宋体" w:hAnsi="宋体"/>
                <w:sz w:val="20"/>
                <w:szCs w:val="21"/>
              </w:rPr>
              <w:t>B.不同意</w:t>
            </w:r>
          </w:p>
        </w:tc>
        <w:tc>
          <w:tcPr>
            <w:tcW w:w="1371" w:type="dxa"/>
            <w:shd w:val="clear" w:color="auto" w:fill="auto"/>
            <w:vAlign w:val="center"/>
          </w:tcPr>
          <w:p w14:paraId="2E4A92B8">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0.03 </w:t>
            </w:r>
          </w:p>
        </w:tc>
        <w:tc>
          <w:tcPr>
            <w:tcW w:w="1816" w:type="dxa"/>
            <w:shd w:val="clear" w:color="auto" w:fill="auto"/>
            <w:vAlign w:val="center"/>
          </w:tcPr>
          <w:p w14:paraId="25BD33A7">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97.06%</w:t>
            </w:r>
          </w:p>
        </w:tc>
        <w:tc>
          <w:tcPr>
            <w:tcW w:w="925" w:type="dxa"/>
            <w:shd w:val="clear" w:color="auto" w:fill="auto"/>
            <w:vAlign w:val="center"/>
          </w:tcPr>
          <w:p w14:paraId="1979F6E4">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w:t>
            </w:r>
          </w:p>
        </w:tc>
        <w:tc>
          <w:tcPr>
            <w:tcW w:w="2038" w:type="dxa"/>
            <w:shd w:val="clear" w:color="auto" w:fill="auto"/>
            <w:vAlign w:val="center"/>
          </w:tcPr>
          <w:p w14:paraId="0894B340">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583.10%</w:t>
            </w:r>
          </w:p>
        </w:tc>
      </w:tr>
    </w:tbl>
    <w:p w14:paraId="083961FA">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46</w:t>
      </w:r>
      <w:r>
        <w:rPr>
          <w:rFonts w:ascii="宋体" w:hAnsi="宋体"/>
          <w:b/>
          <w:bCs/>
          <w:szCs w:val="21"/>
        </w:rPr>
        <w:t xml:space="preserve"> </w:t>
      </w:r>
      <w:r>
        <w:rPr>
          <w:rFonts w:hint="eastAsia" w:ascii="宋体" w:hAnsi="宋体"/>
          <w:b/>
          <w:bCs/>
          <w:szCs w:val="21"/>
        </w:rPr>
        <w:t>增加</w:t>
      </w:r>
      <w:r>
        <w:rPr>
          <w:rFonts w:ascii="宋体" w:hAnsi="宋体"/>
          <w:b/>
          <w:bCs/>
          <w:szCs w:val="21"/>
        </w:rPr>
        <w:t>“7.2.1.1  悬起灸法”</w:t>
      </w:r>
      <w:r>
        <w:rPr>
          <w:rFonts w:hint="eastAsia" w:ascii="宋体" w:hAnsi="宋体"/>
          <w:b/>
          <w:bCs/>
          <w:szCs w:val="21"/>
        </w:rPr>
        <w:t>施灸细节描述</w:t>
      </w:r>
      <w:r>
        <w:rPr>
          <w:rFonts w:ascii="宋体" w:hAnsi="宋体"/>
          <w:b/>
          <w:bCs/>
          <w:szCs w:val="21"/>
        </w:rPr>
        <w:t>调查结果</w:t>
      </w:r>
    </w:p>
    <w:p w14:paraId="1F875729">
      <w:pPr>
        <w:keepNext/>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46</w:t>
      </w:r>
      <w:r>
        <w:rPr>
          <w:rFonts w:ascii="宋体" w:hAnsi="宋体"/>
          <w:b/>
          <w:bCs/>
          <w:szCs w:val="21"/>
        </w:rPr>
        <w:t xml:space="preserve"> </w:t>
      </w:r>
      <w:r>
        <w:rPr>
          <w:rFonts w:hint="eastAsia" w:ascii="宋体" w:hAnsi="宋体"/>
          <w:b/>
          <w:bCs/>
          <w:szCs w:val="21"/>
        </w:rPr>
        <w:t>增加</w:t>
      </w:r>
      <w:r>
        <w:rPr>
          <w:rFonts w:ascii="宋体" w:hAnsi="宋体"/>
          <w:b/>
          <w:bCs/>
          <w:szCs w:val="21"/>
        </w:rPr>
        <w:t>“7.2.1.1  悬起灸法”</w:t>
      </w:r>
      <w:r>
        <w:rPr>
          <w:rFonts w:hint="eastAsia" w:ascii="宋体" w:hAnsi="宋体"/>
          <w:b/>
          <w:bCs/>
          <w:szCs w:val="21"/>
        </w:rPr>
        <w:t>施灸细节描述</w:t>
      </w:r>
      <w:r>
        <w:rPr>
          <w:rFonts w:ascii="宋体" w:hAnsi="宋体"/>
          <w:b/>
          <w:bCs/>
          <w:szCs w:val="21"/>
        </w:rPr>
        <w:t>调查结果</w:t>
      </w:r>
    </w:p>
    <w:tbl>
      <w:tblPr>
        <w:tblStyle w:val="17"/>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9"/>
        <w:gridCol w:w="1371"/>
        <w:gridCol w:w="1816"/>
        <w:gridCol w:w="925"/>
        <w:gridCol w:w="2038"/>
      </w:tblGrid>
      <w:tr w14:paraId="601DA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349" w:type="dxa"/>
            <w:tcBorders>
              <w:insideH w:val="single" w:sz="4" w:space="0"/>
            </w:tcBorders>
            <w:vAlign w:val="center"/>
          </w:tcPr>
          <w:p w14:paraId="58247FDD">
            <w:pPr>
              <w:keepNext/>
              <w:widowControl/>
              <w:snapToGrid w:val="0"/>
              <w:jc w:val="center"/>
              <w:rPr>
                <w:rFonts w:ascii="宋体" w:hAnsi="宋体"/>
                <w:b/>
                <w:szCs w:val="21"/>
              </w:rPr>
            </w:pPr>
            <w:r>
              <w:rPr>
                <w:rFonts w:ascii="宋体" w:hAnsi="宋体"/>
                <w:b/>
                <w:szCs w:val="21"/>
              </w:rPr>
              <w:t>选项</w:t>
            </w:r>
          </w:p>
        </w:tc>
        <w:tc>
          <w:tcPr>
            <w:tcW w:w="1371" w:type="dxa"/>
            <w:tcBorders>
              <w:insideH w:val="single" w:sz="4" w:space="0"/>
            </w:tcBorders>
            <w:vAlign w:val="center"/>
          </w:tcPr>
          <w:p w14:paraId="0DD30ACA">
            <w:pPr>
              <w:keepNext/>
              <w:widowControl/>
              <w:snapToGrid w:val="0"/>
              <w:jc w:val="center"/>
              <w:rPr>
                <w:rFonts w:ascii="宋体" w:hAnsi="宋体"/>
                <w:b/>
                <w:szCs w:val="21"/>
              </w:rPr>
            </w:pPr>
            <w:r>
              <w:rPr>
                <w:rFonts w:ascii="宋体" w:hAnsi="宋体"/>
                <w:b/>
                <w:szCs w:val="21"/>
              </w:rPr>
              <w:object>
                <v:shape id="_x0000_i1074"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74" DrawAspect="Content" ObjectID="_1468075774" r:id="rId63">
                  <o:LockedField>false</o:LockedField>
                </o:OLEObject>
              </w:object>
            </w:r>
          </w:p>
        </w:tc>
        <w:tc>
          <w:tcPr>
            <w:tcW w:w="1816" w:type="dxa"/>
            <w:tcBorders>
              <w:insideH w:val="single" w:sz="4" w:space="0"/>
            </w:tcBorders>
            <w:vAlign w:val="center"/>
          </w:tcPr>
          <w:p w14:paraId="4672256E">
            <w:pPr>
              <w:keepNext/>
              <w:widowControl/>
              <w:snapToGrid w:val="0"/>
              <w:jc w:val="center"/>
              <w:rPr>
                <w:rFonts w:ascii="宋体" w:hAnsi="宋体"/>
                <w:b/>
                <w:szCs w:val="21"/>
              </w:rPr>
            </w:pPr>
            <w:r>
              <w:rPr>
                <w:rFonts w:ascii="宋体" w:hAnsi="宋体"/>
                <w:b/>
                <w:szCs w:val="21"/>
              </w:rPr>
              <w:t>R</w:t>
            </w:r>
          </w:p>
        </w:tc>
        <w:tc>
          <w:tcPr>
            <w:tcW w:w="925" w:type="dxa"/>
            <w:tcBorders>
              <w:insideH w:val="single" w:sz="4" w:space="0"/>
            </w:tcBorders>
            <w:vAlign w:val="center"/>
          </w:tcPr>
          <w:p w14:paraId="212D8CDE">
            <w:pPr>
              <w:keepNext/>
              <w:widowControl/>
              <w:snapToGrid w:val="0"/>
              <w:jc w:val="center"/>
              <w:rPr>
                <w:rFonts w:ascii="宋体" w:hAnsi="宋体"/>
                <w:b/>
                <w:szCs w:val="21"/>
              </w:rPr>
            </w:pPr>
            <w:r>
              <w:rPr>
                <w:rFonts w:ascii="宋体" w:hAnsi="宋体"/>
                <w:b/>
                <w:szCs w:val="21"/>
              </w:rPr>
              <w:t>S</w:t>
            </w:r>
          </w:p>
        </w:tc>
        <w:tc>
          <w:tcPr>
            <w:tcW w:w="2038" w:type="dxa"/>
            <w:tcBorders>
              <w:insideH w:val="single" w:sz="4" w:space="0"/>
            </w:tcBorders>
            <w:vAlign w:val="center"/>
          </w:tcPr>
          <w:p w14:paraId="4C087ED4">
            <w:pPr>
              <w:keepNext/>
              <w:widowControl/>
              <w:snapToGrid w:val="0"/>
              <w:jc w:val="center"/>
              <w:rPr>
                <w:rFonts w:ascii="宋体" w:hAnsi="宋体"/>
                <w:b/>
                <w:szCs w:val="21"/>
              </w:rPr>
            </w:pPr>
            <w:r>
              <w:rPr>
                <w:rFonts w:ascii="宋体" w:hAnsi="宋体"/>
                <w:b/>
                <w:szCs w:val="21"/>
              </w:rPr>
              <w:t>CV</w:t>
            </w:r>
          </w:p>
        </w:tc>
      </w:tr>
      <w:tr w14:paraId="42386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5DF58546">
            <w:pPr>
              <w:keepNext/>
              <w:widowControl/>
              <w:snapToGrid w:val="0"/>
              <w:jc w:val="center"/>
              <w:rPr>
                <w:rFonts w:ascii="宋体" w:hAnsi="宋体"/>
                <w:sz w:val="20"/>
                <w:szCs w:val="21"/>
              </w:rPr>
            </w:pPr>
            <w:r>
              <w:rPr>
                <w:rFonts w:ascii="宋体" w:hAnsi="宋体"/>
                <w:sz w:val="20"/>
                <w:szCs w:val="21"/>
              </w:rPr>
              <w:t>A.同意</w:t>
            </w:r>
          </w:p>
        </w:tc>
        <w:tc>
          <w:tcPr>
            <w:tcW w:w="1371" w:type="dxa"/>
            <w:shd w:val="clear" w:color="auto" w:fill="auto"/>
            <w:vAlign w:val="center"/>
          </w:tcPr>
          <w:p w14:paraId="47F60F8A">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0.97 </w:t>
            </w:r>
          </w:p>
        </w:tc>
        <w:tc>
          <w:tcPr>
            <w:tcW w:w="1816" w:type="dxa"/>
            <w:shd w:val="clear" w:color="auto" w:fill="auto"/>
            <w:vAlign w:val="center"/>
          </w:tcPr>
          <w:p w14:paraId="59D9118C">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2.94%</w:t>
            </w:r>
          </w:p>
        </w:tc>
        <w:tc>
          <w:tcPr>
            <w:tcW w:w="925" w:type="dxa"/>
            <w:shd w:val="clear" w:color="auto" w:fill="auto"/>
            <w:vAlign w:val="center"/>
          </w:tcPr>
          <w:p w14:paraId="31A322D7">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33</w:t>
            </w:r>
          </w:p>
        </w:tc>
        <w:tc>
          <w:tcPr>
            <w:tcW w:w="2038" w:type="dxa"/>
            <w:shd w:val="clear" w:color="auto" w:fill="auto"/>
            <w:vAlign w:val="center"/>
          </w:tcPr>
          <w:p w14:paraId="03195FE3">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17.67%</w:t>
            </w:r>
          </w:p>
        </w:tc>
      </w:tr>
      <w:tr w14:paraId="39A72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07893DE0">
            <w:pPr>
              <w:keepNext/>
              <w:widowControl/>
              <w:snapToGrid w:val="0"/>
              <w:jc w:val="center"/>
              <w:rPr>
                <w:rFonts w:ascii="宋体" w:hAnsi="宋体"/>
                <w:sz w:val="20"/>
                <w:szCs w:val="21"/>
              </w:rPr>
            </w:pPr>
            <w:r>
              <w:rPr>
                <w:rFonts w:ascii="宋体" w:hAnsi="宋体"/>
                <w:sz w:val="20"/>
                <w:szCs w:val="21"/>
              </w:rPr>
              <w:t>B.不同意</w:t>
            </w:r>
          </w:p>
        </w:tc>
        <w:tc>
          <w:tcPr>
            <w:tcW w:w="1371" w:type="dxa"/>
            <w:shd w:val="clear" w:color="auto" w:fill="auto"/>
            <w:vAlign w:val="center"/>
          </w:tcPr>
          <w:p w14:paraId="69F74AB9">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0.03 </w:t>
            </w:r>
          </w:p>
        </w:tc>
        <w:tc>
          <w:tcPr>
            <w:tcW w:w="1816" w:type="dxa"/>
            <w:shd w:val="clear" w:color="auto" w:fill="auto"/>
            <w:vAlign w:val="center"/>
          </w:tcPr>
          <w:p w14:paraId="49E5713B">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97.06%</w:t>
            </w:r>
          </w:p>
        </w:tc>
        <w:tc>
          <w:tcPr>
            <w:tcW w:w="925" w:type="dxa"/>
            <w:shd w:val="clear" w:color="auto" w:fill="auto"/>
            <w:vAlign w:val="center"/>
          </w:tcPr>
          <w:p w14:paraId="4D0BCA25">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w:t>
            </w:r>
          </w:p>
        </w:tc>
        <w:tc>
          <w:tcPr>
            <w:tcW w:w="2038" w:type="dxa"/>
            <w:shd w:val="clear" w:color="auto" w:fill="auto"/>
            <w:vAlign w:val="center"/>
          </w:tcPr>
          <w:p w14:paraId="0E2C8907">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583.10%</w:t>
            </w:r>
          </w:p>
        </w:tc>
      </w:tr>
    </w:tbl>
    <w:p w14:paraId="27EFA614">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47</w:t>
      </w:r>
      <w:r>
        <w:rPr>
          <w:rFonts w:ascii="宋体" w:hAnsi="宋体"/>
          <w:b/>
          <w:bCs/>
          <w:szCs w:val="21"/>
        </w:rPr>
        <w:t xml:space="preserve"> 修改“B.2.2.1  烧山火法”技术要点调查结果</w:t>
      </w:r>
    </w:p>
    <w:p w14:paraId="540AC2D7">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47</w:t>
      </w:r>
      <w:r>
        <w:rPr>
          <w:rFonts w:ascii="宋体" w:hAnsi="宋体"/>
          <w:b/>
          <w:bCs/>
          <w:szCs w:val="21"/>
        </w:rPr>
        <w:t xml:space="preserve"> 修改“B.2.2.1  烧山火法”技术要点调查结果</w:t>
      </w:r>
    </w:p>
    <w:tbl>
      <w:tblPr>
        <w:tblStyle w:val="17"/>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9"/>
        <w:gridCol w:w="1371"/>
        <w:gridCol w:w="1816"/>
        <w:gridCol w:w="925"/>
        <w:gridCol w:w="2038"/>
      </w:tblGrid>
      <w:tr w14:paraId="3DBBD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2349" w:type="dxa"/>
            <w:tcBorders>
              <w:insideH w:val="single" w:sz="4" w:space="0"/>
            </w:tcBorders>
            <w:vAlign w:val="center"/>
          </w:tcPr>
          <w:p w14:paraId="18DC0D10">
            <w:pPr>
              <w:widowControl/>
              <w:snapToGrid w:val="0"/>
              <w:jc w:val="center"/>
              <w:rPr>
                <w:rFonts w:ascii="宋体" w:hAnsi="宋体"/>
                <w:b/>
                <w:szCs w:val="21"/>
              </w:rPr>
            </w:pPr>
            <w:r>
              <w:rPr>
                <w:rFonts w:ascii="宋体" w:hAnsi="宋体"/>
                <w:b/>
                <w:szCs w:val="21"/>
              </w:rPr>
              <w:t>选项</w:t>
            </w:r>
          </w:p>
        </w:tc>
        <w:tc>
          <w:tcPr>
            <w:tcW w:w="1371" w:type="dxa"/>
            <w:tcBorders>
              <w:insideH w:val="single" w:sz="4" w:space="0"/>
            </w:tcBorders>
            <w:vAlign w:val="center"/>
          </w:tcPr>
          <w:p w14:paraId="4AA05CD9">
            <w:pPr>
              <w:widowControl/>
              <w:snapToGrid w:val="0"/>
              <w:jc w:val="center"/>
              <w:rPr>
                <w:rFonts w:ascii="宋体" w:hAnsi="宋体"/>
                <w:b/>
                <w:szCs w:val="21"/>
              </w:rPr>
            </w:pPr>
            <w:r>
              <w:rPr>
                <w:rFonts w:ascii="宋体" w:hAnsi="宋体"/>
                <w:b/>
                <w:szCs w:val="21"/>
              </w:rPr>
              <w:object>
                <v:shape id="_x0000_i1075"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75" DrawAspect="Content" ObjectID="_1468075775" r:id="rId64">
                  <o:LockedField>false</o:LockedField>
                </o:OLEObject>
              </w:object>
            </w:r>
          </w:p>
        </w:tc>
        <w:tc>
          <w:tcPr>
            <w:tcW w:w="1816" w:type="dxa"/>
            <w:tcBorders>
              <w:insideH w:val="single" w:sz="4" w:space="0"/>
            </w:tcBorders>
            <w:vAlign w:val="center"/>
          </w:tcPr>
          <w:p w14:paraId="245D8140">
            <w:pPr>
              <w:widowControl/>
              <w:snapToGrid w:val="0"/>
              <w:jc w:val="center"/>
              <w:rPr>
                <w:rFonts w:ascii="宋体" w:hAnsi="宋体"/>
                <w:b/>
                <w:szCs w:val="21"/>
              </w:rPr>
            </w:pPr>
            <w:r>
              <w:rPr>
                <w:rFonts w:ascii="宋体" w:hAnsi="宋体"/>
                <w:b/>
                <w:szCs w:val="21"/>
              </w:rPr>
              <w:t>R</w:t>
            </w:r>
          </w:p>
        </w:tc>
        <w:tc>
          <w:tcPr>
            <w:tcW w:w="925" w:type="dxa"/>
            <w:tcBorders>
              <w:insideH w:val="single" w:sz="4" w:space="0"/>
            </w:tcBorders>
            <w:vAlign w:val="center"/>
          </w:tcPr>
          <w:p w14:paraId="7742E33A">
            <w:pPr>
              <w:widowControl/>
              <w:snapToGrid w:val="0"/>
              <w:jc w:val="center"/>
              <w:rPr>
                <w:rFonts w:ascii="宋体" w:hAnsi="宋体"/>
                <w:b/>
                <w:szCs w:val="21"/>
              </w:rPr>
            </w:pPr>
            <w:r>
              <w:rPr>
                <w:rFonts w:ascii="宋体" w:hAnsi="宋体"/>
                <w:b/>
                <w:szCs w:val="21"/>
              </w:rPr>
              <w:t>S</w:t>
            </w:r>
          </w:p>
        </w:tc>
        <w:tc>
          <w:tcPr>
            <w:tcW w:w="2038" w:type="dxa"/>
            <w:tcBorders>
              <w:insideH w:val="single" w:sz="4" w:space="0"/>
            </w:tcBorders>
            <w:vAlign w:val="center"/>
          </w:tcPr>
          <w:p w14:paraId="16EDB65F">
            <w:pPr>
              <w:widowControl/>
              <w:snapToGrid w:val="0"/>
              <w:jc w:val="center"/>
              <w:rPr>
                <w:rFonts w:ascii="宋体" w:hAnsi="宋体"/>
                <w:b/>
                <w:szCs w:val="21"/>
              </w:rPr>
            </w:pPr>
            <w:r>
              <w:rPr>
                <w:rFonts w:ascii="宋体" w:hAnsi="宋体"/>
                <w:b/>
                <w:szCs w:val="21"/>
              </w:rPr>
              <w:t>CV</w:t>
            </w:r>
          </w:p>
        </w:tc>
      </w:tr>
      <w:tr w14:paraId="7337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78831B59">
            <w:pPr>
              <w:widowControl/>
              <w:snapToGrid w:val="0"/>
              <w:jc w:val="center"/>
              <w:rPr>
                <w:rFonts w:ascii="宋体" w:hAnsi="宋体"/>
                <w:sz w:val="20"/>
                <w:szCs w:val="21"/>
              </w:rPr>
            </w:pPr>
            <w:r>
              <w:rPr>
                <w:rFonts w:ascii="宋体" w:hAnsi="宋体"/>
                <w:sz w:val="20"/>
                <w:szCs w:val="21"/>
              </w:rPr>
              <w:t>A.同意</w:t>
            </w:r>
          </w:p>
        </w:tc>
        <w:tc>
          <w:tcPr>
            <w:tcW w:w="1371" w:type="dxa"/>
            <w:shd w:val="clear" w:color="auto" w:fill="auto"/>
            <w:vAlign w:val="center"/>
          </w:tcPr>
          <w:p w14:paraId="56E3CCAB">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0.91 </w:t>
            </w:r>
          </w:p>
        </w:tc>
        <w:tc>
          <w:tcPr>
            <w:tcW w:w="1816" w:type="dxa"/>
            <w:shd w:val="clear" w:color="auto" w:fill="auto"/>
            <w:vAlign w:val="center"/>
          </w:tcPr>
          <w:p w14:paraId="0ED85BB8">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8.82%</w:t>
            </w:r>
          </w:p>
        </w:tc>
        <w:tc>
          <w:tcPr>
            <w:tcW w:w="925" w:type="dxa"/>
            <w:shd w:val="clear" w:color="auto" w:fill="auto"/>
            <w:vAlign w:val="center"/>
          </w:tcPr>
          <w:p w14:paraId="547F2C4E">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30</w:t>
            </w:r>
          </w:p>
        </w:tc>
        <w:tc>
          <w:tcPr>
            <w:tcW w:w="2038" w:type="dxa"/>
            <w:shd w:val="clear" w:color="auto" w:fill="auto"/>
            <w:vAlign w:val="center"/>
          </w:tcPr>
          <w:p w14:paraId="6AFCF30A">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35.97%</w:t>
            </w:r>
          </w:p>
        </w:tc>
      </w:tr>
      <w:tr w14:paraId="441C5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2412163D">
            <w:pPr>
              <w:widowControl/>
              <w:snapToGrid w:val="0"/>
              <w:jc w:val="center"/>
              <w:rPr>
                <w:rFonts w:ascii="宋体" w:hAnsi="宋体"/>
                <w:sz w:val="20"/>
                <w:szCs w:val="21"/>
              </w:rPr>
            </w:pPr>
            <w:r>
              <w:rPr>
                <w:rFonts w:ascii="宋体" w:hAnsi="宋体"/>
                <w:sz w:val="20"/>
                <w:szCs w:val="21"/>
              </w:rPr>
              <w:t>B.不同意</w:t>
            </w:r>
          </w:p>
        </w:tc>
        <w:tc>
          <w:tcPr>
            <w:tcW w:w="1371" w:type="dxa"/>
            <w:shd w:val="clear" w:color="auto" w:fill="auto"/>
            <w:vAlign w:val="center"/>
          </w:tcPr>
          <w:p w14:paraId="4E51027D">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0.09 </w:t>
            </w:r>
          </w:p>
        </w:tc>
        <w:tc>
          <w:tcPr>
            <w:tcW w:w="1816" w:type="dxa"/>
            <w:shd w:val="clear" w:color="auto" w:fill="auto"/>
            <w:vAlign w:val="center"/>
          </w:tcPr>
          <w:p w14:paraId="40ECD17D">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88.24%</w:t>
            </w:r>
          </w:p>
        </w:tc>
        <w:tc>
          <w:tcPr>
            <w:tcW w:w="925" w:type="dxa"/>
            <w:shd w:val="clear" w:color="auto" w:fill="auto"/>
            <w:vAlign w:val="center"/>
          </w:tcPr>
          <w:p w14:paraId="54DF0F36">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w:t>
            </w:r>
          </w:p>
        </w:tc>
        <w:tc>
          <w:tcPr>
            <w:tcW w:w="2038" w:type="dxa"/>
            <w:shd w:val="clear" w:color="auto" w:fill="auto"/>
            <w:vAlign w:val="center"/>
          </w:tcPr>
          <w:p w14:paraId="0CD546E7">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316.69%</w:t>
            </w:r>
          </w:p>
        </w:tc>
      </w:tr>
    </w:tbl>
    <w:p w14:paraId="3AFDC271">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48</w:t>
      </w:r>
      <w:r>
        <w:rPr>
          <w:rFonts w:ascii="宋体" w:hAnsi="宋体"/>
          <w:b/>
          <w:bCs/>
          <w:szCs w:val="21"/>
        </w:rPr>
        <w:t xml:space="preserve"> </w:t>
      </w:r>
      <w:r>
        <w:rPr>
          <w:rFonts w:hint="eastAsia" w:ascii="宋体" w:hAnsi="宋体"/>
          <w:b/>
          <w:bCs/>
          <w:szCs w:val="21"/>
        </w:rPr>
        <w:t>新增</w:t>
      </w:r>
      <w:r>
        <w:rPr>
          <w:rFonts w:ascii="宋体" w:hAnsi="宋体"/>
          <w:b/>
          <w:bCs/>
          <w:szCs w:val="21"/>
        </w:rPr>
        <w:t>“B.2.2.1  烧山火法”</w:t>
      </w:r>
      <w:r>
        <w:rPr>
          <w:rFonts w:hint="eastAsia" w:ascii="宋体" w:hAnsi="宋体"/>
          <w:b/>
          <w:bCs/>
          <w:szCs w:val="21"/>
        </w:rPr>
        <w:t>技术操作细节描述</w:t>
      </w:r>
      <w:r>
        <w:rPr>
          <w:rFonts w:ascii="宋体" w:hAnsi="宋体"/>
          <w:b/>
          <w:bCs/>
          <w:szCs w:val="21"/>
        </w:rPr>
        <w:t>调查结果</w:t>
      </w:r>
    </w:p>
    <w:p w14:paraId="325B3AD1">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48</w:t>
      </w:r>
      <w:r>
        <w:rPr>
          <w:rFonts w:ascii="宋体" w:hAnsi="宋体"/>
          <w:b/>
          <w:bCs/>
          <w:szCs w:val="21"/>
        </w:rPr>
        <w:t xml:space="preserve"> </w:t>
      </w:r>
      <w:r>
        <w:rPr>
          <w:rFonts w:hint="eastAsia" w:ascii="宋体" w:hAnsi="宋体"/>
          <w:b/>
          <w:bCs/>
          <w:szCs w:val="21"/>
        </w:rPr>
        <w:t>新增</w:t>
      </w:r>
      <w:r>
        <w:rPr>
          <w:rFonts w:ascii="宋体" w:hAnsi="宋体"/>
          <w:b/>
          <w:bCs/>
          <w:szCs w:val="21"/>
        </w:rPr>
        <w:t>“B.2.2.1  烧山火法”</w:t>
      </w:r>
      <w:r>
        <w:rPr>
          <w:rFonts w:hint="eastAsia" w:ascii="宋体" w:hAnsi="宋体"/>
          <w:b/>
          <w:bCs/>
          <w:szCs w:val="21"/>
        </w:rPr>
        <w:t>技术操作细节描述</w:t>
      </w:r>
      <w:r>
        <w:rPr>
          <w:rFonts w:ascii="宋体" w:hAnsi="宋体"/>
          <w:b/>
          <w:bCs/>
          <w:szCs w:val="21"/>
        </w:rPr>
        <w:t>调查结果</w:t>
      </w:r>
    </w:p>
    <w:tbl>
      <w:tblPr>
        <w:tblStyle w:val="17"/>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9"/>
        <w:gridCol w:w="1371"/>
        <w:gridCol w:w="1816"/>
        <w:gridCol w:w="925"/>
        <w:gridCol w:w="2038"/>
      </w:tblGrid>
      <w:tr w14:paraId="02DCB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349" w:type="dxa"/>
            <w:tcBorders>
              <w:insideH w:val="single" w:sz="4" w:space="0"/>
            </w:tcBorders>
            <w:vAlign w:val="center"/>
          </w:tcPr>
          <w:p w14:paraId="4D2DD04E">
            <w:pPr>
              <w:widowControl/>
              <w:snapToGrid w:val="0"/>
              <w:jc w:val="center"/>
              <w:rPr>
                <w:rFonts w:ascii="宋体" w:hAnsi="宋体"/>
                <w:b/>
                <w:szCs w:val="21"/>
              </w:rPr>
            </w:pPr>
            <w:r>
              <w:rPr>
                <w:rFonts w:ascii="宋体" w:hAnsi="宋体"/>
                <w:b/>
                <w:szCs w:val="21"/>
              </w:rPr>
              <w:t>选项</w:t>
            </w:r>
          </w:p>
        </w:tc>
        <w:tc>
          <w:tcPr>
            <w:tcW w:w="1371" w:type="dxa"/>
            <w:tcBorders>
              <w:insideH w:val="single" w:sz="4" w:space="0"/>
            </w:tcBorders>
            <w:vAlign w:val="center"/>
          </w:tcPr>
          <w:p w14:paraId="2A8E6440">
            <w:pPr>
              <w:widowControl/>
              <w:snapToGrid w:val="0"/>
              <w:jc w:val="center"/>
              <w:rPr>
                <w:rFonts w:ascii="宋体" w:hAnsi="宋体"/>
                <w:b/>
                <w:szCs w:val="21"/>
              </w:rPr>
            </w:pPr>
            <w:r>
              <w:rPr>
                <w:rFonts w:ascii="宋体" w:hAnsi="宋体"/>
                <w:b/>
                <w:szCs w:val="21"/>
              </w:rPr>
              <w:object>
                <v:shape id="_x0000_i1076"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76" DrawAspect="Content" ObjectID="_1468075776" r:id="rId65">
                  <o:LockedField>false</o:LockedField>
                </o:OLEObject>
              </w:object>
            </w:r>
          </w:p>
        </w:tc>
        <w:tc>
          <w:tcPr>
            <w:tcW w:w="1816" w:type="dxa"/>
            <w:tcBorders>
              <w:insideH w:val="single" w:sz="4" w:space="0"/>
            </w:tcBorders>
            <w:vAlign w:val="center"/>
          </w:tcPr>
          <w:p w14:paraId="2263D719">
            <w:pPr>
              <w:widowControl/>
              <w:snapToGrid w:val="0"/>
              <w:jc w:val="center"/>
              <w:rPr>
                <w:rFonts w:ascii="宋体" w:hAnsi="宋体"/>
                <w:b/>
                <w:szCs w:val="21"/>
              </w:rPr>
            </w:pPr>
            <w:r>
              <w:rPr>
                <w:rFonts w:ascii="宋体" w:hAnsi="宋体"/>
                <w:b/>
                <w:szCs w:val="21"/>
              </w:rPr>
              <w:t>R</w:t>
            </w:r>
          </w:p>
        </w:tc>
        <w:tc>
          <w:tcPr>
            <w:tcW w:w="925" w:type="dxa"/>
            <w:tcBorders>
              <w:insideH w:val="single" w:sz="4" w:space="0"/>
            </w:tcBorders>
            <w:vAlign w:val="center"/>
          </w:tcPr>
          <w:p w14:paraId="6A1E77CB">
            <w:pPr>
              <w:widowControl/>
              <w:snapToGrid w:val="0"/>
              <w:jc w:val="center"/>
              <w:rPr>
                <w:rFonts w:ascii="宋体" w:hAnsi="宋体"/>
                <w:b/>
                <w:szCs w:val="21"/>
              </w:rPr>
            </w:pPr>
            <w:r>
              <w:rPr>
                <w:rFonts w:ascii="宋体" w:hAnsi="宋体"/>
                <w:b/>
                <w:szCs w:val="21"/>
              </w:rPr>
              <w:t>S</w:t>
            </w:r>
          </w:p>
        </w:tc>
        <w:tc>
          <w:tcPr>
            <w:tcW w:w="2038" w:type="dxa"/>
            <w:tcBorders>
              <w:insideH w:val="single" w:sz="4" w:space="0"/>
            </w:tcBorders>
            <w:vAlign w:val="center"/>
          </w:tcPr>
          <w:p w14:paraId="0E80E36B">
            <w:pPr>
              <w:widowControl/>
              <w:snapToGrid w:val="0"/>
              <w:jc w:val="center"/>
              <w:rPr>
                <w:rFonts w:ascii="宋体" w:hAnsi="宋体"/>
                <w:b/>
                <w:szCs w:val="21"/>
              </w:rPr>
            </w:pPr>
            <w:r>
              <w:rPr>
                <w:rFonts w:ascii="宋体" w:hAnsi="宋体"/>
                <w:b/>
                <w:szCs w:val="21"/>
              </w:rPr>
              <w:t>CV</w:t>
            </w:r>
          </w:p>
        </w:tc>
      </w:tr>
      <w:tr w14:paraId="39057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3F19F226">
            <w:pPr>
              <w:widowControl/>
              <w:snapToGrid w:val="0"/>
              <w:jc w:val="center"/>
              <w:rPr>
                <w:rFonts w:ascii="宋体" w:hAnsi="宋体"/>
                <w:sz w:val="20"/>
                <w:szCs w:val="21"/>
              </w:rPr>
            </w:pPr>
            <w:r>
              <w:rPr>
                <w:rFonts w:ascii="宋体" w:hAnsi="宋体"/>
                <w:sz w:val="20"/>
                <w:szCs w:val="21"/>
              </w:rPr>
              <w:t>A.同意</w:t>
            </w:r>
          </w:p>
        </w:tc>
        <w:tc>
          <w:tcPr>
            <w:tcW w:w="1371" w:type="dxa"/>
            <w:shd w:val="clear" w:color="auto" w:fill="auto"/>
            <w:vAlign w:val="center"/>
          </w:tcPr>
          <w:p w14:paraId="016F85CA">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0.97 </w:t>
            </w:r>
          </w:p>
        </w:tc>
        <w:tc>
          <w:tcPr>
            <w:tcW w:w="1816" w:type="dxa"/>
            <w:shd w:val="clear" w:color="auto" w:fill="auto"/>
            <w:vAlign w:val="center"/>
          </w:tcPr>
          <w:p w14:paraId="6B50ED96">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2.94%</w:t>
            </w:r>
          </w:p>
        </w:tc>
        <w:tc>
          <w:tcPr>
            <w:tcW w:w="925" w:type="dxa"/>
            <w:shd w:val="clear" w:color="auto" w:fill="auto"/>
            <w:vAlign w:val="center"/>
          </w:tcPr>
          <w:p w14:paraId="64F55978">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33</w:t>
            </w:r>
          </w:p>
        </w:tc>
        <w:tc>
          <w:tcPr>
            <w:tcW w:w="2038" w:type="dxa"/>
            <w:shd w:val="clear" w:color="auto" w:fill="auto"/>
            <w:vAlign w:val="center"/>
          </w:tcPr>
          <w:p w14:paraId="55DA4D03">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17.67%</w:t>
            </w:r>
          </w:p>
        </w:tc>
      </w:tr>
      <w:tr w14:paraId="73A26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7998F791">
            <w:pPr>
              <w:widowControl/>
              <w:snapToGrid w:val="0"/>
              <w:jc w:val="center"/>
              <w:rPr>
                <w:rFonts w:ascii="宋体" w:hAnsi="宋体"/>
                <w:sz w:val="20"/>
                <w:szCs w:val="21"/>
              </w:rPr>
            </w:pPr>
            <w:r>
              <w:rPr>
                <w:rFonts w:ascii="宋体" w:hAnsi="宋体"/>
                <w:sz w:val="20"/>
                <w:szCs w:val="21"/>
              </w:rPr>
              <w:t>B.不同意</w:t>
            </w:r>
          </w:p>
        </w:tc>
        <w:tc>
          <w:tcPr>
            <w:tcW w:w="1371" w:type="dxa"/>
            <w:shd w:val="clear" w:color="auto" w:fill="auto"/>
            <w:vAlign w:val="center"/>
          </w:tcPr>
          <w:p w14:paraId="1678FC15">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0.03 </w:t>
            </w:r>
          </w:p>
        </w:tc>
        <w:tc>
          <w:tcPr>
            <w:tcW w:w="1816" w:type="dxa"/>
            <w:shd w:val="clear" w:color="auto" w:fill="auto"/>
            <w:vAlign w:val="center"/>
          </w:tcPr>
          <w:p w14:paraId="4D48F03A">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97.06%</w:t>
            </w:r>
          </w:p>
        </w:tc>
        <w:tc>
          <w:tcPr>
            <w:tcW w:w="925" w:type="dxa"/>
            <w:shd w:val="clear" w:color="auto" w:fill="auto"/>
            <w:vAlign w:val="center"/>
          </w:tcPr>
          <w:p w14:paraId="576716AA">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w:t>
            </w:r>
          </w:p>
        </w:tc>
        <w:tc>
          <w:tcPr>
            <w:tcW w:w="2038" w:type="dxa"/>
            <w:shd w:val="clear" w:color="auto" w:fill="auto"/>
            <w:vAlign w:val="center"/>
          </w:tcPr>
          <w:p w14:paraId="40B79A34">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583.10%</w:t>
            </w:r>
          </w:p>
        </w:tc>
      </w:tr>
    </w:tbl>
    <w:p w14:paraId="0760E6D0">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49</w:t>
      </w:r>
      <w:r>
        <w:rPr>
          <w:rFonts w:ascii="宋体" w:hAnsi="宋体"/>
          <w:b/>
          <w:bCs/>
          <w:szCs w:val="21"/>
        </w:rPr>
        <w:t xml:space="preserve"> 修改“B.2.2.2  透天凉法”调查结果</w:t>
      </w:r>
    </w:p>
    <w:p w14:paraId="2307078D">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49</w:t>
      </w:r>
      <w:r>
        <w:rPr>
          <w:rFonts w:ascii="宋体" w:hAnsi="宋体"/>
          <w:b/>
          <w:bCs/>
          <w:szCs w:val="21"/>
        </w:rPr>
        <w:t xml:space="preserve"> 修改“B.2.2.2  透天凉法”调查结果</w:t>
      </w:r>
    </w:p>
    <w:tbl>
      <w:tblPr>
        <w:tblStyle w:val="17"/>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9"/>
        <w:gridCol w:w="1371"/>
        <w:gridCol w:w="1816"/>
        <w:gridCol w:w="925"/>
        <w:gridCol w:w="2038"/>
      </w:tblGrid>
      <w:tr w14:paraId="2505D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349" w:type="dxa"/>
            <w:tcBorders>
              <w:insideH w:val="single" w:sz="4" w:space="0"/>
            </w:tcBorders>
            <w:vAlign w:val="center"/>
          </w:tcPr>
          <w:p w14:paraId="28D60529">
            <w:pPr>
              <w:widowControl/>
              <w:snapToGrid w:val="0"/>
              <w:jc w:val="center"/>
              <w:rPr>
                <w:rFonts w:ascii="宋体" w:hAnsi="宋体"/>
                <w:b/>
                <w:szCs w:val="21"/>
              </w:rPr>
            </w:pPr>
            <w:r>
              <w:rPr>
                <w:rFonts w:ascii="宋体" w:hAnsi="宋体"/>
                <w:b/>
                <w:szCs w:val="21"/>
              </w:rPr>
              <w:t>选项</w:t>
            </w:r>
          </w:p>
        </w:tc>
        <w:tc>
          <w:tcPr>
            <w:tcW w:w="1371" w:type="dxa"/>
            <w:tcBorders>
              <w:insideH w:val="single" w:sz="4" w:space="0"/>
            </w:tcBorders>
            <w:vAlign w:val="center"/>
          </w:tcPr>
          <w:p w14:paraId="20F8FD4B">
            <w:pPr>
              <w:widowControl/>
              <w:snapToGrid w:val="0"/>
              <w:jc w:val="center"/>
              <w:rPr>
                <w:rFonts w:ascii="宋体" w:hAnsi="宋体"/>
                <w:b/>
                <w:szCs w:val="21"/>
              </w:rPr>
            </w:pPr>
            <w:r>
              <w:rPr>
                <w:rFonts w:ascii="宋体" w:hAnsi="宋体"/>
                <w:b/>
                <w:szCs w:val="21"/>
              </w:rPr>
              <w:object>
                <v:shape id="_x0000_i1077"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77" DrawAspect="Content" ObjectID="_1468075777" r:id="rId66">
                  <o:LockedField>false</o:LockedField>
                </o:OLEObject>
              </w:object>
            </w:r>
          </w:p>
        </w:tc>
        <w:tc>
          <w:tcPr>
            <w:tcW w:w="1816" w:type="dxa"/>
            <w:tcBorders>
              <w:insideH w:val="single" w:sz="4" w:space="0"/>
            </w:tcBorders>
            <w:vAlign w:val="center"/>
          </w:tcPr>
          <w:p w14:paraId="00E2A3A5">
            <w:pPr>
              <w:widowControl/>
              <w:snapToGrid w:val="0"/>
              <w:jc w:val="center"/>
              <w:rPr>
                <w:rFonts w:ascii="宋体" w:hAnsi="宋体"/>
                <w:b/>
                <w:szCs w:val="21"/>
              </w:rPr>
            </w:pPr>
            <w:r>
              <w:rPr>
                <w:rFonts w:ascii="宋体" w:hAnsi="宋体"/>
                <w:b/>
                <w:szCs w:val="21"/>
              </w:rPr>
              <w:t>R</w:t>
            </w:r>
          </w:p>
        </w:tc>
        <w:tc>
          <w:tcPr>
            <w:tcW w:w="925" w:type="dxa"/>
            <w:tcBorders>
              <w:insideH w:val="single" w:sz="4" w:space="0"/>
            </w:tcBorders>
            <w:vAlign w:val="center"/>
          </w:tcPr>
          <w:p w14:paraId="10E4C8AC">
            <w:pPr>
              <w:widowControl/>
              <w:snapToGrid w:val="0"/>
              <w:jc w:val="center"/>
              <w:rPr>
                <w:rFonts w:ascii="宋体" w:hAnsi="宋体"/>
                <w:b/>
                <w:szCs w:val="21"/>
              </w:rPr>
            </w:pPr>
            <w:r>
              <w:rPr>
                <w:rFonts w:ascii="宋体" w:hAnsi="宋体"/>
                <w:b/>
                <w:szCs w:val="21"/>
              </w:rPr>
              <w:t>S</w:t>
            </w:r>
          </w:p>
        </w:tc>
        <w:tc>
          <w:tcPr>
            <w:tcW w:w="2038" w:type="dxa"/>
            <w:tcBorders>
              <w:insideH w:val="single" w:sz="4" w:space="0"/>
            </w:tcBorders>
            <w:vAlign w:val="center"/>
          </w:tcPr>
          <w:p w14:paraId="2610D9D6">
            <w:pPr>
              <w:widowControl/>
              <w:snapToGrid w:val="0"/>
              <w:jc w:val="center"/>
              <w:rPr>
                <w:rFonts w:ascii="宋体" w:hAnsi="宋体"/>
                <w:b/>
                <w:szCs w:val="21"/>
              </w:rPr>
            </w:pPr>
            <w:r>
              <w:rPr>
                <w:rFonts w:ascii="宋体" w:hAnsi="宋体"/>
                <w:b/>
                <w:szCs w:val="21"/>
              </w:rPr>
              <w:t>CV</w:t>
            </w:r>
          </w:p>
        </w:tc>
      </w:tr>
      <w:tr w14:paraId="20FBD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620911D9">
            <w:pPr>
              <w:widowControl/>
              <w:snapToGrid w:val="0"/>
              <w:jc w:val="center"/>
              <w:rPr>
                <w:rFonts w:ascii="宋体" w:hAnsi="宋体"/>
                <w:sz w:val="20"/>
                <w:szCs w:val="21"/>
              </w:rPr>
            </w:pPr>
            <w:r>
              <w:rPr>
                <w:rFonts w:ascii="宋体" w:hAnsi="宋体"/>
                <w:sz w:val="20"/>
                <w:szCs w:val="21"/>
              </w:rPr>
              <w:t>A.同意</w:t>
            </w:r>
          </w:p>
        </w:tc>
        <w:tc>
          <w:tcPr>
            <w:tcW w:w="1371" w:type="dxa"/>
            <w:shd w:val="clear" w:color="auto" w:fill="auto"/>
            <w:vAlign w:val="center"/>
          </w:tcPr>
          <w:p w14:paraId="79BDF88C">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0.97 </w:t>
            </w:r>
          </w:p>
        </w:tc>
        <w:tc>
          <w:tcPr>
            <w:tcW w:w="1816" w:type="dxa"/>
            <w:shd w:val="clear" w:color="auto" w:fill="auto"/>
            <w:vAlign w:val="center"/>
          </w:tcPr>
          <w:p w14:paraId="6565B7DA">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2.94%</w:t>
            </w:r>
          </w:p>
        </w:tc>
        <w:tc>
          <w:tcPr>
            <w:tcW w:w="925" w:type="dxa"/>
            <w:shd w:val="clear" w:color="auto" w:fill="auto"/>
            <w:vAlign w:val="center"/>
          </w:tcPr>
          <w:p w14:paraId="1712339C">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32</w:t>
            </w:r>
          </w:p>
        </w:tc>
        <w:tc>
          <w:tcPr>
            <w:tcW w:w="2038" w:type="dxa"/>
            <w:shd w:val="clear" w:color="auto" w:fill="auto"/>
            <w:vAlign w:val="center"/>
          </w:tcPr>
          <w:p w14:paraId="4F02A6E4">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17.95%</w:t>
            </w:r>
          </w:p>
        </w:tc>
      </w:tr>
      <w:tr w14:paraId="2B9B0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3320EF8B">
            <w:pPr>
              <w:widowControl/>
              <w:snapToGrid w:val="0"/>
              <w:jc w:val="center"/>
              <w:rPr>
                <w:rFonts w:ascii="宋体" w:hAnsi="宋体"/>
                <w:sz w:val="20"/>
                <w:szCs w:val="21"/>
              </w:rPr>
            </w:pPr>
            <w:r>
              <w:rPr>
                <w:rFonts w:ascii="宋体" w:hAnsi="宋体"/>
                <w:sz w:val="20"/>
                <w:szCs w:val="21"/>
              </w:rPr>
              <w:t>B.不同意</w:t>
            </w:r>
          </w:p>
        </w:tc>
        <w:tc>
          <w:tcPr>
            <w:tcW w:w="1371" w:type="dxa"/>
            <w:shd w:val="clear" w:color="auto" w:fill="auto"/>
            <w:vAlign w:val="center"/>
          </w:tcPr>
          <w:p w14:paraId="0CD8AEA8">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0.03 </w:t>
            </w:r>
          </w:p>
        </w:tc>
        <w:tc>
          <w:tcPr>
            <w:tcW w:w="1816" w:type="dxa"/>
            <w:shd w:val="clear" w:color="auto" w:fill="auto"/>
            <w:vAlign w:val="center"/>
          </w:tcPr>
          <w:p w14:paraId="06007FB0">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94.12%</w:t>
            </w:r>
          </w:p>
        </w:tc>
        <w:tc>
          <w:tcPr>
            <w:tcW w:w="925" w:type="dxa"/>
            <w:shd w:val="clear" w:color="auto" w:fill="auto"/>
            <w:vAlign w:val="center"/>
          </w:tcPr>
          <w:p w14:paraId="5D489A57">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w:t>
            </w:r>
          </w:p>
        </w:tc>
        <w:tc>
          <w:tcPr>
            <w:tcW w:w="2038" w:type="dxa"/>
            <w:shd w:val="clear" w:color="auto" w:fill="auto"/>
            <w:vAlign w:val="center"/>
          </w:tcPr>
          <w:p w14:paraId="20AFF728">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565.95%</w:t>
            </w:r>
          </w:p>
        </w:tc>
      </w:tr>
    </w:tbl>
    <w:p w14:paraId="2A61D9BD">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50</w:t>
      </w:r>
      <w:r>
        <w:rPr>
          <w:rFonts w:ascii="宋体" w:hAnsi="宋体"/>
          <w:b/>
          <w:bCs/>
          <w:szCs w:val="21"/>
        </w:rPr>
        <w:t xml:space="preserve"> 删除“附录C（资料性）三棱针治疗出血量计算”调查结果</w:t>
      </w:r>
    </w:p>
    <w:p w14:paraId="5ABE9FF3">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50</w:t>
      </w:r>
      <w:r>
        <w:rPr>
          <w:rFonts w:ascii="宋体" w:hAnsi="宋体"/>
          <w:b/>
          <w:bCs/>
          <w:szCs w:val="21"/>
        </w:rPr>
        <w:t xml:space="preserve"> 删除“附录C（资料性）三棱针治疗出血量计算”调查结果</w:t>
      </w:r>
    </w:p>
    <w:tbl>
      <w:tblPr>
        <w:tblStyle w:val="17"/>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9"/>
        <w:gridCol w:w="1371"/>
        <w:gridCol w:w="1816"/>
        <w:gridCol w:w="925"/>
        <w:gridCol w:w="2038"/>
      </w:tblGrid>
      <w:tr w14:paraId="13ABE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349" w:type="dxa"/>
            <w:tcBorders>
              <w:insideH w:val="single" w:sz="4" w:space="0"/>
            </w:tcBorders>
            <w:vAlign w:val="center"/>
          </w:tcPr>
          <w:p w14:paraId="101B2A6C">
            <w:pPr>
              <w:widowControl/>
              <w:snapToGrid w:val="0"/>
              <w:jc w:val="center"/>
              <w:rPr>
                <w:rFonts w:ascii="宋体" w:hAnsi="宋体"/>
                <w:b/>
                <w:szCs w:val="21"/>
              </w:rPr>
            </w:pPr>
            <w:r>
              <w:rPr>
                <w:rFonts w:ascii="宋体" w:hAnsi="宋体"/>
                <w:b/>
                <w:szCs w:val="21"/>
              </w:rPr>
              <w:t>选项</w:t>
            </w:r>
          </w:p>
        </w:tc>
        <w:tc>
          <w:tcPr>
            <w:tcW w:w="1371" w:type="dxa"/>
            <w:tcBorders>
              <w:insideH w:val="single" w:sz="4" w:space="0"/>
            </w:tcBorders>
            <w:vAlign w:val="center"/>
          </w:tcPr>
          <w:p w14:paraId="106E38D3">
            <w:pPr>
              <w:widowControl/>
              <w:snapToGrid w:val="0"/>
              <w:jc w:val="center"/>
              <w:rPr>
                <w:rFonts w:ascii="宋体" w:hAnsi="宋体"/>
                <w:b/>
                <w:szCs w:val="21"/>
              </w:rPr>
            </w:pPr>
            <w:r>
              <w:rPr>
                <w:rFonts w:ascii="宋体" w:hAnsi="宋体"/>
                <w:b/>
                <w:szCs w:val="21"/>
              </w:rPr>
              <w:object>
                <v:shape id="_x0000_i1078"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78" DrawAspect="Content" ObjectID="_1468075778" r:id="rId67">
                  <o:LockedField>false</o:LockedField>
                </o:OLEObject>
              </w:object>
            </w:r>
          </w:p>
        </w:tc>
        <w:tc>
          <w:tcPr>
            <w:tcW w:w="1816" w:type="dxa"/>
            <w:tcBorders>
              <w:insideH w:val="single" w:sz="4" w:space="0"/>
            </w:tcBorders>
            <w:vAlign w:val="center"/>
          </w:tcPr>
          <w:p w14:paraId="5292A8B7">
            <w:pPr>
              <w:widowControl/>
              <w:snapToGrid w:val="0"/>
              <w:jc w:val="center"/>
              <w:rPr>
                <w:rFonts w:ascii="宋体" w:hAnsi="宋体"/>
                <w:b/>
                <w:szCs w:val="21"/>
              </w:rPr>
            </w:pPr>
            <w:r>
              <w:rPr>
                <w:rFonts w:ascii="宋体" w:hAnsi="宋体"/>
                <w:b/>
                <w:szCs w:val="21"/>
              </w:rPr>
              <w:t>R</w:t>
            </w:r>
          </w:p>
        </w:tc>
        <w:tc>
          <w:tcPr>
            <w:tcW w:w="925" w:type="dxa"/>
            <w:tcBorders>
              <w:insideH w:val="single" w:sz="4" w:space="0"/>
            </w:tcBorders>
            <w:vAlign w:val="center"/>
          </w:tcPr>
          <w:p w14:paraId="26D2E0BA">
            <w:pPr>
              <w:widowControl/>
              <w:snapToGrid w:val="0"/>
              <w:jc w:val="center"/>
              <w:rPr>
                <w:rFonts w:ascii="宋体" w:hAnsi="宋体"/>
                <w:b/>
                <w:szCs w:val="21"/>
              </w:rPr>
            </w:pPr>
            <w:r>
              <w:rPr>
                <w:rFonts w:ascii="宋体" w:hAnsi="宋体"/>
                <w:b/>
                <w:szCs w:val="21"/>
              </w:rPr>
              <w:t>S</w:t>
            </w:r>
          </w:p>
        </w:tc>
        <w:tc>
          <w:tcPr>
            <w:tcW w:w="2038" w:type="dxa"/>
            <w:tcBorders>
              <w:insideH w:val="single" w:sz="4" w:space="0"/>
            </w:tcBorders>
            <w:vAlign w:val="center"/>
          </w:tcPr>
          <w:p w14:paraId="169AC3B5">
            <w:pPr>
              <w:widowControl/>
              <w:snapToGrid w:val="0"/>
              <w:jc w:val="center"/>
              <w:rPr>
                <w:rFonts w:ascii="宋体" w:hAnsi="宋体"/>
                <w:b/>
                <w:szCs w:val="21"/>
              </w:rPr>
            </w:pPr>
            <w:r>
              <w:rPr>
                <w:rFonts w:ascii="宋体" w:hAnsi="宋体"/>
                <w:b/>
                <w:szCs w:val="21"/>
              </w:rPr>
              <w:t>CV</w:t>
            </w:r>
          </w:p>
        </w:tc>
      </w:tr>
      <w:tr w14:paraId="6D34D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619913E8">
            <w:pPr>
              <w:widowControl/>
              <w:snapToGrid w:val="0"/>
              <w:jc w:val="center"/>
              <w:rPr>
                <w:rFonts w:ascii="宋体" w:hAnsi="宋体"/>
                <w:sz w:val="20"/>
                <w:szCs w:val="21"/>
              </w:rPr>
            </w:pPr>
            <w:r>
              <w:rPr>
                <w:rFonts w:ascii="宋体" w:hAnsi="宋体"/>
                <w:sz w:val="20"/>
                <w:szCs w:val="21"/>
              </w:rPr>
              <w:t>A.同意</w:t>
            </w:r>
          </w:p>
        </w:tc>
        <w:tc>
          <w:tcPr>
            <w:tcW w:w="1371" w:type="dxa"/>
            <w:shd w:val="clear" w:color="auto" w:fill="auto"/>
            <w:vAlign w:val="center"/>
          </w:tcPr>
          <w:p w14:paraId="6AE9B079">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0.97 </w:t>
            </w:r>
          </w:p>
        </w:tc>
        <w:tc>
          <w:tcPr>
            <w:tcW w:w="1816" w:type="dxa"/>
            <w:shd w:val="clear" w:color="auto" w:fill="auto"/>
            <w:vAlign w:val="center"/>
          </w:tcPr>
          <w:p w14:paraId="62BB3F39">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2.94%</w:t>
            </w:r>
          </w:p>
        </w:tc>
        <w:tc>
          <w:tcPr>
            <w:tcW w:w="925" w:type="dxa"/>
            <w:shd w:val="clear" w:color="auto" w:fill="auto"/>
            <w:vAlign w:val="center"/>
          </w:tcPr>
          <w:p w14:paraId="070460B6">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33</w:t>
            </w:r>
          </w:p>
        </w:tc>
        <w:tc>
          <w:tcPr>
            <w:tcW w:w="2038" w:type="dxa"/>
            <w:shd w:val="clear" w:color="auto" w:fill="auto"/>
            <w:vAlign w:val="center"/>
          </w:tcPr>
          <w:p w14:paraId="26513009">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17.67%</w:t>
            </w:r>
          </w:p>
        </w:tc>
      </w:tr>
      <w:tr w14:paraId="470DD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7ABE48A0">
            <w:pPr>
              <w:widowControl/>
              <w:snapToGrid w:val="0"/>
              <w:jc w:val="center"/>
              <w:rPr>
                <w:rFonts w:ascii="宋体" w:hAnsi="宋体"/>
                <w:sz w:val="20"/>
                <w:szCs w:val="21"/>
              </w:rPr>
            </w:pPr>
            <w:r>
              <w:rPr>
                <w:rFonts w:ascii="宋体" w:hAnsi="宋体"/>
                <w:sz w:val="20"/>
                <w:szCs w:val="21"/>
              </w:rPr>
              <w:t>B.不同意</w:t>
            </w:r>
          </w:p>
        </w:tc>
        <w:tc>
          <w:tcPr>
            <w:tcW w:w="1371" w:type="dxa"/>
            <w:shd w:val="clear" w:color="auto" w:fill="auto"/>
            <w:vAlign w:val="center"/>
          </w:tcPr>
          <w:p w14:paraId="1401688A">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0.03 </w:t>
            </w:r>
          </w:p>
        </w:tc>
        <w:tc>
          <w:tcPr>
            <w:tcW w:w="1816" w:type="dxa"/>
            <w:shd w:val="clear" w:color="auto" w:fill="auto"/>
            <w:vAlign w:val="center"/>
          </w:tcPr>
          <w:p w14:paraId="2C5F1508">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97.06%</w:t>
            </w:r>
          </w:p>
        </w:tc>
        <w:tc>
          <w:tcPr>
            <w:tcW w:w="925" w:type="dxa"/>
            <w:shd w:val="clear" w:color="auto" w:fill="auto"/>
            <w:vAlign w:val="center"/>
          </w:tcPr>
          <w:p w14:paraId="359C644E">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w:t>
            </w:r>
          </w:p>
        </w:tc>
        <w:tc>
          <w:tcPr>
            <w:tcW w:w="2038" w:type="dxa"/>
            <w:shd w:val="clear" w:color="auto" w:fill="auto"/>
            <w:vAlign w:val="center"/>
          </w:tcPr>
          <w:p w14:paraId="560C68D3">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583.10%</w:t>
            </w:r>
          </w:p>
        </w:tc>
      </w:tr>
    </w:tbl>
    <w:p w14:paraId="5FFC2B07">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51</w:t>
      </w:r>
      <w:r>
        <w:rPr>
          <w:rFonts w:ascii="宋体" w:hAnsi="宋体"/>
          <w:b/>
          <w:bCs/>
          <w:szCs w:val="21"/>
        </w:rPr>
        <w:t xml:space="preserve"> 修改“E.1  隔姜灸”调查结果</w:t>
      </w:r>
    </w:p>
    <w:p w14:paraId="18EC5F29">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51</w:t>
      </w:r>
      <w:r>
        <w:rPr>
          <w:rFonts w:ascii="宋体" w:hAnsi="宋体"/>
          <w:b/>
          <w:bCs/>
          <w:szCs w:val="21"/>
        </w:rPr>
        <w:t xml:space="preserve"> 修改“E.1  隔姜灸”调查结果</w:t>
      </w:r>
    </w:p>
    <w:tbl>
      <w:tblPr>
        <w:tblStyle w:val="17"/>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3"/>
        <w:gridCol w:w="1408"/>
        <w:gridCol w:w="2093"/>
        <w:gridCol w:w="949"/>
        <w:gridCol w:w="1636"/>
      </w:tblGrid>
      <w:tr w14:paraId="714CA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413" w:type="dxa"/>
            <w:tcBorders>
              <w:insideH w:val="single" w:sz="4" w:space="0"/>
            </w:tcBorders>
            <w:vAlign w:val="center"/>
          </w:tcPr>
          <w:p w14:paraId="113DA2B2">
            <w:pPr>
              <w:widowControl/>
              <w:snapToGrid w:val="0"/>
              <w:jc w:val="center"/>
              <w:rPr>
                <w:rFonts w:ascii="宋体" w:hAnsi="宋体"/>
                <w:b/>
                <w:szCs w:val="21"/>
              </w:rPr>
            </w:pPr>
            <w:r>
              <w:rPr>
                <w:rFonts w:ascii="宋体" w:hAnsi="宋体"/>
                <w:b/>
                <w:szCs w:val="21"/>
              </w:rPr>
              <w:t>选项</w:t>
            </w:r>
          </w:p>
        </w:tc>
        <w:tc>
          <w:tcPr>
            <w:tcW w:w="1408" w:type="dxa"/>
            <w:tcBorders>
              <w:insideH w:val="single" w:sz="4" w:space="0"/>
            </w:tcBorders>
            <w:vAlign w:val="center"/>
          </w:tcPr>
          <w:p w14:paraId="14A6D4C4">
            <w:pPr>
              <w:widowControl/>
              <w:snapToGrid w:val="0"/>
              <w:jc w:val="center"/>
              <w:rPr>
                <w:rFonts w:ascii="宋体" w:hAnsi="宋体"/>
                <w:b/>
                <w:szCs w:val="21"/>
              </w:rPr>
            </w:pPr>
            <w:r>
              <w:rPr>
                <w:rFonts w:ascii="宋体" w:hAnsi="宋体"/>
                <w:b/>
                <w:szCs w:val="21"/>
              </w:rPr>
              <w:object>
                <v:shape id="_x0000_i1079"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79" DrawAspect="Content" ObjectID="_1468075779" r:id="rId68">
                  <o:LockedField>false</o:LockedField>
                </o:OLEObject>
              </w:object>
            </w:r>
          </w:p>
        </w:tc>
        <w:tc>
          <w:tcPr>
            <w:tcW w:w="2093" w:type="dxa"/>
            <w:tcBorders>
              <w:insideH w:val="single" w:sz="4" w:space="0"/>
            </w:tcBorders>
            <w:vAlign w:val="center"/>
          </w:tcPr>
          <w:p w14:paraId="092A511D">
            <w:pPr>
              <w:widowControl/>
              <w:snapToGrid w:val="0"/>
              <w:jc w:val="center"/>
              <w:rPr>
                <w:rFonts w:ascii="宋体" w:hAnsi="宋体"/>
                <w:b/>
                <w:szCs w:val="21"/>
              </w:rPr>
            </w:pPr>
            <w:r>
              <w:rPr>
                <w:rFonts w:ascii="宋体" w:hAnsi="宋体"/>
                <w:b/>
                <w:szCs w:val="21"/>
              </w:rPr>
              <w:t>R</w:t>
            </w:r>
          </w:p>
        </w:tc>
        <w:tc>
          <w:tcPr>
            <w:tcW w:w="949" w:type="dxa"/>
            <w:tcBorders>
              <w:insideH w:val="single" w:sz="4" w:space="0"/>
            </w:tcBorders>
            <w:vAlign w:val="center"/>
          </w:tcPr>
          <w:p w14:paraId="2A549CD6">
            <w:pPr>
              <w:widowControl/>
              <w:snapToGrid w:val="0"/>
              <w:jc w:val="center"/>
              <w:rPr>
                <w:rFonts w:ascii="宋体" w:hAnsi="宋体"/>
                <w:b/>
                <w:szCs w:val="21"/>
              </w:rPr>
            </w:pPr>
            <w:r>
              <w:rPr>
                <w:rFonts w:ascii="宋体" w:hAnsi="宋体"/>
                <w:b/>
                <w:szCs w:val="21"/>
              </w:rPr>
              <w:t>S</w:t>
            </w:r>
          </w:p>
        </w:tc>
        <w:tc>
          <w:tcPr>
            <w:tcW w:w="1636" w:type="dxa"/>
            <w:tcBorders>
              <w:insideH w:val="single" w:sz="4" w:space="0"/>
            </w:tcBorders>
            <w:vAlign w:val="center"/>
          </w:tcPr>
          <w:p w14:paraId="52E89E55">
            <w:pPr>
              <w:widowControl/>
              <w:snapToGrid w:val="0"/>
              <w:jc w:val="center"/>
              <w:rPr>
                <w:rFonts w:ascii="宋体" w:hAnsi="宋体"/>
                <w:b/>
                <w:szCs w:val="21"/>
              </w:rPr>
            </w:pPr>
            <w:r>
              <w:rPr>
                <w:rFonts w:ascii="宋体" w:hAnsi="宋体"/>
                <w:b/>
                <w:szCs w:val="21"/>
              </w:rPr>
              <w:t>CV</w:t>
            </w:r>
          </w:p>
        </w:tc>
      </w:tr>
      <w:tr w14:paraId="37FF5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3" w:type="dxa"/>
            <w:shd w:val="clear" w:color="auto" w:fill="auto"/>
            <w:vAlign w:val="center"/>
          </w:tcPr>
          <w:p w14:paraId="4C61477E">
            <w:pPr>
              <w:widowControl/>
              <w:snapToGrid w:val="0"/>
              <w:jc w:val="center"/>
              <w:rPr>
                <w:rFonts w:ascii="宋体" w:hAnsi="宋体"/>
                <w:sz w:val="20"/>
                <w:szCs w:val="21"/>
              </w:rPr>
            </w:pPr>
            <w:r>
              <w:rPr>
                <w:rFonts w:ascii="宋体" w:hAnsi="宋体"/>
                <w:sz w:val="20"/>
                <w:szCs w:val="21"/>
              </w:rPr>
              <w:t>A.同意</w:t>
            </w:r>
          </w:p>
        </w:tc>
        <w:tc>
          <w:tcPr>
            <w:tcW w:w="1408" w:type="dxa"/>
            <w:shd w:val="clear" w:color="auto" w:fill="auto"/>
            <w:vAlign w:val="center"/>
          </w:tcPr>
          <w:p w14:paraId="1231F551">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1.00 </w:t>
            </w:r>
          </w:p>
        </w:tc>
        <w:tc>
          <w:tcPr>
            <w:tcW w:w="2093" w:type="dxa"/>
            <w:shd w:val="clear" w:color="auto" w:fill="auto"/>
            <w:vAlign w:val="center"/>
          </w:tcPr>
          <w:p w14:paraId="1395032D">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0.00%</w:t>
            </w:r>
          </w:p>
        </w:tc>
        <w:tc>
          <w:tcPr>
            <w:tcW w:w="949" w:type="dxa"/>
            <w:shd w:val="clear" w:color="auto" w:fill="auto"/>
            <w:vAlign w:val="center"/>
          </w:tcPr>
          <w:p w14:paraId="439F1E34">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34</w:t>
            </w:r>
          </w:p>
        </w:tc>
        <w:tc>
          <w:tcPr>
            <w:tcW w:w="1636" w:type="dxa"/>
            <w:shd w:val="clear" w:color="auto" w:fill="auto"/>
            <w:vAlign w:val="center"/>
          </w:tcPr>
          <w:p w14:paraId="5E97F794">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0.00%</w:t>
            </w:r>
          </w:p>
        </w:tc>
      </w:tr>
      <w:tr w14:paraId="59695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3" w:type="dxa"/>
            <w:shd w:val="clear" w:color="auto" w:fill="auto"/>
            <w:vAlign w:val="center"/>
          </w:tcPr>
          <w:p w14:paraId="69A5C1FD">
            <w:pPr>
              <w:widowControl/>
              <w:snapToGrid w:val="0"/>
              <w:jc w:val="center"/>
              <w:rPr>
                <w:rFonts w:ascii="宋体" w:hAnsi="宋体"/>
                <w:sz w:val="20"/>
                <w:szCs w:val="21"/>
              </w:rPr>
            </w:pPr>
            <w:r>
              <w:rPr>
                <w:rFonts w:ascii="宋体" w:hAnsi="宋体"/>
                <w:sz w:val="20"/>
                <w:szCs w:val="21"/>
              </w:rPr>
              <w:t>B.不同意</w:t>
            </w:r>
          </w:p>
        </w:tc>
        <w:tc>
          <w:tcPr>
            <w:tcW w:w="1408" w:type="dxa"/>
            <w:shd w:val="clear" w:color="auto" w:fill="auto"/>
            <w:vAlign w:val="center"/>
          </w:tcPr>
          <w:p w14:paraId="1DB2EE9C">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0.00 </w:t>
            </w:r>
          </w:p>
        </w:tc>
        <w:tc>
          <w:tcPr>
            <w:tcW w:w="2093" w:type="dxa"/>
            <w:shd w:val="clear" w:color="auto" w:fill="auto"/>
            <w:vAlign w:val="center"/>
          </w:tcPr>
          <w:p w14:paraId="647FFC67">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100.00%</w:t>
            </w:r>
          </w:p>
        </w:tc>
        <w:tc>
          <w:tcPr>
            <w:tcW w:w="949" w:type="dxa"/>
            <w:shd w:val="clear" w:color="auto" w:fill="auto"/>
            <w:vAlign w:val="center"/>
          </w:tcPr>
          <w:p w14:paraId="19FBB37C">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0</w:t>
            </w:r>
          </w:p>
        </w:tc>
        <w:tc>
          <w:tcPr>
            <w:tcW w:w="1636" w:type="dxa"/>
            <w:shd w:val="clear" w:color="auto" w:fill="auto"/>
            <w:vAlign w:val="center"/>
          </w:tcPr>
          <w:p w14:paraId="3C0BC86D">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w:t>
            </w:r>
          </w:p>
        </w:tc>
      </w:tr>
    </w:tbl>
    <w:p w14:paraId="1FB6CB7A">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52</w:t>
      </w:r>
      <w:r>
        <w:rPr>
          <w:rFonts w:ascii="宋体" w:hAnsi="宋体"/>
          <w:b/>
          <w:bCs/>
          <w:szCs w:val="21"/>
        </w:rPr>
        <w:t xml:space="preserve"> 修改“E.2  隔蒜灸”调查结果</w:t>
      </w:r>
    </w:p>
    <w:p w14:paraId="60D68644">
      <w:pPr>
        <w:keepNext/>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52</w:t>
      </w:r>
      <w:r>
        <w:rPr>
          <w:rFonts w:ascii="宋体" w:hAnsi="宋体"/>
          <w:b/>
          <w:bCs/>
          <w:szCs w:val="21"/>
        </w:rPr>
        <w:t xml:space="preserve"> 修改“E.2  隔蒜灸”调查结果</w:t>
      </w:r>
    </w:p>
    <w:tbl>
      <w:tblPr>
        <w:tblStyle w:val="17"/>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9"/>
        <w:gridCol w:w="1371"/>
        <w:gridCol w:w="1816"/>
        <w:gridCol w:w="925"/>
        <w:gridCol w:w="2038"/>
      </w:tblGrid>
      <w:tr w14:paraId="7BE38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349" w:type="dxa"/>
            <w:tcBorders>
              <w:insideH w:val="single" w:sz="4" w:space="0"/>
            </w:tcBorders>
            <w:vAlign w:val="center"/>
          </w:tcPr>
          <w:p w14:paraId="3DAF51FD">
            <w:pPr>
              <w:keepNext/>
              <w:widowControl/>
              <w:snapToGrid w:val="0"/>
              <w:jc w:val="center"/>
              <w:rPr>
                <w:rFonts w:ascii="宋体" w:hAnsi="宋体"/>
                <w:b/>
                <w:szCs w:val="21"/>
              </w:rPr>
            </w:pPr>
            <w:r>
              <w:rPr>
                <w:rFonts w:ascii="宋体" w:hAnsi="宋体"/>
                <w:b/>
                <w:szCs w:val="21"/>
              </w:rPr>
              <w:t>选项</w:t>
            </w:r>
          </w:p>
        </w:tc>
        <w:tc>
          <w:tcPr>
            <w:tcW w:w="1371" w:type="dxa"/>
            <w:tcBorders>
              <w:insideH w:val="single" w:sz="4" w:space="0"/>
            </w:tcBorders>
            <w:vAlign w:val="center"/>
          </w:tcPr>
          <w:p w14:paraId="547775A1">
            <w:pPr>
              <w:keepNext/>
              <w:widowControl/>
              <w:snapToGrid w:val="0"/>
              <w:jc w:val="center"/>
              <w:rPr>
                <w:rFonts w:ascii="宋体" w:hAnsi="宋体"/>
                <w:b/>
                <w:szCs w:val="21"/>
              </w:rPr>
            </w:pPr>
            <w:r>
              <w:rPr>
                <w:rFonts w:ascii="宋体" w:hAnsi="宋体"/>
                <w:b/>
                <w:szCs w:val="21"/>
              </w:rPr>
              <w:object>
                <v:shape id="_x0000_i1080"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80" DrawAspect="Content" ObjectID="_1468075780" r:id="rId69">
                  <o:LockedField>false</o:LockedField>
                </o:OLEObject>
              </w:object>
            </w:r>
          </w:p>
        </w:tc>
        <w:tc>
          <w:tcPr>
            <w:tcW w:w="1816" w:type="dxa"/>
            <w:tcBorders>
              <w:insideH w:val="single" w:sz="4" w:space="0"/>
            </w:tcBorders>
            <w:vAlign w:val="center"/>
          </w:tcPr>
          <w:p w14:paraId="75F763DA">
            <w:pPr>
              <w:keepNext/>
              <w:widowControl/>
              <w:snapToGrid w:val="0"/>
              <w:jc w:val="center"/>
              <w:rPr>
                <w:rFonts w:ascii="宋体" w:hAnsi="宋体"/>
                <w:b/>
                <w:szCs w:val="21"/>
              </w:rPr>
            </w:pPr>
            <w:r>
              <w:rPr>
                <w:rFonts w:ascii="宋体" w:hAnsi="宋体"/>
                <w:b/>
                <w:szCs w:val="21"/>
              </w:rPr>
              <w:t>R</w:t>
            </w:r>
          </w:p>
        </w:tc>
        <w:tc>
          <w:tcPr>
            <w:tcW w:w="925" w:type="dxa"/>
            <w:tcBorders>
              <w:insideH w:val="single" w:sz="4" w:space="0"/>
            </w:tcBorders>
            <w:vAlign w:val="center"/>
          </w:tcPr>
          <w:p w14:paraId="4CE1937F">
            <w:pPr>
              <w:keepNext/>
              <w:widowControl/>
              <w:snapToGrid w:val="0"/>
              <w:jc w:val="center"/>
              <w:rPr>
                <w:rFonts w:ascii="宋体" w:hAnsi="宋体"/>
                <w:b/>
                <w:szCs w:val="21"/>
              </w:rPr>
            </w:pPr>
            <w:r>
              <w:rPr>
                <w:rFonts w:ascii="宋体" w:hAnsi="宋体"/>
                <w:b/>
                <w:szCs w:val="21"/>
              </w:rPr>
              <w:t>S</w:t>
            </w:r>
          </w:p>
        </w:tc>
        <w:tc>
          <w:tcPr>
            <w:tcW w:w="2038" w:type="dxa"/>
            <w:tcBorders>
              <w:insideH w:val="single" w:sz="4" w:space="0"/>
            </w:tcBorders>
            <w:vAlign w:val="center"/>
          </w:tcPr>
          <w:p w14:paraId="6951CAEB">
            <w:pPr>
              <w:keepNext/>
              <w:widowControl/>
              <w:snapToGrid w:val="0"/>
              <w:jc w:val="center"/>
              <w:rPr>
                <w:rFonts w:ascii="宋体" w:hAnsi="宋体"/>
                <w:b/>
                <w:szCs w:val="21"/>
              </w:rPr>
            </w:pPr>
            <w:r>
              <w:rPr>
                <w:rFonts w:ascii="宋体" w:hAnsi="宋体"/>
                <w:b/>
                <w:szCs w:val="21"/>
              </w:rPr>
              <w:t>CV</w:t>
            </w:r>
          </w:p>
        </w:tc>
      </w:tr>
      <w:tr w14:paraId="5B1BD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3C267D7F">
            <w:pPr>
              <w:keepNext/>
              <w:widowControl/>
              <w:snapToGrid w:val="0"/>
              <w:jc w:val="center"/>
              <w:rPr>
                <w:rFonts w:ascii="宋体" w:hAnsi="宋体"/>
                <w:sz w:val="20"/>
                <w:szCs w:val="21"/>
              </w:rPr>
            </w:pPr>
            <w:r>
              <w:rPr>
                <w:rFonts w:ascii="宋体" w:hAnsi="宋体"/>
                <w:sz w:val="20"/>
                <w:szCs w:val="21"/>
              </w:rPr>
              <w:t>A.同意</w:t>
            </w:r>
          </w:p>
        </w:tc>
        <w:tc>
          <w:tcPr>
            <w:tcW w:w="1371" w:type="dxa"/>
            <w:shd w:val="clear" w:color="auto" w:fill="auto"/>
            <w:vAlign w:val="center"/>
          </w:tcPr>
          <w:p w14:paraId="6B6E4879">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0.91 </w:t>
            </w:r>
          </w:p>
        </w:tc>
        <w:tc>
          <w:tcPr>
            <w:tcW w:w="1816" w:type="dxa"/>
            <w:shd w:val="clear" w:color="auto" w:fill="auto"/>
            <w:vAlign w:val="center"/>
          </w:tcPr>
          <w:p w14:paraId="31A0DBDA">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8.82%</w:t>
            </w:r>
          </w:p>
        </w:tc>
        <w:tc>
          <w:tcPr>
            <w:tcW w:w="925" w:type="dxa"/>
            <w:shd w:val="clear" w:color="auto" w:fill="auto"/>
            <w:vAlign w:val="center"/>
          </w:tcPr>
          <w:p w14:paraId="69864DD6">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31</w:t>
            </w:r>
          </w:p>
        </w:tc>
        <w:tc>
          <w:tcPr>
            <w:tcW w:w="2038" w:type="dxa"/>
            <w:shd w:val="clear" w:color="auto" w:fill="auto"/>
            <w:vAlign w:val="center"/>
          </w:tcPr>
          <w:p w14:paraId="1DABA0A6">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31.58%</w:t>
            </w:r>
          </w:p>
        </w:tc>
      </w:tr>
      <w:tr w14:paraId="62D6B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25EFC18C">
            <w:pPr>
              <w:keepNext/>
              <w:widowControl/>
              <w:snapToGrid w:val="0"/>
              <w:jc w:val="center"/>
              <w:rPr>
                <w:rFonts w:ascii="宋体" w:hAnsi="宋体"/>
                <w:sz w:val="20"/>
                <w:szCs w:val="21"/>
              </w:rPr>
            </w:pPr>
            <w:r>
              <w:rPr>
                <w:rFonts w:ascii="宋体" w:hAnsi="宋体"/>
                <w:sz w:val="20"/>
                <w:szCs w:val="21"/>
              </w:rPr>
              <w:t>B.不同意</w:t>
            </w:r>
          </w:p>
        </w:tc>
        <w:tc>
          <w:tcPr>
            <w:tcW w:w="1371" w:type="dxa"/>
            <w:shd w:val="clear" w:color="auto" w:fill="auto"/>
            <w:vAlign w:val="center"/>
          </w:tcPr>
          <w:p w14:paraId="11B2E5EE">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0.09 </w:t>
            </w:r>
          </w:p>
        </w:tc>
        <w:tc>
          <w:tcPr>
            <w:tcW w:w="1816" w:type="dxa"/>
            <w:shd w:val="clear" w:color="auto" w:fill="auto"/>
            <w:vAlign w:val="center"/>
          </w:tcPr>
          <w:p w14:paraId="554AC18A">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91.18%</w:t>
            </w:r>
          </w:p>
        </w:tc>
        <w:tc>
          <w:tcPr>
            <w:tcW w:w="925" w:type="dxa"/>
            <w:shd w:val="clear" w:color="auto" w:fill="auto"/>
            <w:vAlign w:val="center"/>
          </w:tcPr>
          <w:p w14:paraId="0AF31240">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w:t>
            </w:r>
          </w:p>
        </w:tc>
        <w:tc>
          <w:tcPr>
            <w:tcW w:w="2038" w:type="dxa"/>
            <w:shd w:val="clear" w:color="auto" w:fill="auto"/>
            <w:vAlign w:val="center"/>
          </w:tcPr>
          <w:p w14:paraId="6F470D3F">
            <w:pPr>
              <w:keepNext/>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326.29%</w:t>
            </w:r>
          </w:p>
        </w:tc>
      </w:tr>
    </w:tbl>
    <w:p w14:paraId="69F88FBE">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53</w:t>
      </w:r>
      <w:r>
        <w:rPr>
          <w:rFonts w:ascii="宋体" w:hAnsi="宋体"/>
          <w:b/>
          <w:bCs/>
          <w:szCs w:val="21"/>
        </w:rPr>
        <w:t xml:space="preserve"> </w:t>
      </w:r>
      <w:r>
        <w:rPr>
          <w:rFonts w:hint="eastAsia" w:ascii="宋体" w:hAnsi="宋体"/>
          <w:b/>
          <w:bCs/>
          <w:szCs w:val="21"/>
        </w:rPr>
        <w:t>删除</w:t>
      </w:r>
      <w:r>
        <w:rPr>
          <w:rFonts w:ascii="宋体" w:hAnsi="宋体"/>
          <w:b/>
          <w:bCs/>
          <w:szCs w:val="21"/>
        </w:rPr>
        <w:t>“E.6  隔黄土灸”调查结果</w:t>
      </w:r>
    </w:p>
    <w:p w14:paraId="0F4F0242">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53</w:t>
      </w:r>
      <w:r>
        <w:rPr>
          <w:rFonts w:ascii="宋体" w:hAnsi="宋体"/>
          <w:b/>
          <w:bCs/>
          <w:szCs w:val="21"/>
        </w:rPr>
        <w:t xml:space="preserve"> </w:t>
      </w:r>
      <w:r>
        <w:rPr>
          <w:rFonts w:hint="eastAsia" w:ascii="宋体" w:hAnsi="宋体"/>
          <w:b/>
          <w:bCs/>
          <w:szCs w:val="21"/>
        </w:rPr>
        <w:t>删除</w:t>
      </w:r>
      <w:r>
        <w:rPr>
          <w:rFonts w:ascii="宋体" w:hAnsi="宋体"/>
          <w:b/>
          <w:bCs/>
          <w:szCs w:val="21"/>
        </w:rPr>
        <w:t>“E.6  隔黄土灸”调查结果</w:t>
      </w:r>
    </w:p>
    <w:tbl>
      <w:tblPr>
        <w:tblStyle w:val="17"/>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9"/>
        <w:gridCol w:w="1371"/>
        <w:gridCol w:w="1816"/>
        <w:gridCol w:w="925"/>
        <w:gridCol w:w="2038"/>
      </w:tblGrid>
      <w:tr w14:paraId="39B29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349" w:type="dxa"/>
            <w:tcBorders>
              <w:insideH w:val="single" w:sz="4" w:space="0"/>
            </w:tcBorders>
            <w:vAlign w:val="center"/>
          </w:tcPr>
          <w:p w14:paraId="7D6C7D6E">
            <w:pPr>
              <w:widowControl/>
              <w:snapToGrid w:val="0"/>
              <w:jc w:val="center"/>
              <w:rPr>
                <w:rFonts w:ascii="宋体" w:hAnsi="宋体"/>
                <w:b/>
                <w:szCs w:val="21"/>
              </w:rPr>
            </w:pPr>
            <w:r>
              <w:rPr>
                <w:rFonts w:ascii="宋体" w:hAnsi="宋体"/>
                <w:b/>
                <w:szCs w:val="21"/>
              </w:rPr>
              <w:t>选项</w:t>
            </w:r>
          </w:p>
        </w:tc>
        <w:tc>
          <w:tcPr>
            <w:tcW w:w="1371" w:type="dxa"/>
            <w:tcBorders>
              <w:insideH w:val="single" w:sz="4" w:space="0"/>
            </w:tcBorders>
            <w:vAlign w:val="center"/>
          </w:tcPr>
          <w:p w14:paraId="34B89CED">
            <w:pPr>
              <w:widowControl/>
              <w:snapToGrid w:val="0"/>
              <w:jc w:val="center"/>
              <w:rPr>
                <w:rFonts w:ascii="宋体" w:hAnsi="宋体"/>
                <w:b/>
                <w:szCs w:val="21"/>
              </w:rPr>
            </w:pPr>
            <w:r>
              <w:rPr>
                <w:rFonts w:ascii="宋体" w:hAnsi="宋体"/>
                <w:b/>
                <w:szCs w:val="21"/>
              </w:rPr>
              <w:object>
                <v:shape id="_x0000_i1081"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81" DrawAspect="Content" ObjectID="_1468075781" r:id="rId70">
                  <o:LockedField>false</o:LockedField>
                </o:OLEObject>
              </w:object>
            </w:r>
          </w:p>
        </w:tc>
        <w:tc>
          <w:tcPr>
            <w:tcW w:w="1816" w:type="dxa"/>
            <w:tcBorders>
              <w:insideH w:val="single" w:sz="4" w:space="0"/>
            </w:tcBorders>
            <w:vAlign w:val="center"/>
          </w:tcPr>
          <w:p w14:paraId="0C4D06B7">
            <w:pPr>
              <w:widowControl/>
              <w:snapToGrid w:val="0"/>
              <w:jc w:val="center"/>
              <w:rPr>
                <w:rFonts w:ascii="宋体" w:hAnsi="宋体"/>
                <w:b/>
                <w:szCs w:val="21"/>
              </w:rPr>
            </w:pPr>
            <w:r>
              <w:rPr>
                <w:rFonts w:ascii="宋体" w:hAnsi="宋体"/>
                <w:b/>
                <w:szCs w:val="21"/>
              </w:rPr>
              <w:t>R</w:t>
            </w:r>
          </w:p>
        </w:tc>
        <w:tc>
          <w:tcPr>
            <w:tcW w:w="925" w:type="dxa"/>
            <w:tcBorders>
              <w:insideH w:val="single" w:sz="4" w:space="0"/>
            </w:tcBorders>
            <w:vAlign w:val="center"/>
          </w:tcPr>
          <w:p w14:paraId="39F107B6">
            <w:pPr>
              <w:widowControl/>
              <w:snapToGrid w:val="0"/>
              <w:jc w:val="center"/>
              <w:rPr>
                <w:rFonts w:ascii="宋体" w:hAnsi="宋体"/>
                <w:b/>
                <w:szCs w:val="21"/>
              </w:rPr>
            </w:pPr>
            <w:r>
              <w:rPr>
                <w:rFonts w:ascii="宋体" w:hAnsi="宋体"/>
                <w:b/>
                <w:szCs w:val="21"/>
              </w:rPr>
              <w:t>S</w:t>
            </w:r>
          </w:p>
        </w:tc>
        <w:tc>
          <w:tcPr>
            <w:tcW w:w="2038" w:type="dxa"/>
            <w:tcBorders>
              <w:insideH w:val="single" w:sz="4" w:space="0"/>
            </w:tcBorders>
            <w:vAlign w:val="center"/>
          </w:tcPr>
          <w:p w14:paraId="016BF9E7">
            <w:pPr>
              <w:widowControl/>
              <w:snapToGrid w:val="0"/>
              <w:jc w:val="center"/>
              <w:rPr>
                <w:rFonts w:ascii="宋体" w:hAnsi="宋体"/>
                <w:b/>
                <w:szCs w:val="21"/>
              </w:rPr>
            </w:pPr>
            <w:r>
              <w:rPr>
                <w:rFonts w:ascii="宋体" w:hAnsi="宋体"/>
                <w:b/>
                <w:szCs w:val="21"/>
              </w:rPr>
              <w:t>CV</w:t>
            </w:r>
          </w:p>
        </w:tc>
      </w:tr>
      <w:tr w14:paraId="09DAB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3B4AD792">
            <w:pPr>
              <w:widowControl/>
              <w:snapToGrid w:val="0"/>
              <w:jc w:val="center"/>
              <w:rPr>
                <w:rFonts w:ascii="宋体" w:hAnsi="宋体"/>
                <w:sz w:val="20"/>
                <w:szCs w:val="21"/>
              </w:rPr>
            </w:pPr>
            <w:r>
              <w:rPr>
                <w:rFonts w:ascii="宋体" w:hAnsi="宋体"/>
                <w:sz w:val="20"/>
                <w:szCs w:val="21"/>
              </w:rPr>
              <w:t>A.同意</w:t>
            </w:r>
          </w:p>
        </w:tc>
        <w:tc>
          <w:tcPr>
            <w:tcW w:w="1371" w:type="dxa"/>
            <w:shd w:val="clear" w:color="auto" w:fill="auto"/>
            <w:vAlign w:val="center"/>
          </w:tcPr>
          <w:p w14:paraId="67A120AC">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0.97 </w:t>
            </w:r>
          </w:p>
        </w:tc>
        <w:tc>
          <w:tcPr>
            <w:tcW w:w="1816" w:type="dxa"/>
            <w:shd w:val="clear" w:color="auto" w:fill="auto"/>
            <w:vAlign w:val="center"/>
          </w:tcPr>
          <w:p w14:paraId="278B1DA1">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2.94%</w:t>
            </w:r>
          </w:p>
        </w:tc>
        <w:tc>
          <w:tcPr>
            <w:tcW w:w="925" w:type="dxa"/>
            <w:shd w:val="clear" w:color="auto" w:fill="auto"/>
            <w:vAlign w:val="center"/>
          </w:tcPr>
          <w:p w14:paraId="083AED44">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33</w:t>
            </w:r>
          </w:p>
        </w:tc>
        <w:tc>
          <w:tcPr>
            <w:tcW w:w="2038" w:type="dxa"/>
            <w:shd w:val="clear" w:color="auto" w:fill="auto"/>
            <w:vAlign w:val="center"/>
          </w:tcPr>
          <w:p w14:paraId="5044DF61">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17.67%</w:t>
            </w:r>
          </w:p>
        </w:tc>
      </w:tr>
      <w:tr w14:paraId="699DA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436A1EB8">
            <w:pPr>
              <w:widowControl/>
              <w:snapToGrid w:val="0"/>
              <w:jc w:val="center"/>
              <w:rPr>
                <w:rFonts w:ascii="宋体" w:hAnsi="宋体"/>
                <w:sz w:val="20"/>
                <w:szCs w:val="21"/>
              </w:rPr>
            </w:pPr>
            <w:r>
              <w:rPr>
                <w:rFonts w:ascii="宋体" w:hAnsi="宋体"/>
                <w:sz w:val="20"/>
                <w:szCs w:val="21"/>
              </w:rPr>
              <w:t>B.不同意</w:t>
            </w:r>
          </w:p>
        </w:tc>
        <w:tc>
          <w:tcPr>
            <w:tcW w:w="1371" w:type="dxa"/>
            <w:shd w:val="clear" w:color="auto" w:fill="auto"/>
            <w:vAlign w:val="center"/>
          </w:tcPr>
          <w:p w14:paraId="15CF5893">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0.03 </w:t>
            </w:r>
          </w:p>
        </w:tc>
        <w:tc>
          <w:tcPr>
            <w:tcW w:w="1816" w:type="dxa"/>
            <w:shd w:val="clear" w:color="auto" w:fill="auto"/>
            <w:vAlign w:val="center"/>
          </w:tcPr>
          <w:p w14:paraId="1FA463F9">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97.06%</w:t>
            </w:r>
          </w:p>
        </w:tc>
        <w:tc>
          <w:tcPr>
            <w:tcW w:w="925" w:type="dxa"/>
            <w:shd w:val="clear" w:color="auto" w:fill="auto"/>
            <w:vAlign w:val="center"/>
          </w:tcPr>
          <w:p w14:paraId="0D4C7047">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w:t>
            </w:r>
          </w:p>
        </w:tc>
        <w:tc>
          <w:tcPr>
            <w:tcW w:w="2038" w:type="dxa"/>
            <w:shd w:val="clear" w:color="auto" w:fill="auto"/>
            <w:vAlign w:val="center"/>
          </w:tcPr>
          <w:p w14:paraId="6B1CD359">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583.10%</w:t>
            </w:r>
          </w:p>
        </w:tc>
      </w:tr>
    </w:tbl>
    <w:p w14:paraId="24B2987B">
      <w:pPr>
        <w:widowControl/>
        <w:spacing w:line="400" w:lineRule="exact"/>
        <w:ind w:firstLine="422" w:firstLineChars="200"/>
        <w:rPr>
          <w:rFonts w:ascii="宋体" w:hAnsi="宋体"/>
          <w:szCs w:val="21"/>
        </w:rPr>
      </w:pPr>
      <w:r>
        <w:rPr>
          <w:rFonts w:ascii="宋体" w:hAnsi="宋体"/>
          <w:b/>
          <w:bCs/>
          <w:szCs w:val="21"/>
        </w:rPr>
        <w:t>2.</w:t>
      </w:r>
      <w:r>
        <w:rPr>
          <w:rFonts w:hint="eastAsia" w:ascii="宋体" w:hAnsi="宋体"/>
          <w:b/>
          <w:bCs/>
          <w:szCs w:val="21"/>
        </w:rPr>
        <w:t>54</w:t>
      </w:r>
      <w:r>
        <w:rPr>
          <w:rFonts w:ascii="宋体" w:hAnsi="宋体"/>
          <w:b/>
          <w:bCs/>
          <w:szCs w:val="21"/>
        </w:rPr>
        <w:t xml:space="preserve"> </w:t>
      </w:r>
      <w:r>
        <w:rPr>
          <w:rFonts w:hint="eastAsia" w:ascii="宋体" w:hAnsi="宋体"/>
          <w:b/>
          <w:bCs/>
          <w:szCs w:val="21"/>
        </w:rPr>
        <w:t>删除</w:t>
      </w:r>
      <w:r>
        <w:rPr>
          <w:rFonts w:ascii="宋体" w:hAnsi="宋体"/>
          <w:b/>
          <w:bCs/>
          <w:szCs w:val="21"/>
        </w:rPr>
        <w:t>“E.7  隔胡椒饼灸”调查结果</w:t>
      </w:r>
    </w:p>
    <w:p w14:paraId="25832838">
      <w:pPr>
        <w:widowControl/>
        <w:spacing w:line="400" w:lineRule="exact"/>
        <w:jc w:val="center"/>
        <w:rPr>
          <w:rFonts w:ascii="宋体" w:hAnsi="宋体"/>
          <w:b/>
          <w:bCs/>
          <w:szCs w:val="21"/>
        </w:rPr>
      </w:pPr>
      <w:r>
        <w:rPr>
          <w:rFonts w:ascii="宋体" w:hAnsi="宋体"/>
          <w:b/>
          <w:bCs/>
          <w:szCs w:val="21"/>
        </w:rPr>
        <w:t>表</w:t>
      </w:r>
      <w:r>
        <w:rPr>
          <w:rFonts w:hint="eastAsia" w:ascii="宋体" w:hAnsi="宋体"/>
          <w:b/>
          <w:bCs/>
          <w:szCs w:val="21"/>
        </w:rPr>
        <w:t>54</w:t>
      </w:r>
      <w:r>
        <w:rPr>
          <w:rFonts w:ascii="宋体" w:hAnsi="宋体"/>
          <w:b/>
          <w:bCs/>
          <w:szCs w:val="21"/>
        </w:rPr>
        <w:t xml:space="preserve"> </w:t>
      </w:r>
      <w:r>
        <w:rPr>
          <w:rFonts w:hint="eastAsia" w:ascii="宋体" w:hAnsi="宋体"/>
          <w:b/>
          <w:bCs/>
          <w:szCs w:val="21"/>
        </w:rPr>
        <w:t>删除</w:t>
      </w:r>
      <w:r>
        <w:rPr>
          <w:rFonts w:ascii="宋体" w:hAnsi="宋体"/>
          <w:b/>
          <w:bCs/>
          <w:szCs w:val="21"/>
        </w:rPr>
        <w:t>“E.7  隔胡椒饼灸”调查结果</w:t>
      </w:r>
    </w:p>
    <w:tbl>
      <w:tblPr>
        <w:tblStyle w:val="17"/>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9"/>
        <w:gridCol w:w="1371"/>
        <w:gridCol w:w="1816"/>
        <w:gridCol w:w="925"/>
        <w:gridCol w:w="2038"/>
      </w:tblGrid>
      <w:tr w14:paraId="7D78C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349" w:type="dxa"/>
            <w:tcBorders>
              <w:insideH w:val="single" w:sz="4" w:space="0"/>
            </w:tcBorders>
            <w:vAlign w:val="center"/>
          </w:tcPr>
          <w:p w14:paraId="2FF2B628">
            <w:pPr>
              <w:widowControl/>
              <w:snapToGrid w:val="0"/>
              <w:jc w:val="center"/>
              <w:rPr>
                <w:rFonts w:ascii="宋体" w:hAnsi="宋体"/>
                <w:b/>
                <w:szCs w:val="21"/>
              </w:rPr>
            </w:pPr>
            <w:r>
              <w:rPr>
                <w:rFonts w:ascii="宋体" w:hAnsi="宋体"/>
                <w:b/>
                <w:szCs w:val="21"/>
              </w:rPr>
              <w:t>选项</w:t>
            </w:r>
          </w:p>
        </w:tc>
        <w:tc>
          <w:tcPr>
            <w:tcW w:w="1371" w:type="dxa"/>
            <w:tcBorders>
              <w:insideH w:val="single" w:sz="4" w:space="0"/>
            </w:tcBorders>
            <w:vAlign w:val="center"/>
          </w:tcPr>
          <w:p w14:paraId="1C259C2D">
            <w:pPr>
              <w:widowControl/>
              <w:snapToGrid w:val="0"/>
              <w:jc w:val="center"/>
              <w:rPr>
                <w:rFonts w:ascii="宋体" w:hAnsi="宋体"/>
                <w:b/>
                <w:szCs w:val="21"/>
              </w:rPr>
            </w:pPr>
            <w:r>
              <w:rPr>
                <w:rFonts w:ascii="宋体" w:hAnsi="宋体"/>
                <w:b/>
                <w:szCs w:val="21"/>
              </w:rPr>
              <w:object>
                <v:shape id="_x0000_i1082"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82" DrawAspect="Content" ObjectID="_1468075782" r:id="rId71">
                  <o:LockedField>false</o:LockedField>
                </o:OLEObject>
              </w:object>
            </w:r>
          </w:p>
        </w:tc>
        <w:tc>
          <w:tcPr>
            <w:tcW w:w="1816" w:type="dxa"/>
            <w:tcBorders>
              <w:insideH w:val="single" w:sz="4" w:space="0"/>
            </w:tcBorders>
            <w:vAlign w:val="center"/>
          </w:tcPr>
          <w:p w14:paraId="57612235">
            <w:pPr>
              <w:widowControl/>
              <w:snapToGrid w:val="0"/>
              <w:jc w:val="center"/>
              <w:rPr>
                <w:rFonts w:ascii="宋体" w:hAnsi="宋体"/>
                <w:b/>
                <w:szCs w:val="21"/>
              </w:rPr>
            </w:pPr>
            <w:r>
              <w:rPr>
                <w:rFonts w:ascii="宋体" w:hAnsi="宋体"/>
                <w:b/>
                <w:szCs w:val="21"/>
              </w:rPr>
              <w:t>R</w:t>
            </w:r>
          </w:p>
        </w:tc>
        <w:tc>
          <w:tcPr>
            <w:tcW w:w="925" w:type="dxa"/>
            <w:tcBorders>
              <w:insideH w:val="single" w:sz="4" w:space="0"/>
            </w:tcBorders>
            <w:vAlign w:val="center"/>
          </w:tcPr>
          <w:p w14:paraId="4C203C47">
            <w:pPr>
              <w:widowControl/>
              <w:snapToGrid w:val="0"/>
              <w:jc w:val="center"/>
              <w:rPr>
                <w:rFonts w:ascii="宋体" w:hAnsi="宋体"/>
                <w:b/>
                <w:szCs w:val="21"/>
              </w:rPr>
            </w:pPr>
            <w:r>
              <w:rPr>
                <w:rFonts w:ascii="宋体" w:hAnsi="宋体"/>
                <w:b/>
                <w:szCs w:val="21"/>
              </w:rPr>
              <w:t>S</w:t>
            </w:r>
          </w:p>
        </w:tc>
        <w:tc>
          <w:tcPr>
            <w:tcW w:w="2038" w:type="dxa"/>
            <w:tcBorders>
              <w:insideH w:val="single" w:sz="4" w:space="0"/>
            </w:tcBorders>
            <w:vAlign w:val="center"/>
          </w:tcPr>
          <w:p w14:paraId="3368617A">
            <w:pPr>
              <w:widowControl/>
              <w:snapToGrid w:val="0"/>
              <w:jc w:val="center"/>
              <w:rPr>
                <w:rFonts w:ascii="宋体" w:hAnsi="宋体"/>
                <w:b/>
                <w:szCs w:val="21"/>
              </w:rPr>
            </w:pPr>
            <w:r>
              <w:rPr>
                <w:rFonts w:ascii="宋体" w:hAnsi="宋体"/>
                <w:b/>
                <w:szCs w:val="21"/>
              </w:rPr>
              <w:t>CV</w:t>
            </w:r>
          </w:p>
        </w:tc>
      </w:tr>
      <w:tr w14:paraId="770E5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37BAB16F">
            <w:pPr>
              <w:widowControl/>
              <w:snapToGrid w:val="0"/>
              <w:jc w:val="center"/>
              <w:rPr>
                <w:rFonts w:ascii="宋体" w:hAnsi="宋体"/>
                <w:sz w:val="20"/>
                <w:szCs w:val="21"/>
              </w:rPr>
            </w:pPr>
            <w:r>
              <w:rPr>
                <w:rFonts w:ascii="宋体" w:hAnsi="宋体"/>
                <w:sz w:val="20"/>
                <w:szCs w:val="21"/>
              </w:rPr>
              <w:t>A.同意</w:t>
            </w:r>
          </w:p>
        </w:tc>
        <w:tc>
          <w:tcPr>
            <w:tcW w:w="1371" w:type="dxa"/>
            <w:shd w:val="clear" w:color="auto" w:fill="auto"/>
            <w:vAlign w:val="center"/>
          </w:tcPr>
          <w:p w14:paraId="63BCC8E4">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0.88 </w:t>
            </w:r>
          </w:p>
        </w:tc>
        <w:tc>
          <w:tcPr>
            <w:tcW w:w="1816" w:type="dxa"/>
            <w:shd w:val="clear" w:color="auto" w:fill="auto"/>
            <w:vAlign w:val="center"/>
          </w:tcPr>
          <w:p w14:paraId="7BFF0858">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11.76%</w:t>
            </w:r>
          </w:p>
        </w:tc>
        <w:tc>
          <w:tcPr>
            <w:tcW w:w="925" w:type="dxa"/>
            <w:shd w:val="clear" w:color="auto" w:fill="auto"/>
            <w:vAlign w:val="center"/>
          </w:tcPr>
          <w:p w14:paraId="7931CAF2">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30</w:t>
            </w:r>
          </w:p>
        </w:tc>
        <w:tc>
          <w:tcPr>
            <w:tcW w:w="2038" w:type="dxa"/>
            <w:shd w:val="clear" w:color="auto" w:fill="auto"/>
            <w:vAlign w:val="center"/>
          </w:tcPr>
          <w:p w14:paraId="11A52249">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37.06%</w:t>
            </w:r>
          </w:p>
        </w:tc>
      </w:tr>
      <w:tr w14:paraId="6532F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shd w:val="clear" w:color="auto" w:fill="auto"/>
            <w:vAlign w:val="center"/>
          </w:tcPr>
          <w:p w14:paraId="7D50D84B">
            <w:pPr>
              <w:widowControl/>
              <w:snapToGrid w:val="0"/>
              <w:jc w:val="center"/>
              <w:rPr>
                <w:rFonts w:ascii="宋体" w:hAnsi="宋体"/>
                <w:sz w:val="20"/>
                <w:szCs w:val="21"/>
              </w:rPr>
            </w:pPr>
            <w:r>
              <w:rPr>
                <w:rFonts w:ascii="宋体" w:hAnsi="宋体"/>
                <w:sz w:val="20"/>
                <w:szCs w:val="21"/>
              </w:rPr>
              <w:t>B.不同意</w:t>
            </w:r>
          </w:p>
        </w:tc>
        <w:tc>
          <w:tcPr>
            <w:tcW w:w="1371" w:type="dxa"/>
            <w:shd w:val="clear" w:color="auto" w:fill="auto"/>
            <w:vAlign w:val="center"/>
          </w:tcPr>
          <w:p w14:paraId="02DC6C9D">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 xml:space="preserve">0.12 </w:t>
            </w:r>
          </w:p>
        </w:tc>
        <w:tc>
          <w:tcPr>
            <w:tcW w:w="1816" w:type="dxa"/>
            <w:shd w:val="clear" w:color="auto" w:fill="auto"/>
            <w:vAlign w:val="center"/>
          </w:tcPr>
          <w:p w14:paraId="0F657566">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88.24%</w:t>
            </w:r>
          </w:p>
        </w:tc>
        <w:tc>
          <w:tcPr>
            <w:tcW w:w="925" w:type="dxa"/>
            <w:shd w:val="clear" w:color="auto" w:fill="auto"/>
            <w:vAlign w:val="center"/>
          </w:tcPr>
          <w:p w14:paraId="7A969A77">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4</w:t>
            </w:r>
          </w:p>
        </w:tc>
        <w:tc>
          <w:tcPr>
            <w:tcW w:w="2038" w:type="dxa"/>
            <w:shd w:val="clear" w:color="auto" w:fill="auto"/>
            <w:vAlign w:val="center"/>
          </w:tcPr>
          <w:p w14:paraId="73388D04">
            <w:pPr>
              <w:widowControl/>
              <w:snapToGrid w:val="0"/>
              <w:spacing w:after="160"/>
              <w:jc w:val="center"/>
              <w:textAlignment w:val="center"/>
              <w:rPr>
                <w:rFonts w:ascii="宋体" w:hAnsi="宋体" w:cs="宋体"/>
                <w:color w:val="000000"/>
                <w:sz w:val="20"/>
                <w:szCs w:val="20"/>
                <w14:ligatures w14:val="standardContextual"/>
              </w:rPr>
            </w:pPr>
            <w:r>
              <w:rPr>
                <w:rFonts w:hint="eastAsia" w:ascii="宋体" w:hAnsi="宋体" w:cs="宋体"/>
                <w:color w:val="000000"/>
                <w:kern w:val="0"/>
                <w:sz w:val="20"/>
                <w:szCs w:val="20"/>
                <w:lang w:bidi="ar"/>
                <w14:ligatures w14:val="standardContextual"/>
              </w:rPr>
              <w:t>277.98%</w:t>
            </w:r>
          </w:p>
        </w:tc>
      </w:tr>
    </w:tbl>
    <w:p w14:paraId="3D3AB268">
      <w:pPr>
        <w:autoSpaceDE w:val="0"/>
        <w:autoSpaceDN w:val="0"/>
        <w:adjustRightInd w:val="0"/>
        <w:spacing w:line="400" w:lineRule="exact"/>
        <w:ind w:firstLine="422" w:firstLineChars="200"/>
        <w:jc w:val="left"/>
        <w:outlineLvl w:val="3"/>
        <w:rPr>
          <w:rFonts w:ascii="宋体" w:hAnsi="宋体" w:cs="黑体"/>
          <w:b/>
          <w:bCs/>
          <w:kern w:val="0"/>
          <w:szCs w:val="21"/>
        </w:rPr>
      </w:pPr>
      <w:r>
        <w:rPr>
          <w:rFonts w:hint="eastAsia" w:ascii="宋体" w:hAnsi="宋体" w:cs="黑体"/>
          <w:b/>
          <w:bCs/>
          <w:kern w:val="0"/>
          <w:szCs w:val="21"/>
        </w:rPr>
        <w:t>3 问卷结果处理与分析</w:t>
      </w:r>
    </w:p>
    <w:p w14:paraId="34A5016D">
      <w:pPr>
        <w:autoSpaceDE w:val="0"/>
        <w:autoSpaceDN w:val="0"/>
        <w:adjustRightInd w:val="0"/>
        <w:spacing w:line="400" w:lineRule="exact"/>
        <w:ind w:firstLine="422" w:firstLineChars="200"/>
        <w:jc w:val="left"/>
        <w:outlineLvl w:val="4"/>
        <w:rPr>
          <w:rFonts w:ascii="宋体" w:hAnsi="宋体" w:cs="黑体"/>
          <w:b/>
          <w:bCs/>
          <w:kern w:val="0"/>
          <w:szCs w:val="21"/>
        </w:rPr>
      </w:pPr>
      <w:r>
        <w:rPr>
          <w:rFonts w:hint="eastAsia" w:ascii="宋体" w:hAnsi="宋体" w:cs="黑体"/>
          <w:b/>
          <w:bCs/>
          <w:kern w:val="0"/>
          <w:szCs w:val="21"/>
        </w:rPr>
        <w:t>3.1 直接接受修改意见</w:t>
      </w:r>
    </w:p>
    <w:p w14:paraId="4252B4A1">
      <w:pPr>
        <w:spacing w:line="400" w:lineRule="exact"/>
        <w:ind w:firstLine="420" w:firstLineChars="200"/>
        <w:rPr>
          <w:rFonts w:ascii="宋体" w:hAnsi="宋体" w:cs="黑体"/>
          <w:kern w:val="0"/>
          <w:szCs w:val="21"/>
        </w:rPr>
      </w:pPr>
      <w:r>
        <w:rPr>
          <w:rFonts w:hint="eastAsia" w:ascii="宋体" w:hAnsi="宋体" w:cs="黑体"/>
          <w:kern w:val="0"/>
          <w:szCs w:val="21"/>
        </w:rPr>
        <w:t>保留超过</w:t>
      </w:r>
      <w:r>
        <w:rPr>
          <w:rFonts w:ascii="宋体" w:hAnsi="宋体" w:cs="黑体"/>
          <w:kern w:val="0"/>
          <w:szCs w:val="21"/>
        </w:rPr>
        <w:t>50%</w:t>
      </w:r>
      <w:r>
        <w:rPr>
          <w:rFonts w:hint="eastAsia" w:ascii="宋体" w:hAnsi="宋体" w:cs="黑体"/>
          <w:kern w:val="0"/>
          <w:szCs w:val="21"/>
        </w:rPr>
        <w:t>的专家支持的选项，即等级和大于答卷总数一半者，作为直接接受修改意见的条目。将直接接受修改意见的条目选项列表汇总如下：</w:t>
      </w:r>
    </w:p>
    <w:p w14:paraId="5AB3D8B1">
      <w:pPr>
        <w:spacing w:line="400" w:lineRule="exact"/>
        <w:ind w:firstLine="422" w:firstLineChars="200"/>
        <w:outlineLvl w:val="5"/>
        <w:rPr>
          <w:rFonts w:ascii="宋体" w:hAnsi="宋体" w:cs="黑体"/>
          <w:b/>
          <w:bCs/>
          <w:kern w:val="0"/>
          <w:szCs w:val="21"/>
        </w:rPr>
      </w:pPr>
      <w:r>
        <w:rPr>
          <w:rFonts w:hint="eastAsia" w:ascii="宋体" w:hAnsi="宋体" w:cs="黑体"/>
          <w:b/>
          <w:bCs/>
          <w:kern w:val="0"/>
          <w:szCs w:val="21"/>
        </w:rPr>
        <w:t>3.1.1 条文表述修改条目</w:t>
      </w:r>
    </w:p>
    <w:tbl>
      <w:tblPr>
        <w:tblStyle w:val="12"/>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autofit"/>
        <w:tblCellMar>
          <w:top w:w="15" w:type="dxa"/>
          <w:left w:w="15" w:type="dxa"/>
          <w:bottom w:w="15" w:type="dxa"/>
          <w:right w:w="15" w:type="dxa"/>
        </w:tblCellMar>
      </w:tblPr>
      <w:tblGrid>
        <w:gridCol w:w="929"/>
        <w:gridCol w:w="1210"/>
        <w:gridCol w:w="4760"/>
        <w:gridCol w:w="669"/>
        <w:gridCol w:w="931"/>
      </w:tblGrid>
      <w:tr w14:paraId="2BB30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tblHeader/>
          <w:jc w:val="center"/>
        </w:trPr>
        <w:tc>
          <w:tcPr>
            <w:tcW w:w="929" w:type="dxa"/>
            <w:tcBorders>
              <w:tl2br w:val="nil"/>
            </w:tcBorders>
            <w:shd w:val="clear" w:color="auto" w:fill="FFFFFF"/>
            <w:tcMar>
              <w:top w:w="45" w:type="dxa"/>
              <w:left w:w="98" w:type="dxa"/>
              <w:bottom w:w="45" w:type="dxa"/>
              <w:right w:w="98" w:type="dxa"/>
            </w:tcMar>
            <w:vAlign w:val="center"/>
          </w:tcPr>
          <w:p w14:paraId="3247B292">
            <w:pPr>
              <w:widowControl/>
              <w:snapToGrid w:val="0"/>
              <w:jc w:val="center"/>
              <w:rPr>
                <w:rFonts w:ascii="宋体" w:hAnsi="宋体"/>
                <w:b/>
                <w:color w:val="000000"/>
                <w:szCs w:val="21"/>
              </w:rPr>
            </w:pPr>
            <w:r>
              <w:rPr>
                <w:rFonts w:hint="eastAsia" w:ascii="宋体" w:hAnsi="宋体"/>
                <w:b/>
                <w:color w:val="000000"/>
                <w:szCs w:val="21"/>
              </w:rPr>
              <w:t>原条目</w:t>
            </w:r>
            <w:r>
              <w:rPr>
                <w:rFonts w:ascii="宋体" w:hAnsi="宋体"/>
                <w:b/>
                <w:color w:val="000000"/>
                <w:szCs w:val="21"/>
              </w:rPr>
              <w:t>序号</w:t>
            </w:r>
          </w:p>
        </w:tc>
        <w:tc>
          <w:tcPr>
            <w:tcW w:w="1210" w:type="dxa"/>
            <w:shd w:val="clear" w:color="auto" w:fill="FFFFFF"/>
            <w:tcMar>
              <w:top w:w="45" w:type="dxa"/>
              <w:left w:w="98" w:type="dxa"/>
              <w:bottom w:w="45" w:type="dxa"/>
              <w:right w:w="98" w:type="dxa"/>
            </w:tcMar>
            <w:vAlign w:val="center"/>
          </w:tcPr>
          <w:p w14:paraId="3F96F043">
            <w:pPr>
              <w:widowControl/>
              <w:snapToGrid w:val="0"/>
              <w:jc w:val="center"/>
              <w:rPr>
                <w:rFonts w:ascii="宋体" w:hAnsi="宋体"/>
                <w:b/>
                <w:color w:val="000000"/>
                <w:szCs w:val="21"/>
              </w:rPr>
            </w:pPr>
            <w:r>
              <w:rPr>
                <w:rFonts w:ascii="宋体" w:hAnsi="宋体"/>
                <w:b/>
                <w:color w:val="000000"/>
                <w:szCs w:val="21"/>
              </w:rPr>
              <w:t>条目</w:t>
            </w:r>
          </w:p>
        </w:tc>
        <w:tc>
          <w:tcPr>
            <w:tcW w:w="4760" w:type="dxa"/>
            <w:shd w:val="clear" w:color="auto" w:fill="FFFFFF"/>
            <w:tcMar>
              <w:top w:w="45" w:type="dxa"/>
              <w:left w:w="98" w:type="dxa"/>
              <w:bottom w:w="45" w:type="dxa"/>
              <w:right w:w="98" w:type="dxa"/>
            </w:tcMar>
            <w:vAlign w:val="center"/>
          </w:tcPr>
          <w:p w14:paraId="7D7ABE47">
            <w:pPr>
              <w:widowControl/>
              <w:snapToGrid w:val="0"/>
              <w:jc w:val="center"/>
              <w:rPr>
                <w:rFonts w:ascii="宋体" w:hAnsi="宋体"/>
                <w:b/>
                <w:color w:val="000000"/>
                <w:szCs w:val="21"/>
              </w:rPr>
            </w:pPr>
            <w:r>
              <w:rPr>
                <w:rFonts w:ascii="宋体" w:hAnsi="宋体"/>
                <w:b/>
                <w:color w:val="000000"/>
                <w:szCs w:val="21"/>
              </w:rPr>
              <w:t>最高支持选项</w:t>
            </w:r>
          </w:p>
        </w:tc>
        <w:tc>
          <w:tcPr>
            <w:tcW w:w="669" w:type="dxa"/>
            <w:shd w:val="clear" w:color="auto" w:fill="FFFFFF"/>
            <w:tcMar>
              <w:top w:w="45" w:type="dxa"/>
              <w:left w:w="98" w:type="dxa"/>
              <w:bottom w:w="45" w:type="dxa"/>
              <w:right w:w="98" w:type="dxa"/>
            </w:tcMar>
            <w:vAlign w:val="center"/>
          </w:tcPr>
          <w:p w14:paraId="487C2F5C">
            <w:pPr>
              <w:widowControl/>
              <w:snapToGrid w:val="0"/>
              <w:jc w:val="center"/>
              <w:rPr>
                <w:rFonts w:ascii="宋体" w:hAnsi="宋体"/>
                <w:b/>
                <w:color w:val="000000"/>
                <w:szCs w:val="21"/>
              </w:rPr>
            </w:pPr>
            <w:r>
              <w:rPr>
                <w:rFonts w:ascii="宋体" w:hAnsi="宋体"/>
                <w:b/>
                <w:color w:val="000000"/>
                <w:szCs w:val="21"/>
              </w:rPr>
              <w:t>频数</w:t>
            </w:r>
          </w:p>
        </w:tc>
        <w:tc>
          <w:tcPr>
            <w:tcW w:w="931" w:type="dxa"/>
            <w:shd w:val="clear" w:color="auto" w:fill="FFFFFF"/>
            <w:tcMar>
              <w:top w:w="45" w:type="dxa"/>
              <w:left w:w="98" w:type="dxa"/>
              <w:bottom w:w="45" w:type="dxa"/>
              <w:right w:w="98" w:type="dxa"/>
            </w:tcMar>
            <w:vAlign w:val="center"/>
          </w:tcPr>
          <w:p w14:paraId="514E4EE4">
            <w:pPr>
              <w:widowControl/>
              <w:snapToGrid w:val="0"/>
              <w:jc w:val="center"/>
              <w:rPr>
                <w:rFonts w:ascii="宋体" w:hAnsi="宋体"/>
                <w:b/>
                <w:color w:val="000000"/>
                <w:szCs w:val="21"/>
              </w:rPr>
            </w:pPr>
            <w:r>
              <w:rPr>
                <w:rFonts w:ascii="宋体" w:hAnsi="宋体"/>
                <w:b/>
                <w:color w:val="000000"/>
                <w:szCs w:val="21"/>
              </w:rPr>
              <w:t>百分比</w:t>
            </w:r>
          </w:p>
        </w:tc>
      </w:tr>
      <w:tr w14:paraId="13FDB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4CE2AE79">
            <w:pPr>
              <w:widowControl/>
              <w:snapToGrid w:val="0"/>
              <w:jc w:val="center"/>
              <w:rPr>
                <w:rFonts w:ascii="宋体" w:hAnsi="宋体"/>
                <w:color w:val="000000"/>
                <w:szCs w:val="21"/>
              </w:rPr>
            </w:pPr>
            <w:r>
              <w:rPr>
                <w:rFonts w:ascii="宋体" w:hAnsi="宋体"/>
                <w:color w:val="000000"/>
                <w:szCs w:val="21"/>
              </w:rPr>
              <w:t>1</w:t>
            </w:r>
          </w:p>
        </w:tc>
        <w:tc>
          <w:tcPr>
            <w:tcW w:w="1210" w:type="dxa"/>
            <w:shd w:val="clear" w:color="auto" w:fill="FFFFFF"/>
            <w:tcMar>
              <w:top w:w="45" w:type="dxa"/>
              <w:left w:w="98" w:type="dxa"/>
              <w:bottom w:w="45" w:type="dxa"/>
              <w:right w:w="98" w:type="dxa"/>
            </w:tcMar>
            <w:vAlign w:val="center"/>
          </w:tcPr>
          <w:p w14:paraId="3ECF21BA">
            <w:pPr>
              <w:widowControl/>
              <w:snapToGrid w:val="0"/>
              <w:jc w:val="left"/>
              <w:rPr>
                <w:rFonts w:ascii="宋体" w:hAnsi="宋体"/>
                <w:color w:val="000000"/>
                <w:szCs w:val="21"/>
              </w:rPr>
            </w:pPr>
            <w:r>
              <w:rPr>
                <w:rFonts w:ascii="宋体" w:hAnsi="宋体"/>
                <w:color w:val="000000"/>
                <w:szCs w:val="21"/>
              </w:rPr>
              <w:t>得气定义</w:t>
            </w:r>
          </w:p>
        </w:tc>
        <w:tc>
          <w:tcPr>
            <w:tcW w:w="4760" w:type="dxa"/>
            <w:shd w:val="clear" w:color="auto" w:fill="FFFFFF"/>
            <w:tcMar>
              <w:top w:w="45" w:type="dxa"/>
              <w:left w:w="98" w:type="dxa"/>
              <w:bottom w:w="45" w:type="dxa"/>
              <w:right w:w="98" w:type="dxa"/>
            </w:tcMar>
            <w:vAlign w:val="center"/>
          </w:tcPr>
          <w:p w14:paraId="13F2DA4C">
            <w:pPr>
              <w:widowControl/>
              <w:snapToGrid w:val="0"/>
              <w:jc w:val="left"/>
              <w:rPr>
                <w:rFonts w:ascii="宋体" w:hAnsi="宋体"/>
                <w:color w:val="000000"/>
                <w:szCs w:val="21"/>
              </w:rPr>
            </w:pPr>
            <w:r>
              <w:rPr>
                <w:rFonts w:ascii="宋体" w:hAnsi="宋体"/>
                <w:color w:val="000000"/>
                <w:szCs w:val="21"/>
              </w:rPr>
              <w:t>A.毫针进针后在腧穴部位所产生的痠、麻、胀、重等感觉,称为得气,又称针感或针刺感应,表示经气已至针下。(出处:GB/T 21709.20-2009 针灸技术操作规范 第20部分:毫针基本刺法)</w:t>
            </w:r>
          </w:p>
        </w:tc>
        <w:tc>
          <w:tcPr>
            <w:tcW w:w="669" w:type="dxa"/>
            <w:shd w:val="clear" w:color="auto" w:fill="FFFFFF"/>
            <w:tcMar>
              <w:top w:w="45" w:type="dxa"/>
              <w:left w:w="98" w:type="dxa"/>
              <w:bottom w:w="45" w:type="dxa"/>
              <w:right w:w="98" w:type="dxa"/>
            </w:tcMar>
            <w:vAlign w:val="center"/>
          </w:tcPr>
          <w:p w14:paraId="7D3CAC96">
            <w:pPr>
              <w:widowControl/>
              <w:snapToGrid w:val="0"/>
              <w:jc w:val="center"/>
              <w:rPr>
                <w:rFonts w:ascii="宋体" w:hAnsi="宋体"/>
                <w:color w:val="000000"/>
                <w:szCs w:val="21"/>
              </w:rPr>
            </w:pPr>
            <w:r>
              <w:rPr>
                <w:rFonts w:ascii="宋体" w:hAnsi="宋体"/>
                <w:color w:val="000000"/>
                <w:szCs w:val="21"/>
              </w:rPr>
              <w:t>30</w:t>
            </w:r>
          </w:p>
        </w:tc>
        <w:tc>
          <w:tcPr>
            <w:tcW w:w="931" w:type="dxa"/>
            <w:shd w:val="clear" w:color="auto" w:fill="FFFFFF"/>
            <w:tcMar>
              <w:top w:w="45" w:type="dxa"/>
              <w:left w:w="98" w:type="dxa"/>
              <w:bottom w:w="45" w:type="dxa"/>
              <w:right w:w="98" w:type="dxa"/>
            </w:tcMar>
            <w:vAlign w:val="center"/>
          </w:tcPr>
          <w:p w14:paraId="56A062ED">
            <w:pPr>
              <w:widowControl/>
              <w:snapToGrid w:val="0"/>
              <w:jc w:val="center"/>
              <w:rPr>
                <w:rFonts w:ascii="宋体" w:hAnsi="宋体"/>
                <w:color w:val="000000"/>
                <w:szCs w:val="21"/>
              </w:rPr>
            </w:pPr>
            <w:r>
              <w:rPr>
                <w:rFonts w:ascii="宋体" w:hAnsi="宋体"/>
                <w:color w:val="000000"/>
                <w:szCs w:val="21"/>
              </w:rPr>
              <w:t>88.24%</w:t>
            </w:r>
          </w:p>
        </w:tc>
      </w:tr>
      <w:tr w14:paraId="523A2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5D30151E">
            <w:pPr>
              <w:widowControl/>
              <w:snapToGrid w:val="0"/>
              <w:jc w:val="center"/>
              <w:rPr>
                <w:rFonts w:ascii="宋体" w:hAnsi="宋体"/>
                <w:color w:val="000000"/>
                <w:szCs w:val="21"/>
              </w:rPr>
            </w:pPr>
            <w:r>
              <w:rPr>
                <w:rFonts w:ascii="宋体" w:hAnsi="宋体"/>
                <w:color w:val="000000"/>
                <w:szCs w:val="21"/>
              </w:rPr>
              <w:t>2</w:t>
            </w:r>
          </w:p>
        </w:tc>
        <w:tc>
          <w:tcPr>
            <w:tcW w:w="1210" w:type="dxa"/>
            <w:shd w:val="clear" w:color="auto" w:fill="FFFFFF"/>
            <w:tcMar>
              <w:top w:w="45" w:type="dxa"/>
              <w:left w:w="98" w:type="dxa"/>
              <w:bottom w:w="45" w:type="dxa"/>
              <w:right w:w="98" w:type="dxa"/>
            </w:tcMar>
            <w:vAlign w:val="center"/>
          </w:tcPr>
          <w:p w14:paraId="3C563E31">
            <w:pPr>
              <w:widowControl/>
              <w:snapToGrid w:val="0"/>
              <w:jc w:val="left"/>
              <w:rPr>
                <w:rFonts w:ascii="宋体" w:hAnsi="宋体"/>
                <w:color w:val="000000"/>
                <w:szCs w:val="21"/>
              </w:rPr>
            </w:pPr>
            <w:r>
              <w:rPr>
                <w:rFonts w:ascii="宋体" w:hAnsi="宋体"/>
                <w:color w:val="000000"/>
                <w:szCs w:val="21"/>
              </w:rPr>
              <w:t>晕针定义</w:t>
            </w:r>
          </w:p>
        </w:tc>
        <w:tc>
          <w:tcPr>
            <w:tcW w:w="4760" w:type="dxa"/>
            <w:shd w:val="clear" w:color="auto" w:fill="FFFFFF"/>
            <w:tcMar>
              <w:top w:w="45" w:type="dxa"/>
              <w:left w:w="98" w:type="dxa"/>
              <w:bottom w:w="45" w:type="dxa"/>
              <w:right w:w="98" w:type="dxa"/>
            </w:tcMar>
            <w:vAlign w:val="center"/>
          </w:tcPr>
          <w:p w14:paraId="67B6703D">
            <w:pPr>
              <w:widowControl/>
              <w:snapToGrid w:val="0"/>
              <w:jc w:val="left"/>
              <w:rPr>
                <w:rFonts w:ascii="宋体" w:hAnsi="宋体"/>
                <w:color w:val="000000"/>
                <w:szCs w:val="21"/>
              </w:rPr>
            </w:pPr>
            <w:r>
              <w:rPr>
                <w:rFonts w:ascii="宋体" w:hAnsi="宋体"/>
                <w:color w:val="000000"/>
                <w:szCs w:val="21"/>
              </w:rPr>
              <w:t>B.沿用国家标准原文。</w:t>
            </w:r>
          </w:p>
        </w:tc>
        <w:tc>
          <w:tcPr>
            <w:tcW w:w="669" w:type="dxa"/>
            <w:shd w:val="clear" w:color="auto" w:fill="FFFFFF"/>
            <w:tcMar>
              <w:top w:w="45" w:type="dxa"/>
              <w:left w:w="98" w:type="dxa"/>
              <w:bottom w:w="45" w:type="dxa"/>
              <w:right w:w="98" w:type="dxa"/>
            </w:tcMar>
            <w:vAlign w:val="center"/>
          </w:tcPr>
          <w:p w14:paraId="7808AC8B">
            <w:pPr>
              <w:widowControl/>
              <w:snapToGrid w:val="0"/>
              <w:jc w:val="center"/>
              <w:rPr>
                <w:rFonts w:ascii="宋体" w:hAnsi="宋体"/>
                <w:color w:val="000000"/>
                <w:szCs w:val="21"/>
              </w:rPr>
            </w:pPr>
            <w:r>
              <w:rPr>
                <w:rFonts w:ascii="宋体" w:hAnsi="宋体"/>
                <w:color w:val="000000"/>
                <w:szCs w:val="21"/>
              </w:rPr>
              <w:t>21</w:t>
            </w:r>
          </w:p>
        </w:tc>
        <w:tc>
          <w:tcPr>
            <w:tcW w:w="931" w:type="dxa"/>
            <w:shd w:val="clear" w:color="auto" w:fill="FFFFFF"/>
            <w:tcMar>
              <w:top w:w="45" w:type="dxa"/>
              <w:left w:w="98" w:type="dxa"/>
              <w:bottom w:w="45" w:type="dxa"/>
              <w:right w:w="98" w:type="dxa"/>
            </w:tcMar>
            <w:vAlign w:val="center"/>
          </w:tcPr>
          <w:p w14:paraId="20726BB7">
            <w:pPr>
              <w:widowControl/>
              <w:snapToGrid w:val="0"/>
              <w:jc w:val="center"/>
              <w:rPr>
                <w:rFonts w:ascii="宋体" w:hAnsi="宋体"/>
                <w:color w:val="000000"/>
                <w:szCs w:val="21"/>
              </w:rPr>
            </w:pPr>
            <w:r>
              <w:rPr>
                <w:rFonts w:ascii="宋体" w:hAnsi="宋体"/>
                <w:color w:val="000000"/>
                <w:szCs w:val="21"/>
              </w:rPr>
              <w:t>61.76%</w:t>
            </w:r>
          </w:p>
        </w:tc>
      </w:tr>
      <w:tr w14:paraId="14C0F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46909716">
            <w:pPr>
              <w:widowControl/>
              <w:snapToGrid w:val="0"/>
              <w:jc w:val="center"/>
              <w:rPr>
                <w:rFonts w:ascii="宋体" w:hAnsi="宋体"/>
                <w:color w:val="000000"/>
                <w:szCs w:val="21"/>
              </w:rPr>
            </w:pPr>
            <w:r>
              <w:rPr>
                <w:rFonts w:ascii="宋体" w:hAnsi="宋体"/>
                <w:color w:val="000000"/>
                <w:szCs w:val="21"/>
              </w:rPr>
              <w:t>3</w:t>
            </w:r>
          </w:p>
        </w:tc>
        <w:tc>
          <w:tcPr>
            <w:tcW w:w="1210" w:type="dxa"/>
            <w:shd w:val="clear" w:color="auto" w:fill="FFFFFF"/>
            <w:tcMar>
              <w:top w:w="45" w:type="dxa"/>
              <w:left w:w="98" w:type="dxa"/>
              <w:bottom w:w="45" w:type="dxa"/>
              <w:right w:w="98" w:type="dxa"/>
            </w:tcMar>
            <w:vAlign w:val="center"/>
          </w:tcPr>
          <w:p w14:paraId="23766902">
            <w:pPr>
              <w:widowControl/>
              <w:snapToGrid w:val="0"/>
              <w:jc w:val="left"/>
              <w:rPr>
                <w:rFonts w:ascii="宋体" w:hAnsi="宋体"/>
                <w:color w:val="000000"/>
                <w:szCs w:val="21"/>
              </w:rPr>
            </w:pPr>
            <w:r>
              <w:rPr>
                <w:rFonts w:ascii="宋体" w:hAnsi="宋体"/>
                <w:color w:val="000000"/>
                <w:szCs w:val="21"/>
              </w:rPr>
              <w:t>体位选择</w:t>
            </w:r>
          </w:p>
        </w:tc>
        <w:tc>
          <w:tcPr>
            <w:tcW w:w="4760" w:type="dxa"/>
            <w:shd w:val="clear" w:color="auto" w:fill="FFFFFF"/>
            <w:tcMar>
              <w:top w:w="45" w:type="dxa"/>
              <w:left w:w="98" w:type="dxa"/>
              <w:bottom w:w="45" w:type="dxa"/>
              <w:right w:w="98" w:type="dxa"/>
            </w:tcMar>
            <w:vAlign w:val="center"/>
          </w:tcPr>
          <w:p w14:paraId="1AECD536">
            <w:pPr>
              <w:widowControl/>
              <w:snapToGrid w:val="0"/>
              <w:jc w:val="left"/>
              <w:rPr>
                <w:rFonts w:ascii="宋体" w:hAnsi="宋体"/>
                <w:color w:val="000000"/>
                <w:szCs w:val="21"/>
              </w:rPr>
            </w:pPr>
            <w:r>
              <w:rPr>
                <w:rFonts w:ascii="宋体" w:hAnsi="宋体"/>
                <w:color w:val="000000"/>
                <w:szCs w:val="21"/>
              </w:rPr>
              <w:t>B.沿用国家标准原文。</w:t>
            </w:r>
          </w:p>
        </w:tc>
        <w:tc>
          <w:tcPr>
            <w:tcW w:w="669" w:type="dxa"/>
            <w:shd w:val="clear" w:color="auto" w:fill="FFFFFF"/>
            <w:tcMar>
              <w:top w:w="45" w:type="dxa"/>
              <w:left w:w="98" w:type="dxa"/>
              <w:bottom w:w="45" w:type="dxa"/>
              <w:right w:w="98" w:type="dxa"/>
            </w:tcMar>
            <w:vAlign w:val="center"/>
          </w:tcPr>
          <w:p w14:paraId="3F125683">
            <w:pPr>
              <w:widowControl/>
              <w:snapToGrid w:val="0"/>
              <w:jc w:val="center"/>
              <w:rPr>
                <w:rFonts w:ascii="宋体" w:hAnsi="宋体"/>
                <w:color w:val="000000"/>
                <w:szCs w:val="21"/>
              </w:rPr>
            </w:pPr>
            <w:r>
              <w:rPr>
                <w:rFonts w:ascii="宋体" w:hAnsi="宋体"/>
                <w:color w:val="000000"/>
                <w:szCs w:val="21"/>
              </w:rPr>
              <w:t>19</w:t>
            </w:r>
          </w:p>
        </w:tc>
        <w:tc>
          <w:tcPr>
            <w:tcW w:w="931" w:type="dxa"/>
            <w:shd w:val="clear" w:color="auto" w:fill="FFFFFF"/>
            <w:tcMar>
              <w:top w:w="45" w:type="dxa"/>
              <w:left w:w="98" w:type="dxa"/>
              <w:bottom w:w="45" w:type="dxa"/>
              <w:right w:w="98" w:type="dxa"/>
            </w:tcMar>
            <w:vAlign w:val="center"/>
          </w:tcPr>
          <w:p w14:paraId="6CBEA156">
            <w:pPr>
              <w:widowControl/>
              <w:snapToGrid w:val="0"/>
              <w:jc w:val="center"/>
              <w:rPr>
                <w:rFonts w:ascii="宋体" w:hAnsi="宋体"/>
                <w:color w:val="000000"/>
                <w:szCs w:val="21"/>
              </w:rPr>
            </w:pPr>
            <w:r>
              <w:rPr>
                <w:rFonts w:ascii="宋体" w:hAnsi="宋体"/>
                <w:color w:val="000000"/>
                <w:szCs w:val="21"/>
              </w:rPr>
              <w:t>55.88%</w:t>
            </w:r>
          </w:p>
        </w:tc>
      </w:tr>
      <w:tr w14:paraId="25B5A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2B522D02">
            <w:pPr>
              <w:widowControl/>
              <w:snapToGrid w:val="0"/>
              <w:jc w:val="center"/>
              <w:rPr>
                <w:rFonts w:ascii="宋体" w:hAnsi="宋体"/>
                <w:color w:val="000000"/>
                <w:szCs w:val="21"/>
              </w:rPr>
            </w:pPr>
            <w:r>
              <w:rPr>
                <w:rFonts w:ascii="宋体" w:hAnsi="宋体"/>
                <w:color w:val="000000"/>
                <w:szCs w:val="21"/>
              </w:rPr>
              <w:t>4</w:t>
            </w:r>
          </w:p>
        </w:tc>
        <w:tc>
          <w:tcPr>
            <w:tcW w:w="1210" w:type="dxa"/>
            <w:shd w:val="clear" w:color="auto" w:fill="FFFFFF"/>
            <w:tcMar>
              <w:top w:w="45" w:type="dxa"/>
              <w:left w:w="98" w:type="dxa"/>
              <w:bottom w:w="45" w:type="dxa"/>
              <w:right w:w="98" w:type="dxa"/>
            </w:tcMar>
            <w:vAlign w:val="center"/>
          </w:tcPr>
          <w:p w14:paraId="66968826">
            <w:pPr>
              <w:widowControl/>
              <w:snapToGrid w:val="0"/>
              <w:jc w:val="left"/>
              <w:rPr>
                <w:rFonts w:ascii="宋体" w:hAnsi="宋体"/>
                <w:color w:val="000000"/>
                <w:szCs w:val="21"/>
              </w:rPr>
            </w:pPr>
            <w:r>
              <w:rPr>
                <w:rFonts w:ascii="宋体" w:hAnsi="宋体"/>
                <w:color w:val="000000"/>
                <w:szCs w:val="21"/>
              </w:rPr>
              <w:t>夹持进针法定义</w:t>
            </w:r>
          </w:p>
        </w:tc>
        <w:tc>
          <w:tcPr>
            <w:tcW w:w="4760" w:type="dxa"/>
            <w:shd w:val="clear" w:color="auto" w:fill="FFFFFF"/>
            <w:tcMar>
              <w:top w:w="45" w:type="dxa"/>
              <w:left w:w="98" w:type="dxa"/>
              <w:bottom w:w="45" w:type="dxa"/>
              <w:right w:w="98" w:type="dxa"/>
            </w:tcMar>
            <w:vAlign w:val="center"/>
          </w:tcPr>
          <w:p w14:paraId="1D151E73">
            <w:pPr>
              <w:widowControl/>
              <w:snapToGrid w:val="0"/>
              <w:jc w:val="left"/>
              <w:rPr>
                <w:rFonts w:ascii="宋体" w:hAnsi="宋体"/>
                <w:color w:val="000000"/>
                <w:szCs w:val="21"/>
              </w:rPr>
            </w:pPr>
            <w:r>
              <w:rPr>
                <w:rFonts w:ascii="宋体" w:hAnsi="宋体"/>
                <w:color w:val="000000"/>
                <w:szCs w:val="21"/>
              </w:rPr>
              <w:t>B.沿用国家标准原文。</w:t>
            </w:r>
          </w:p>
        </w:tc>
        <w:tc>
          <w:tcPr>
            <w:tcW w:w="669" w:type="dxa"/>
            <w:shd w:val="clear" w:color="auto" w:fill="FFFFFF"/>
            <w:tcMar>
              <w:top w:w="45" w:type="dxa"/>
              <w:left w:w="98" w:type="dxa"/>
              <w:bottom w:w="45" w:type="dxa"/>
              <w:right w:w="98" w:type="dxa"/>
            </w:tcMar>
            <w:vAlign w:val="center"/>
          </w:tcPr>
          <w:p w14:paraId="0CF95EE5">
            <w:pPr>
              <w:widowControl/>
              <w:snapToGrid w:val="0"/>
              <w:jc w:val="center"/>
              <w:rPr>
                <w:rFonts w:ascii="宋体" w:hAnsi="宋体"/>
                <w:color w:val="000000"/>
                <w:szCs w:val="21"/>
              </w:rPr>
            </w:pPr>
            <w:r>
              <w:rPr>
                <w:rFonts w:ascii="宋体" w:hAnsi="宋体"/>
                <w:color w:val="000000"/>
                <w:szCs w:val="21"/>
              </w:rPr>
              <w:t>17</w:t>
            </w:r>
          </w:p>
        </w:tc>
        <w:tc>
          <w:tcPr>
            <w:tcW w:w="931" w:type="dxa"/>
            <w:shd w:val="clear" w:color="auto" w:fill="FFFFFF"/>
            <w:tcMar>
              <w:top w:w="45" w:type="dxa"/>
              <w:left w:w="98" w:type="dxa"/>
              <w:bottom w:w="45" w:type="dxa"/>
              <w:right w:w="98" w:type="dxa"/>
            </w:tcMar>
            <w:vAlign w:val="center"/>
          </w:tcPr>
          <w:p w14:paraId="581FD7D4">
            <w:pPr>
              <w:widowControl/>
              <w:snapToGrid w:val="0"/>
              <w:jc w:val="center"/>
              <w:rPr>
                <w:rFonts w:ascii="宋体" w:hAnsi="宋体"/>
                <w:color w:val="000000"/>
                <w:szCs w:val="21"/>
              </w:rPr>
            </w:pPr>
            <w:r>
              <w:rPr>
                <w:rFonts w:ascii="宋体" w:hAnsi="宋体"/>
                <w:color w:val="000000"/>
                <w:szCs w:val="21"/>
              </w:rPr>
              <w:t>51.52%</w:t>
            </w:r>
          </w:p>
        </w:tc>
      </w:tr>
      <w:tr w14:paraId="036D3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0B7BCD07">
            <w:pPr>
              <w:widowControl/>
              <w:snapToGrid w:val="0"/>
              <w:jc w:val="center"/>
              <w:rPr>
                <w:rFonts w:ascii="宋体" w:hAnsi="宋体"/>
                <w:color w:val="000000"/>
                <w:szCs w:val="21"/>
              </w:rPr>
            </w:pPr>
            <w:r>
              <w:rPr>
                <w:rFonts w:ascii="宋体" w:hAnsi="宋体"/>
                <w:color w:val="000000"/>
                <w:szCs w:val="21"/>
              </w:rPr>
              <w:t>5</w:t>
            </w:r>
          </w:p>
        </w:tc>
        <w:tc>
          <w:tcPr>
            <w:tcW w:w="1210" w:type="dxa"/>
            <w:shd w:val="clear" w:color="auto" w:fill="FFFFFF"/>
            <w:tcMar>
              <w:top w:w="45" w:type="dxa"/>
              <w:left w:w="98" w:type="dxa"/>
              <w:bottom w:w="45" w:type="dxa"/>
              <w:right w:w="98" w:type="dxa"/>
            </w:tcMar>
            <w:vAlign w:val="center"/>
          </w:tcPr>
          <w:p w14:paraId="470663C9">
            <w:pPr>
              <w:widowControl/>
              <w:snapToGrid w:val="0"/>
              <w:jc w:val="left"/>
              <w:rPr>
                <w:rFonts w:ascii="宋体" w:hAnsi="宋体"/>
                <w:color w:val="000000"/>
                <w:szCs w:val="21"/>
              </w:rPr>
            </w:pPr>
            <w:r>
              <w:rPr>
                <w:rFonts w:ascii="宋体" w:hAnsi="宋体"/>
                <w:color w:val="000000"/>
                <w:szCs w:val="21"/>
              </w:rPr>
              <w:t>舒张进针法定义</w:t>
            </w:r>
          </w:p>
        </w:tc>
        <w:tc>
          <w:tcPr>
            <w:tcW w:w="4760" w:type="dxa"/>
            <w:shd w:val="clear" w:color="auto" w:fill="FFFFFF"/>
            <w:tcMar>
              <w:top w:w="45" w:type="dxa"/>
              <w:left w:w="98" w:type="dxa"/>
              <w:bottom w:w="45" w:type="dxa"/>
              <w:right w:w="98" w:type="dxa"/>
            </w:tcMar>
            <w:vAlign w:val="center"/>
          </w:tcPr>
          <w:p w14:paraId="23C9E714">
            <w:pPr>
              <w:widowControl/>
              <w:snapToGrid w:val="0"/>
              <w:jc w:val="left"/>
              <w:rPr>
                <w:rFonts w:ascii="宋体" w:hAnsi="宋体"/>
                <w:color w:val="000000"/>
                <w:szCs w:val="21"/>
              </w:rPr>
            </w:pPr>
            <w:r>
              <w:rPr>
                <w:rFonts w:ascii="宋体" w:hAnsi="宋体"/>
                <w:color w:val="000000"/>
                <w:szCs w:val="21"/>
              </w:rPr>
              <w:t>A.舒张进针法 押手</w:t>
            </w:r>
            <w:r>
              <w:rPr>
                <w:rFonts w:hint="eastAsia"/>
                <w:color w:val="000000" w:themeColor="text1"/>
                <w:lang w:val="en-US" w:eastAsia="zh-CN"/>
                <w14:textFill>
                  <w14:solidFill>
                    <w14:schemeClr w14:val="tx1"/>
                  </w14:solidFill>
                </w14:textFill>
              </w:rPr>
              <w:t>示</w:t>
            </w:r>
            <w:r>
              <w:rPr>
                <w:rFonts w:ascii="宋体" w:hAnsi="宋体"/>
                <w:color w:val="000000"/>
                <w:szCs w:val="21"/>
              </w:rPr>
              <w:t>、中指或拇、中指将所刺腧穴部位皮肤撑开绷紧,刺手持针刺入。用于皮肤较松软处进针。</w:t>
            </w:r>
          </w:p>
        </w:tc>
        <w:tc>
          <w:tcPr>
            <w:tcW w:w="669" w:type="dxa"/>
            <w:shd w:val="clear" w:color="auto" w:fill="FFFFFF"/>
            <w:tcMar>
              <w:top w:w="45" w:type="dxa"/>
              <w:left w:w="98" w:type="dxa"/>
              <w:bottom w:w="45" w:type="dxa"/>
              <w:right w:w="98" w:type="dxa"/>
            </w:tcMar>
            <w:vAlign w:val="center"/>
          </w:tcPr>
          <w:p w14:paraId="1926970F">
            <w:pPr>
              <w:widowControl/>
              <w:snapToGrid w:val="0"/>
              <w:jc w:val="center"/>
              <w:rPr>
                <w:rFonts w:ascii="宋体" w:hAnsi="宋体"/>
                <w:color w:val="000000"/>
                <w:szCs w:val="21"/>
              </w:rPr>
            </w:pPr>
            <w:r>
              <w:rPr>
                <w:rFonts w:ascii="宋体" w:hAnsi="宋体"/>
                <w:color w:val="000000"/>
                <w:szCs w:val="21"/>
              </w:rPr>
              <w:t>18</w:t>
            </w:r>
          </w:p>
        </w:tc>
        <w:tc>
          <w:tcPr>
            <w:tcW w:w="931" w:type="dxa"/>
            <w:shd w:val="clear" w:color="auto" w:fill="FFFFFF"/>
            <w:tcMar>
              <w:top w:w="45" w:type="dxa"/>
              <w:left w:w="98" w:type="dxa"/>
              <w:bottom w:w="45" w:type="dxa"/>
              <w:right w:w="98" w:type="dxa"/>
            </w:tcMar>
            <w:vAlign w:val="center"/>
          </w:tcPr>
          <w:p w14:paraId="0188094B">
            <w:pPr>
              <w:widowControl/>
              <w:snapToGrid w:val="0"/>
              <w:jc w:val="center"/>
              <w:rPr>
                <w:rFonts w:ascii="宋体" w:hAnsi="宋体"/>
                <w:color w:val="000000"/>
                <w:szCs w:val="21"/>
              </w:rPr>
            </w:pPr>
            <w:r>
              <w:rPr>
                <w:rFonts w:ascii="宋体" w:hAnsi="宋体"/>
                <w:color w:val="000000"/>
                <w:szCs w:val="21"/>
              </w:rPr>
              <w:t>52.94%</w:t>
            </w:r>
          </w:p>
        </w:tc>
      </w:tr>
      <w:tr w14:paraId="1167C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3E4B9B95">
            <w:pPr>
              <w:widowControl/>
              <w:snapToGrid w:val="0"/>
              <w:jc w:val="center"/>
              <w:rPr>
                <w:rFonts w:ascii="宋体" w:hAnsi="宋体"/>
                <w:color w:val="000000"/>
                <w:szCs w:val="21"/>
              </w:rPr>
            </w:pPr>
            <w:r>
              <w:rPr>
                <w:rFonts w:ascii="宋体" w:hAnsi="宋体"/>
                <w:color w:val="000000"/>
                <w:szCs w:val="21"/>
              </w:rPr>
              <w:t>6</w:t>
            </w:r>
          </w:p>
        </w:tc>
        <w:tc>
          <w:tcPr>
            <w:tcW w:w="1210" w:type="dxa"/>
            <w:shd w:val="clear" w:color="auto" w:fill="FFFFFF"/>
            <w:tcMar>
              <w:top w:w="45" w:type="dxa"/>
              <w:left w:w="98" w:type="dxa"/>
              <w:bottom w:w="45" w:type="dxa"/>
              <w:right w:w="98" w:type="dxa"/>
            </w:tcMar>
            <w:vAlign w:val="center"/>
          </w:tcPr>
          <w:p w14:paraId="310BCD91">
            <w:pPr>
              <w:widowControl/>
              <w:snapToGrid w:val="0"/>
              <w:jc w:val="left"/>
              <w:rPr>
                <w:rFonts w:ascii="宋体" w:hAnsi="宋体"/>
                <w:color w:val="000000"/>
                <w:szCs w:val="21"/>
              </w:rPr>
            </w:pPr>
            <w:r>
              <w:rPr>
                <w:rFonts w:ascii="宋体" w:hAnsi="宋体"/>
                <w:color w:val="000000"/>
                <w:szCs w:val="21"/>
              </w:rPr>
              <w:t>提捏进针法定义</w:t>
            </w:r>
          </w:p>
        </w:tc>
        <w:tc>
          <w:tcPr>
            <w:tcW w:w="4760" w:type="dxa"/>
            <w:shd w:val="clear" w:color="auto" w:fill="FFFFFF"/>
            <w:tcMar>
              <w:top w:w="45" w:type="dxa"/>
              <w:left w:w="98" w:type="dxa"/>
              <w:bottom w:w="45" w:type="dxa"/>
              <w:right w:w="98" w:type="dxa"/>
            </w:tcMar>
            <w:vAlign w:val="center"/>
          </w:tcPr>
          <w:p w14:paraId="08D8B808">
            <w:pPr>
              <w:widowControl/>
              <w:snapToGrid w:val="0"/>
              <w:jc w:val="left"/>
              <w:rPr>
                <w:rFonts w:ascii="宋体" w:hAnsi="宋体"/>
                <w:color w:val="000000"/>
                <w:szCs w:val="21"/>
              </w:rPr>
            </w:pPr>
            <w:r>
              <w:rPr>
                <w:rFonts w:ascii="宋体" w:hAnsi="宋体"/>
                <w:color w:val="000000"/>
                <w:szCs w:val="21"/>
              </w:rPr>
              <w:t>A.提捏进针法 押手拇、</w:t>
            </w:r>
            <w:r>
              <w:rPr>
                <w:rFonts w:hint="eastAsia"/>
                <w:color w:val="000000" w:themeColor="text1"/>
                <w:lang w:val="en-US" w:eastAsia="zh-CN"/>
                <w14:textFill>
                  <w14:solidFill>
                    <w14:schemeClr w14:val="tx1"/>
                  </w14:solidFill>
                </w14:textFill>
              </w:rPr>
              <w:t>示</w:t>
            </w:r>
            <w:r>
              <w:rPr>
                <w:rFonts w:ascii="宋体" w:hAnsi="宋体"/>
                <w:color w:val="000000"/>
                <w:szCs w:val="21"/>
              </w:rPr>
              <w:t>指将欲刺腧穴两旁的皮肤提捏起,刺手持针从提捏的腧穴上刺入。用于皮肉浅薄处进针。</w:t>
            </w:r>
          </w:p>
        </w:tc>
        <w:tc>
          <w:tcPr>
            <w:tcW w:w="669" w:type="dxa"/>
            <w:shd w:val="clear" w:color="auto" w:fill="FFFFFF"/>
            <w:tcMar>
              <w:top w:w="45" w:type="dxa"/>
              <w:left w:w="98" w:type="dxa"/>
              <w:bottom w:w="45" w:type="dxa"/>
              <w:right w:w="98" w:type="dxa"/>
            </w:tcMar>
            <w:vAlign w:val="center"/>
          </w:tcPr>
          <w:p w14:paraId="28770A38">
            <w:pPr>
              <w:widowControl/>
              <w:snapToGrid w:val="0"/>
              <w:jc w:val="center"/>
              <w:rPr>
                <w:rFonts w:ascii="宋体" w:hAnsi="宋体"/>
                <w:color w:val="000000"/>
                <w:szCs w:val="21"/>
              </w:rPr>
            </w:pPr>
            <w:r>
              <w:rPr>
                <w:rFonts w:ascii="宋体" w:hAnsi="宋体"/>
                <w:color w:val="000000"/>
                <w:szCs w:val="21"/>
              </w:rPr>
              <w:t>18</w:t>
            </w:r>
          </w:p>
        </w:tc>
        <w:tc>
          <w:tcPr>
            <w:tcW w:w="931" w:type="dxa"/>
            <w:shd w:val="clear" w:color="auto" w:fill="FFFFFF"/>
            <w:tcMar>
              <w:top w:w="45" w:type="dxa"/>
              <w:left w:w="98" w:type="dxa"/>
              <w:bottom w:w="45" w:type="dxa"/>
              <w:right w:w="98" w:type="dxa"/>
            </w:tcMar>
            <w:vAlign w:val="center"/>
          </w:tcPr>
          <w:p w14:paraId="16E2FD41">
            <w:pPr>
              <w:widowControl/>
              <w:snapToGrid w:val="0"/>
              <w:jc w:val="center"/>
              <w:rPr>
                <w:rFonts w:ascii="宋体" w:hAnsi="宋体"/>
                <w:color w:val="000000"/>
                <w:szCs w:val="21"/>
              </w:rPr>
            </w:pPr>
            <w:r>
              <w:rPr>
                <w:rFonts w:ascii="宋体" w:hAnsi="宋体"/>
                <w:color w:val="000000"/>
                <w:szCs w:val="21"/>
              </w:rPr>
              <w:t>52.94%</w:t>
            </w:r>
          </w:p>
        </w:tc>
      </w:tr>
      <w:tr w14:paraId="6813A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10843809">
            <w:pPr>
              <w:widowControl/>
              <w:snapToGrid w:val="0"/>
              <w:jc w:val="center"/>
              <w:rPr>
                <w:rFonts w:ascii="宋体" w:hAnsi="宋体"/>
                <w:color w:val="000000"/>
                <w:szCs w:val="21"/>
              </w:rPr>
            </w:pPr>
            <w:r>
              <w:rPr>
                <w:rFonts w:ascii="宋体" w:hAnsi="宋体"/>
                <w:color w:val="000000"/>
                <w:szCs w:val="21"/>
              </w:rPr>
              <w:t>7</w:t>
            </w:r>
          </w:p>
        </w:tc>
        <w:tc>
          <w:tcPr>
            <w:tcW w:w="1210" w:type="dxa"/>
            <w:shd w:val="clear" w:color="auto" w:fill="FFFFFF"/>
            <w:tcMar>
              <w:top w:w="45" w:type="dxa"/>
              <w:left w:w="98" w:type="dxa"/>
              <w:bottom w:w="45" w:type="dxa"/>
              <w:right w:w="98" w:type="dxa"/>
            </w:tcMar>
            <w:vAlign w:val="center"/>
          </w:tcPr>
          <w:p w14:paraId="525CF8BE">
            <w:pPr>
              <w:widowControl/>
              <w:snapToGrid w:val="0"/>
              <w:jc w:val="left"/>
              <w:rPr>
                <w:rFonts w:ascii="宋体" w:hAnsi="宋体"/>
                <w:color w:val="000000"/>
                <w:szCs w:val="21"/>
              </w:rPr>
            </w:pPr>
            <w:r>
              <w:rPr>
                <w:rFonts w:ascii="宋体" w:hAnsi="宋体"/>
                <w:color w:val="000000"/>
                <w:szCs w:val="21"/>
              </w:rPr>
              <w:t>指切进针法的命名和定义</w:t>
            </w:r>
          </w:p>
        </w:tc>
        <w:tc>
          <w:tcPr>
            <w:tcW w:w="4760" w:type="dxa"/>
            <w:shd w:val="clear" w:color="auto" w:fill="FFFFFF"/>
            <w:tcMar>
              <w:top w:w="45" w:type="dxa"/>
              <w:left w:w="98" w:type="dxa"/>
              <w:bottom w:w="45" w:type="dxa"/>
              <w:right w:w="98" w:type="dxa"/>
            </w:tcMar>
            <w:vAlign w:val="center"/>
          </w:tcPr>
          <w:p w14:paraId="7F5AE8CE">
            <w:pPr>
              <w:widowControl/>
              <w:snapToGrid w:val="0"/>
              <w:jc w:val="left"/>
              <w:rPr>
                <w:rFonts w:ascii="宋体" w:hAnsi="宋体"/>
                <w:color w:val="000000"/>
                <w:szCs w:val="21"/>
              </w:rPr>
            </w:pPr>
            <w:r>
              <w:rPr>
                <w:rFonts w:ascii="宋体" w:hAnsi="宋体"/>
                <w:color w:val="000000"/>
                <w:szCs w:val="21"/>
              </w:rPr>
              <w:t>A.爪切进针法 押手拇指或</w:t>
            </w:r>
            <w:r>
              <w:rPr>
                <w:rFonts w:hint="eastAsia"/>
                <w:color w:val="000000" w:themeColor="text1"/>
                <w:lang w:val="en-US" w:eastAsia="zh-CN"/>
                <w14:textFill>
                  <w14:solidFill>
                    <w14:schemeClr w14:val="tx1"/>
                  </w14:solidFill>
                </w14:textFill>
              </w:rPr>
              <w:t>示</w:t>
            </w:r>
            <w:r>
              <w:rPr>
                <w:rFonts w:ascii="宋体" w:hAnsi="宋体"/>
                <w:color w:val="000000"/>
                <w:szCs w:val="21"/>
              </w:rPr>
              <w:t>指的指甲掐切腧穴皮肤,刺手持针,针尖紧靠押手指甲缘迅速刺入。</w:t>
            </w:r>
          </w:p>
        </w:tc>
        <w:tc>
          <w:tcPr>
            <w:tcW w:w="669" w:type="dxa"/>
            <w:shd w:val="clear" w:color="auto" w:fill="FFFFFF"/>
            <w:tcMar>
              <w:top w:w="45" w:type="dxa"/>
              <w:left w:w="98" w:type="dxa"/>
              <w:bottom w:w="45" w:type="dxa"/>
              <w:right w:w="98" w:type="dxa"/>
            </w:tcMar>
            <w:vAlign w:val="center"/>
          </w:tcPr>
          <w:p w14:paraId="6017B1D7">
            <w:pPr>
              <w:widowControl/>
              <w:snapToGrid w:val="0"/>
              <w:jc w:val="center"/>
              <w:rPr>
                <w:rFonts w:ascii="宋体" w:hAnsi="宋体"/>
                <w:color w:val="000000"/>
                <w:szCs w:val="21"/>
              </w:rPr>
            </w:pPr>
            <w:r>
              <w:rPr>
                <w:rFonts w:ascii="宋体" w:hAnsi="宋体"/>
                <w:color w:val="000000"/>
                <w:szCs w:val="21"/>
              </w:rPr>
              <w:t>18</w:t>
            </w:r>
          </w:p>
        </w:tc>
        <w:tc>
          <w:tcPr>
            <w:tcW w:w="931" w:type="dxa"/>
            <w:shd w:val="clear" w:color="auto" w:fill="FFFFFF"/>
            <w:tcMar>
              <w:top w:w="45" w:type="dxa"/>
              <w:left w:w="98" w:type="dxa"/>
              <w:bottom w:w="45" w:type="dxa"/>
              <w:right w:w="98" w:type="dxa"/>
            </w:tcMar>
            <w:vAlign w:val="center"/>
          </w:tcPr>
          <w:p w14:paraId="22315DBE">
            <w:pPr>
              <w:widowControl/>
              <w:snapToGrid w:val="0"/>
              <w:jc w:val="center"/>
              <w:rPr>
                <w:rFonts w:ascii="宋体" w:hAnsi="宋体"/>
                <w:color w:val="000000"/>
                <w:szCs w:val="21"/>
              </w:rPr>
            </w:pPr>
            <w:r>
              <w:rPr>
                <w:rFonts w:ascii="宋体" w:hAnsi="宋体"/>
                <w:color w:val="000000"/>
                <w:szCs w:val="21"/>
              </w:rPr>
              <w:t>54.55%</w:t>
            </w:r>
          </w:p>
        </w:tc>
      </w:tr>
      <w:tr w14:paraId="52E35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4C84806A">
            <w:pPr>
              <w:widowControl/>
              <w:snapToGrid w:val="0"/>
              <w:jc w:val="center"/>
              <w:rPr>
                <w:rFonts w:ascii="宋体" w:hAnsi="宋体"/>
                <w:color w:val="000000"/>
                <w:szCs w:val="21"/>
              </w:rPr>
            </w:pPr>
            <w:r>
              <w:rPr>
                <w:rFonts w:ascii="宋体" w:hAnsi="宋体"/>
                <w:color w:val="000000"/>
                <w:szCs w:val="21"/>
              </w:rPr>
              <w:t>8</w:t>
            </w:r>
          </w:p>
        </w:tc>
        <w:tc>
          <w:tcPr>
            <w:tcW w:w="1210" w:type="dxa"/>
            <w:shd w:val="clear" w:color="auto" w:fill="FFFFFF"/>
            <w:tcMar>
              <w:top w:w="45" w:type="dxa"/>
              <w:left w:w="98" w:type="dxa"/>
              <w:bottom w:w="45" w:type="dxa"/>
              <w:right w:w="98" w:type="dxa"/>
            </w:tcMar>
            <w:vAlign w:val="center"/>
          </w:tcPr>
          <w:p w14:paraId="526B93D2">
            <w:pPr>
              <w:widowControl/>
              <w:snapToGrid w:val="0"/>
              <w:jc w:val="left"/>
              <w:rPr>
                <w:rFonts w:ascii="宋体" w:hAnsi="宋体"/>
                <w:color w:val="000000"/>
                <w:szCs w:val="21"/>
              </w:rPr>
            </w:pPr>
            <w:r>
              <w:rPr>
                <w:rFonts w:ascii="宋体" w:hAnsi="宋体"/>
                <w:color w:val="000000"/>
                <w:szCs w:val="21"/>
              </w:rPr>
              <w:t>针管进针法的命名和定义</w:t>
            </w:r>
          </w:p>
        </w:tc>
        <w:tc>
          <w:tcPr>
            <w:tcW w:w="4760" w:type="dxa"/>
            <w:shd w:val="clear" w:color="auto" w:fill="FFFFFF"/>
            <w:tcMar>
              <w:top w:w="45" w:type="dxa"/>
              <w:left w:w="98" w:type="dxa"/>
              <w:bottom w:w="45" w:type="dxa"/>
              <w:right w:w="98" w:type="dxa"/>
            </w:tcMar>
            <w:vAlign w:val="center"/>
          </w:tcPr>
          <w:p w14:paraId="1F5FF5DC">
            <w:pPr>
              <w:widowControl/>
              <w:snapToGrid w:val="0"/>
              <w:jc w:val="left"/>
              <w:rPr>
                <w:rFonts w:ascii="宋体" w:hAnsi="宋体"/>
                <w:color w:val="000000"/>
                <w:szCs w:val="21"/>
              </w:rPr>
            </w:pPr>
            <w:r>
              <w:rPr>
                <w:rFonts w:ascii="宋体" w:hAnsi="宋体"/>
                <w:color w:val="000000"/>
                <w:szCs w:val="21"/>
              </w:rPr>
              <w:t>A.管针进针法 将针先插入用玻璃、塑料或金属制成的比针短7.5 mm(3分)的小针管内,触及腧穴表面皮肤;押手压紧针管,刺手</w:t>
            </w:r>
            <w:r>
              <w:rPr>
                <w:rFonts w:hint="eastAsia"/>
                <w:color w:val="000000" w:themeColor="text1"/>
                <w:lang w:val="en-US" w:eastAsia="zh-CN"/>
                <w14:textFill>
                  <w14:solidFill>
                    <w14:schemeClr w14:val="tx1"/>
                  </w14:solidFill>
                </w14:textFill>
              </w:rPr>
              <w:t>示</w:t>
            </w:r>
            <w:r>
              <w:rPr>
                <w:rFonts w:ascii="宋体" w:hAnsi="宋体"/>
                <w:color w:val="000000"/>
                <w:szCs w:val="21"/>
              </w:rPr>
              <w:t>指对准针尾弹击,使针尖迅速刺入皮肤;然后将针管去掉,再将针刺入穴内。</w:t>
            </w:r>
          </w:p>
        </w:tc>
        <w:tc>
          <w:tcPr>
            <w:tcW w:w="669" w:type="dxa"/>
            <w:shd w:val="clear" w:color="auto" w:fill="FFFFFF"/>
            <w:tcMar>
              <w:top w:w="45" w:type="dxa"/>
              <w:left w:w="98" w:type="dxa"/>
              <w:bottom w:w="45" w:type="dxa"/>
              <w:right w:w="98" w:type="dxa"/>
            </w:tcMar>
            <w:vAlign w:val="center"/>
          </w:tcPr>
          <w:p w14:paraId="0C2864B5">
            <w:pPr>
              <w:widowControl/>
              <w:snapToGrid w:val="0"/>
              <w:jc w:val="center"/>
              <w:rPr>
                <w:rFonts w:ascii="宋体" w:hAnsi="宋体"/>
                <w:color w:val="000000"/>
                <w:szCs w:val="21"/>
              </w:rPr>
            </w:pPr>
            <w:r>
              <w:rPr>
                <w:rFonts w:ascii="宋体" w:hAnsi="宋体"/>
                <w:color w:val="000000"/>
                <w:szCs w:val="21"/>
              </w:rPr>
              <w:t>23</w:t>
            </w:r>
          </w:p>
        </w:tc>
        <w:tc>
          <w:tcPr>
            <w:tcW w:w="931" w:type="dxa"/>
            <w:shd w:val="clear" w:color="auto" w:fill="FFFFFF"/>
            <w:tcMar>
              <w:top w:w="45" w:type="dxa"/>
              <w:left w:w="98" w:type="dxa"/>
              <w:bottom w:w="45" w:type="dxa"/>
              <w:right w:w="98" w:type="dxa"/>
            </w:tcMar>
            <w:vAlign w:val="center"/>
          </w:tcPr>
          <w:p w14:paraId="52BE84CC">
            <w:pPr>
              <w:widowControl/>
              <w:snapToGrid w:val="0"/>
              <w:jc w:val="center"/>
              <w:rPr>
                <w:rFonts w:ascii="宋体" w:hAnsi="宋体"/>
                <w:color w:val="000000"/>
                <w:szCs w:val="21"/>
              </w:rPr>
            </w:pPr>
            <w:r>
              <w:rPr>
                <w:rFonts w:ascii="宋体" w:hAnsi="宋体"/>
                <w:color w:val="000000"/>
                <w:szCs w:val="21"/>
              </w:rPr>
              <w:t>67.65%</w:t>
            </w:r>
          </w:p>
        </w:tc>
      </w:tr>
      <w:tr w14:paraId="25CB3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73E5F5E0">
            <w:pPr>
              <w:widowControl/>
              <w:snapToGrid w:val="0"/>
              <w:jc w:val="center"/>
              <w:rPr>
                <w:rFonts w:ascii="宋体" w:hAnsi="宋体"/>
                <w:color w:val="000000"/>
                <w:szCs w:val="21"/>
              </w:rPr>
            </w:pPr>
            <w:r>
              <w:rPr>
                <w:rFonts w:ascii="宋体" w:hAnsi="宋体"/>
                <w:color w:val="000000"/>
                <w:szCs w:val="21"/>
              </w:rPr>
              <w:t>9</w:t>
            </w:r>
          </w:p>
        </w:tc>
        <w:tc>
          <w:tcPr>
            <w:tcW w:w="1210" w:type="dxa"/>
            <w:shd w:val="clear" w:color="auto" w:fill="FFFFFF"/>
            <w:tcMar>
              <w:top w:w="45" w:type="dxa"/>
              <w:left w:w="98" w:type="dxa"/>
              <w:bottom w:w="45" w:type="dxa"/>
              <w:right w:w="98" w:type="dxa"/>
            </w:tcMar>
            <w:vAlign w:val="center"/>
          </w:tcPr>
          <w:p w14:paraId="6A3B56DB">
            <w:pPr>
              <w:widowControl/>
              <w:snapToGrid w:val="0"/>
              <w:jc w:val="left"/>
              <w:rPr>
                <w:rFonts w:ascii="宋体" w:hAnsi="宋体"/>
                <w:color w:val="000000"/>
                <w:szCs w:val="21"/>
              </w:rPr>
            </w:pPr>
            <w:r>
              <w:rPr>
                <w:rFonts w:ascii="宋体" w:hAnsi="宋体"/>
                <w:color w:val="000000"/>
                <w:szCs w:val="21"/>
              </w:rPr>
              <w:t>直刺定义</w:t>
            </w:r>
          </w:p>
        </w:tc>
        <w:tc>
          <w:tcPr>
            <w:tcW w:w="4760" w:type="dxa"/>
            <w:shd w:val="clear" w:color="auto" w:fill="FFFFFF"/>
            <w:tcMar>
              <w:top w:w="45" w:type="dxa"/>
              <w:left w:w="98" w:type="dxa"/>
              <w:bottom w:w="45" w:type="dxa"/>
              <w:right w:w="98" w:type="dxa"/>
            </w:tcMar>
            <w:vAlign w:val="center"/>
          </w:tcPr>
          <w:p w14:paraId="0ECF2D5A">
            <w:pPr>
              <w:widowControl/>
              <w:snapToGrid w:val="0"/>
              <w:jc w:val="left"/>
              <w:rPr>
                <w:rFonts w:ascii="宋体" w:hAnsi="宋体"/>
                <w:color w:val="000000"/>
                <w:szCs w:val="21"/>
              </w:rPr>
            </w:pPr>
            <w:r>
              <w:rPr>
                <w:rFonts w:ascii="宋体" w:hAnsi="宋体"/>
                <w:color w:val="000000"/>
                <w:szCs w:val="21"/>
              </w:rPr>
              <w:t>A.将针体与皮肤呈90°角左右,垂直刺入皮肤。直刺法适用于大多数穴位,浅刺与深刺均可。</w:t>
            </w:r>
          </w:p>
        </w:tc>
        <w:tc>
          <w:tcPr>
            <w:tcW w:w="669" w:type="dxa"/>
            <w:shd w:val="clear" w:color="auto" w:fill="FFFFFF"/>
            <w:tcMar>
              <w:top w:w="45" w:type="dxa"/>
              <w:left w:w="98" w:type="dxa"/>
              <w:bottom w:w="45" w:type="dxa"/>
              <w:right w:w="98" w:type="dxa"/>
            </w:tcMar>
            <w:vAlign w:val="center"/>
          </w:tcPr>
          <w:p w14:paraId="02D092C4">
            <w:pPr>
              <w:widowControl/>
              <w:snapToGrid w:val="0"/>
              <w:jc w:val="center"/>
              <w:rPr>
                <w:rFonts w:ascii="宋体" w:hAnsi="宋体"/>
                <w:color w:val="000000"/>
                <w:szCs w:val="21"/>
              </w:rPr>
            </w:pPr>
            <w:r>
              <w:rPr>
                <w:rFonts w:ascii="宋体" w:hAnsi="宋体"/>
                <w:color w:val="000000"/>
                <w:szCs w:val="21"/>
              </w:rPr>
              <w:t>19</w:t>
            </w:r>
          </w:p>
        </w:tc>
        <w:tc>
          <w:tcPr>
            <w:tcW w:w="931" w:type="dxa"/>
            <w:shd w:val="clear" w:color="auto" w:fill="FFFFFF"/>
            <w:tcMar>
              <w:top w:w="45" w:type="dxa"/>
              <w:left w:w="98" w:type="dxa"/>
              <w:bottom w:w="45" w:type="dxa"/>
              <w:right w:w="98" w:type="dxa"/>
            </w:tcMar>
            <w:vAlign w:val="center"/>
          </w:tcPr>
          <w:p w14:paraId="0F29D4DD">
            <w:pPr>
              <w:widowControl/>
              <w:snapToGrid w:val="0"/>
              <w:jc w:val="center"/>
              <w:rPr>
                <w:rFonts w:ascii="宋体" w:hAnsi="宋体"/>
                <w:color w:val="000000"/>
                <w:szCs w:val="21"/>
              </w:rPr>
            </w:pPr>
            <w:r>
              <w:rPr>
                <w:rFonts w:ascii="宋体" w:hAnsi="宋体"/>
                <w:color w:val="000000"/>
                <w:szCs w:val="21"/>
              </w:rPr>
              <w:t>55.88%</w:t>
            </w:r>
          </w:p>
        </w:tc>
      </w:tr>
      <w:tr w14:paraId="4A938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5894FC1D">
            <w:pPr>
              <w:widowControl/>
              <w:snapToGrid w:val="0"/>
              <w:jc w:val="center"/>
              <w:rPr>
                <w:rFonts w:ascii="宋体" w:hAnsi="宋体"/>
                <w:color w:val="000000"/>
                <w:szCs w:val="21"/>
              </w:rPr>
            </w:pPr>
            <w:r>
              <w:rPr>
                <w:rFonts w:ascii="宋体" w:hAnsi="宋体"/>
                <w:color w:val="000000"/>
                <w:szCs w:val="21"/>
              </w:rPr>
              <w:t>10</w:t>
            </w:r>
          </w:p>
        </w:tc>
        <w:tc>
          <w:tcPr>
            <w:tcW w:w="1210" w:type="dxa"/>
            <w:shd w:val="clear" w:color="auto" w:fill="FFFFFF"/>
            <w:tcMar>
              <w:top w:w="45" w:type="dxa"/>
              <w:left w:w="98" w:type="dxa"/>
              <w:bottom w:w="45" w:type="dxa"/>
              <w:right w:w="98" w:type="dxa"/>
            </w:tcMar>
            <w:vAlign w:val="center"/>
          </w:tcPr>
          <w:p w14:paraId="4953CAF9">
            <w:pPr>
              <w:widowControl/>
              <w:snapToGrid w:val="0"/>
              <w:jc w:val="left"/>
              <w:rPr>
                <w:rFonts w:ascii="宋体" w:hAnsi="宋体"/>
                <w:color w:val="000000"/>
                <w:szCs w:val="21"/>
              </w:rPr>
            </w:pPr>
            <w:r>
              <w:rPr>
                <w:rFonts w:ascii="宋体" w:hAnsi="宋体"/>
                <w:color w:val="000000"/>
                <w:szCs w:val="21"/>
              </w:rPr>
              <w:t>斜刺定义</w:t>
            </w:r>
          </w:p>
        </w:tc>
        <w:tc>
          <w:tcPr>
            <w:tcW w:w="4760" w:type="dxa"/>
            <w:shd w:val="clear" w:color="auto" w:fill="FFFFFF"/>
            <w:tcMar>
              <w:top w:w="45" w:type="dxa"/>
              <w:left w:w="98" w:type="dxa"/>
              <w:bottom w:w="45" w:type="dxa"/>
              <w:right w:w="98" w:type="dxa"/>
            </w:tcMar>
            <w:vAlign w:val="center"/>
          </w:tcPr>
          <w:p w14:paraId="71479381">
            <w:pPr>
              <w:widowControl/>
              <w:snapToGrid w:val="0"/>
              <w:jc w:val="left"/>
              <w:rPr>
                <w:rFonts w:ascii="宋体" w:hAnsi="宋体"/>
                <w:color w:val="000000"/>
                <w:szCs w:val="21"/>
              </w:rPr>
            </w:pPr>
            <w:r>
              <w:rPr>
                <w:rFonts w:ascii="宋体" w:hAnsi="宋体"/>
                <w:color w:val="000000"/>
                <w:szCs w:val="21"/>
              </w:rPr>
              <w:t>B.沿用国家标准原文。</w:t>
            </w:r>
          </w:p>
        </w:tc>
        <w:tc>
          <w:tcPr>
            <w:tcW w:w="669" w:type="dxa"/>
            <w:shd w:val="clear" w:color="auto" w:fill="FFFFFF"/>
            <w:tcMar>
              <w:top w:w="45" w:type="dxa"/>
              <w:left w:w="98" w:type="dxa"/>
              <w:bottom w:w="45" w:type="dxa"/>
              <w:right w:w="98" w:type="dxa"/>
            </w:tcMar>
            <w:vAlign w:val="center"/>
          </w:tcPr>
          <w:p w14:paraId="7D1D775A">
            <w:pPr>
              <w:widowControl/>
              <w:snapToGrid w:val="0"/>
              <w:jc w:val="center"/>
              <w:rPr>
                <w:rFonts w:ascii="宋体" w:hAnsi="宋体"/>
                <w:color w:val="000000"/>
                <w:szCs w:val="21"/>
              </w:rPr>
            </w:pPr>
            <w:r>
              <w:rPr>
                <w:rFonts w:ascii="宋体" w:hAnsi="宋体"/>
                <w:color w:val="000000"/>
                <w:szCs w:val="21"/>
              </w:rPr>
              <w:t>21</w:t>
            </w:r>
          </w:p>
        </w:tc>
        <w:tc>
          <w:tcPr>
            <w:tcW w:w="931" w:type="dxa"/>
            <w:shd w:val="clear" w:color="auto" w:fill="FFFFFF"/>
            <w:tcMar>
              <w:top w:w="45" w:type="dxa"/>
              <w:left w:w="98" w:type="dxa"/>
              <w:bottom w:w="45" w:type="dxa"/>
              <w:right w:w="98" w:type="dxa"/>
            </w:tcMar>
            <w:vAlign w:val="center"/>
          </w:tcPr>
          <w:p w14:paraId="5EE2678E">
            <w:pPr>
              <w:widowControl/>
              <w:snapToGrid w:val="0"/>
              <w:jc w:val="center"/>
              <w:rPr>
                <w:rFonts w:ascii="宋体" w:hAnsi="宋体"/>
                <w:color w:val="000000"/>
                <w:szCs w:val="21"/>
              </w:rPr>
            </w:pPr>
            <w:r>
              <w:rPr>
                <w:rFonts w:ascii="宋体" w:hAnsi="宋体"/>
                <w:color w:val="000000"/>
                <w:szCs w:val="21"/>
              </w:rPr>
              <w:t>61.76%</w:t>
            </w:r>
          </w:p>
        </w:tc>
      </w:tr>
      <w:tr w14:paraId="087F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675183C9">
            <w:pPr>
              <w:widowControl/>
              <w:snapToGrid w:val="0"/>
              <w:jc w:val="center"/>
              <w:rPr>
                <w:rFonts w:ascii="宋体" w:hAnsi="宋体"/>
                <w:color w:val="000000"/>
                <w:szCs w:val="21"/>
              </w:rPr>
            </w:pPr>
            <w:r>
              <w:rPr>
                <w:rFonts w:ascii="宋体" w:hAnsi="宋体"/>
                <w:color w:val="000000"/>
                <w:szCs w:val="21"/>
              </w:rPr>
              <w:t>12</w:t>
            </w:r>
          </w:p>
        </w:tc>
        <w:tc>
          <w:tcPr>
            <w:tcW w:w="1210" w:type="dxa"/>
            <w:shd w:val="clear" w:color="auto" w:fill="FFFFFF"/>
            <w:tcMar>
              <w:top w:w="45" w:type="dxa"/>
              <w:left w:w="98" w:type="dxa"/>
              <w:bottom w:w="45" w:type="dxa"/>
              <w:right w:w="98" w:type="dxa"/>
            </w:tcMar>
            <w:vAlign w:val="center"/>
          </w:tcPr>
          <w:p w14:paraId="686C1F99">
            <w:pPr>
              <w:widowControl/>
              <w:snapToGrid w:val="0"/>
              <w:jc w:val="left"/>
              <w:rPr>
                <w:rFonts w:ascii="宋体" w:hAnsi="宋体"/>
                <w:color w:val="000000"/>
                <w:szCs w:val="21"/>
              </w:rPr>
            </w:pPr>
            <w:r>
              <w:rPr>
                <w:rFonts w:ascii="宋体" w:hAnsi="宋体"/>
                <w:color w:val="000000"/>
                <w:szCs w:val="21"/>
              </w:rPr>
              <w:t>平刺的命名与定义</w:t>
            </w:r>
          </w:p>
        </w:tc>
        <w:tc>
          <w:tcPr>
            <w:tcW w:w="4760" w:type="dxa"/>
            <w:shd w:val="clear" w:color="auto" w:fill="FFFFFF"/>
            <w:tcMar>
              <w:top w:w="45" w:type="dxa"/>
              <w:left w:w="98" w:type="dxa"/>
              <w:bottom w:w="45" w:type="dxa"/>
              <w:right w:w="98" w:type="dxa"/>
            </w:tcMar>
            <w:vAlign w:val="center"/>
          </w:tcPr>
          <w:p w14:paraId="556CD8AC">
            <w:pPr>
              <w:widowControl/>
              <w:snapToGrid w:val="0"/>
              <w:jc w:val="left"/>
              <w:rPr>
                <w:rFonts w:ascii="宋体" w:hAnsi="宋体"/>
                <w:color w:val="000000"/>
                <w:szCs w:val="21"/>
              </w:rPr>
            </w:pPr>
            <w:r>
              <w:rPr>
                <w:rFonts w:ascii="宋体" w:hAnsi="宋体"/>
                <w:color w:val="000000"/>
                <w:szCs w:val="21"/>
              </w:rPr>
              <w:t>B.沿用国家标准原文。</w:t>
            </w:r>
          </w:p>
        </w:tc>
        <w:tc>
          <w:tcPr>
            <w:tcW w:w="669" w:type="dxa"/>
            <w:shd w:val="clear" w:color="auto" w:fill="FFFFFF"/>
            <w:tcMar>
              <w:top w:w="45" w:type="dxa"/>
              <w:left w:w="98" w:type="dxa"/>
              <w:bottom w:w="45" w:type="dxa"/>
              <w:right w:w="98" w:type="dxa"/>
            </w:tcMar>
            <w:vAlign w:val="center"/>
          </w:tcPr>
          <w:p w14:paraId="611E16A0">
            <w:pPr>
              <w:widowControl/>
              <w:snapToGrid w:val="0"/>
              <w:jc w:val="center"/>
              <w:rPr>
                <w:rFonts w:ascii="宋体" w:hAnsi="宋体"/>
                <w:color w:val="000000"/>
                <w:szCs w:val="21"/>
              </w:rPr>
            </w:pPr>
            <w:r>
              <w:rPr>
                <w:rFonts w:ascii="宋体" w:hAnsi="宋体"/>
                <w:color w:val="000000"/>
                <w:szCs w:val="21"/>
              </w:rPr>
              <w:t>19</w:t>
            </w:r>
          </w:p>
        </w:tc>
        <w:tc>
          <w:tcPr>
            <w:tcW w:w="931" w:type="dxa"/>
            <w:shd w:val="clear" w:color="auto" w:fill="FFFFFF"/>
            <w:tcMar>
              <w:top w:w="45" w:type="dxa"/>
              <w:left w:w="98" w:type="dxa"/>
              <w:bottom w:w="45" w:type="dxa"/>
              <w:right w:w="98" w:type="dxa"/>
            </w:tcMar>
            <w:vAlign w:val="center"/>
          </w:tcPr>
          <w:p w14:paraId="1F8846F3">
            <w:pPr>
              <w:widowControl/>
              <w:snapToGrid w:val="0"/>
              <w:jc w:val="center"/>
              <w:rPr>
                <w:rFonts w:ascii="宋体" w:hAnsi="宋体"/>
                <w:color w:val="000000"/>
                <w:szCs w:val="21"/>
              </w:rPr>
            </w:pPr>
            <w:r>
              <w:rPr>
                <w:rFonts w:ascii="宋体" w:hAnsi="宋体"/>
                <w:color w:val="000000"/>
                <w:szCs w:val="21"/>
              </w:rPr>
              <w:t>55.88%</w:t>
            </w:r>
          </w:p>
        </w:tc>
      </w:tr>
      <w:tr w14:paraId="2AC79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71CCF5F7">
            <w:pPr>
              <w:widowControl/>
              <w:snapToGrid w:val="0"/>
              <w:jc w:val="center"/>
              <w:rPr>
                <w:rFonts w:ascii="宋体" w:hAnsi="宋体"/>
                <w:color w:val="000000"/>
                <w:szCs w:val="21"/>
              </w:rPr>
            </w:pPr>
            <w:r>
              <w:rPr>
                <w:rFonts w:ascii="宋体" w:hAnsi="宋体"/>
                <w:color w:val="000000"/>
                <w:szCs w:val="21"/>
              </w:rPr>
              <w:t>13</w:t>
            </w:r>
          </w:p>
        </w:tc>
        <w:tc>
          <w:tcPr>
            <w:tcW w:w="1210" w:type="dxa"/>
            <w:shd w:val="clear" w:color="auto" w:fill="FFFFFF"/>
            <w:tcMar>
              <w:top w:w="45" w:type="dxa"/>
              <w:left w:w="98" w:type="dxa"/>
              <w:bottom w:w="45" w:type="dxa"/>
              <w:right w:w="98" w:type="dxa"/>
            </w:tcMar>
            <w:vAlign w:val="center"/>
          </w:tcPr>
          <w:p w14:paraId="5048FAEE">
            <w:pPr>
              <w:widowControl/>
              <w:snapToGrid w:val="0"/>
              <w:jc w:val="left"/>
              <w:rPr>
                <w:rFonts w:ascii="宋体" w:hAnsi="宋体"/>
                <w:color w:val="000000"/>
                <w:szCs w:val="21"/>
              </w:rPr>
            </w:pPr>
            <w:r>
              <w:rPr>
                <w:rFonts w:ascii="宋体" w:hAnsi="宋体"/>
                <w:color w:val="000000"/>
                <w:szCs w:val="21"/>
              </w:rPr>
              <w:t>留针的定义</w:t>
            </w:r>
          </w:p>
        </w:tc>
        <w:tc>
          <w:tcPr>
            <w:tcW w:w="4760" w:type="dxa"/>
            <w:shd w:val="clear" w:color="auto" w:fill="FFFFFF"/>
            <w:tcMar>
              <w:top w:w="45" w:type="dxa"/>
              <w:left w:w="98" w:type="dxa"/>
              <w:bottom w:w="45" w:type="dxa"/>
              <w:right w:w="98" w:type="dxa"/>
            </w:tcMar>
            <w:vAlign w:val="center"/>
          </w:tcPr>
          <w:p w14:paraId="3F6C8388">
            <w:pPr>
              <w:widowControl/>
              <w:snapToGrid w:val="0"/>
              <w:jc w:val="left"/>
              <w:rPr>
                <w:rFonts w:ascii="宋体" w:hAnsi="宋体"/>
                <w:color w:val="000000"/>
                <w:szCs w:val="21"/>
              </w:rPr>
            </w:pPr>
            <w:r>
              <w:rPr>
                <w:rFonts w:ascii="宋体" w:hAnsi="宋体"/>
                <w:color w:val="000000"/>
                <w:szCs w:val="21"/>
              </w:rPr>
              <w:t>B.沿用国家标准原文。</w:t>
            </w:r>
          </w:p>
        </w:tc>
        <w:tc>
          <w:tcPr>
            <w:tcW w:w="669" w:type="dxa"/>
            <w:shd w:val="clear" w:color="auto" w:fill="FFFFFF"/>
            <w:tcMar>
              <w:top w:w="45" w:type="dxa"/>
              <w:left w:w="98" w:type="dxa"/>
              <w:bottom w:w="45" w:type="dxa"/>
              <w:right w:w="98" w:type="dxa"/>
            </w:tcMar>
            <w:vAlign w:val="center"/>
          </w:tcPr>
          <w:p w14:paraId="49B81E91">
            <w:pPr>
              <w:widowControl/>
              <w:snapToGrid w:val="0"/>
              <w:jc w:val="center"/>
              <w:rPr>
                <w:rFonts w:ascii="宋体" w:hAnsi="宋体"/>
                <w:color w:val="000000"/>
                <w:szCs w:val="21"/>
              </w:rPr>
            </w:pPr>
            <w:r>
              <w:rPr>
                <w:rFonts w:ascii="宋体" w:hAnsi="宋体"/>
                <w:color w:val="000000"/>
                <w:szCs w:val="21"/>
              </w:rPr>
              <w:t>17</w:t>
            </w:r>
          </w:p>
        </w:tc>
        <w:tc>
          <w:tcPr>
            <w:tcW w:w="931" w:type="dxa"/>
            <w:shd w:val="clear" w:color="auto" w:fill="FFFFFF"/>
            <w:tcMar>
              <w:top w:w="45" w:type="dxa"/>
              <w:left w:w="98" w:type="dxa"/>
              <w:bottom w:w="45" w:type="dxa"/>
              <w:right w:w="98" w:type="dxa"/>
            </w:tcMar>
            <w:vAlign w:val="center"/>
          </w:tcPr>
          <w:p w14:paraId="20025824">
            <w:pPr>
              <w:widowControl/>
              <w:snapToGrid w:val="0"/>
              <w:jc w:val="center"/>
              <w:rPr>
                <w:rFonts w:ascii="宋体" w:hAnsi="宋体"/>
                <w:color w:val="000000"/>
                <w:szCs w:val="21"/>
              </w:rPr>
            </w:pPr>
            <w:r>
              <w:rPr>
                <w:rFonts w:ascii="宋体" w:hAnsi="宋体"/>
                <w:color w:val="000000"/>
                <w:szCs w:val="21"/>
              </w:rPr>
              <w:t>53.13%</w:t>
            </w:r>
          </w:p>
        </w:tc>
      </w:tr>
      <w:tr w14:paraId="3EC3B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44720502">
            <w:pPr>
              <w:widowControl/>
              <w:snapToGrid w:val="0"/>
              <w:jc w:val="center"/>
              <w:rPr>
                <w:rFonts w:ascii="宋体" w:hAnsi="宋体"/>
                <w:color w:val="000000"/>
                <w:szCs w:val="21"/>
              </w:rPr>
            </w:pPr>
            <w:r>
              <w:rPr>
                <w:rFonts w:ascii="宋体" w:hAnsi="宋体"/>
                <w:color w:val="000000"/>
                <w:szCs w:val="21"/>
              </w:rPr>
              <w:t>14</w:t>
            </w:r>
          </w:p>
        </w:tc>
        <w:tc>
          <w:tcPr>
            <w:tcW w:w="1210" w:type="dxa"/>
            <w:shd w:val="clear" w:color="auto" w:fill="FFFFFF"/>
            <w:tcMar>
              <w:top w:w="45" w:type="dxa"/>
              <w:left w:w="98" w:type="dxa"/>
              <w:bottom w:w="45" w:type="dxa"/>
              <w:right w:w="98" w:type="dxa"/>
            </w:tcMar>
            <w:vAlign w:val="center"/>
          </w:tcPr>
          <w:p w14:paraId="65C3102B">
            <w:pPr>
              <w:widowControl/>
              <w:snapToGrid w:val="0"/>
              <w:jc w:val="left"/>
              <w:rPr>
                <w:rFonts w:ascii="宋体" w:hAnsi="宋体"/>
                <w:color w:val="000000"/>
                <w:szCs w:val="21"/>
              </w:rPr>
            </w:pPr>
            <w:r>
              <w:rPr>
                <w:rFonts w:ascii="宋体" w:hAnsi="宋体"/>
                <w:color w:val="000000"/>
                <w:szCs w:val="21"/>
              </w:rPr>
              <w:t>出针操作步骤</w:t>
            </w:r>
          </w:p>
        </w:tc>
        <w:tc>
          <w:tcPr>
            <w:tcW w:w="4760" w:type="dxa"/>
            <w:shd w:val="clear" w:color="auto" w:fill="FFFFFF"/>
            <w:tcMar>
              <w:top w:w="45" w:type="dxa"/>
              <w:left w:w="98" w:type="dxa"/>
              <w:bottom w:w="45" w:type="dxa"/>
              <w:right w:w="98" w:type="dxa"/>
            </w:tcMar>
            <w:vAlign w:val="center"/>
          </w:tcPr>
          <w:p w14:paraId="6BAA9DF3">
            <w:pPr>
              <w:widowControl/>
              <w:snapToGrid w:val="0"/>
              <w:jc w:val="left"/>
              <w:rPr>
                <w:rFonts w:ascii="宋体" w:hAnsi="宋体"/>
                <w:color w:val="000000"/>
                <w:szCs w:val="21"/>
              </w:rPr>
            </w:pPr>
            <w:r>
              <w:rPr>
                <w:rFonts w:ascii="宋体" w:hAnsi="宋体"/>
                <w:color w:val="000000"/>
                <w:szCs w:val="21"/>
              </w:rPr>
              <w:t>B.沿用国家标准原文。</w:t>
            </w:r>
          </w:p>
        </w:tc>
        <w:tc>
          <w:tcPr>
            <w:tcW w:w="669" w:type="dxa"/>
            <w:shd w:val="clear" w:color="auto" w:fill="FFFFFF"/>
            <w:tcMar>
              <w:top w:w="45" w:type="dxa"/>
              <w:left w:w="98" w:type="dxa"/>
              <w:bottom w:w="45" w:type="dxa"/>
              <w:right w:w="98" w:type="dxa"/>
            </w:tcMar>
            <w:vAlign w:val="center"/>
          </w:tcPr>
          <w:p w14:paraId="2C27757E">
            <w:pPr>
              <w:widowControl/>
              <w:snapToGrid w:val="0"/>
              <w:jc w:val="center"/>
              <w:rPr>
                <w:rFonts w:ascii="宋体" w:hAnsi="宋体"/>
                <w:color w:val="000000"/>
                <w:szCs w:val="21"/>
              </w:rPr>
            </w:pPr>
            <w:r>
              <w:rPr>
                <w:rFonts w:ascii="宋体" w:hAnsi="宋体"/>
                <w:color w:val="000000"/>
                <w:szCs w:val="21"/>
              </w:rPr>
              <w:t>17</w:t>
            </w:r>
          </w:p>
        </w:tc>
        <w:tc>
          <w:tcPr>
            <w:tcW w:w="931" w:type="dxa"/>
            <w:shd w:val="clear" w:color="auto" w:fill="FFFFFF"/>
            <w:tcMar>
              <w:top w:w="45" w:type="dxa"/>
              <w:left w:w="98" w:type="dxa"/>
              <w:bottom w:w="45" w:type="dxa"/>
              <w:right w:w="98" w:type="dxa"/>
            </w:tcMar>
            <w:vAlign w:val="center"/>
          </w:tcPr>
          <w:p w14:paraId="196AEAFE">
            <w:pPr>
              <w:widowControl/>
              <w:snapToGrid w:val="0"/>
              <w:jc w:val="center"/>
              <w:rPr>
                <w:rFonts w:ascii="宋体" w:hAnsi="宋体"/>
                <w:color w:val="000000"/>
                <w:szCs w:val="21"/>
              </w:rPr>
            </w:pPr>
            <w:r>
              <w:rPr>
                <w:rFonts w:ascii="宋体" w:hAnsi="宋体"/>
                <w:color w:val="000000"/>
                <w:szCs w:val="21"/>
              </w:rPr>
              <w:t>53.13%</w:t>
            </w:r>
          </w:p>
        </w:tc>
      </w:tr>
      <w:tr w14:paraId="53853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0ABC26C4">
            <w:pPr>
              <w:widowControl/>
              <w:snapToGrid w:val="0"/>
              <w:jc w:val="center"/>
              <w:rPr>
                <w:rFonts w:ascii="宋体" w:hAnsi="宋体"/>
                <w:color w:val="000000"/>
                <w:szCs w:val="21"/>
              </w:rPr>
            </w:pPr>
            <w:r>
              <w:rPr>
                <w:rFonts w:ascii="宋体" w:hAnsi="宋体"/>
                <w:color w:val="000000"/>
                <w:szCs w:val="21"/>
              </w:rPr>
              <w:t>15</w:t>
            </w:r>
          </w:p>
        </w:tc>
        <w:tc>
          <w:tcPr>
            <w:tcW w:w="1210" w:type="dxa"/>
            <w:shd w:val="clear" w:color="auto" w:fill="FFFFFF"/>
            <w:tcMar>
              <w:top w:w="45" w:type="dxa"/>
              <w:left w:w="98" w:type="dxa"/>
              <w:bottom w:w="45" w:type="dxa"/>
              <w:right w:w="98" w:type="dxa"/>
            </w:tcMar>
            <w:vAlign w:val="center"/>
          </w:tcPr>
          <w:p w14:paraId="632041A6">
            <w:pPr>
              <w:widowControl/>
              <w:snapToGrid w:val="0"/>
              <w:jc w:val="left"/>
              <w:rPr>
                <w:rFonts w:ascii="宋体" w:hAnsi="宋体"/>
                <w:color w:val="000000"/>
                <w:szCs w:val="21"/>
              </w:rPr>
            </w:pPr>
            <w:r>
              <w:rPr>
                <w:rFonts w:ascii="宋体" w:hAnsi="宋体"/>
                <w:color w:val="000000"/>
                <w:szCs w:val="21"/>
              </w:rPr>
              <w:t>针具选择表述</w:t>
            </w:r>
          </w:p>
        </w:tc>
        <w:tc>
          <w:tcPr>
            <w:tcW w:w="4760" w:type="dxa"/>
            <w:shd w:val="clear" w:color="auto" w:fill="FFFFFF"/>
            <w:tcMar>
              <w:top w:w="45" w:type="dxa"/>
              <w:left w:w="98" w:type="dxa"/>
              <w:bottom w:w="45" w:type="dxa"/>
              <w:right w:w="98" w:type="dxa"/>
            </w:tcMar>
            <w:vAlign w:val="center"/>
          </w:tcPr>
          <w:p w14:paraId="6403BDA3">
            <w:pPr>
              <w:widowControl/>
              <w:snapToGrid w:val="0"/>
              <w:jc w:val="left"/>
              <w:rPr>
                <w:rFonts w:ascii="宋体" w:hAnsi="宋体"/>
                <w:color w:val="000000"/>
                <w:szCs w:val="21"/>
              </w:rPr>
            </w:pPr>
            <w:r>
              <w:rPr>
                <w:rFonts w:ascii="宋体" w:hAnsi="宋体"/>
                <w:color w:val="000000"/>
                <w:szCs w:val="21"/>
              </w:rPr>
              <w:t>A.根据病情需要和操作部位选择不同型号的三棱针。针身应光滑、无锈蚀,针尖应锐利、无倒钩。</w:t>
            </w:r>
          </w:p>
        </w:tc>
        <w:tc>
          <w:tcPr>
            <w:tcW w:w="669" w:type="dxa"/>
            <w:shd w:val="clear" w:color="auto" w:fill="FFFFFF"/>
            <w:tcMar>
              <w:top w:w="45" w:type="dxa"/>
              <w:left w:w="98" w:type="dxa"/>
              <w:bottom w:w="45" w:type="dxa"/>
              <w:right w:w="98" w:type="dxa"/>
            </w:tcMar>
            <w:vAlign w:val="center"/>
          </w:tcPr>
          <w:p w14:paraId="6584B442">
            <w:pPr>
              <w:widowControl/>
              <w:snapToGrid w:val="0"/>
              <w:jc w:val="center"/>
              <w:rPr>
                <w:rFonts w:ascii="宋体" w:hAnsi="宋体"/>
                <w:color w:val="000000"/>
                <w:szCs w:val="21"/>
              </w:rPr>
            </w:pPr>
            <w:r>
              <w:rPr>
                <w:rFonts w:ascii="宋体" w:hAnsi="宋体"/>
                <w:color w:val="000000"/>
                <w:szCs w:val="21"/>
              </w:rPr>
              <w:t>18</w:t>
            </w:r>
          </w:p>
        </w:tc>
        <w:tc>
          <w:tcPr>
            <w:tcW w:w="931" w:type="dxa"/>
            <w:shd w:val="clear" w:color="auto" w:fill="FFFFFF"/>
            <w:tcMar>
              <w:top w:w="45" w:type="dxa"/>
              <w:left w:w="98" w:type="dxa"/>
              <w:bottom w:w="45" w:type="dxa"/>
              <w:right w:w="98" w:type="dxa"/>
            </w:tcMar>
            <w:vAlign w:val="center"/>
          </w:tcPr>
          <w:p w14:paraId="29EFB000">
            <w:pPr>
              <w:widowControl/>
              <w:snapToGrid w:val="0"/>
              <w:jc w:val="center"/>
              <w:rPr>
                <w:rFonts w:ascii="宋体" w:hAnsi="宋体"/>
                <w:color w:val="000000"/>
                <w:szCs w:val="21"/>
              </w:rPr>
            </w:pPr>
            <w:r>
              <w:rPr>
                <w:rFonts w:ascii="宋体" w:hAnsi="宋体"/>
                <w:color w:val="000000"/>
                <w:szCs w:val="21"/>
              </w:rPr>
              <w:t>52.94%</w:t>
            </w:r>
          </w:p>
        </w:tc>
      </w:tr>
      <w:tr w14:paraId="66023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1307B1DB">
            <w:pPr>
              <w:widowControl/>
              <w:snapToGrid w:val="0"/>
              <w:jc w:val="center"/>
              <w:rPr>
                <w:rFonts w:ascii="宋体" w:hAnsi="宋体"/>
                <w:color w:val="000000"/>
                <w:szCs w:val="21"/>
              </w:rPr>
            </w:pPr>
            <w:r>
              <w:rPr>
                <w:rFonts w:ascii="宋体" w:hAnsi="宋体"/>
                <w:color w:val="000000"/>
                <w:szCs w:val="21"/>
              </w:rPr>
              <w:t>16</w:t>
            </w:r>
          </w:p>
        </w:tc>
        <w:tc>
          <w:tcPr>
            <w:tcW w:w="1210" w:type="dxa"/>
            <w:shd w:val="clear" w:color="auto" w:fill="FFFFFF"/>
            <w:tcMar>
              <w:top w:w="45" w:type="dxa"/>
              <w:left w:w="98" w:type="dxa"/>
              <w:bottom w:w="45" w:type="dxa"/>
              <w:right w:w="98" w:type="dxa"/>
            </w:tcMar>
            <w:vAlign w:val="center"/>
          </w:tcPr>
          <w:p w14:paraId="0E89A7FC">
            <w:pPr>
              <w:widowControl/>
              <w:snapToGrid w:val="0"/>
              <w:jc w:val="left"/>
              <w:rPr>
                <w:rFonts w:ascii="宋体" w:hAnsi="宋体"/>
                <w:color w:val="000000"/>
                <w:szCs w:val="21"/>
              </w:rPr>
            </w:pPr>
            <w:r>
              <w:rPr>
                <w:rFonts w:ascii="宋体" w:hAnsi="宋体"/>
                <w:color w:val="000000"/>
                <w:szCs w:val="21"/>
              </w:rPr>
              <w:t>三棱针点刺法操作步骤</w:t>
            </w:r>
          </w:p>
        </w:tc>
        <w:tc>
          <w:tcPr>
            <w:tcW w:w="4760" w:type="dxa"/>
            <w:shd w:val="clear" w:color="auto" w:fill="FFFFFF"/>
            <w:tcMar>
              <w:top w:w="45" w:type="dxa"/>
              <w:left w:w="98" w:type="dxa"/>
              <w:bottom w:w="45" w:type="dxa"/>
              <w:right w:w="98" w:type="dxa"/>
            </w:tcMar>
            <w:vAlign w:val="center"/>
          </w:tcPr>
          <w:p w14:paraId="1EAADE75">
            <w:pPr>
              <w:widowControl/>
              <w:snapToGrid w:val="0"/>
              <w:jc w:val="left"/>
              <w:rPr>
                <w:rFonts w:ascii="宋体" w:hAnsi="宋体"/>
                <w:color w:val="000000"/>
                <w:szCs w:val="21"/>
              </w:rPr>
            </w:pPr>
            <w:r>
              <w:rPr>
                <w:rFonts w:ascii="宋体" w:hAnsi="宋体"/>
                <w:color w:val="000000"/>
                <w:szCs w:val="21"/>
              </w:rPr>
              <w:t>A.针尖露出0.5 mm～5 mm,对准已消毒的部位,刺入0.5 mm～5 mm深,随即将针迅速退出;轻轻挤压针孔周围。</w:t>
            </w:r>
          </w:p>
        </w:tc>
        <w:tc>
          <w:tcPr>
            <w:tcW w:w="669" w:type="dxa"/>
            <w:shd w:val="clear" w:color="auto" w:fill="FFFFFF"/>
            <w:tcMar>
              <w:top w:w="45" w:type="dxa"/>
              <w:left w:w="98" w:type="dxa"/>
              <w:bottom w:w="45" w:type="dxa"/>
              <w:right w:w="98" w:type="dxa"/>
            </w:tcMar>
            <w:vAlign w:val="center"/>
          </w:tcPr>
          <w:p w14:paraId="39B50F41">
            <w:pPr>
              <w:widowControl/>
              <w:snapToGrid w:val="0"/>
              <w:jc w:val="center"/>
              <w:rPr>
                <w:rFonts w:ascii="宋体" w:hAnsi="宋体"/>
                <w:color w:val="000000"/>
                <w:szCs w:val="21"/>
              </w:rPr>
            </w:pPr>
            <w:r>
              <w:rPr>
                <w:rFonts w:ascii="宋体" w:hAnsi="宋体"/>
                <w:color w:val="000000"/>
                <w:szCs w:val="21"/>
              </w:rPr>
              <w:t>19</w:t>
            </w:r>
          </w:p>
        </w:tc>
        <w:tc>
          <w:tcPr>
            <w:tcW w:w="931" w:type="dxa"/>
            <w:shd w:val="clear" w:color="auto" w:fill="FFFFFF"/>
            <w:tcMar>
              <w:top w:w="45" w:type="dxa"/>
              <w:left w:w="98" w:type="dxa"/>
              <w:bottom w:w="45" w:type="dxa"/>
              <w:right w:w="98" w:type="dxa"/>
            </w:tcMar>
            <w:vAlign w:val="center"/>
          </w:tcPr>
          <w:p w14:paraId="69F2A21D">
            <w:pPr>
              <w:widowControl/>
              <w:snapToGrid w:val="0"/>
              <w:jc w:val="center"/>
              <w:rPr>
                <w:rFonts w:ascii="宋体" w:hAnsi="宋体"/>
                <w:color w:val="000000"/>
                <w:szCs w:val="21"/>
              </w:rPr>
            </w:pPr>
            <w:r>
              <w:rPr>
                <w:rFonts w:ascii="宋体" w:hAnsi="宋体"/>
                <w:color w:val="000000"/>
                <w:szCs w:val="21"/>
              </w:rPr>
              <w:t>55.88%</w:t>
            </w:r>
          </w:p>
        </w:tc>
      </w:tr>
      <w:tr w14:paraId="3DE70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6C76EBFC">
            <w:pPr>
              <w:widowControl/>
              <w:snapToGrid w:val="0"/>
              <w:jc w:val="center"/>
              <w:rPr>
                <w:rFonts w:ascii="宋体" w:hAnsi="宋体"/>
                <w:color w:val="000000"/>
                <w:szCs w:val="21"/>
              </w:rPr>
            </w:pPr>
            <w:r>
              <w:rPr>
                <w:rFonts w:ascii="宋体" w:hAnsi="宋体"/>
                <w:color w:val="000000"/>
                <w:szCs w:val="21"/>
              </w:rPr>
              <w:t>17</w:t>
            </w:r>
          </w:p>
        </w:tc>
        <w:tc>
          <w:tcPr>
            <w:tcW w:w="1210" w:type="dxa"/>
            <w:shd w:val="clear" w:color="auto" w:fill="FFFFFF"/>
            <w:tcMar>
              <w:top w:w="45" w:type="dxa"/>
              <w:left w:w="98" w:type="dxa"/>
              <w:bottom w:w="45" w:type="dxa"/>
              <w:right w:w="98" w:type="dxa"/>
            </w:tcMar>
            <w:vAlign w:val="center"/>
          </w:tcPr>
          <w:p w14:paraId="718AC4E0">
            <w:pPr>
              <w:widowControl/>
              <w:snapToGrid w:val="0"/>
              <w:jc w:val="left"/>
              <w:rPr>
                <w:rFonts w:ascii="宋体" w:hAnsi="宋体"/>
                <w:color w:val="000000"/>
                <w:szCs w:val="21"/>
              </w:rPr>
            </w:pPr>
            <w:r>
              <w:rPr>
                <w:rFonts w:ascii="宋体" w:hAnsi="宋体"/>
                <w:color w:val="000000"/>
                <w:szCs w:val="21"/>
              </w:rPr>
              <w:t>三棱针刺络法操作步骤</w:t>
            </w:r>
          </w:p>
        </w:tc>
        <w:tc>
          <w:tcPr>
            <w:tcW w:w="4760" w:type="dxa"/>
            <w:shd w:val="clear" w:color="auto" w:fill="FFFFFF"/>
            <w:tcMar>
              <w:top w:w="45" w:type="dxa"/>
              <w:left w:w="98" w:type="dxa"/>
              <w:bottom w:w="45" w:type="dxa"/>
              <w:right w:w="98" w:type="dxa"/>
            </w:tcMar>
            <w:vAlign w:val="center"/>
          </w:tcPr>
          <w:p w14:paraId="55655771">
            <w:pPr>
              <w:widowControl/>
              <w:snapToGrid w:val="0"/>
              <w:jc w:val="left"/>
              <w:rPr>
                <w:rFonts w:ascii="宋体" w:hAnsi="宋体"/>
                <w:color w:val="000000"/>
                <w:szCs w:val="21"/>
              </w:rPr>
            </w:pPr>
            <w:r>
              <w:rPr>
                <w:rFonts w:ascii="宋体" w:hAnsi="宋体"/>
                <w:color w:val="000000"/>
                <w:szCs w:val="21"/>
              </w:rPr>
              <w:t>B.沿用国家标准原文。</w:t>
            </w:r>
          </w:p>
        </w:tc>
        <w:tc>
          <w:tcPr>
            <w:tcW w:w="669" w:type="dxa"/>
            <w:shd w:val="clear" w:color="auto" w:fill="FFFFFF"/>
            <w:tcMar>
              <w:top w:w="45" w:type="dxa"/>
              <w:left w:w="98" w:type="dxa"/>
              <w:bottom w:w="45" w:type="dxa"/>
              <w:right w:w="98" w:type="dxa"/>
            </w:tcMar>
            <w:vAlign w:val="center"/>
          </w:tcPr>
          <w:p w14:paraId="1C1B2C01">
            <w:pPr>
              <w:widowControl/>
              <w:snapToGrid w:val="0"/>
              <w:jc w:val="center"/>
              <w:rPr>
                <w:rFonts w:ascii="宋体" w:hAnsi="宋体"/>
                <w:color w:val="000000"/>
                <w:szCs w:val="21"/>
              </w:rPr>
            </w:pPr>
            <w:r>
              <w:rPr>
                <w:rFonts w:ascii="宋体" w:hAnsi="宋体"/>
                <w:color w:val="000000"/>
                <w:szCs w:val="21"/>
              </w:rPr>
              <w:t>18</w:t>
            </w:r>
          </w:p>
        </w:tc>
        <w:tc>
          <w:tcPr>
            <w:tcW w:w="931" w:type="dxa"/>
            <w:shd w:val="clear" w:color="auto" w:fill="FFFFFF"/>
            <w:tcMar>
              <w:top w:w="45" w:type="dxa"/>
              <w:left w:w="98" w:type="dxa"/>
              <w:bottom w:w="45" w:type="dxa"/>
              <w:right w:w="98" w:type="dxa"/>
            </w:tcMar>
            <w:vAlign w:val="center"/>
          </w:tcPr>
          <w:p w14:paraId="657F9EDF">
            <w:pPr>
              <w:widowControl/>
              <w:snapToGrid w:val="0"/>
              <w:jc w:val="center"/>
              <w:rPr>
                <w:rFonts w:ascii="宋体" w:hAnsi="宋体"/>
                <w:color w:val="000000"/>
                <w:szCs w:val="21"/>
              </w:rPr>
            </w:pPr>
            <w:r>
              <w:rPr>
                <w:rFonts w:ascii="宋体" w:hAnsi="宋体"/>
                <w:color w:val="000000"/>
                <w:szCs w:val="21"/>
              </w:rPr>
              <w:t>52.94%</w:t>
            </w:r>
          </w:p>
        </w:tc>
      </w:tr>
      <w:tr w14:paraId="4A79E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038D541D">
            <w:pPr>
              <w:widowControl/>
              <w:snapToGrid w:val="0"/>
              <w:jc w:val="center"/>
              <w:rPr>
                <w:rFonts w:ascii="宋体" w:hAnsi="宋体"/>
                <w:color w:val="000000"/>
                <w:szCs w:val="21"/>
              </w:rPr>
            </w:pPr>
            <w:r>
              <w:rPr>
                <w:rFonts w:ascii="宋体" w:hAnsi="宋体"/>
                <w:color w:val="000000"/>
                <w:szCs w:val="21"/>
              </w:rPr>
              <w:t>19</w:t>
            </w:r>
          </w:p>
        </w:tc>
        <w:tc>
          <w:tcPr>
            <w:tcW w:w="1210" w:type="dxa"/>
            <w:shd w:val="clear" w:color="auto" w:fill="FFFFFF"/>
            <w:tcMar>
              <w:top w:w="45" w:type="dxa"/>
              <w:left w:w="98" w:type="dxa"/>
              <w:bottom w:w="45" w:type="dxa"/>
              <w:right w:w="98" w:type="dxa"/>
            </w:tcMar>
            <w:vAlign w:val="center"/>
          </w:tcPr>
          <w:p w14:paraId="102AF76D">
            <w:pPr>
              <w:widowControl/>
              <w:snapToGrid w:val="0"/>
              <w:jc w:val="left"/>
              <w:rPr>
                <w:rFonts w:ascii="宋体" w:hAnsi="宋体"/>
                <w:color w:val="000000"/>
                <w:szCs w:val="21"/>
              </w:rPr>
            </w:pPr>
            <w:r>
              <w:rPr>
                <w:rFonts w:ascii="宋体" w:hAnsi="宋体"/>
                <w:color w:val="000000"/>
                <w:szCs w:val="21"/>
              </w:rPr>
              <w:t>三棱针散刺法操作步骤</w:t>
            </w:r>
          </w:p>
        </w:tc>
        <w:tc>
          <w:tcPr>
            <w:tcW w:w="4760" w:type="dxa"/>
            <w:shd w:val="clear" w:color="auto" w:fill="FFFFFF"/>
            <w:tcMar>
              <w:top w:w="45" w:type="dxa"/>
              <w:left w:w="98" w:type="dxa"/>
              <w:bottom w:w="45" w:type="dxa"/>
              <w:right w:w="98" w:type="dxa"/>
            </w:tcMar>
            <w:vAlign w:val="center"/>
          </w:tcPr>
          <w:p w14:paraId="034EA6A0">
            <w:pPr>
              <w:widowControl/>
              <w:snapToGrid w:val="0"/>
              <w:jc w:val="left"/>
              <w:rPr>
                <w:rFonts w:ascii="宋体" w:hAnsi="宋体"/>
                <w:color w:val="000000"/>
                <w:szCs w:val="21"/>
              </w:rPr>
            </w:pPr>
            <w:r>
              <w:rPr>
                <w:rFonts w:ascii="宋体" w:hAnsi="宋体"/>
                <w:color w:val="000000"/>
                <w:szCs w:val="21"/>
              </w:rPr>
              <w:t>B.沿用国家标准原文。</w:t>
            </w:r>
          </w:p>
        </w:tc>
        <w:tc>
          <w:tcPr>
            <w:tcW w:w="669" w:type="dxa"/>
            <w:shd w:val="clear" w:color="auto" w:fill="FFFFFF"/>
            <w:tcMar>
              <w:top w:w="45" w:type="dxa"/>
              <w:left w:w="98" w:type="dxa"/>
              <w:bottom w:w="45" w:type="dxa"/>
              <w:right w:w="98" w:type="dxa"/>
            </w:tcMar>
            <w:vAlign w:val="center"/>
          </w:tcPr>
          <w:p w14:paraId="352CFDB7">
            <w:pPr>
              <w:widowControl/>
              <w:snapToGrid w:val="0"/>
              <w:jc w:val="center"/>
              <w:rPr>
                <w:rFonts w:ascii="宋体" w:hAnsi="宋体"/>
                <w:color w:val="000000"/>
                <w:szCs w:val="21"/>
              </w:rPr>
            </w:pPr>
            <w:r>
              <w:rPr>
                <w:rFonts w:ascii="宋体" w:hAnsi="宋体"/>
                <w:color w:val="000000"/>
                <w:szCs w:val="21"/>
              </w:rPr>
              <w:t>17</w:t>
            </w:r>
          </w:p>
        </w:tc>
        <w:tc>
          <w:tcPr>
            <w:tcW w:w="931" w:type="dxa"/>
            <w:shd w:val="clear" w:color="auto" w:fill="FFFFFF"/>
            <w:tcMar>
              <w:top w:w="45" w:type="dxa"/>
              <w:left w:w="98" w:type="dxa"/>
              <w:bottom w:w="45" w:type="dxa"/>
              <w:right w:w="98" w:type="dxa"/>
            </w:tcMar>
            <w:vAlign w:val="center"/>
          </w:tcPr>
          <w:p w14:paraId="7A4FE6FF">
            <w:pPr>
              <w:widowControl/>
              <w:snapToGrid w:val="0"/>
              <w:jc w:val="center"/>
              <w:rPr>
                <w:rFonts w:ascii="宋体" w:hAnsi="宋体"/>
                <w:color w:val="000000"/>
                <w:szCs w:val="21"/>
              </w:rPr>
            </w:pPr>
            <w:r>
              <w:rPr>
                <w:rFonts w:ascii="宋体" w:hAnsi="宋体"/>
                <w:color w:val="000000"/>
                <w:szCs w:val="21"/>
              </w:rPr>
              <w:t>53.13%</w:t>
            </w:r>
          </w:p>
        </w:tc>
      </w:tr>
      <w:tr w14:paraId="17B7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39A5C7FE">
            <w:pPr>
              <w:widowControl/>
              <w:snapToGrid w:val="0"/>
              <w:jc w:val="center"/>
              <w:rPr>
                <w:rFonts w:ascii="宋体" w:hAnsi="宋体"/>
                <w:color w:val="000000"/>
                <w:szCs w:val="21"/>
              </w:rPr>
            </w:pPr>
            <w:r>
              <w:rPr>
                <w:rFonts w:ascii="宋体" w:hAnsi="宋体"/>
                <w:color w:val="000000"/>
                <w:szCs w:val="21"/>
              </w:rPr>
              <w:t>21</w:t>
            </w:r>
          </w:p>
        </w:tc>
        <w:tc>
          <w:tcPr>
            <w:tcW w:w="1210" w:type="dxa"/>
            <w:shd w:val="clear" w:color="auto" w:fill="FFFFFF"/>
            <w:tcMar>
              <w:top w:w="45" w:type="dxa"/>
              <w:left w:w="98" w:type="dxa"/>
              <w:bottom w:w="45" w:type="dxa"/>
              <w:right w:w="98" w:type="dxa"/>
            </w:tcMar>
            <w:vAlign w:val="center"/>
          </w:tcPr>
          <w:p w14:paraId="578A7B08">
            <w:pPr>
              <w:widowControl/>
              <w:snapToGrid w:val="0"/>
              <w:jc w:val="left"/>
              <w:rPr>
                <w:rFonts w:ascii="宋体" w:hAnsi="宋体"/>
                <w:color w:val="000000"/>
                <w:szCs w:val="21"/>
              </w:rPr>
            </w:pPr>
            <w:r>
              <w:rPr>
                <w:rFonts w:ascii="宋体" w:hAnsi="宋体"/>
                <w:color w:val="000000"/>
                <w:szCs w:val="21"/>
              </w:rPr>
              <w:t>附录A(资料性)常用毫针规格</w:t>
            </w:r>
          </w:p>
        </w:tc>
        <w:tc>
          <w:tcPr>
            <w:tcW w:w="4760" w:type="dxa"/>
            <w:shd w:val="clear" w:color="auto" w:fill="FFFFFF"/>
            <w:tcMar>
              <w:top w:w="45" w:type="dxa"/>
              <w:left w:w="98" w:type="dxa"/>
              <w:bottom w:w="45" w:type="dxa"/>
              <w:right w:w="98" w:type="dxa"/>
            </w:tcMar>
            <w:vAlign w:val="center"/>
          </w:tcPr>
          <w:p w14:paraId="21B47473">
            <w:pPr>
              <w:widowControl/>
              <w:snapToGrid w:val="0"/>
              <w:jc w:val="left"/>
              <w:rPr>
                <w:rFonts w:ascii="宋体" w:hAnsi="宋体"/>
                <w:color w:val="000000"/>
                <w:szCs w:val="21"/>
              </w:rPr>
            </w:pPr>
            <w:r>
              <w:rPr>
                <w:rFonts w:ascii="宋体" w:hAnsi="宋体"/>
                <w:color w:val="000000"/>
                <w:szCs w:val="21"/>
              </w:rPr>
              <w:t>A.同意</w:t>
            </w:r>
          </w:p>
        </w:tc>
        <w:tc>
          <w:tcPr>
            <w:tcW w:w="669" w:type="dxa"/>
            <w:shd w:val="clear" w:color="auto" w:fill="FFFFFF"/>
            <w:tcMar>
              <w:top w:w="45" w:type="dxa"/>
              <w:left w:w="98" w:type="dxa"/>
              <w:bottom w:w="45" w:type="dxa"/>
              <w:right w:w="98" w:type="dxa"/>
            </w:tcMar>
            <w:vAlign w:val="center"/>
          </w:tcPr>
          <w:p w14:paraId="146B64F0">
            <w:pPr>
              <w:widowControl/>
              <w:snapToGrid w:val="0"/>
              <w:jc w:val="center"/>
              <w:rPr>
                <w:rFonts w:ascii="宋体" w:hAnsi="宋体"/>
                <w:color w:val="000000"/>
                <w:szCs w:val="21"/>
              </w:rPr>
            </w:pPr>
            <w:r>
              <w:rPr>
                <w:rFonts w:ascii="宋体" w:hAnsi="宋体"/>
                <w:color w:val="000000"/>
                <w:szCs w:val="21"/>
              </w:rPr>
              <w:t>34</w:t>
            </w:r>
          </w:p>
        </w:tc>
        <w:tc>
          <w:tcPr>
            <w:tcW w:w="931" w:type="dxa"/>
            <w:shd w:val="clear" w:color="auto" w:fill="FFFFFF"/>
            <w:tcMar>
              <w:top w:w="45" w:type="dxa"/>
              <w:left w:w="98" w:type="dxa"/>
              <w:bottom w:w="45" w:type="dxa"/>
              <w:right w:w="98" w:type="dxa"/>
            </w:tcMar>
            <w:vAlign w:val="center"/>
          </w:tcPr>
          <w:p w14:paraId="3B354B40">
            <w:pPr>
              <w:widowControl/>
              <w:snapToGrid w:val="0"/>
              <w:jc w:val="center"/>
              <w:rPr>
                <w:rFonts w:ascii="宋体" w:hAnsi="宋体"/>
                <w:color w:val="000000"/>
                <w:szCs w:val="21"/>
              </w:rPr>
            </w:pPr>
            <w:r>
              <w:rPr>
                <w:rFonts w:ascii="宋体" w:hAnsi="宋体"/>
                <w:color w:val="000000"/>
                <w:szCs w:val="21"/>
              </w:rPr>
              <w:t>100.00%</w:t>
            </w:r>
          </w:p>
        </w:tc>
      </w:tr>
      <w:tr w14:paraId="0757C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5B234333">
            <w:pPr>
              <w:widowControl/>
              <w:snapToGrid w:val="0"/>
              <w:jc w:val="center"/>
              <w:rPr>
                <w:rFonts w:ascii="宋体" w:hAnsi="宋体"/>
                <w:color w:val="000000"/>
                <w:szCs w:val="21"/>
              </w:rPr>
            </w:pPr>
            <w:r>
              <w:rPr>
                <w:rFonts w:ascii="宋体" w:hAnsi="宋体"/>
                <w:color w:val="000000"/>
                <w:szCs w:val="21"/>
              </w:rPr>
              <w:t>22</w:t>
            </w:r>
          </w:p>
        </w:tc>
        <w:tc>
          <w:tcPr>
            <w:tcW w:w="1210" w:type="dxa"/>
            <w:shd w:val="clear" w:color="auto" w:fill="FFFFFF"/>
            <w:tcMar>
              <w:top w:w="45" w:type="dxa"/>
              <w:left w:w="98" w:type="dxa"/>
              <w:bottom w:w="45" w:type="dxa"/>
              <w:right w:w="98" w:type="dxa"/>
            </w:tcMar>
            <w:vAlign w:val="center"/>
          </w:tcPr>
          <w:p w14:paraId="637EB4F1">
            <w:pPr>
              <w:widowControl/>
              <w:snapToGrid w:val="0"/>
              <w:jc w:val="left"/>
              <w:rPr>
                <w:rFonts w:ascii="宋体" w:hAnsi="宋体"/>
                <w:color w:val="000000"/>
                <w:szCs w:val="21"/>
              </w:rPr>
            </w:pPr>
            <w:r>
              <w:rPr>
                <w:rFonts w:ascii="宋体" w:hAnsi="宋体"/>
                <w:color w:val="000000"/>
                <w:szCs w:val="21"/>
              </w:rPr>
              <w:t>循法操作</w:t>
            </w:r>
          </w:p>
        </w:tc>
        <w:tc>
          <w:tcPr>
            <w:tcW w:w="4760" w:type="dxa"/>
            <w:shd w:val="clear" w:color="auto" w:fill="FFFFFF"/>
            <w:tcMar>
              <w:top w:w="45" w:type="dxa"/>
              <w:left w:w="98" w:type="dxa"/>
              <w:bottom w:w="45" w:type="dxa"/>
              <w:right w:w="98" w:type="dxa"/>
            </w:tcMar>
            <w:vAlign w:val="center"/>
          </w:tcPr>
          <w:p w14:paraId="17B06DAF">
            <w:pPr>
              <w:widowControl/>
              <w:snapToGrid w:val="0"/>
              <w:jc w:val="left"/>
              <w:rPr>
                <w:rFonts w:ascii="宋体" w:hAnsi="宋体"/>
                <w:color w:val="000000"/>
                <w:szCs w:val="21"/>
              </w:rPr>
            </w:pPr>
            <w:r>
              <w:rPr>
                <w:rFonts w:ascii="宋体" w:hAnsi="宋体"/>
                <w:color w:val="000000"/>
                <w:szCs w:val="21"/>
              </w:rPr>
              <w:t>B.沿用国家标准原文。</w:t>
            </w:r>
          </w:p>
        </w:tc>
        <w:tc>
          <w:tcPr>
            <w:tcW w:w="669" w:type="dxa"/>
            <w:shd w:val="clear" w:color="auto" w:fill="FFFFFF"/>
            <w:tcMar>
              <w:top w:w="45" w:type="dxa"/>
              <w:left w:w="98" w:type="dxa"/>
              <w:bottom w:w="45" w:type="dxa"/>
              <w:right w:w="98" w:type="dxa"/>
            </w:tcMar>
            <w:vAlign w:val="center"/>
          </w:tcPr>
          <w:p w14:paraId="04EBE9EA">
            <w:pPr>
              <w:widowControl/>
              <w:snapToGrid w:val="0"/>
              <w:jc w:val="center"/>
              <w:rPr>
                <w:rFonts w:ascii="宋体" w:hAnsi="宋体"/>
                <w:color w:val="000000"/>
                <w:szCs w:val="21"/>
              </w:rPr>
            </w:pPr>
            <w:r>
              <w:rPr>
                <w:rFonts w:ascii="宋体" w:hAnsi="宋体"/>
                <w:color w:val="000000"/>
                <w:szCs w:val="21"/>
              </w:rPr>
              <w:t>23</w:t>
            </w:r>
          </w:p>
        </w:tc>
        <w:tc>
          <w:tcPr>
            <w:tcW w:w="931" w:type="dxa"/>
            <w:shd w:val="clear" w:color="auto" w:fill="FFFFFF"/>
            <w:tcMar>
              <w:top w:w="45" w:type="dxa"/>
              <w:left w:w="98" w:type="dxa"/>
              <w:bottom w:w="45" w:type="dxa"/>
              <w:right w:w="98" w:type="dxa"/>
            </w:tcMar>
            <w:vAlign w:val="center"/>
          </w:tcPr>
          <w:p w14:paraId="41E92F8C">
            <w:pPr>
              <w:widowControl/>
              <w:snapToGrid w:val="0"/>
              <w:jc w:val="center"/>
              <w:rPr>
                <w:rFonts w:ascii="宋体" w:hAnsi="宋体"/>
                <w:color w:val="000000"/>
                <w:szCs w:val="21"/>
              </w:rPr>
            </w:pPr>
            <w:r>
              <w:rPr>
                <w:rFonts w:ascii="宋体" w:hAnsi="宋体"/>
                <w:color w:val="000000"/>
                <w:szCs w:val="21"/>
              </w:rPr>
              <w:t>67.65%</w:t>
            </w:r>
          </w:p>
        </w:tc>
      </w:tr>
      <w:tr w14:paraId="6513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6B6D617A">
            <w:pPr>
              <w:widowControl/>
              <w:snapToGrid w:val="0"/>
              <w:jc w:val="center"/>
              <w:rPr>
                <w:rFonts w:ascii="宋体" w:hAnsi="宋体"/>
                <w:color w:val="000000"/>
                <w:szCs w:val="21"/>
              </w:rPr>
            </w:pPr>
            <w:r>
              <w:rPr>
                <w:rFonts w:ascii="宋体" w:hAnsi="宋体"/>
                <w:color w:val="000000"/>
                <w:szCs w:val="21"/>
              </w:rPr>
              <w:t>24</w:t>
            </w:r>
          </w:p>
        </w:tc>
        <w:tc>
          <w:tcPr>
            <w:tcW w:w="1210" w:type="dxa"/>
            <w:shd w:val="clear" w:color="auto" w:fill="FFFFFF"/>
            <w:tcMar>
              <w:top w:w="45" w:type="dxa"/>
              <w:left w:w="98" w:type="dxa"/>
              <w:bottom w:w="45" w:type="dxa"/>
              <w:right w:w="98" w:type="dxa"/>
            </w:tcMar>
            <w:vAlign w:val="center"/>
          </w:tcPr>
          <w:p w14:paraId="06658F11">
            <w:pPr>
              <w:widowControl/>
              <w:snapToGrid w:val="0"/>
              <w:jc w:val="left"/>
              <w:rPr>
                <w:rFonts w:ascii="宋体" w:hAnsi="宋体"/>
                <w:color w:val="000000"/>
                <w:szCs w:val="21"/>
              </w:rPr>
            </w:pPr>
            <w:r>
              <w:rPr>
                <w:rFonts w:ascii="宋体" w:hAnsi="宋体"/>
                <w:color w:val="000000"/>
                <w:szCs w:val="21"/>
              </w:rPr>
              <w:t>刮法操作</w:t>
            </w:r>
          </w:p>
        </w:tc>
        <w:tc>
          <w:tcPr>
            <w:tcW w:w="4760" w:type="dxa"/>
            <w:shd w:val="clear" w:color="auto" w:fill="FFFFFF"/>
            <w:tcMar>
              <w:top w:w="45" w:type="dxa"/>
              <w:left w:w="98" w:type="dxa"/>
              <w:bottom w:w="45" w:type="dxa"/>
              <w:right w:w="98" w:type="dxa"/>
            </w:tcMar>
            <w:vAlign w:val="center"/>
          </w:tcPr>
          <w:p w14:paraId="5F644000">
            <w:pPr>
              <w:widowControl/>
              <w:snapToGrid w:val="0"/>
              <w:jc w:val="left"/>
              <w:rPr>
                <w:rFonts w:ascii="宋体" w:hAnsi="宋体"/>
                <w:color w:val="000000"/>
                <w:szCs w:val="21"/>
              </w:rPr>
            </w:pPr>
            <w:r>
              <w:rPr>
                <w:rFonts w:ascii="宋体" w:hAnsi="宋体"/>
                <w:color w:val="000000"/>
                <w:szCs w:val="21"/>
              </w:rPr>
              <w:t>B.沿用国家标准原文。</w:t>
            </w:r>
          </w:p>
        </w:tc>
        <w:tc>
          <w:tcPr>
            <w:tcW w:w="669" w:type="dxa"/>
            <w:shd w:val="clear" w:color="auto" w:fill="FFFFFF"/>
            <w:tcMar>
              <w:top w:w="45" w:type="dxa"/>
              <w:left w:w="98" w:type="dxa"/>
              <w:bottom w:w="45" w:type="dxa"/>
              <w:right w:w="98" w:type="dxa"/>
            </w:tcMar>
            <w:vAlign w:val="center"/>
          </w:tcPr>
          <w:p w14:paraId="4DDD02F6">
            <w:pPr>
              <w:widowControl/>
              <w:snapToGrid w:val="0"/>
              <w:jc w:val="center"/>
              <w:rPr>
                <w:rFonts w:ascii="宋体" w:hAnsi="宋体"/>
                <w:color w:val="000000"/>
                <w:szCs w:val="21"/>
              </w:rPr>
            </w:pPr>
            <w:r>
              <w:rPr>
                <w:rFonts w:ascii="宋体" w:hAnsi="宋体"/>
                <w:color w:val="000000"/>
                <w:szCs w:val="21"/>
              </w:rPr>
              <w:t>19</w:t>
            </w:r>
          </w:p>
        </w:tc>
        <w:tc>
          <w:tcPr>
            <w:tcW w:w="931" w:type="dxa"/>
            <w:shd w:val="clear" w:color="auto" w:fill="FFFFFF"/>
            <w:tcMar>
              <w:top w:w="45" w:type="dxa"/>
              <w:left w:w="98" w:type="dxa"/>
              <w:bottom w:w="45" w:type="dxa"/>
              <w:right w:w="98" w:type="dxa"/>
            </w:tcMar>
            <w:vAlign w:val="center"/>
          </w:tcPr>
          <w:p w14:paraId="0D6762CC">
            <w:pPr>
              <w:widowControl/>
              <w:snapToGrid w:val="0"/>
              <w:jc w:val="center"/>
              <w:rPr>
                <w:rFonts w:ascii="宋体" w:hAnsi="宋体"/>
                <w:color w:val="000000"/>
                <w:szCs w:val="21"/>
              </w:rPr>
            </w:pPr>
            <w:r>
              <w:rPr>
                <w:rFonts w:ascii="宋体" w:hAnsi="宋体"/>
                <w:color w:val="000000"/>
                <w:szCs w:val="21"/>
              </w:rPr>
              <w:t>55.88%</w:t>
            </w:r>
          </w:p>
        </w:tc>
      </w:tr>
      <w:tr w14:paraId="75165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63761D2B">
            <w:pPr>
              <w:widowControl/>
              <w:snapToGrid w:val="0"/>
              <w:jc w:val="center"/>
              <w:rPr>
                <w:rFonts w:ascii="宋体" w:hAnsi="宋体"/>
                <w:color w:val="000000"/>
                <w:szCs w:val="21"/>
              </w:rPr>
            </w:pPr>
            <w:r>
              <w:rPr>
                <w:rFonts w:ascii="宋体" w:hAnsi="宋体"/>
                <w:color w:val="000000"/>
                <w:szCs w:val="21"/>
              </w:rPr>
              <w:t>25</w:t>
            </w:r>
          </w:p>
        </w:tc>
        <w:tc>
          <w:tcPr>
            <w:tcW w:w="1210" w:type="dxa"/>
            <w:shd w:val="clear" w:color="auto" w:fill="FFFFFF"/>
            <w:tcMar>
              <w:top w:w="45" w:type="dxa"/>
              <w:left w:w="98" w:type="dxa"/>
              <w:bottom w:w="45" w:type="dxa"/>
              <w:right w:w="98" w:type="dxa"/>
            </w:tcMar>
            <w:vAlign w:val="center"/>
          </w:tcPr>
          <w:p w14:paraId="713D53CB">
            <w:pPr>
              <w:widowControl/>
              <w:snapToGrid w:val="0"/>
              <w:jc w:val="left"/>
              <w:rPr>
                <w:rFonts w:ascii="宋体" w:hAnsi="宋体"/>
                <w:color w:val="000000"/>
                <w:szCs w:val="21"/>
              </w:rPr>
            </w:pPr>
            <w:r>
              <w:rPr>
                <w:rFonts w:ascii="宋体" w:hAnsi="宋体"/>
                <w:color w:val="000000"/>
                <w:szCs w:val="21"/>
              </w:rPr>
              <w:t>摇法操作</w:t>
            </w:r>
          </w:p>
        </w:tc>
        <w:tc>
          <w:tcPr>
            <w:tcW w:w="4760" w:type="dxa"/>
            <w:shd w:val="clear" w:color="auto" w:fill="FFFFFF"/>
            <w:tcMar>
              <w:top w:w="45" w:type="dxa"/>
              <w:left w:w="98" w:type="dxa"/>
              <w:bottom w:w="45" w:type="dxa"/>
              <w:right w:w="98" w:type="dxa"/>
            </w:tcMar>
            <w:vAlign w:val="center"/>
          </w:tcPr>
          <w:p w14:paraId="6DEAD8A5">
            <w:pPr>
              <w:widowControl/>
              <w:snapToGrid w:val="0"/>
              <w:jc w:val="left"/>
              <w:rPr>
                <w:rFonts w:ascii="宋体" w:hAnsi="宋体"/>
                <w:color w:val="000000"/>
                <w:szCs w:val="21"/>
              </w:rPr>
            </w:pPr>
            <w:r>
              <w:rPr>
                <w:rFonts w:ascii="宋体" w:hAnsi="宋体"/>
                <w:color w:val="000000"/>
                <w:szCs w:val="21"/>
              </w:rPr>
              <w:t>B.沿用国家标准原文。</w:t>
            </w:r>
          </w:p>
        </w:tc>
        <w:tc>
          <w:tcPr>
            <w:tcW w:w="669" w:type="dxa"/>
            <w:shd w:val="clear" w:color="auto" w:fill="FFFFFF"/>
            <w:tcMar>
              <w:top w:w="45" w:type="dxa"/>
              <w:left w:w="98" w:type="dxa"/>
              <w:bottom w:w="45" w:type="dxa"/>
              <w:right w:w="98" w:type="dxa"/>
            </w:tcMar>
            <w:vAlign w:val="center"/>
          </w:tcPr>
          <w:p w14:paraId="2E699809">
            <w:pPr>
              <w:widowControl/>
              <w:snapToGrid w:val="0"/>
              <w:jc w:val="center"/>
              <w:rPr>
                <w:rFonts w:ascii="宋体" w:hAnsi="宋体"/>
                <w:color w:val="000000"/>
                <w:szCs w:val="21"/>
              </w:rPr>
            </w:pPr>
            <w:r>
              <w:rPr>
                <w:rFonts w:ascii="宋体" w:hAnsi="宋体"/>
                <w:color w:val="000000"/>
                <w:szCs w:val="21"/>
              </w:rPr>
              <w:t>24</w:t>
            </w:r>
          </w:p>
        </w:tc>
        <w:tc>
          <w:tcPr>
            <w:tcW w:w="931" w:type="dxa"/>
            <w:shd w:val="clear" w:color="auto" w:fill="FFFFFF"/>
            <w:tcMar>
              <w:top w:w="45" w:type="dxa"/>
              <w:left w:w="98" w:type="dxa"/>
              <w:bottom w:w="45" w:type="dxa"/>
              <w:right w:w="98" w:type="dxa"/>
            </w:tcMar>
            <w:vAlign w:val="center"/>
          </w:tcPr>
          <w:p w14:paraId="3CAA16CE">
            <w:pPr>
              <w:widowControl/>
              <w:snapToGrid w:val="0"/>
              <w:jc w:val="center"/>
              <w:rPr>
                <w:rFonts w:ascii="宋体" w:hAnsi="宋体"/>
                <w:color w:val="000000"/>
                <w:szCs w:val="21"/>
              </w:rPr>
            </w:pPr>
            <w:r>
              <w:rPr>
                <w:rFonts w:ascii="宋体" w:hAnsi="宋体"/>
                <w:color w:val="000000"/>
                <w:szCs w:val="21"/>
              </w:rPr>
              <w:t>70.59%</w:t>
            </w:r>
          </w:p>
        </w:tc>
      </w:tr>
      <w:tr w14:paraId="268DD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6BBBFF2C">
            <w:pPr>
              <w:widowControl/>
              <w:snapToGrid w:val="0"/>
              <w:jc w:val="center"/>
              <w:rPr>
                <w:rFonts w:ascii="宋体" w:hAnsi="宋体"/>
                <w:color w:val="000000"/>
                <w:szCs w:val="21"/>
              </w:rPr>
            </w:pPr>
            <w:r>
              <w:rPr>
                <w:rFonts w:ascii="宋体" w:hAnsi="宋体"/>
                <w:color w:val="000000"/>
                <w:szCs w:val="21"/>
              </w:rPr>
              <w:t>26</w:t>
            </w:r>
          </w:p>
        </w:tc>
        <w:tc>
          <w:tcPr>
            <w:tcW w:w="1210" w:type="dxa"/>
            <w:shd w:val="clear" w:color="auto" w:fill="FFFFFF"/>
            <w:tcMar>
              <w:top w:w="45" w:type="dxa"/>
              <w:left w:w="98" w:type="dxa"/>
              <w:bottom w:w="45" w:type="dxa"/>
              <w:right w:w="98" w:type="dxa"/>
            </w:tcMar>
            <w:vAlign w:val="center"/>
          </w:tcPr>
          <w:p w14:paraId="62771FB5">
            <w:pPr>
              <w:widowControl/>
              <w:snapToGrid w:val="0"/>
              <w:jc w:val="left"/>
              <w:rPr>
                <w:rFonts w:ascii="宋体" w:hAnsi="宋体"/>
                <w:color w:val="000000"/>
                <w:szCs w:val="21"/>
              </w:rPr>
            </w:pPr>
            <w:r>
              <w:rPr>
                <w:rFonts w:ascii="宋体" w:hAnsi="宋体"/>
                <w:color w:val="000000"/>
                <w:szCs w:val="21"/>
              </w:rPr>
              <w:t>飞法操作</w:t>
            </w:r>
          </w:p>
        </w:tc>
        <w:tc>
          <w:tcPr>
            <w:tcW w:w="4760" w:type="dxa"/>
            <w:shd w:val="clear" w:color="auto" w:fill="FFFFFF"/>
            <w:tcMar>
              <w:top w:w="45" w:type="dxa"/>
              <w:left w:w="98" w:type="dxa"/>
              <w:bottom w:w="45" w:type="dxa"/>
              <w:right w:w="98" w:type="dxa"/>
            </w:tcMar>
            <w:vAlign w:val="center"/>
          </w:tcPr>
          <w:p w14:paraId="22E6D636">
            <w:pPr>
              <w:widowControl/>
              <w:snapToGrid w:val="0"/>
              <w:jc w:val="left"/>
              <w:rPr>
                <w:rFonts w:ascii="宋体" w:hAnsi="宋体"/>
                <w:color w:val="000000"/>
                <w:szCs w:val="21"/>
              </w:rPr>
            </w:pPr>
            <w:r>
              <w:rPr>
                <w:rFonts w:ascii="宋体" w:hAnsi="宋体"/>
                <w:color w:val="000000"/>
                <w:szCs w:val="21"/>
              </w:rPr>
              <w:t>B.沿用国家标准原文。</w:t>
            </w:r>
          </w:p>
        </w:tc>
        <w:tc>
          <w:tcPr>
            <w:tcW w:w="669" w:type="dxa"/>
            <w:shd w:val="clear" w:color="auto" w:fill="FFFFFF"/>
            <w:tcMar>
              <w:top w:w="45" w:type="dxa"/>
              <w:left w:w="98" w:type="dxa"/>
              <w:bottom w:w="45" w:type="dxa"/>
              <w:right w:w="98" w:type="dxa"/>
            </w:tcMar>
            <w:vAlign w:val="center"/>
          </w:tcPr>
          <w:p w14:paraId="71048698">
            <w:pPr>
              <w:widowControl/>
              <w:snapToGrid w:val="0"/>
              <w:jc w:val="center"/>
              <w:rPr>
                <w:rFonts w:ascii="宋体" w:hAnsi="宋体"/>
                <w:color w:val="000000"/>
                <w:szCs w:val="21"/>
              </w:rPr>
            </w:pPr>
            <w:r>
              <w:rPr>
                <w:rFonts w:ascii="宋体" w:hAnsi="宋体"/>
                <w:color w:val="000000"/>
                <w:szCs w:val="21"/>
              </w:rPr>
              <w:t>20</w:t>
            </w:r>
          </w:p>
        </w:tc>
        <w:tc>
          <w:tcPr>
            <w:tcW w:w="931" w:type="dxa"/>
            <w:shd w:val="clear" w:color="auto" w:fill="FFFFFF"/>
            <w:tcMar>
              <w:top w:w="45" w:type="dxa"/>
              <w:left w:w="98" w:type="dxa"/>
              <w:bottom w:w="45" w:type="dxa"/>
              <w:right w:w="98" w:type="dxa"/>
            </w:tcMar>
            <w:vAlign w:val="center"/>
          </w:tcPr>
          <w:p w14:paraId="4C80386E">
            <w:pPr>
              <w:widowControl/>
              <w:snapToGrid w:val="0"/>
              <w:jc w:val="center"/>
              <w:rPr>
                <w:rFonts w:ascii="宋体" w:hAnsi="宋体"/>
                <w:color w:val="000000"/>
                <w:szCs w:val="21"/>
              </w:rPr>
            </w:pPr>
            <w:r>
              <w:rPr>
                <w:rFonts w:ascii="宋体" w:hAnsi="宋体"/>
                <w:color w:val="000000"/>
                <w:szCs w:val="21"/>
              </w:rPr>
              <w:t>58.82%</w:t>
            </w:r>
          </w:p>
        </w:tc>
      </w:tr>
      <w:tr w14:paraId="57C45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04535FA0">
            <w:pPr>
              <w:widowControl/>
              <w:snapToGrid w:val="0"/>
              <w:jc w:val="center"/>
              <w:rPr>
                <w:rFonts w:ascii="宋体" w:hAnsi="宋体"/>
                <w:color w:val="000000"/>
                <w:szCs w:val="21"/>
              </w:rPr>
            </w:pPr>
            <w:r>
              <w:rPr>
                <w:rFonts w:ascii="宋体" w:hAnsi="宋体"/>
                <w:color w:val="000000"/>
                <w:szCs w:val="21"/>
              </w:rPr>
              <w:t>27</w:t>
            </w:r>
          </w:p>
        </w:tc>
        <w:tc>
          <w:tcPr>
            <w:tcW w:w="1210" w:type="dxa"/>
            <w:shd w:val="clear" w:color="auto" w:fill="FFFFFF"/>
            <w:tcMar>
              <w:top w:w="45" w:type="dxa"/>
              <w:left w:w="98" w:type="dxa"/>
              <w:bottom w:w="45" w:type="dxa"/>
              <w:right w:w="98" w:type="dxa"/>
            </w:tcMar>
            <w:vAlign w:val="center"/>
          </w:tcPr>
          <w:p w14:paraId="5F4C5C90">
            <w:pPr>
              <w:widowControl/>
              <w:snapToGrid w:val="0"/>
              <w:jc w:val="left"/>
              <w:rPr>
                <w:rFonts w:ascii="宋体" w:hAnsi="宋体"/>
                <w:color w:val="000000"/>
                <w:szCs w:val="21"/>
              </w:rPr>
            </w:pPr>
            <w:r>
              <w:rPr>
                <w:rFonts w:ascii="宋体" w:hAnsi="宋体"/>
                <w:color w:val="000000"/>
                <w:szCs w:val="21"/>
              </w:rPr>
              <w:t>震颤法的命名与操作</w:t>
            </w:r>
          </w:p>
        </w:tc>
        <w:tc>
          <w:tcPr>
            <w:tcW w:w="4760" w:type="dxa"/>
            <w:shd w:val="clear" w:color="auto" w:fill="FFFFFF"/>
            <w:tcMar>
              <w:top w:w="45" w:type="dxa"/>
              <w:left w:w="98" w:type="dxa"/>
              <w:bottom w:w="45" w:type="dxa"/>
              <w:right w:w="98" w:type="dxa"/>
            </w:tcMar>
            <w:vAlign w:val="center"/>
          </w:tcPr>
          <w:p w14:paraId="470098BC">
            <w:pPr>
              <w:widowControl/>
              <w:snapToGrid w:val="0"/>
              <w:jc w:val="left"/>
              <w:rPr>
                <w:rFonts w:ascii="宋体" w:hAnsi="宋体"/>
                <w:color w:val="000000"/>
                <w:szCs w:val="21"/>
              </w:rPr>
            </w:pPr>
            <w:r>
              <w:rPr>
                <w:rFonts w:ascii="宋体" w:hAnsi="宋体"/>
                <w:color w:val="000000"/>
                <w:szCs w:val="21"/>
              </w:rPr>
              <w:t>B.沿用国家标准原文。</w:t>
            </w:r>
          </w:p>
        </w:tc>
        <w:tc>
          <w:tcPr>
            <w:tcW w:w="669" w:type="dxa"/>
            <w:shd w:val="clear" w:color="auto" w:fill="FFFFFF"/>
            <w:tcMar>
              <w:top w:w="45" w:type="dxa"/>
              <w:left w:w="98" w:type="dxa"/>
              <w:bottom w:w="45" w:type="dxa"/>
              <w:right w:w="98" w:type="dxa"/>
            </w:tcMar>
            <w:vAlign w:val="center"/>
          </w:tcPr>
          <w:p w14:paraId="422AD14C">
            <w:pPr>
              <w:widowControl/>
              <w:snapToGrid w:val="0"/>
              <w:jc w:val="center"/>
              <w:rPr>
                <w:rFonts w:ascii="宋体" w:hAnsi="宋体"/>
                <w:color w:val="000000"/>
                <w:szCs w:val="21"/>
              </w:rPr>
            </w:pPr>
            <w:r>
              <w:rPr>
                <w:rFonts w:ascii="宋体" w:hAnsi="宋体"/>
                <w:color w:val="000000"/>
                <w:szCs w:val="21"/>
              </w:rPr>
              <w:t>22</w:t>
            </w:r>
          </w:p>
        </w:tc>
        <w:tc>
          <w:tcPr>
            <w:tcW w:w="931" w:type="dxa"/>
            <w:shd w:val="clear" w:color="auto" w:fill="FFFFFF"/>
            <w:tcMar>
              <w:top w:w="45" w:type="dxa"/>
              <w:left w:w="98" w:type="dxa"/>
              <w:bottom w:w="45" w:type="dxa"/>
              <w:right w:w="98" w:type="dxa"/>
            </w:tcMar>
            <w:vAlign w:val="center"/>
          </w:tcPr>
          <w:p w14:paraId="2C6F9B1B">
            <w:pPr>
              <w:widowControl/>
              <w:snapToGrid w:val="0"/>
              <w:jc w:val="center"/>
              <w:rPr>
                <w:rFonts w:ascii="宋体" w:hAnsi="宋体"/>
                <w:color w:val="000000"/>
                <w:szCs w:val="21"/>
              </w:rPr>
            </w:pPr>
            <w:r>
              <w:rPr>
                <w:rFonts w:ascii="宋体" w:hAnsi="宋体"/>
                <w:color w:val="000000"/>
                <w:szCs w:val="21"/>
              </w:rPr>
              <w:t>64.71%</w:t>
            </w:r>
          </w:p>
        </w:tc>
      </w:tr>
      <w:tr w14:paraId="1143F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3981584B">
            <w:pPr>
              <w:widowControl/>
              <w:snapToGrid w:val="0"/>
              <w:jc w:val="center"/>
              <w:rPr>
                <w:rFonts w:ascii="宋体" w:hAnsi="宋体"/>
                <w:color w:val="000000"/>
                <w:szCs w:val="21"/>
              </w:rPr>
            </w:pPr>
            <w:r>
              <w:rPr>
                <w:rFonts w:ascii="宋体" w:hAnsi="宋体"/>
                <w:color w:val="000000"/>
                <w:szCs w:val="21"/>
              </w:rPr>
              <w:t>28</w:t>
            </w:r>
          </w:p>
        </w:tc>
        <w:tc>
          <w:tcPr>
            <w:tcW w:w="1210" w:type="dxa"/>
            <w:shd w:val="clear" w:color="auto" w:fill="FFFFFF"/>
            <w:tcMar>
              <w:top w:w="45" w:type="dxa"/>
              <w:left w:w="98" w:type="dxa"/>
              <w:bottom w:w="45" w:type="dxa"/>
              <w:right w:w="98" w:type="dxa"/>
            </w:tcMar>
            <w:vAlign w:val="center"/>
          </w:tcPr>
          <w:p w14:paraId="702769C0">
            <w:pPr>
              <w:widowControl/>
              <w:snapToGrid w:val="0"/>
              <w:jc w:val="left"/>
              <w:rPr>
                <w:rFonts w:ascii="宋体" w:hAnsi="宋体"/>
                <w:color w:val="000000"/>
                <w:szCs w:val="21"/>
              </w:rPr>
            </w:pPr>
            <w:r>
              <w:rPr>
                <w:rFonts w:ascii="宋体" w:hAnsi="宋体"/>
                <w:color w:val="000000"/>
                <w:szCs w:val="21"/>
              </w:rPr>
              <w:t>单式补泻手法各手法操作</w:t>
            </w:r>
          </w:p>
        </w:tc>
        <w:tc>
          <w:tcPr>
            <w:tcW w:w="4760" w:type="dxa"/>
            <w:shd w:val="clear" w:color="auto" w:fill="FFFFFF"/>
            <w:tcMar>
              <w:top w:w="45" w:type="dxa"/>
              <w:left w:w="98" w:type="dxa"/>
              <w:bottom w:w="45" w:type="dxa"/>
              <w:right w:w="98" w:type="dxa"/>
            </w:tcMar>
            <w:vAlign w:val="center"/>
          </w:tcPr>
          <w:p w14:paraId="44481095">
            <w:pPr>
              <w:widowControl/>
              <w:snapToGrid w:val="0"/>
              <w:jc w:val="left"/>
              <w:rPr>
                <w:rFonts w:ascii="宋体" w:hAnsi="宋体"/>
                <w:color w:val="000000"/>
                <w:szCs w:val="21"/>
              </w:rPr>
            </w:pPr>
            <w:r>
              <w:rPr>
                <w:rFonts w:ascii="宋体" w:hAnsi="宋体"/>
                <w:color w:val="000000"/>
                <w:szCs w:val="21"/>
              </w:rPr>
              <w:t>B.沿用国家标准原文。</w:t>
            </w:r>
          </w:p>
        </w:tc>
        <w:tc>
          <w:tcPr>
            <w:tcW w:w="669" w:type="dxa"/>
            <w:shd w:val="clear" w:color="auto" w:fill="FFFFFF"/>
            <w:tcMar>
              <w:top w:w="45" w:type="dxa"/>
              <w:left w:w="98" w:type="dxa"/>
              <w:bottom w:w="45" w:type="dxa"/>
              <w:right w:w="98" w:type="dxa"/>
            </w:tcMar>
            <w:vAlign w:val="center"/>
          </w:tcPr>
          <w:p w14:paraId="1B5C056E">
            <w:pPr>
              <w:widowControl/>
              <w:snapToGrid w:val="0"/>
              <w:jc w:val="center"/>
              <w:rPr>
                <w:rFonts w:ascii="宋体" w:hAnsi="宋体"/>
                <w:color w:val="000000"/>
                <w:szCs w:val="21"/>
              </w:rPr>
            </w:pPr>
            <w:r>
              <w:rPr>
                <w:rFonts w:ascii="宋体" w:hAnsi="宋体"/>
                <w:color w:val="000000"/>
                <w:szCs w:val="21"/>
              </w:rPr>
              <w:t>23</w:t>
            </w:r>
          </w:p>
        </w:tc>
        <w:tc>
          <w:tcPr>
            <w:tcW w:w="931" w:type="dxa"/>
            <w:shd w:val="clear" w:color="auto" w:fill="FFFFFF"/>
            <w:tcMar>
              <w:top w:w="45" w:type="dxa"/>
              <w:left w:w="98" w:type="dxa"/>
              <w:bottom w:w="45" w:type="dxa"/>
              <w:right w:w="98" w:type="dxa"/>
            </w:tcMar>
            <w:vAlign w:val="center"/>
          </w:tcPr>
          <w:p w14:paraId="1D8C66C7">
            <w:pPr>
              <w:widowControl/>
              <w:snapToGrid w:val="0"/>
              <w:jc w:val="center"/>
              <w:rPr>
                <w:rFonts w:ascii="宋体" w:hAnsi="宋体"/>
                <w:color w:val="000000"/>
                <w:szCs w:val="21"/>
              </w:rPr>
            </w:pPr>
            <w:r>
              <w:rPr>
                <w:rFonts w:ascii="宋体" w:hAnsi="宋体"/>
                <w:color w:val="000000"/>
                <w:szCs w:val="21"/>
              </w:rPr>
              <w:t>67.65%</w:t>
            </w:r>
          </w:p>
        </w:tc>
      </w:tr>
      <w:tr w14:paraId="4CCF7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64055632">
            <w:pPr>
              <w:widowControl/>
              <w:snapToGrid w:val="0"/>
              <w:jc w:val="center"/>
              <w:rPr>
                <w:rFonts w:ascii="宋体" w:hAnsi="宋体"/>
                <w:color w:val="000000"/>
                <w:szCs w:val="21"/>
              </w:rPr>
            </w:pPr>
            <w:r>
              <w:rPr>
                <w:rFonts w:ascii="宋体" w:hAnsi="宋体"/>
                <w:color w:val="000000"/>
                <w:szCs w:val="21"/>
              </w:rPr>
              <w:t>29</w:t>
            </w:r>
          </w:p>
        </w:tc>
        <w:tc>
          <w:tcPr>
            <w:tcW w:w="1210" w:type="dxa"/>
            <w:shd w:val="clear" w:color="auto" w:fill="FFFFFF"/>
            <w:tcMar>
              <w:top w:w="45" w:type="dxa"/>
              <w:left w:w="98" w:type="dxa"/>
              <w:bottom w:w="45" w:type="dxa"/>
              <w:right w:w="98" w:type="dxa"/>
            </w:tcMar>
            <w:vAlign w:val="center"/>
          </w:tcPr>
          <w:p w14:paraId="261250BC">
            <w:pPr>
              <w:widowControl/>
              <w:snapToGrid w:val="0"/>
              <w:jc w:val="left"/>
              <w:rPr>
                <w:rFonts w:ascii="宋体" w:hAnsi="宋体"/>
                <w:color w:val="000000"/>
                <w:szCs w:val="21"/>
              </w:rPr>
            </w:pPr>
            <w:r>
              <w:rPr>
                <w:rFonts w:ascii="宋体" w:hAnsi="宋体"/>
                <w:color w:val="000000"/>
                <w:szCs w:val="21"/>
              </w:rPr>
              <w:t>隔姜灸操作步骤</w:t>
            </w:r>
          </w:p>
        </w:tc>
        <w:tc>
          <w:tcPr>
            <w:tcW w:w="4760" w:type="dxa"/>
            <w:shd w:val="clear" w:color="auto" w:fill="FFFFFF"/>
            <w:tcMar>
              <w:top w:w="45" w:type="dxa"/>
              <w:left w:w="98" w:type="dxa"/>
              <w:bottom w:w="45" w:type="dxa"/>
              <w:right w:w="98" w:type="dxa"/>
            </w:tcMar>
            <w:vAlign w:val="center"/>
          </w:tcPr>
          <w:p w14:paraId="093AFC84">
            <w:pPr>
              <w:widowControl/>
              <w:snapToGrid w:val="0"/>
              <w:jc w:val="left"/>
              <w:rPr>
                <w:rFonts w:ascii="宋体" w:hAnsi="宋体"/>
                <w:color w:val="000000"/>
                <w:szCs w:val="21"/>
              </w:rPr>
            </w:pPr>
            <w:r>
              <w:rPr>
                <w:rFonts w:ascii="宋体" w:hAnsi="宋体"/>
                <w:color w:val="000000"/>
                <w:szCs w:val="21"/>
              </w:rPr>
              <w:t>B.沿用国家标准原文。</w:t>
            </w:r>
          </w:p>
        </w:tc>
        <w:tc>
          <w:tcPr>
            <w:tcW w:w="669" w:type="dxa"/>
            <w:shd w:val="clear" w:color="auto" w:fill="FFFFFF"/>
            <w:tcMar>
              <w:top w:w="45" w:type="dxa"/>
              <w:left w:w="98" w:type="dxa"/>
              <w:bottom w:w="45" w:type="dxa"/>
              <w:right w:w="98" w:type="dxa"/>
            </w:tcMar>
            <w:vAlign w:val="center"/>
          </w:tcPr>
          <w:p w14:paraId="608AAF44">
            <w:pPr>
              <w:widowControl/>
              <w:snapToGrid w:val="0"/>
              <w:jc w:val="center"/>
              <w:rPr>
                <w:rFonts w:ascii="宋体" w:hAnsi="宋体"/>
                <w:color w:val="000000"/>
                <w:szCs w:val="21"/>
              </w:rPr>
            </w:pPr>
            <w:r>
              <w:rPr>
                <w:rFonts w:ascii="宋体" w:hAnsi="宋体"/>
                <w:color w:val="000000"/>
                <w:szCs w:val="21"/>
              </w:rPr>
              <w:t>18</w:t>
            </w:r>
          </w:p>
        </w:tc>
        <w:tc>
          <w:tcPr>
            <w:tcW w:w="931" w:type="dxa"/>
            <w:shd w:val="clear" w:color="auto" w:fill="FFFFFF"/>
            <w:tcMar>
              <w:top w:w="45" w:type="dxa"/>
              <w:left w:w="98" w:type="dxa"/>
              <w:bottom w:w="45" w:type="dxa"/>
              <w:right w:w="98" w:type="dxa"/>
            </w:tcMar>
            <w:vAlign w:val="center"/>
          </w:tcPr>
          <w:p w14:paraId="03207931">
            <w:pPr>
              <w:widowControl/>
              <w:snapToGrid w:val="0"/>
              <w:jc w:val="center"/>
              <w:rPr>
                <w:rFonts w:ascii="宋体" w:hAnsi="宋体"/>
                <w:color w:val="000000"/>
                <w:szCs w:val="21"/>
              </w:rPr>
            </w:pPr>
            <w:r>
              <w:rPr>
                <w:rFonts w:ascii="宋体" w:hAnsi="宋体"/>
                <w:color w:val="000000"/>
                <w:szCs w:val="21"/>
              </w:rPr>
              <w:t>52.94%</w:t>
            </w:r>
          </w:p>
        </w:tc>
      </w:tr>
      <w:tr w14:paraId="3D3E5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41612F96">
            <w:pPr>
              <w:widowControl/>
              <w:snapToGrid w:val="0"/>
              <w:jc w:val="center"/>
              <w:rPr>
                <w:rFonts w:ascii="宋体" w:hAnsi="宋体"/>
                <w:color w:val="000000"/>
                <w:szCs w:val="21"/>
              </w:rPr>
            </w:pPr>
            <w:r>
              <w:rPr>
                <w:rFonts w:ascii="宋体" w:hAnsi="宋体"/>
                <w:color w:val="000000"/>
                <w:szCs w:val="21"/>
              </w:rPr>
              <w:t>30</w:t>
            </w:r>
          </w:p>
        </w:tc>
        <w:tc>
          <w:tcPr>
            <w:tcW w:w="1210" w:type="dxa"/>
            <w:shd w:val="clear" w:color="auto" w:fill="FFFFFF"/>
            <w:tcMar>
              <w:top w:w="45" w:type="dxa"/>
              <w:left w:w="98" w:type="dxa"/>
              <w:bottom w:w="45" w:type="dxa"/>
              <w:right w:w="98" w:type="dxa"/>
            </w:tcMar>
            <w:vAlign w:val="center"/>
          </w:tcPr>
          <w:p w14:paraId="3A5D484F">
            <w:pPr>
              <w:widowControl/>
              <w:snapToGrid w:val="0"/>
              <w:jc w:val="left"/>
              <w:rPr>
                <w:rFonts w:ascii="宋体" w:hAnsi="宋体"/>
                <w:color w:val="000000"/>
                <w:szCs w:val="21"/>
              </w:rPr>
            </w:pPr>
            <w:r>
              <w:rPr>
                <w:rFonts w:ascii="宋体" w:hAnsi="宋体"/>
                <w:color w:val="000000"/>
                <w:szCs w:val="21"/>
              </w:rPr>
              <w:t>刺四缝疗程</w:t>
            </w:r>
          </w:p>
        </w:tc>
        <w:tc>
          <w:tcPr>
            <w:tcW w:w="4760" w:type="dxa"/>
            <w:shd w:val="clear" w:color="auto" w:fill="FFFFFF"/>
            <w:tcMar>
              <w:top w:w="45" w:type="dxa"/>
              <w:left w:w="98" w:type="dxa"/>
              <w:bottom w:w="45" w:type="dxa"/>
              <w:right w:w="98" w:type="dxa"/>
            </w:tcMar>
            <w:vAlign w:val="center"/>
          </w:tcPr>
          <w:p w14:paraId="36F7E608">
            <w:pPr>
              <w:widowControl/>
              <w:snapToGrid w:val="0"/>
              <w:jc w:val="left"/>
              <w:rPr>
                <w:rFonts w:ascii="宋体" w:hAnsi="宋体"/>
                <w:color w:val="000000"/>
                <w:szCs w:val="21"/>
              </w:rPr>
            </w:pPr>
            <w:r>
              <w:rPr>
                <w:rFonts w:ascii="宋体" w:hAnsi="宋体"/>
                <w:color w:val="000000"/>
                <w:szCs w:val="21"/>
              </w:rPr>
              <w:t>A.每周刺1~2次,病重者可隔日刺1次,待病情好转后减为每周1次、10天1次或15天1次,最多不超过10次。</w:t>
            </w:r>
          </w:p>
        </w:tc>
        <w:tc>
          <w:tcPr>
            <w:tcW w:w="669" w:type="dxa"/>
            <w:shd w:val="clear" w:color="auto" w:fill="FFFFFF"/>
            <w:tcMar>
              <w:top w:w="45" w:type="dxa"/>
              <w:left w:w="98" w:type="dxa"/>
              <w:bottom w:w="45" w:type="dxa"/>
              <w:right w:w="98" w:type="dxa"/>
            </w:tcMar>
            <w:vAlign w:val="center"/>
          </w:tcPr>
          <w:p w14:paraId="444D4440">
            <w:pPr>
              <w:widowControl/>
              <w:snapToGrid w:val="0"/>
              <w:jc w:val="center"/>
              <w:rPr>
                <w:rFonts w:ascii="宋体" w:hAnsi="宋体"/>
                <w:color w:val="000000"/>
                <w:szCs w:val="21"/>
              </w:rPr>
            </w:pPr>
            <w:r>
              <w:rPr>
                <w:rFonts w:ascii="宋体" w:hAnsi="宋体"/>
                <w:color w:val="000000"/>
                <w:szCs w:val="21"/>
              </w:rPr>
              <w:t>23</w:t>
            </w:r>
          </w:p>
        </w:tc>
        <w:tc>
          <w:tcPr>
            <w:tcW w:w="931" w:type="dxa"/>
            <w:shd w:val="clear" w:color="auto" w:fill="FFFFFF"/>
            <w:tcMar>
              <w:top w:w="45" w:type="dxa"/>
              <w:left w:w="98" w:type="dxa"/>
              <w:bottom w:w="45" w:type="dxa"/>
              <w:right w:w="98" w:type="dxa"/>
            </w:tcMar>
            <w:vAlign w:val="center"/>
          </w:tcPr>
          <w:p w14:paraId="24C0386D">
            <w:pPr>
              <w:widowControl/>
              <w:snapToGrid w:val="0"/>
              <w:jc w:val="center"/>
              <w:rPr>
                <w:rFonts w:ascii="宋体" w:hAnsi="宋体"/>
                <w:color w:val="000000"/>
                <w:szCs w:val="21"/>
              </w:rPr>
            </w:pPr>
            <w:r>
              <w:rPr>
                <w:rFonts w:ascii="宋体" w:hAnsi="宋体"/>
                <w:color w:val="000000"/>
                <w:szCs w:val="21"/>
              </w:rPr>
              <w:t>67.65%</w:t>
            </w:r>
          </w:p>
        </w:tc>
      </w:tr>
      <w:tr w14:paraId="237EA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17990737">
            <w:pPr>
              <w:widowControl/>
              <w:snapToGrid w:val="0"/>
              <w:jc w:val="center"/>
              <w:rPr>
                <w:rFonts w:ascii="宋体" w:hAnsi="宋体"/>
                <w:color w:val="000000"/>
                <w:szCs w:val="21"/>
              </w:rPr>
            </w:pPr>
            <w:r>
              <w:rPr>
                <w:rFonts w:ascii="宋体" w:hAnsi="宋体"/>
                <w:color w:val="000000"/>
                <w:szCs w:val="21"/>
              </w:rPr>
              <w:t>31</w:t>
            </w:r>
          </w:p>
        </w:tc>
        <w:tc>
          <w:tcPr>
            <w:tcW w:w="1210" w:type="dxa"/>
            <w:shd w:val="clear" w:color="auto" w:fill="FFFFFF"/>
            <w:tcMar>
              <w:top w:w="45" w:type="dxa"/>
              <w:left w:w="98" w:type="dxa"/>
              <w:bottom w:w="45" w:type="dxa"/>
              <w:right w:w="98" w:type="dxa"/>
            </w:tcMar>
            <w:vAlign w:val="center"/>
          </w:tcPr>
          <w:p w14:paraId="002B7FDA">
            <w:pPr>
              <w:widowControl/>
              <w:snapToGrid w:val="0"/>
              <w:jc w:val="left"/>
              <w:rPr>
                <w:rFonts w:ascii="宋体" w:hAnsi="宋体"/>
                <w:color w:val="000000"/>
                <w:szCs w:val="21"/>
              </w:rPr>
            </w:pPr>
            <w:r>
              <w:rPr>
                <w:rFonts w:ascii="宋体" w:hAnsi="宋体"/>
                <w:color w:val="000000"/>
                <w:szCs w:val="21"/>
              </w:rPr>
              <w:t>隔盐灸操作步骤</w:t>
            </w:r>
          </w:p>
        </w:tc>
        <w:tc>
          <w:tcPr>
            <w:tcW w:w="4760" w:type="dxa"/>
            <w:shd w:val="clear" w:color="auto" w:fill="FFFFFF"/>
            <w:tcMar>
              <w:top w:w="45" w:type="dxa"/>
              <w:left w:w="98" w:type="dxa"/>
              <w:bottom w:w="45" w:type="dxa"/>
              <w:right w:w="98" w:type="dxa"/>
            </w:tcMar>
            <w:vAlign w:val="center"/>
          </w:tcPr>
          <w:p w14:paraId="23B84DF1">
            <w:pPr>
              <w:widowControl/>
              <w:snapToGrid w:val="0"/>
              <w:jc w:val="left"/>
              <w:rPr>
                <w:rFonts w:ascii="宋体" w:hAnsi="宋体"/>
                <w:color w:val="000000"/>
                <w:szCs w:val="21"/>
              </w:rPr>
            </w:pPr>
            <w:r>
              <w:rPr>
                <w:rFonts w:ascii="宋体" w:hAnsi="宋体"/>
                <w:color w:val="000000"/>
                <w:szCs w:val="21"/>
              </w:rPr>
              <w:t>B.沿用国家标准原文。</w:t>
            </w:r>
          </w:p>
        </w:tc>
        <w:tc>
          <w:tcPr>
            <w:tcW w:w="669" w:type="dxa"/>
            <w:shd w:val="clear" w:color="auto" w:fill="FFFFFF"/>
            <w:tcMar>
              <w:top w:w="45" w:type="dxa"/>
              <w:left w:w="98" w:type="dxa"/>
              <w:bottom w:w="45" w:type="dxa"/>
              <w:right w:w="98" w:type="dxa"/>
            </w:tcMar>
            <w:vAlign w:val="center"/>
          </w:tcPr>
          <w:p w14:paraId="743D8B50">
            <w:pPr>
              <w:widowControl/>
              <w:snapToGrid w:val="0"/>
              <w:jc w:val="center"/>
              <w:rPr>
                <w:rFonts w:ascii="宋体" w:hAnsi="宋体"/>
                <w:color w:val="000000"/>
                <w:szCs w:val="21"/>
              </w:rPr>
            </w:pPr>
            <w:r>
              <w:rPr>
                <w:rFonts w:ascii="宋体" w:hAnsi="宋体"/>
                <w:color w:val="000000"/>
                <w:szCs w:val="21"/>
              </w:rPr>
              <w:t>22</w:t>
            </w:r>
          </w:p>
        </w:tc>
        <w:tc>
          <w:tcPr>
            <w:tcW w:w="931" w:type="dxa"/>
            <w:shd w:val="clear" w:color="auto" w:fill="FFFFFF"/>
            <w:tcMar>
              <w:top w:w="45" w:type="dxa"/>
              <w:left w:w="98" w:type="dxa"/>
              <w:bottom w:w="45" w:type="dxa"/>
              <w:right w:w="98" w:type="dxa"/>
            </w:tcMar>
            <w:vAlign w:val="center"/>
          </w:tcPr>
          <w:p w14:paraId="4E06A5E5">
            <w:pPr>
              <w:widowControl/>
              <w:snapToGrid w:val="0"/>
              <w:jc w:val="center"/>
              <w:rPr>
                <w:rFonts w:ascii="宋体" w:hAnsi="宋体"/>
                <w:color w:val="000000"/>
                <w:szCs w:val="21"/>
              </w:rPr>
            </w:pPr>
            <w:r>
              <w:rPr>
                <w:rFonts w:ascii="宋体" w:hAnsi="宋体"/>
                <w:color w:val="000000"/>
                <w:szCs w:val="21"/>
              </w:rPr>
              <w:t>64.71%</w:t>
            </w:r>
          </w:p>
        </w:tc>
      </w:tr>
      <w:tr w14:paraId="09C8C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50502395">
            <w:pPr>
              <w:widowControl/>
              <w:snapToGrid w:val="0"/>
              <w:jc w:val="center"/>
              <w:rPr>
                <w:rFonts w:ascii="宋体" w:hAnsi="宋体"/>
                <w:color w:val="000000"/>
                <w:szCs w:val="21"/>
              </w:rPr>
            </w:pPr>
            <w:r>
              <w:rPr>
                <w:rFonts w:ascii="宋体" w:hAnsi="宋体"/>
                <w:color w:val="000000"/>
                <w:szCs w:val="21"/>
              </w:rPr>
              <w:t>32</w:t>
            </w:r>
          </w:p>
        </w:tc>
        <w:tc>
          <w:tcPr>
            <w:tcW w:w="1210" w:type="dxa"/>
            <w:shd w:val="clear" w:color="auto" w:fill="FFFFFF"/>
            <w:tcMar>
              <w:top w:w="45" w:type="dxa"/>
              <w:left w:w="98" w:type="dxa"/>
              <w:bottom w:w="45" w:type="dxa"/>
              <w:right w:w="98" w:type="dxa"/>
            </w:tcMar>
            <w:vAlign w:val="center"/>
          </w:tcPr>
          <w:p w14:paraId="64CCA523">
            <w:pPr>
              <w:widowControl/>
              <w:snapToGrid w:val="0"/>
              <w:jc w:val="left"/>
              <w:rPr>
                <w:rFonts w:ascii="宋体" w:hAnsi="宋体"/>
                <w:color w:val="000000"/>
                <w:szCs w:val="21"/>
              </w:rPr>
            </w:pPr>
            <w:r>
              <w:rPr>
                <w:rFonts w:ascii="宋体" w:hAnsi="宋体"/>
                <w:color w:val="000000"/>
                <w:szCs w:val="21"/>
              </w:rPr>
              <w:t>隔附子灸的名称和操作步骤</w:t>
            </w:r>
          </w:p>
        </w:tc>
        <w:tc>
          <w:tcPr>
            <w:tcW w:w="4760" w:type="dxa"/>
            <w:shd w:val="clear" w:color="auto" w:fill="FFFFFF"/>
            <w:tcMar>
              <w:top w:w="45" w:type="dxa"/>
              <w:left w:w="98" w:type="dxa"/>
              <w:bottom w:w="45" w:type="dxa"/>
              <w:right w:w="98" w:type="dxa"/>
            </w:tcMar>
            <w:vAlign w:val="center"/>
          </w:tcPr>
          <w:p w14:paraId="7CAD159E">
            <w:pPr>
              <w:widowControl/>
              <w:snapToGrid w:val="0"/>
              <w:jc w:val="left"/>
              <w:rPr>
                <w:rFonts w:ascii="宋体" w:hAnsi="宋体"/>
                <w:color w:val="000000"/>
                <w:szCs w:val="21"/>
              </w:rPr>
            </w:pPr>
            <w:r>
              <w:rPr>
                <w:rFonts w:ascii="宋体" w:hAnsi="宋体"/>
                <w:color w:val="000000"/>
                <w:szCs w:val="21"/>
              </w:rPr>
              <w:t>B.沿用国家标准原文。</w:t>
            </w:r>
          </w:p>
        </w:tc>
        <w:tc>
          <w:tcPr>
            <w:tcW w:w="669" w:type="dxa"/>
            <w:shd w:val="clear" w:color="auto" w:fill="FFFFFF"/>
            <w:tcMar>
              <w:top w:w="45" w:type="dxa"/>
              <w:left w:w="98" w:type="dxa"/>
              <w:bottom w:w="45" w:type="dxa"/>
              <w:right w:w="98" w:type="dxa"/>
            </w:tcMar>
            <w:vAlign w:val="center"/>
          </w:tcPr>
          <w:p w14:paraId="0B02C915">
            <w:pPr>
              <w:widowControl/>
              <w:snapToGrid w:val="0"/>
              <w:jc w:val="center"/>
              <w:rPr>
                <w:rFonts w:ascii="宋体" w:hAnsi="宋体"/>
                <w:color w:val="000000"/>
                <w:szCs w:val="21"/>
              </w:rPr>
            </w:pPr>
            <w:r>
              <w:rPr>
                <w:rFonts w:ascii="宋体" w:hAnsi="宋体"/>
                <w:color w:val="000000"/>
                <w:szCs w:val="21"/>
              </w:rPr>
              <w:t>18</w:t>
            </w:r>
          </w:p>
        </w:tc>
        <w:tc>
          <w:tcPr>
            <w:tcW w:w="931" w:type="dxa"/>
            <w:shd w:val="clear" w:color="auto" w:fill="FFFFFF"/>
            <w:tcMar>
              <w:top w:w="45" w:type="dxa"/>
              <w:left w:w="98" w:type="dxa"/>
              <w:bottom w:w="45" w:type="dxa"/>
              <w:right w:w="98" w:type="dxa"/>
            </w:tcMar>
            <w:vAlign w:val="center"/>
          </w:tcPr>
          <w:p w14:paraId="3AE70DAA">
            <w:pPr>
              <w:widowControl/>
              <w:snapToGrid w:val="0"/>
              <w:jc w:val="center"/>
              <w:rPr>
                <w:rFonts w:ascii="宋体" w:hAnsi="宋体"/>
                <w:color w:val="000000"/>
                <w:szCs w:val="21"/>
              </w:rPr>
            </w:pPr>
            <w:r>
              <w:rPr>
                <w:rFonts w:ascii="宋体" w:hAnsi="宋体"/>
                <w:color w:val="000000"/>
                <w:szCs w:val="21"/>
              </w:rPr>
              <w:t>54.55%</w:t>
            </w:r>
          </w:p>
        </w:tc>
      </w:tr>
      <w:tr w14:paraId="6A2E6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20DEFEC8">
            <w:pPr>
              <w:widowControl/>
              <w:snapToGrid w:val="0"/>
              <w:jc w:val="center"/>
              <w:rPr>
                <w:rFonts w:ascii="宋体" w:hAnsi="宋体"/>
                <w:color w:val="000000"/>
                <w:szCs w:val="21"/>
              </w:rPr>
            </w:pPr>
            <w:r>
              <w:rPr>
                <w:rFonts w:ascii="宋体" w:hAnsi="宋体"/>
                <w:color w:val="000000"/>
                <w:szCs w:val="21"/>
              </w:rPr>
              <w:t>33</w:t>
            </w:r>
          </w:p>
        </w:tc>
        <w:tc>
          <w:tcPr>
            <w:tcW w:w="1210" w:type="dxa"/>
            <w:shd w:val="clear" w:color="auto" w:fill="FFFFFF"/>
            <w:tcMar>
              <w:top w:w="45" w:type="dxa"/>
              <w:left w:w="98" w:type="dxa"/>
              <w:bottom w:w="45" w:type="dxa"/>
              <w:right w:w="98" w:type="dxa"/>
            </w:tcMar>
            <w:vAlign w:val="center"/>
          </w:tcPr>
          <w:p w14:paraId="1D92F90C">
            <w:pPr>
              <w:widowControl/>
              <w:snapToGrid w:val="0"/>
              <w:jc w:val="left"/>
              <w:rPr>
                <w:rFonts w:ascii="宋体" w:hAnsi="宋体"/>
                <w:color w:val="000000"/>
                <w:szCs w:val="21"/>
              </w:rPr>
            </w:pPr>
            <w:r>
              <w:rPr>
                <w:rFonts w:ascii="宋体" w:hAnsi="宋体"/>
                <w:color w:val="000000"/>
                <w:szCs w:val="21"/>
              </w:rPr>
              <w:t>雷火神针操作</w:t>
            </w:r>
          </w:p>
        </w:tc>
        <w:tc>
          <w:tcPr>
            <w:tcW w:w="4760" w:type="dxa"/>
            <w:shd w:val="clear" w:color="auto" w:fill="FFFFFF"/>
            <w:tcMar>
              <w:top w:w="45" w:type="dxa"/>
              <w:left w:w="98" w:type="dxa"/>
              <w:bottom w:w="45" w:type="dxa"/>
              <w:right w:w="98" w:type="dxa"/>
            </w:tcMar>
            <w:vAlign w:val="center"/>
          </w:tcPr>
          <w:p w14:paraId="23326697">
            <w:pPr>
              <w:widowControl/>
              <w:snapToGrid w:val="0"/>
              <w:jc w:val="left"/>
              <w:rPr>
                <w:rFonts w:ascii="宋体" w:hAnsi="宋体"/>
                <w:color w:val="000000"/>
                <w:szCs w:val="21"/>
              </w:rPr>
            </w:pPr>
            <w:r>
              <w:rPr>
                <w:rFonts w:ascii="宋体" w:hAnsi="宋体"/>
                <w:color w:val="000000"/>
                <w:szCs w:val="21"/>
              </w:rPr>
              <w:t>A.艾绒94 g,沉香、木香、乳香、茵陈、羌活、干姜各9 g,加入麝香少许,研末,混匀。将药物平铺在桑皮纸上,卷紧如爆竹状,再用木板搓捻卷紧,外用鸡蛋清涂抹,阴干保存备用。</w:t>
            </w:r>
          </w:p>
        </w:tc>
        <w:tc>
          <w:tcPr>
            <w:tcW w:w="669" w:type="dxa"/>
            <w:shd w:val="clear" w:color="auto" w:fill="FFFFFF"/>
            <w:tcMar>
              <w:top w:w="45" w:type="dxa"/>
              <w:left w:w="98" w:type="dxa"/>
              <w:bottom w:w="45" w:type="dxa"/>
              <w:right w:w="98" w:type="dxa"/>
            </w:tcMar>
            <w:vAlign w:val="center"/>
          </w:tcPr>
          <w:p w14:paraId="6EB794ED">
            <w:pPr>
              <w:widowControl/>
              <w:snapToGrid w:val="0"/>
              <w:jc w:val="center"/>
              <w:rPr>
                <w:rFonts w:ascii="宋体" w:hAnsi="宋体"/>
                <w:color w:val="000000"/>
                <w:szCs w:val="21"/>
              </w:rPr>
            </w:pPr>
            <w:r>
              <w:rPr>
                <w:rFonts w:ascii="宋体" w:hAnsi="宋体"/>
                <w:color w:val="000000"/>
                <w:szCs w:val="21"/>
              </w:rPr>
              <w:t>32</w:t>
            </w:r>
          </w:p>
        </w:tc>
        <w:tc>
          <w:tcPr>
            <w:tcW w:w="931" w:type="dxa"/>
            <w:shd w:val="clear" w:color="auto" w:fill="FFFFFF"/>
            <w:tcMar>
              <w:top w:w="45" w:type="dxa"/>
              <w:left w:w="98" w:type="dxa"/>
              <w:bottom w:w="45" w:type="dxa"/>
              <w:right w:w="98" w:type="dxa"/>
            </w:tcMar>
            <w:vAlign w:val="center"/>
          </w:tcPr>
          <w:p w14:paraId="5FC377F5">
            <w:pPr>
              <w:widowControl/>
              <w:snapToGrid w:val="0"/>
              <w:jc w:val="center"/>
              <w:rPr>
                <w:rFonts w:ascii="宋体" w:hAnsi="宋体"/>
                <w:color w:val="000000"/>
                <w:szCs w:val="21"/>
              </w:rPr>
            </w:pPr>
            <w:r>
              <w:rPr>
                <w:rFonts w:ascii="宋体" w:hAnsi="宋体"/>
                <w:color w:val="000000"/>
                <w:szCs w:val="21"/>
              </w:rPr>
              <w:t>94.12%</w:t>
            </w:r>
          </w:p>
        </w:tc>
      </w:tr>
      <w:tr w14:paraId="722BC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16899A6C">
            <w:pPr>
              <w:widowControl/>
              <w:snapToGrid w:val="0"/>
              <w:jc w:val="center"/>
              <w:rPr>
                <w:rFonts w:ascii="宋体" w:hAnsi="宋体"/>
                <w:color w:val="000000"/>
                <w:szCs w:val="21"/>
              </w:rPr>
            </w:pPr>
            <w:r>
              <w:rPr>
                <w:rFonts w:ascii="宋体" w:hAnsi="宋体"/>
                <w:color w:val="000000"/>
                <w:szCs w:val="21"/>
              </w:rPr>
              <w:t>34</w:t>
            </w:r>
          </w:p>
        </w:tc>
        <w:tc>
          <w:tcPr>
            <w:tcW w:w="1210" w:type="dxa"/>
            <w:shd w:val="clear" w:color="auto" w:fill="FFFFFF"/>
            <w:tcMar>
              <w:top w:w="45" w:type="dxa"/>
              <w:left w:w="98" w:type="dxa"/>
              <w:bottom w:w="45" w:type="dxa"/>
              <w:right w:w="98" w:type="dxa"/>
            </w:tcMar>
            <w:vAlign w:val="center"/>
          </w:tcPr>
          <w:p w14:paraId="44A4D105">
            <w:pPr>
              <w:widowControl/>
              <w:snapToGrid w:val="0"/>
              <w:jc w:val="left"/>
              <w:rPr>
                <w:rFonts w:ascii="宋体" w:hAnsi="宋体"/>
                <w:color w:val="000000"/>
                <w:szCs w:val="21"/>
              </w:rPr>
            </w:pPr>
            <w:r>
              <w:rPr>
                <w:rFonts w:ascii="宋体" w:hAnsi="宋体"/>
                <w:color w:val="000000"/>
                <w:szCs w:val="21"/>
              </w:rPr>
              <w:t>太乙神针组成和制作方法</w:t>
            </w:r>
          </w:p>
        </w:tc>
        <w:tc>
          <w:tcPr>
            <w:tcW w:w="4760" w:type="dxa"/>
            <w:shd w:val="clear" w:color="auto" w:fill="FFFFFF"/>
            <w:tcMar>
              <w:top w:w="45" w:type="dxa"/>
              <w:left w:w="98" w:type="dxa"/>
              <w:bottom w:w="45" w:type="dxa"/>
              <w:right w:w="98" w:type="dxa"/>
            </w:tcMar>
            <w:vAlign w:val="center"/>
          </w:tcPr>
          <w:p w14:paraId="6FDD9313">
            <w:pPr>
              <w:widowControl/>
              <w:snapToGrid w:val="0"/>
              <w:jc w:val="left"/>
              <w:rPr>
                <w:rFonts w:ascii="宋体" w:hAnsi="宋体"/>
                <w:color w:val="000000"/>
                <w:szCs w:val="21"/>
              </w:rPr>
            </w:pPr>
            <w:r>
              <w:rPr>
                <w:rFonts w:ascii="宋体" w:hAnsi="宋体"/>
                <w:color w:val="000000"/>
                <w:szCs w:val="21"/>
              </w:rPr>
              <w:t>B.沿用国家标准原文。</w:t>
            </w:r>
          </w:p>
        </w:tc>
        <w:tc>
          <w:tcPr>
            <w:tcW w:w="669" w:type="dxa"/>
            <w:shd w:val="clear" w:color="auto" w:fill="FFFFFF"/>
            <w:tcMar>
              <w:top w:w="45" w:type="dxa"/>
              <w:left w:w="98" w:type="dxa"/>
              <w:bottom w:w="45" w:type="dxa"/>
              <w:right w:w="98" w:type="dxa"/>
            </w:tcMar>
            <w:vAlign w:val="center"/>
          </w:tcPr>
          <w:p w14:paraId="7285CF4E">
            <w:pPr>
              <w:widowControl/>
              <w:snapToGrid w:val="0"/>
              <w:jc w:val="center"/>
              <w:rPr>
                <w:rFonts w:ascii="宋体" w:hAnsi="宋体"/>
                <w:color w:val="000000"/>
                <w:szCs w:val="21"/>
              </w:rPr>
            </w:pPr>
            <w:r>
              <w:rPr>
                <w:rFonts w:ascii="宋体" w:hAnsi="宋体"/>
                <w:color w:val="000000"/>
                <w:szCs w:val="21"/>
              </w:rPr>
              <w:t>20</w:t>
            </w:r>
          </w:p>
        </w:tc>
        <w:tc>
          <w:tcPr>
            <w:tcW w:w="931" w:type="dxa"/>
            <w:shd w:val="clear" w:color="auto" w:fill="FFFFFF"/>
            <w:tcMar>
              <w:top w:w="45" w:type="dxa"/>
              <w:left w:w="98" w:type="dxa"/>
              <w:bottom w:w="45" w:type="dxa"/>
              <w:right w:w="98" w:type="dxa"/>
            </w:tcMar>
            <w:vAlign w:val="center"/>
          </w:tcPr>
          <w:p w14:paraId="66011081">
            <w:pPr>
              <w:widowControl/>
              <w:snapToGrid w:val="0"/>
              <w:jc w:val="center"/>
              <w:rPr>
                <w:rFonts w:ascii="宋体" w:hAnsi="宋体"/>
                <w:color w:val="000000"/>
                <w:szCs w:val="21"/>
              </w:rPr>
            </w:pPr>
            <w:r>
              <w:rPr>
                <w:rFonts w:ascii="宋体" w:hAnsi="宋体"/>
                <w:color w:val="000000"/>
                <w:szCs w:val="21"/>
              </w:rPr>
              <w:t>60.61%</w:t>
            </w:r>
          </w:p>
        </w:tc>
      </w:tr>
      <w:tr w14:paraId="2AB1F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0C494839">
            <w:pPr>
              <w:widowControl/>
              <w:snapToGrid w:val="0"/>
              <w:jc w:val="center"/>
              <w:rPr>
                <w:rFonts w:ascii="宋体" w:hAnsi="宋体"/>
                <w:color w:val="000000"/>
                <w:szCs w:val="21"/>
              </w:rPr>
            </w:pPr>
            <w:r>
              <w:rPr>
                <w:rFonts w:ascii="宋体" w:hAnsi="宋体"/>
                <w:color w:val="000000"/>
                <w:szCs w:val="21"/>
              </w:rPr>
              <w:t>35</w:t>
            </w:r>
          </w:p>
        </w:tc>
        <w:tc>
          <w:tcPr>
            <w:tcW w:w="1210" w:type="dxa"/>
            <w:shd w:val="clear" w:color="auto" w:fill="FFFFFF"/>
            <w:tcMar>
              <w:top w:w="45" w:type="dxa"/>
              <w:left w:w="98" w:type="dxa"/>
              <w:bottom w:w="45" w:type="dxa"/>
              <w:right w:w="98" w:type="dxa"/>
            </w:tcMar>
            <w:vAlign w:val="center"/>
          </w:tcPr>
          <w:p w14:paraId="58D5B411">
            <w:pPr>
              <w:widowControl/>
              <w:snapToGrid w:val="0"/>
              <w:jc w:val="left"/>
              <w:rPr>
                <w:rFonts w:ascii="宋体" w:hAnsi="宋体"/>
                <w:color w:val="000000"/>
                <w:szCs w:val="21"/>
              </w:rPr>
            </w:pPr>
            <w:r>
              <w:rPr>
                <w:rFonts w:ascii="宋体" w:hAnsi="宋体"/>
                <w:color w:val="000000"/>
                <w:szCs w:val="21"/>
              </w:rPr>
              <w:t>艾灸治疗时间及疗程</w:t>
            </w:r>
          </w:p>
        </w:tc>
        <w:tc>
          <w:tcPr>
            <w:tcW w:w="4760" w:type="dxa"/>
            <w:shd w:val="clear" w:color="auto" w:fill="FFFFFF"/>
            <w:tcMar>
              <w:top w:w="45" w:type="dxa"/>
              <w:left w:w="98" w:type="dxa"/>
              <w:bottom w:w="45" w:type="dxa"/>
              <w:right w:w="98" w:type="dxa"/>
            </w:tcMar>
            <w:vAlign w:val="center"/>
          </w:tcPr>
          <w:p w14:paraId="0FB9FC08">
            <w:pPr>
              <w:widowControl/>
              <w:snapToGrid w:val="0"/>
              <w:jc w:val="left"/>
              <w:rPr>
                <w:rFonts w:ascii="宋体" w:hAnsi="宋体"/>
                <w:color w:val="000000"/>
                <w:szCs w:val="21"/>
              </w:rPr>
            </w:pPr>
            <w:r>
              <w:rPr>
                <w:rFonts w:ascii="宋体" w:hAnsi="宋体"/>
                <w:color w:val="000000"/>
                <w:szCs w:val="21"/>
              </w:rPr>
              <w:t>A.艾灸时间不宜过长,以每穴3~10 min为宜。夏季时间宜短,冬季时间可略长。艾灸频率、疗程视小儿情况而定,可每日、隔日或3天灸一次。</w:t>
            </w:r>
          </w:p>
        </w:tc>
        <w:tc>
          <w:tcPr>
            <w:tcW w:w="669" w:type="dxa"/>
            <w:shd w:val="clear" w:color="auto" w:fill="FFFFFF"/>
            <w:tcMar>
              <w:top w:w="45" w:type="dxa"/>
              <w:left w:w="98" w:type="dxa"/>
              <w:bottom w:w="45" w:type="dxa"/>
              <w:right w:w="98" w:type="dxa"/>
            </w:tcMar>
            <w:vAlign w:val="center"/>
          </w:tcPr>
          <w:p w14:paraId="2DBA7EEF">
            <w:pPr>
              <w:widowControl/>
              <w:snapToGrid w:val="0"/>
              <w:jc w:val="center"/>
              <w:rPr>
                <w:rFonts w:ascii="宋体" w:hAnsi="宋体"/>
                <w:color w:val="000000"/>
                <w:szCs w:val="21"/>
              </w:rPr>
            </w:pPr>
            <w:r>
              <w:rPr>
                <w:rFonts w:ascii="宋体" w:hAnsi="宋体"/>
                <w:color w:val="000000"/>
                <w:szCs w:val="21"/>
              </w:rPr>
              <w:t>25</w:t>
            </w:r>
          </w:p>
        </w:tc>
        <w:tc>
          <w:tcPr>
            <w:tcW w:w="931" w:type="dxa"/>
            <w:shd w:val="clear" w:color="auto" w:fill="FFFFFF"/>
            <w:tcMar>
              <w:top w:w="45" w:type="dxa"/>
              <w:left w:w="98" w:type="dxa"/>
              <w:bottom w:w="45" w:type="dxa"/>
              <w:right w:w="98" w:type="dxa"/>
            </w:tcMar>
            <w:vAlign w:val="center"/>
          </w:tcPr>
          <w:p w14:paraId="0216FDCC">
            <w:pPr>
              <w:widowControl/>
              <w:snapToGrid w:val="0"/>
              <w:jc w:val="center"/>
              <w:rPr>
                <w:rFonts w:ascii="宋体" w:hAnsi="宋体"/>
                <w:color w:val="000000"/>
                <w:szCs w:val="21"/>
              </w:rPr>
            </w:pPr>
            <w:r>
              <w:rPr>
                <w:rFonts w:ascii="宋体" w:hAnsi="宋体"/>
                <w:color w:val="000000"/>
                <w:szCs w:val="21"/>
              </w:rPr>
              <w:t>73.53%</w:t>
            </w:r>
          </w:p>
        </w:tc>
      </w:tr>
      <w:tr w14:paraId="04F77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15" w:type="dxa"/>
            <w:left w:w="15" w:type="dxa"/>
            <w:bottom w:w="15" w:type="dxa"/>
            <w:right w:w="15" w:type="dxa"/>
          </w:tblCellMar>
        </w:tblPrEx>
        <w:trPr>
          <w:jc w:val="center"/>
        </w:trPr>
        <w:tc>
          <w:tcPr>
            <w:tcW w:w="929" w:type="dxa"/>
            <w:shd w:val="clear" w:color="auto" w:fill="FFFFFF"/>
            <w:tcMar>
              <w:top w:w="45" w:type="dxa"/>
              <w:left w:w="98" w:type="dxa"/>
              <w:bottom w:w="45" w:type="dxa"/>
              <w:right w:w="98" w:type="dxa"/>
            </w:tcMar>
            <w:vAlign w:val="center"/>
          </w:tcPr>
          <w:p w14:paraId="300EA83C">
            <w:pPr>
              <w:widowControl/>
              <w:snapToGrid w:val="0"/>
              <w:jc w:val="center"/>
              <w:rPr>
                <w:rFonts w:ascii="宋体" w:hAnsi="宋体"/>
                <w:color w:val="000000"/>
                <w:szCs w:val="21"/>
              </w:rPr>
            </w:pPr>
            <w:r>
              <w:rPr>
                <w:rFonts w:ascii="宋体" w:hAnsi="宋体"/>
                <w:color w:val="000000"/>
                <w:szCs w:val="21"/>
              </w:rPr>
              <w:t>36</w:t>
            </w:r>
          </w:p>
        </w:tc>
        <w:tc>
          <w:tcPr>
            <w:tcW w:w="1210" w:type="dxa"/>
            <w:shd w:val="clear" w:color="auto" w:fill="FFFFFF"/>
            <w:tcMar>
              <w:top w:w="45" w:type="dxa"/>
              <w:left w:w="98" w:type="dxa"/>
              <w:bottom w:w="45" w:type="dxa"/>
              <w:right w:w="98" w:type="dxa"/>
            </w:tcMar>
            <w:vAlign w:val="center"/>
          </w:tcPr>
          <w:p w14:paraId="529BFFE6">
            <w:pPr>
              <w:widowControl/>
              <w:snapToGrid w:val="0"/>
              <w:jc w:val="left"/>
              <w:rPr>
                <w:rFonts w:ascii="宋体" w:hAnsi="宋体"/>
                <w:color w:val="000000"/>
                <w:szCs w:val="21"/>
              </w:rPr>
            </w:pPr>
            <w:r>
              <w:rPr>
                <w:rFonts w:ascii="宋体" w:hAnsi="宋体"/>
                <w:color w:val="000000"/>
                <w:szCs w:val="21"/>
              </w:rPr>
              <w:t>小儿囟门附近针刺操作</w:t>
            </w:r>
          </w:p>
        </w:tc>
        <w:tc>
          <w:tcPr>
            <w:tcW w:w="4760" w:type="dxa"/>
            <w:shd w:val="clear" w:color="auto" w:fill="FFFFFF"/>
            <w:tcMar>
              <w:top w:w="45" w:type="dxa"/>
              <w:left w:w="98" w:type="dxa"/>
              <w:bottom w:w="45" w:type="dxa"/>
              <w:right w:w="98" w:type="dxa"/>
            </w:tcMar>
            <w:vAlign w:val="center"/>
          </w:tcPr>
          <w:p w14:paraId="131A6BFF">
            <w:pPr>
              <w:widowControl/>
              <w:snapToGrid w:val="0"/>
              <w:jc w:val="left"/>
              <w:rPr>
                <w:rFonts w:ascii="宋体" w:hAnsi="宋体"/>
                <w:color w:val="000000"/>
                <w:szCs w:val="21"/>
              </w:rPr>
            </w:pPr>
            <w:r>
              <w:rPr>
                <w:rFonts w:ascii="宋体" w:hAnsi="宋体"/>
                <w:color w:val="000000"/>
                <w:szCs w:val="21"/>
              </w:rPr>
              <w:t>A.小儿囟门未闭合时,囟门附近的腧穴不宜针刺。</w:t>
            </w:r>
          </w:p>
        </w:tc>
        <w:tc>
          <w:tcPr>
            <w:tcW w:w="669" w:type="dxa"/>
            <w:shd w:val="clear" w:color="auto" w:fill="FFFFFF"/>
            <w:tcMar>
              <w:top w:w="45" w:type="dxa"/>
              <w:left w:w="98" w:type="dxa"/>
              <w:bottom w:w="45" w:type="dxa"/>
              <w:right w:w="98" w:type="dxa"/>
            </w:tcMar>
            <w:vAlign w:val="center"/>
          </w:tcPr>
          <w:p w14:paraId="7DBFE4A2">
            <w:pPr>
              <w:widowControl/>
              <w:snapToGrid w:val="0"/>
              <w:jc w:val="center"/>
              <w:rPr>
                <w:rFonts w:ascii="宋体" w:hAnsi="宋体"/>
                <w:color w:val="000000"/>
                <w:szCs w:val="21"/>
              </w:rPr>
            </w:pPr>
            <w:r>
              <w:rPr>
                <w:rFonts w:ascii="宋体" w:hAnsi="宋体"/>
                <w:color w:val="000000"/>
                <w:szCs w:val="21"/>
              </w:rPr>
              <w:t>25</w:t>
            </w:r>
          </w:p>
        </w:tc>
        <w:tc>
          <w:tcPr>
            <w:tcW w:w="931" w:type="dxa"/>
            <w:shd w:val="clear" w:color="auto" w:fill="FFFFFF"/>
            <w:tcMar>
              <w:top w:w="45" w:type="dxa"/>
              <w:left w:w="98" w:type="dxa"/>
              <w:bottom w:w="45" w:type="dxa"/>
              <w:right w:w="98" w:type="dxa"/>
            </w:tcMar>
            <w:vAlign w:val="center"/>
          </w:tcPr>
          <w:p w14:paraId="63A5F57F">
            <w:pPr>
              <w:widowControl/>
              <w:snapToGrid w:val="0"/>
              <w:jc w:val="center"/>
              <w:rPr>
                <w:rFonts w:ascii="宋体" w:hAnsi="宋体"/>
                <w:color w:val="000000"/>
                <w:szCs w:val="21"/>
              </w:rPr>
            </w:pPr>
            <w:r>
              <w:rPr>
                <w:rFonts w:ascii="宋体" w:hAnsi="宋体"/>
                <w:color w:val="000000"/>
                <w:szCs w:val="21"/>
              </w:rPr>
              <w:t>73.53%</w:t>
            </w:r>
          </w:p>
        </w:tc>
      </w:tr>
    </w:tbl>
    <w:p w14:paraId="4A623066">
      <w:pPr>
        <w:widowControl/>
        <w:spacing w:line="400" w:lineRule="exact"/>
        <w:ind w:firstLine="422" w:firstLineChars="200"/>
        <w:rPr>
          <w:rFonts w:ascii="宋体" w:hAnsi="宋体"/>
          <w:b/>
          <w:bCs/>
          <w:szCs w:val="21"/>
        </w:rPr>
      </w:pPr>
      <w:r>
        <w:rPr>
          <w:rFonts w:hint="eastAsia" w:ascii="宋体" w:hAnsi="宋体"/>
          <w:b/>
          <w:bCs/>
          <w:szCs w:val="21"/>
        </w:rPr>
        <w:t>直接接受意见条目专家文字建议：</w:t>
      </w:r>
    </w:p>
    <w:p w14:paraId="69AA6EBD">
      <w:pPr>
        <w:widowControl/>
        <w:spacing w:line="400" w:lineRule="exact"/>
        <w:ind w:firstLine="420" w:firstLineChars="200"/>
        <w:rPr>
          <w:rFonts w:ascii="宋体" w:hAnsi="宋体"/>
          <w:szCs w:val="21"/>
        </w:rPr>
      </w:pPr>
      <w:r>
        <w:rPr>
          <w:rFonts w:hint="eastAsia" w:ascii="宋体" w:hAnsi="宋体"/>
          <w:szCs w:val="21"/>
        </w:rPr>
        <w:t>1.“得气”定义专家文字建议：</w:t>
      </w:r>
    </w:p>
    <w:p w14:paraId="79F56760">
      <w:pPr>
        <w:widowControl/>
        <w:spacing w:line="400" w:lineRule="exact"/>
        <w:ind w:firstLine="420" w:firstLineChars="200"/>
        <w:rPr>
          <w:rFonts w:ascii="宋体" w:hAnsi="宋体"/>
          <w:szCs w:val="21"/>
        </w:rPr>
      </w:pPr>
      <w:r>
        <w:rPr>
          <w:rFonts w:hint="eastAsia" w:ascii="宋体" w:hAnsi="宋体"/>
          <w:szCs w:val="21"/>
        </w:rPr>
        <w:t>1）“痠”应改为“酸”，并在“重”后增加“冷、热、快然、蚁走感”等感觉。（刘英）</w:t>
      </w:r>
    </w:p>
    <w:p w14:paraId="4DD341F3">
      <w:pPr>
        <w:widowControl/>
        <w:spacing w:line="400" w:lineRule="exact"/>
        <w:ind w:firstLine="420" w:firstLineChars="200"/>
        <w:rPr>
          <w:rFonts w:ascii="宋体" w:hAnsi="宋体"/>
          <w:szCs w:val="21"/>
        </w:rPr>
      </w:pPr>
      <w:r>
        <w:rPr>
          <w:rFonts w:hint="eastAsia" w:ascii="宋体" w:hAnsi="宋体"/>
          <w:szCs w:val="21"/>
        </w:rPr>
        <w:t>2）对于儿童，可不必刻意追求得气感。（陈晓燕）</w:t>
      </w:r>
    </w:p>
    <w:p w14:paraId="5E145363">
      <w:pPr>
        <w:widowControl/>
        <w:spacing w:line="400" w:lineRule="exact"/>
        <w:ind w:firstLine="420" w:firstLineChars="200"/>
        <w:rPr>
          <w:rFonts w:ascii="宋体" w:hAnsi="宋体"/>
          <w:szCs w:val="21"/>
        </w:rPr>
      </w:pPr>
      <w:r>
        <w:rPr>
          <w:rFonts w:hint="eastAsia" w:ascii="宋体" w:hAnsi="宋体"/>
          <w:szCs w:val="21"/>
        </w:rPr>
        <w:t>3）患儿一般不懂“麻、胀”等感觉，多表现为“疼”，需注意表述的临床实用性。（阮红明）</w:t>
      </w:r>
    </w:p>
    <w:p w14:paraId="7227B2F8">
      <w:pPr>
        <w:widowControl/>
        <w:spacing w:line="400" w:lineRule="exact"/>
        <w:ind w:firstLine="420" w:firstLineChars="200"/>
        <w:rPr>
          <w:rFonts w:ascii="宋体" w:hAnsi="宋体"/>
          <w:szCs w:val="21"/>
        </w:rPr>
      </w:pPr>
      <w:r>
        <w:rPr>
          <w:rFonts w:hint="eastAsia" w:ascii="宋体" w:hAnsi="宋体"/>
          <w:szCs w:val="21"/>
        </w:rPr>
        <w:t>4）明确“得气”为“痠、麻、胀、重等感觉”，更具体、利于临床识别与国际交流。（王孟清）</w:t>
      </w:r>
    </w:p>
    <w:p w14:paraId="613E0512">
      <w:pPr>
        <w:widowControl/>
        <w:spacing w:line="400" w:lineRule="exact"/>
        <w:ind w:firstLine="420" w:firstLineChars="200"/>
        <w:rPr>
          <w:rFonts w:ascii="宋体" w:hAnsi="宋体"/>
          <w:szCs w:val="21"/>
        </w:rPr>
      </w:pPr>
      <w:r>
        <w:rPr>
          <w:rFonts w:hint="eastAsia" w:ascii="宋体" w:hAnsi="宋体"/>
          <w:szCs w:val="21"/>
        </w:rPr>
        <w:t>2.“晕针”定义专家文字建议：</w:t>
      </w:r>
    </w:p>
    <w:p w14:paraId="2F93886D">
      <w:pPr>
        <w:widowControl/>
        <w:spacing w:line="400" w:lineRule="exact"/>
        <w:ind w:firstLine="420" w:firstLineChars="200"/>
        <w:rPr>
          <w:rFonts w:ascii="宋体" w:hAnsi="宋体"/>
          <w:szCs w:val="21"/>
        </w:rPr>
      </w:pPr>
      <w:r>
        <w:rPr>
          <w:rFonts w:hint="eastAsia" w:ascii="宋体" w:hAnsi="宋体"/>
          <w:szCs w:val="21"/>
        </w:rPr>
        <w:t>1）建议将“患者”统一改为“患儿”。（熊磊、胡思源、马丙祥）</w:t>
      </w:r>
    </w:p>
    <w:p w14:paraId="65BD2C4C">
      <w:pPr>
        <w:widowControl/>
        <w:spacing w:line="400" w:lineRule="exact"/>
        <w:ind w:firstLine="420" w:firstLineChars="200"/>
        <w:rPr>
          <w:rFonts w:ascii="宋体" w:hAnsi="宋体"/>
          <w:szCs w:val="21"/>
        </w:rPr>
      </w:pPr>
      <w:r>
        <w:rPr>
          <w:rFonts w:hint="eastAsia" w:ascii="宋体" w:hAnsi="宋体"/>
          <w:szCs w:val="21"/>
        </w:rPr>
        <w:t>2）儿童晕针还可表现为烦躁不安、频繁变换体位、不能安卧，应补充相关描述。（陈晓燕）</w:t>
      </w:r>
    </w:p>
    <w:p w14:paraId="777EFA93">
      <w:pPr>
        <w:widowControl/>
        <w:spacing w:line="400" w:lineRule="exact"/>
        <w:ind w:firstLine="420" w:firstLineChars="200"/>
        <w:rPr>
          <w:rFonts w:ascii="宋体" w:hAnsi="宋体"/>
          <w:szCs w:val="21"/>
        </w:rPr>
      </w:pPr>
      <w:r>
        <w:rPr>
          <w:rFonts w:hint="eastAsia" w:ascii="宋体" w:hAnsi="宋体"/>
          <w:szCs w:val="21"/>
        </w:rPr>
        <w:t>3）B项原文“患儿在接受针刺治疗过程中发生晕厥的现象”表述更贴合儿科语境，建议采纳并补充A项中“突然”一词以增强准确性。（乔木林）</w:t>
      </w:r>
    </w:p>
    <w:p w14:paraId="0A493F1D">
      <w:pPr>
        <w:widowControl/>
        <w:spacing w:line="400" w:lineRule="exact"/>
        <w:ind w:firstLine="420" w:firstLineChars="200"/>
        <w:rPr>
          <w:rFonts w:ascii="宋体" w:hAnsi="宋体"/>
          <w:szCs w:val="21"/>
        </w:rPr>
      </w:pPr>
      <w:r>
        <w:rPr>
          <w:rFonts w:hint="eastAsia" w:ascii="宋体" w:hAnsi="宋体"/>
          <w:szCs w:val="21"/>
        </w:rPr>
        <w:t>3.体位选择专家文字建议：</w:t>
      </w:r>
    </w:p>
    <w:p w14:paraId="11FE6000">
      <w:pPr>
        <w:widowControl/>
        <w:spacing w:line="400" w:lineRule="exact"/>
        <w:ind w:firstLine="420" w:firstLineChars="200"/>
        <w:rPr>
          <w:rFonts w:ascii="宋体" w:hAnsi="宋体"/>
          <w:szCs w:val="21"/>
        </w:rPr>
      </w:pPr>
      <w:r>
        <w:rPr>
          <w:rFonts w:hint="eastAsia" w:ascii="宋体" w:hAnsi="宋体"/>
          <w:szCs w:val="21"/>
        </w:rPr>
        <w:t>1）建议将“患者”改为“患儿”，更符合儿科诊疗语境。（熊磊、陈秀珍、胡思源、马丙祥）</w:t>
      </w:r>
    </w:p>
    <w:p w14:paraId="2ECD5075">
      <w:pPr>
        <w:widowControl/>
        <w:spacing w:line="400" w:lineRule="exact"/>
        <w:ind w:firstLine="420" w:firstLineChars="200"/>
        <w:rPr>
          <w:rFonts w:ascii="宋体" w:hAnsi="宋体"/>
          <w:szCs w:val="21"/>
        </w:rPr>
      </w:pPr>
      <w:r>
        <w:rPr>
          <w:rFonts w:hint="eastAsia" w:ascii="宋体" w:hAnsi="宋体"/>
          <w:szCs w:val="21"/>
        </w:rPr>
        <w:t>2）婴幼儿体位可选择“抱于家长怀中”或“坐在家长腿上”，原国家标准中已有体现，具临床指导性。（王孟清）</w:t>
      </w:r>
    </w:p>
    <w:p w14:paraId="447A473D">
      <w:pPr>
        <w:widowControl/>
        <w:spacing w:line="400" w:lineRule="exact"/>
        <w:ind w:firstLine="420" w:firstLineChars="200"/>
        <w:rPr>
          <w:rFonts w:ascii="宋体" w:hAnsi="宋体"/>
          <w:szCs w:val="21"/>
        </w:rPr>
      </w:pPr>
      <w:r>
        <w:rPr>
          <w:rFonts w:hint="eastAsia" w:ascii="宋体" w:hAnsi="宋体"/>
          <w:szCs w:val="21"/>
        </w:rPr>
        <w:t>3）B项“选择患儿舒适、医师便于操作的治疗体位”表述简洁，且已包含儿科特点，推荐沿用。（赵琼、郑秀芬、何丽等多数专家）</w:t>
      </w:r>
    </w:p>
    <w:p w14:paraId="0FD57B72">
      <w:pPr>
        <w:widowControl/>
        <w:spacing w:line="400" w:lineRule="exact"/>
        <w:ind w:firstLine="420" w:firstLineChars="200"/>
        <w:rPr>
          <w:rFonts w:ascii="宋体" w:hAnsi="宋体"/>
          <w:szCs w:val="21"/>
        </w:rPr>
      </w:pPr>
      <w:r>
        <w:rPr>
          <w:rFonts w:hint="eastAsia" w:ascii="宋体" w:hAnsi="宋体"/>
          <w:szCs w:val="21"/>
        </w:rPr>
        <w:t>4.“夹持进针法”定义专家文字建议：</w:t>
      </w:r>
    </w:p>
    <w:p w14:paraId="67EB1E8D">
      <w:pPr>
        <w:widowControl/>
        <w:spacing w:line="400" w:lineRule="exact"/>
        <w:ind w:firstLine="420" w:firstLineChars="200"/>
        <w:rPr>
          <w:rFonts w:ascii="宋体" w:hAnsi="宋体"/>
          <w:szCs w:val="21"/>
        </w:rPr>
      </w:pPr>
      <w:r>
        <w:rPr>
          <w:rFonts w:hint="eastAsia" w:ascii="宋体" w:hAnsi="宋体"/>
          <w:szCs w:val="21"/>
        </w:rPr>
        <w:t>1）建议在原B项中补充“或持消毒干棉球，裹于针体下端”，使操作描述更具体、实用。（乔木林）</w:t>
      </w:r>
    </w:p>
    <w:p w14:paraId="53B50261">
      <w:pPr>
        <w:widowControl/>
        <w:spacing w:line="400" w:lineRule="exact"/>
        <w:ind w:firstLine="420" w:firstLineChars="200"/>
        <w:rPr>
          <w:rFonts w:ascii="宋体" w:hAnsi="宋体"/>
          <w:szCs w:val="21"/>
        </w:rPr>
      </w:pPr>
      <w:r>
        <w:rPr>
          <w:rFonts w:hint="eastAsia" w:ascii="宋体" w:hAnsi="宋体"/>
          <w:szCs w:val="21"/>
        </w:rPr>
        <w:t>2）将“</w:t>
      </w:r>
      <w:r>
        <w:rPr>
          <w:rFonts w:hint="eastAsia" w:ascii="宋体" w:hAnsi="宋体"/>
          <w:szCs w:val="21"/>
          <w:lang w:val="en-US" w:eastAsia="zh-CN"/>
        </w:rPr>
        <w:t>食</w:t>
      </w:r>
      <w:r>
        <w:rPr>
          <w:rFonts w:hint="eastAsia" w:ascii="宋体" w:hAnsi="宋体"/>
          <w:szCs w:val="21"/>
        </w:rPr>
        <w:t>指”统一改为“</w:t>
      </w:r>
      <w:r>
        <w:rPr>
          <w:rFonts w:hint="eastAsia"/>
          <w:color w:val="000000" w:themeColor="text1"/>
          <w:lang w:val="en-US" w:eastAsia="zh-CN"/>
          <w14:textFill>
            <w14:solidFill>
              <w14:schemeClr w14:val="tx1"/>
            </w14:solidFill>
          </w14:textFill>
        </w:rPr>
        <w:t>示</w:t>
      </w:r>
      <w:r>
        <w:rPr>
          <w:rFonts w:hint="eastAsia" w:ascii="宋体" w:hAnsi="宋体"/>
          <w:szCs w:val="21"/>
        </w:rPr>
        <w:t>指”，保持术语一致性。（多名专家）</w:t>
      </w:r>
    </w:p>
    <w:p w14:paraId="505FC81D">
      <w:pPr>
        <w:widowControl/>
        <w:spacing w:line="400" w:lineRule="exact"/>
        <w:ind w:firstLine="420" w:firstLineChars="200"/>
        <w:rPr>
          <w:rFonts w:ascii="宋体" w:hAnsi="宋体"/>
          <w:szCs w:val="21"/>
        </w:rPr>
      </w:pPr>
      <w:r>
        <w:rPr>
          <w:rFonts w:hint="eastAsia" w:ascii="宋体" w:hAnsi="宋体"/>
          <w:szCs w:val="21"/>
        </w:rPr>
        <w:t>3）操作中增加“再以右手捻动针柄，将针刺入穴位内适当深度”，以体现进针全过程。（马丙祥）</w:t>
      </w:r>
    </w:p>
    <w:p w14:paraId="10B91F57">
      <w:pPr>
        <w:widowControl/>
        <w:spacing w:line="400" w:lineRule="exact"/>
        <w:ind w:firstLine="420" w:firstLineChars="200"/>
        <w:rPr>
          <w:rFonts w:ascii="宋体" w:hAnsi="宋体"/>
          <w:szCs w:val="21"/>
        </w:rPr>
      </w:pPr>
      <w:r>
        <w:rPr>
          <w:rFonts w:hint="eastAsia" w:ascii="宋体" w:hAnsi="宋体"/>
          <w:szCs w:val="21"/>
        </w:rPr>
        <w:t>4）使用“消毒干棉球”包裹针体更规范，符合《GB/T 21709.20-2009》标准。（王孟清）</w:t>
      </w:r>
    </w:p>
    <w:p w14:paraId="5DF5348E">
      <w:pPr>
        <w:widowControl/>
        <w:spacing w:line="400" w:lineRule="exact"/>
        <w:ind w:firstLine="420" w:firstLineChars="200"/>
        <w:rPr>
          <w:rFonts w:ascii="宋体" w:hAnsi="宋体"/>
          <w:szCs w:val="21"/>
        </w:rPr>
      </w:pPr>
      <w:r>
        <w:rPr>
          <w:rFonts w:hint="eastAsia" w:ascii="宋体" w:hAnsi="宋体"/>
          <w:szCs w:val="21"/>
        </w:rPr>
        <w:t>5.“舒张进针法”定义专家文字建议：</w:t>
      </w:r>
    </w:p>
    <w:p w14:paraId="4813872D">
      <w:pPr>
        <w:widowControl/>
        <w:spacing w:line="400" w:lineRule="exact"/>
        <w:ind w:firstLine="420" w:firstLineChars="200"/>
        <w:rPr>
          <w:rFonts w:ascii="宋体" w:hAnsi="宋体"/>
          <w:szCs w:val="21"/>
        </w:rPr>
      </w:pPr>
      <w:r>
        <w:rPr>
          <w:rFonts w:hint="eastAsia" w:ascii="宋体" w:hAnsi="宋体"/>
          <w:szCs w:val="21"/>
        </w:rPr>
        <w:t>1）建议将“用于皮肤较松软处进针”修改为“用于皮肤松弛或皱褶处进针”，与国家标准原文一致。（马丙祥）</w:t>
      </w:r>
    </w:p>
    <w:p w14:paraId="2E076760">
      <w:pPr>
        <w:widowControl/>
        <w:spacing w:line="400" w:lineRule="exact"/>
        <w:ind w:firstLine="420" w:firstLineChars="200"/>
        <w:rPr>
          <w:rFonts w:ascii="宋体" w:hAnsi="宋体"/>
          <w:szCs w:val="21"/>
        </w:rPr>
      </w:pPr>
      <w:r>
        <w:rPr>
          <w:rFonts w:hint="eastAsia" w:ascii="宋体" w:hAnsi="宋体"/>
          <w:szCs w:val="21"/>
        </w:rPr>
        <w:t>2）操作前可先按压穴位，再绷紧皮肤，有助于减少儿童不适。（陈晓燕）</w:t>
      </w:r>
    </w:p>
    <w:p w14:paraId="265D111A">
      <w:pPr>
        <w:widowControl/>
        <w:spacing w:line="400" w:lineRule="exact"/>
        <w:ind w:firstLine="420" w:firstLineChars="200"/>
        <w:rPr>
          <w:rFonts w:ascii="宋体" w:hAnsi="宋体"/>
          <w:szCs w:val="21"/>
        </w:rPr>
      </w:pPr>
      <w:r>
        <w:rPr>
          <w:rFonts w:hint="eastAsia" w:ascii="宋体" w:hAnsi="宋体"/>
          <w:szCs w:val="21"/>
        </w:rPr>
        <w:t>3）原文“撑开绷紧”表述清晰，适用于腹部及关节附近穴位，保留较好。（王孟清、崔霞）</w:t>
      </w:r>
    </w:p>
    <w:p w14:paraId="45D32423">
      <w:pPr>
        <w:widowControl/>
        <w:spacing w:line="400" w:lineRule="exact"/>
        <w:ind w:firstLine="420" w:firstLineChars="200"/>
        <w:rPr>
          <w:rFonts w:ascii="宋体" w:hAnsi="宋体"/>
          <w:szCs w:val="21"/>
        </w:rPr>
      </w:pPr>
      <w:r>
        <w:rPr>
          <w:rFonts w:hint="eastAsia" w:ascii="宋体" w:hAnsi="宋体"/>
          <w:szCs w:val="21"/>
        </w:rPr>
        <w:t>6.“提捏进针法”定义专家文字建议：</w:t>
      </w:r>
    </w:p>
    <w:p w14:paraId="629AEC6A">
      <w:pPr>
        <w:widowControl/>
        <w:spacing w:line="400" w:lineRule="exact"/>
        <w:ind w:firstLine="420" w:firstLineChars="200"/>
        <w:rPr>
          <w:rFonts w:ascii="宋体" w:hAnsi="宋体"/>
          <w:szCs w:val="21"/>
        </w:rPr>
      </w:pPr>
      <w:r>
        <w:rPr>
          <w:rFonts w:hint="eastAsia" w:ascii="宋体" w:hAnsi="宋体"/>
          <w:szCs w:val="21"/>
        </w:rPr>
        <w:t>1）适用于面部及肌肉浅薄部位，定义清晰，多数专家建议保留A项。（刘英、熊磊、陈晓燕）</w:t>
      </w:r>
    </w:p>
    <w:p w14:paraId="60704CC6">
      <w:pPr>
        <w:widowControl/>
        <w:spacing w:line="400" w:lineRule="exact"/>
        <w:ind w:firstLine="420" w:firstLineChars="200"/>
        <w:rPr>
          <w:rFonts w:ascii="宋体" w:hAnsi="宋体"/>
          <w:szCs w:val="21"/>
        </w:rPr>
      </w:pPr>
      <w:r>
        <w:rPr>
          <w:rFonts w:hint="eastAsia" w:ascii="宋体" w:hAnsi="宋体"/>
          <w:szCs w:val="21"/>
        </w:rPr>
        <w:t>2）建议补充“押手需消毒”或“提捏动作轻柔”，增强操作安全性与规范性。（崔霞）</w:t>
      </w:r>
    </w:p>
    <w:p w14:paraId="0EE06BEC">
      <w:pPr>
        <w:widowControl/>
        <w:spacing w:line="400" w:lineRule="exact"/>
        <w:ind w:firstLine="420" w:firstLineChars="200"/>
        <w:rPr>
          <w:rFonts w:ascii="宋体" w:hAnsi="宋体"/>
          <w:szCs w:val="21"/>
        </w:rPr>
      </w:pPr>
      <w:r>
        <w:rPr>
          <w:rFonts w:hint="eastAsia" w:ascii="宋体" w:hAnsi="宋体"/>
          <w:szCs w:val="21"/>
        </w:rPr>
        <w:t>7.“指切进针法”的命名和定义专家文字建议：</w:t>
      </w:r>
    </w:p>
    <w:p w14:paraId="7FFA0DC9">
      <w:pPr>
        <w:widowControl/>
        <w:spacing w:line="400" w:lineRule="exact"/>
        <w:ind w:firstLine="420" w:firstLineChars="200"/>
        <w:rPr>
          <w:rFonts w:ascii="宋体" w:hAnsi="宋体"/>
          <w:szCs w:val="21"/>
        </w:rPr>
      </w:pPr>
      <w:r>
        <w:rPr>
          <w:rFonts w:hint="eastAsia" w:ascii="宋体" w:hAnsi="宋体"/>
          <w:szCs w:val="21"/>
        </w:rPr>
        <w:t>1）建议使用“爪切进针法”替代“指切进针法”，更符合传统针灸术语体系。（王孟清、戎萍、张君）</w:t>
      </w:r>
    </w:p>
    <w:p w14:paraId="6FCEB3DA">
      <w:pPr>
        <w:widowControl/>
        <w:spacing w:line="400" w:lineRule="exact"/>
        <w:ind w:firstLine="420" w:firstLineChars="200"/>
        <w:rPr>
          <w:rFonts w:ascii="宋体" w:hAnsi="宋体"/>
          <w:szCs w:val="21"/>
        </w:rPr>
      </w:pPr>
      <w:r>
        <w:rPr>
          <w:rFonts w:hint="eastAsia" w:ascii="宋体" w:hAnsi="宋体"/>
          <w:szCs w:val="21"/>
        </w:rPr>
        <w:t>2）建议在B项中增加“迅速刺入”一词，强调操作手法的迅捷，有助于减少疼痛。（乔木林）</w:t>
      </w:r>
    </w:p>
    <w:p w14:paraId="26F5EEC6">
      <w:pPr>
        <w:widowControl/>
        <w:spacing w:line="400" w:lineRule="exact"/>
        <w:ind w:firstLine="420" w:firstLineChars="200"/>
        <w:rPr>
          <w:rFonts w:ascii="宋体" w:hAnsi="宋体"/>
          <w:szCs w:val="21"/>
        </w:rPr>
      </w:pPr>
      <w:r>
        <w:rPr>
          <w:rFonts w:hint="eastAsia" w:ascii="宋体" w:hAnsi="宋体"/>
          <w:szCs w:val="21"/>
        </w:rPr>
        <w:t>3）补充适应症：“用于短针，以及筋骨、血管附近穴位进针”。（马丙祥）</w:t>
      </w:r>
    </w:p>
    <w:p w14:paraId="1E58BE36">
      <w:pPr>
        <w:widowControl/>
        <w:spacing w:line="400" w:lineRule="exact"/>
        <w:ind w:firstLine="420" w:firstLineChars="200"/>
        <w:rPr>
          <w:rFonts w:ascii="宋体" w:hAnsi="宋体"/>
          <w:szCs w:val="21"/>
        </w:rPr>
      </w:pPr>
      <w:r>
        <w:rPr>
          <w:rFonts w:hint="eastAsia" w:ascii="宋体" w:hAnsi="宋体"/>
          <w:szCs w:val="21"/>
        </w:rPr>
        <w:t>4）统一使用“</w:t>
      </w:r>
      <w:r>
        <w:rPr>
          <w:rFonts w:hint="eastAsia"/>
          <w:color w:val="000000" w:themeColor="text1"/>
          <w:lang w:val="en-US" w:eastAsia="zh-CN"/>
          <w14:textFill>
            <w14:solidFill>
              <w14:schemeClr w14:val="tx1"/>
            </w14:solidFill>
          </w14:textFill>
        </w:rPr>
        <w:t>示</w:t>
      </w:r>
      <w:r>
        <w:rPr>
          <w:rFonts w:hint="eastAsia" w:ascii="宋体" w:hAnsi="宋体"/>
          <w:szCs w:val="21"/>
        </w:rPr>
        <w:t>指”而非“</w:t>
      </w:r>
      <w:r>
        <w:rPr>
          <w:rFonts w:hint="eastAsia" w:ascii="宋体" w:hAnsi="宋体"/>
          <w:szCs w:val="21"/>
          <w:lang w:val="en-US" w:eastAsia="zh-CN"/>
        </w:rPr>
        <w:t>食</w:t>
      </w:r>
      <w:r>
        <w:rPr>
          <w:rFonts w:hint="eastAsia" w:ascii="宋体" w:hAnsi="宋体"/>
          <w:szCs w:val="21"/>
        </w:rPr>
        <w:t>指”。（</w:t>
      </w:r>
      <w:r>
        <w:rPr>
          <w:rFonts w:hint="eastAsia" w:ascii="宋体" w:hAnsi="宋体"/>
          <w:szCs w:val="21"/>
          <w:lang w:val="en-US" w:eastAsia="zh-CN"/>
        </w:rPr>
        <w:t>多数专家</w:t>
      </w:r>
      <w:r>
        <w:rPr>
          <w:rFonts w:hint="eastAsia" w:ascii="宋体" w:hAnsi="宋体"/>
          <w:szCs w:val="21"/>
        </w:rPr>
        <w:t>）</w:t>
      </w:r>
    </w:p>
    <w:p w14:paraId="413F7686">
      <w:pPr>
        <w:widowControl/>
        <w:spacing w:line="400" w:lineRule="exact"/>
        <w:ind w:firstLine="420" w:firstLineChars="200"/>
        <w:rPr>
          <w:rFonts w:ascii="宋体" w:hAnsi="宋体"/>
          <w:szCs w:val="21"/>
        </w:rPr>
      </w:pPr>
      <w:r>
        <w:rPr>
          <w:rFonts w:hint="eastAsia" w:ascii="宋体" w:hAnsi="宋体"/>
          <w:szCs w:val="21"/>
        </w:rPr>
        <w:t>8.“针管进针法”的命名和定义专家文字建议：</w:t>
      </w:r>
    </w:p>
    <w:p w14:paraId="50A39E02">
      <w:pPr>
        <w:widowControl/>
        <w:spacing w:line="400" w:lineRule="exact"/>
        <w:ind w:firstLine="420" w:firstLineChars="200"/>
        <w:rPr>
          <w:rFonts w:ascii="宋体" w:hAnsi="宋体"/>
          <w:szCs w:val="21"/>
        </w:rPr>
      </w:pPr>
      <w:r>
        <w:rPr>
          <w:rFonts w:hint="eastAsia" w:ascii="宋体" w:hAnsi="宋体"/>
          <w:szCs w:val="21"/>
        </w:rPr>
        <w:t>1）建议使用“管针进针法”名称，更通用且与《GB/T 21709.20-2009》术语一致。（王孟清、张雅婷、马丙祥）</w:t>
      </w:r>
    </w:p>
    <w:p w14:paraId="26341DC3">
      <w:pPr>
        <w:widowControl/>
        <w:spacing w:line="400" w:lineRule="exact"/>
        <w:ind w:firstLine="420" w:firstLineChars="200"/>
        <w:rPr>
          <w:rFonts w:ascii="宋体" w:hAnsi="宋体"/>
          <w:szCs w:val="21"/>
        </w:rPr>
      </w:pPr>
      <w:r>
        <w:rPr>
          <w:rFonts w:hint="eastAsia" w:ascii="宋体" w:hAnsi="宋体"/>
          <w:szCs w:val="21"/>
        </w:rPr>
        <w:t>2）长度单位统一为“mm”（如7.5 mm），符合国际标准。（王孟清）</w:t>
      </w:r>
    </w:p>
    <w:p w14:paraId="3F079EB3">
      <w:pPr>
        <w:widowControl/>
        <w:spacing w:line="400" w:lineRule="exact"/>
        <w:ind w:firstLine="420" w:firstLineChars="200"/>
        <w:rPr>
          <w:rFonts w:ascii="宋体" w:hAnsi="宋体"/>
          <w:szCs w:val="21"/>
        </w:rPr>
      </w:pPr>
      <w:r>
        <w:rPr>
          <w:rFonts w:hint="eastAsia" w:ascii="宋体" w:hAnsi="宋体"/>
          <w:szCs w:val="21"/>
        </w:rPr>
        <w:t>3）建议补充“较适用于儿童”，以突出其在儿科针刺中的优势，与国际草案保持一致。（张雅婷）</w:t>
      </w:r>
    </w:p>
    <w:p w14:paraId="7A7724FC">
      <w:pPr>
        <w:widowControl/>
        <w:spacing w:line="400" w:lineRule="exact"/>
        <w:ind w:firstLine="420" w:firstLineChars="200"/>
        <w:rPr>
          <w:rFonts w:ascii="宋体" w:hAnsi="宋体"/>
          <w:szCs w:val="21"/>
        </w:rPr>
      </w:pPr>
      <w:r>
        <w:rPr>
          <w:rFonts w:hint="eastAsia" w:ascii="宋体" w:hAnsi="宋体"/>
          <w:szCs w:val="21"/>
        </w:rPr>
        <w:t>4）操作中“弹击”比“击打”更准确，宜保留“刺手</w:t>
      </w:r>
      <w:r>
        <w:rPr>
          <w:rFonts w:hint="eastAsia"/>
          <w:color w:val="000000" w:themeColor="text1"/>
          <w:lang w:val="en-US" w:eastAsia="zh-CN"/>
          <w14:textFill>
            <w14:solidFill>
              <w14:schemeClr w14:val="tx1"/>
            </w14:solidFill>
          </w14:textFill>
        </w:rPr>
        <w:t>示</w:t>
      </w:r>
      <w:r>
        <w:rPr>
          <w:rFonts w:hint="eastAsia" w:ascii="宋体" w:hAnsi="宋体"/>
          <w:szCs w:val="21"/>
        </w:rPr>
        <w:t>指对准针尾弹击”的描述。（多名专家）</w:t>
      </w:r>
    </w:p>
    <w:p w14:paraId="65DF668E">
      <w:pPr>
        <w:widowControl/>
        <w:spacing w:line="400" w:lineRule="exact"/>
        <w:ind w:firstLine="420" w:firstLineChars="200"/>
        <w:rPr>
          <w:rFonts w:ascii="宋体" w:hAnsi="宋体"/>
          <w:szCs w:val="21"/>
        </w:rPr>
      </w:pPr>
      <w:r>
        <w:rPr>
          <w:rFonts w:hint="eastAsia" w:ascii="宋体" w:hAnsi="宋体"/>
          <w:szCs w:val="21"/>
        </w:rPr>
        <w:t>9.“直刺”定义专家文字建议：</w:t>
      </w:r>
    </w:p>
    <w:p w14:paraId="6624C932">
      <w:pPr>
        <w:widowControl/>
        <w:spacing w:line="400" w:lineRule="exact"/>
        <w:ind w:firstLine="420" w:firstLineChars="200"/>
        <w:rPr>
          <w:rFonts w:ascii="宋体" w:hAnsi="宋体"/>
          <w:szCs w:val="21"/>
        </w:rPr>
      </w:pPr>
      <w:r>
        <w:rPr>
          <w:rFonts w:hint="eastAsia" w:ascii="宋体" w:hAnsi="宋体"/>
          <w:szCs w:val="21"/>
        </w:rPr>
        <w:t>1）建议在B项“垂直刺入”后加入“角”字，即“呈90°角垂直刺入”，表述更精确。（乔木林）</w:t>
      </w:r>
    </w:p>
    <w:p w14:paraId="2E01F606">
      <w:pPr>
        <w:widowControl/>
        <w:spacing w:line="400" w:lineRule="exact"/>
        <w:ind w:firstLine="420" w:firstLineChars="200"/>
        <w:rPr>
          <w:rFonts w:ascii="宋体" w:hAnsi="宋体"/>
          <w:szCs w:val="21"/>
        </w:rPr>
      </w:pPr>
      <w:r>
        <w:rPr>
          <w:rFonts w:hint="eastAsia" w:ascii="宋体" w:hAnsi="宋体"/>
          <w:szCs w:val="21"/>
        </w:rPr>
        <w:t>2）补充“浅刺与深刺均可”，更全面反映直刺法的灵活性，尤其适用于儿科多样的针刺深度需求。（王孟清、杨燕）</w:t>
      </w:r>
    </w:p>
    <w:p w14:paraId="6B9263D3">
      <w:pPr>
        <w:widowControl/>
        <w:spacing w:line="400" w:lineRule="exact"/>
        <w:ind w:firstLine="420" w:firstLineChars="200"/>
        <w:rPr>
          <w:rFonts w:ascii="宋体" w:hAnsi="宋体"/>
          <w:szCs w:val="21"/>
        </w:rPr>
      </w:pPr>
      <w:r>
        <w:rPr>
          <w:rFonts w:hint="eastAsia" w:ascii="宋体" w:hAnsi="宋体"/>
          <w:szCs w:val="21"/>
        </w:rPr>
        <w:t>3）部分专家建议将“直刺”列为针刺手法章节第一项，以突出其基础地位。（秦艳虹）</w:t>
      </w:r>
    </w:p>
    <w:p w14:paraId="4E272180">
      <w:pPr>
        <w:widowControl/>
        <w:spacing w:line="400" w:lineRule="exact"/>
        <w:ind w:firstLine="420" w:firstLineChars="200"/>
        <w:rPr>
          <w:rFonts w:ascii="宋体" w:hAnsi="宋体"/>
          <w:szCs w:val="21"/>
        </w:rPr>
      </w:pPr>
      <w:r>
        <w:rPr>
          <w:rFonts w:hint="eastAsia" w:ascii="宋体" w:hAnsi="宋体"/>
          <w:szCs w:val="21"/>
        </w:rPr>
        <w:t>10.“斜刺”定义专家文字建议：</w:t>
      </w:r>
    </w:p>
    <w:p w14:paraId="45230BCA">
      <w:pPr>
        <w:widowControl/>
        <w:spacing w:line="400" w:lineRule="exact"/>
        <w:ind w:firstLine="420" w:firstLineChars="200"/>
        <w:rPr>
          <w:rFonts w:ascii="宋体" w:hAnsi="宋体"/>
          <w:szCs w:val="21"/>
        </w:rPr>
      </w:pPr>
      <w:r>
        <w:rPr>
          <w:rFonts w:hint="eastAsia" w:ascii="宋体" w:hAnsi="宋体"/>
          <w:szCs w:val="21"/>
        </w:rPr>
        <w:t>1）建议在“呈45°左右”中加入“角”字，表述为“呈45°角左右倾斜刺入”，更规范。（乔木林）</w:t>
      </w:r>
    </w:p>
    <w:p w14:paraId="7D6598E2">
      <w:pPr>
        <w:widowControl/>
        <w:spacing w:line="400" w:lineRule="exact"/>
        <w:ind w:firstLine="420" w:firstLineChars="200"/>
        <w:rPr>
          <w:rFonts w:ascii="宋体" w:hAnsi="宋体"/>
          <w:szCs w:val="21"/>
        </w:rPr>
      </w:pPr>
      <w:r>
        <w:rPr>
          <w:rFonts w:hint="eastAsia" w:ascii="宋体" w:hAnsi="宋体"/>
          <w:szCs w:val="21"/>
        </w:rPr>
        <w:t>2）A项“控制针感方向”为临床重要目的，建议补充入定义中。（王孟清、杨燕）</w:t>
      </w:r>
    </w:p>
    <w:p w14:paraId="4731FF6C">
      <w:pPr>
        <w:widowControl/>
        <w:spacing w:line="400" w:lineRule="exact"/>
        <w:ind w:firstLine="420" w:firstLineChars="200"/>
        <w:rPr>
          <w:rFonts w:ascii="宋体" w:hAnsi="宋体"/>
          <w:szCs w:val="21"/>
        </w:rPr>
      </w:pPr>
      <w:r>
        <w:rPr>
          <w:rFonts w:hint="eastAsia" w:ascii="宋体" w:hAnsi="宋体"/>
          <w:szCs w:val="21"/>
        </w:rPr>
        <w:t>3）原文“适用于皮肉较为浅薄处，或内有重要脏器及关节部位的腧穴”描述具体，具指导意义。（刘英、熊磊）</w:t>
      </w:r>
    </w:p>
    <w:p w14:paraId="1C150D8F">
      <w:pPr>
        <w:widowControl/>
        <w:spacing w:line="400" w:lineRule="exact"/>
        <w:ind w:firstLine="420" w:firstLineChars="200"/>
        <w:rPr>
          <w:rFonts w:ascii="宋体" w:hAnsi="宋体"/>
          <w:szCs w:val="21"/>
        </w:rPr>
      </w:pPr>
      <w:r>
        <w:rPr>
          <w:rFonts w:hint="eastAsia" w:ascii="宋体" w:hAnsi="宋体"/>
          <w:szCs w:val="21"/>
        </w:rPr>
        <w:t>4）对于儿童，涉及重要器官的穴位应慎用斜刺法。（陈晓燕）</w:t>
      </w:r>
    </w:p>
    <w:p w14:paraId="396EF7CA">
      <w:pPr>
        <w:widowControl/>
        <w:spacing w:line="400" w:lineRule="exact"/>
        <w:ind w:firstLine="420" w:firstLineChars="200"/>
        <w:rPr>
          <w:rFonts w:ascii="宋体" w:hAnsi="宋体"/>
          <w:szCs w:val="21"/>
        </w:rPr>
      </w:pPr>
      <w:r>
        <w:rPr>
          <w:rFonts w:hint="eastAsia" w:ascii="宋体" w:hAnsi="宋体"/>
          <w:szCs w:val="21"/>
        </w:rPr>
        <w:t>12.“留针”的定义专家文字建议：</w:t>
      </w:r>
    </w:p>
    <w:p w14:paraId="725CD735">
      <w:pPr>
        <w:widowControl/>
        <w:spacing w:line="400" w:lineRule="exact"/>
        <w:ind w:firstLine="420" w:firstLineChars="200"/>
        <w:rPr>
          <w:rFonts w:ascii="宋体" w:hAnsi="宋体"/>
          <w:szCs w:val="21"/>
        </w:rPr>
      </w:pPr>
      <w:r>
        <w:rPr>
          <w:rFonts w:hint="eastAsia" w:ascii="宋体" w:hAnsi="宋体"/>
          <w:szCs w:val="21"/>
        </w:rPr>
        <w:t>1）视儿童的配合情况决定留针与否。（陈晓燕）</w:t>
      </w:r>
    </w:p>
    <w:p w14:paraId="440AA3BE">
      <w:pPr>
        <w:widowControl/>
        <w:spacing w:line="400" w:lineRule="exact"/>
        <w:ind w:firstLine="420" w:firstLineChars="200"/>
        <w:rPr>
          <w:rFonts w:ascii="宋体" w:hAnsi="宋体"/>
          <w:szCs w:val="21"/>
        </w:rPr>
      </w:pPr>
      <w:r>
        <w:rPr>
          <w:rFonts w:hint="eastAsia" w:ascii="宋体" w:hAnsi="宋体"/>
          <w:szCs w:val="21"/>
        </w:rPr>
        <w:t>2）建议最后一句留原国家标准原文：“不肯配合，哭闹乱动的患儿不留针”。（吴佳盛）</w:t>
      </w:r>
    </w:p>
    <w:p w14:paraId="64AED8A4">
      <w:pPr>
        <w:widowControl/>
        <w:spacing w:line="400" w:lineRule="exact"/>
        <w:ind w:firstLine="420" w:firstLineChars="200"/>
        <w:rPr>
          <w:rFonts w:ascii="宋体" w:hAnsi="宋体"/>
          <w:szCs w:val="21"/>
        </w:rPr>
      </w:pPr>
      <w:r>
        <w:rPr>
          <w:rFonts w:hint="eastAsia" w:ascii="宋体" w:hAnsi="宋体"/>
          <w:szCs w:val="21"/>
        </w:rPr>
        <w:t>3）小儿应改为婴幼儿，因“小儿”范围太大。（崔霞）</w:t>
      </w:r>
    </w:p>
    <w:p w14:paraId="1F9B089F">
      <w:pPr>
        <w:widowControl/>
        <w:spacing w:line="400" w:lineRule="exact"/>
        <w:ind w:firstLine="420" w:firstLineChars="200"/>
        <w:rPr>
          <w:rFonts w:ascii="宋体" w:hAnsi="宋体"/>
          <w:szCs w:val="21"/>
        </w:rPr>
      </w:pPr>
      <w:r>
        <w:rPr>
          <w:rFonts w:hint="eastAsia" w:ascii="宋体" w:hAnsi="宋体"/>
          <w:szCs w:val="21"/>
        </w:rPr>
        <w:t>4）去掉“适当”两字；7岁以上可留针10 min～30 min。（戎萍）</w:t>
      </w:r>
    </w:p>
    <w:p w14:paraId="05C9D60A">
      <w:pPr>
        <w:widowControl/>
        <w:spacing w:line="400" w:lineRule="exact"/>
        <w:ind w:firstLine="420" w:firstLineChars="200"/>
        <w:rPr>
          <w:rFonts w:ascii="宋体" w:hAnsi="宋体"/>
          <w:szCs w:val="21"/>
        </w:rPr>
      </w:pPr>
      <w:r>
        <w:rPr>
          <w:rFonts w:hint="eastAsia" w:ascii="宋体" w:hAnsi="宋体"/>
          <w:szCs w:val="21"/>
        </w:rPr>
        <w:t>5）国标原文对不同年龄段留针时间明确规定，更实用。（马丙祥）</w:t>
      </w:r>
    </w:p>
    <w:p w14:paraId="318C91FA">
      <w:pPr>
        <w:widowControl/>
        <w:spacing w:line="400" w:lineRule="exact"/>
        <w:ind w:firstLine="420" w:firstLineChars="200"/>
        <w:rPr>
          <w:rFonts w:ascii="宋体" w:hAnsi="宋体"/>
          <w:szCs w:val="21"/>
        </w:rPr>
      </w:pPr>
      <w:r>
        <w:rPr>
          <w:rFonts w:hint="eastAsia" w:ascii="宋体" w:hAnsi="宋体"/>
          <w:szCs w:val="21"/>
        </w:rPr>
        <w:t>13.出针操作步骤专家文字建议：</w:t>
      </w:r>
    </w:p>
    <w:p w14:paraId="1DB9D026">
      <w:pPr>
        <w:widowControl/>
        <w:spacing w:line="400" w:lineRule="exact"/>
        <w:ind w:firstLine="420" w:firstLineChars="200"/>
        <w:rPr>
          <w:rFonts w:ascii="宋体" w:hAnsi="宋体"/>
          <w:szCs w:val="21"/>
        </w:rPr>
      </w:pPr>
      <w:r>
        <w:rPr>
          <w:rFonts w:hint="eastAsia" w:ascii="宋体" w:hAnsi="宋体"/>
          <w:szCs w:val="21"/>
        </w:rPr>
        <w:t>1）无特殊意见。（多数专家）</w:t>
      </w:r>
    </w:p>
    <w:p w14:paraId="0A30544B">
      <w:pPr>
        <w:widowControl/>
        <w:spacing w:line="400" w:lineRule="exact"/>
        <w:ind w:firstLine="420" w:firstLineChars="200"/>
        <w:rPr>
          <w:rFonts w:ascii="宋体" w:hAnsi="宋体"/>
          <w:szCs w:val="21"/>
        </w:rPr>
      </w:pPr>
      <w:r>
        <w:rPr>
          <w:rFonts w:hint="eastAsia" w:ascii="宋体" w:hAnsi="宋体"/>
          <w:szCs w:val="21"/>
        </w:rPr>
        <w:t>2）“未选择”操作选项，建议综合A、B两项：医师以左手拇、</w:t>
      </w:r>
      <w:r>
        <w:rPr>
          <w:rFonts w:hint="eastAsia"/>
          <w:color w:val="000000" w:themeColor="text1"/>
          <w:lang w:val="en-US" w:eastAsia="zh-CN"/>
          <w14:textFill>
            <w14:solidFill>
              <w14:schemeClr w14:val="tx1"/>
            </w14:solidFill>
          </w14:textFill>
        </w:rPr>
        <w:t>示</w:t>
      </w:r>
      <w:r>
        <w:rPr>
          <w:rFonts w:hint="eastAsia" w:ascii="宋体" w:hAnsi="宋体"/>
          <w:szCs w:val="21"/>
        </w:rPr>
        <w:t>两指持消毒干棉球或棉签轻压针刺部位，右手持针作轻微的小幅度捻转，并随势将针缓慢提至皮下，稍静留后迅速出针，立即用棉球按压针孔，以防止出血。滞针时不应用力猛拔，宜轻轻拍打穴位周围皮肤，待针下感觉轻滑后再出针。术后护理：出针后如发现针孔出血，可用无菌棉签或棉球压迫1 min～2 min，不可按揉。术后让患儿休息5 min～10 min，注意观察是否有不良反应。（乔木林）</w:t>
      </w:r>
    </w:p>
    <w:p w14:paraId="160D327B">
      <w:pPr>
        <w:widowControl/>
        <w:spacing w:line="400" w:lineRule="exact"/>
        <w:ind w:firstLine="420" w:firstLineChars="200"/>
        <w:rPr>
          <w:rFonts w:ascii="宋体" w:hAnsi="宋体"/>
          <w:szCs w:val="21"/>
        </w:rPr>
      </w:pPr>
      <w:r>
        <w:rPr>
          <w:rFonts w:hint="eastAsia" w:ascii="宋体" w:hAnsi="宋体"/>
          <w:szCs w:val="21"/>
        </w:rPr>
        <w:t>3）“都不选”，建议综合AB。（李江全）</w:t>
      </w:r>
    </w:p>
    <w:p w14:paraId="5E7BB2BD">
      <w:pPr>
        <w:widowControl/>
        <w:spacing w:line="400" w:lineRule="exact"/>
        <w:ind w:firstLine="420" w:firstLineChars="200"/>
        <w:rPr>
          <w:rFonts w:ascii="宋体" w:hAnsi="宋体"/>
          <w:szCs w:val="21"/>
        </w:rPr>
      </w:pPr>
      <w:r>
        <w:rPr>
          <w:rFonts w:hint="eastAsia" w:ascii="宋体" w:hAnsi="宋体"/>
          <w:szCs w:val="21"/>
        </w:rPr>
        <w:t>14.针具选择专家文字建议：</w:t>
      </w:r>
    </w:p>
    <w:p w14:paraId="649573D4">
      <w:pPr>
        <w:widowControl/>
        <w:spacing w:line="400" w:lineRule="exact"/>
        <w:ind w:firstLine="420" w:firstLineChars="200"/>
        <w:rPr>
          <w:rFonts w:ascii="宋体" w:hAnsi="宋体"/>
          <w:szCs w:val="21"/>
        </w:rPr>
      </w:pPr>
      <w:r>
        <w:rPr>
          <w:rFonts w:hint="eastAsia" w:ascii="宋体" w:hAnsi="宋体"/>
          <w:szCs w:val="21"/>
        </w:rPr>
        <w:t>1）慎用国家标准原文表述，建议补充内容。（陈晓燕、阮红明）</w:t>
      </w:r>
    </w:p>
    <w:p w14:paraId="5B3670AA">
      <w:pPr>
        <w:widowControl/>
        <w:spacing w:line="400" w:lineRule="exact"/>
        <w:ind w:firstLine="420" w:firstLineChars="200"/>
        <w:rPr>
          <w:rFonts w:ascii="宋体" w:hAnsi="宋体"/>
          <w:szCs w:val="21"/>
        </w:rPr>
      </w:pPr>
      <w:r>
        <w:rPr>
          <w:rFonts w:hint="eastAsia" w:ascii="宋体" w:hAnsi="宋体"/>
          <w:szCs w:val="21"/>
        </w:rPr>
        <w:t>2）应补充针身应光滑、无锈蚀，针尖应锐利、无倒钩。（吴佳盛、秦艳虹、乔木林）</w:t>
      </w:r>
    </w:p>
    <w:p w14:paraId="4FF566A0">
      <w:pPr>
        <w:widowControl/>
        <w:spacing w:line="400" w:lineRule="exact"/>
        <w:ind w:firstLine="420" w:firstLineChars="200"/>
        <w:rPr>
          <w:rFonts w:ascii="宋体" w:hAnsi="宋体"/>
          <w:szCs w:val="21"/>
        </w:rPr>
      </w:pPr>
      <w:r>
        <w:rPr>
          <w:rFonts w:hint="eastAsia" w:ascii="宋体" w:hAnsi="宋体"/>
          <w:szCs w:val="21"/>
        </w:rPr>
        <w:t>3）针具选择不应只写三棱针，毫针更常用，三棱针在儿科多用于刺四缝。（韩新民）</w:t>
      </w:r>
    </w:p>
    <w:p w14:paraId="3CE03F9B">
      <w:pPr>
        <w:widowControl/>
        <w:spacing w:line="400" w:lineRule="exact"/>
        <w:ind w:firstLine="420" w:firstLineChars="200"/>
        <w:rPr>
          <w:rFonts w:ascii="宋体" w:hAnsi="宋体"/>
          <w:szCs w:val="21"/>
        </w:rPr>
      </w:pPr>
      <w:r>
        <w:rPr>
          <w:rFonts w:hint="eastAsia" w:ascii="宋体" w:hAnsi="宋体"/>
          <w:szCs w:val="21"/>
        </w:rPr>
        <w:t>4）应补充“儿科多用小号三棱针”。（秦艳虹）</w:t>
      </w:r>
    </w:p>
    <w:p w14:paraId="1A25B95C">
      <w:pPr>
        <w:widowControl/>
        <w:spacing w:line="400" w:lineRule="exact"/>
        <w:ind w:firstLine="420" w:firstLineChars="200"/>
        <w:rPr>
          <w:rFonts w:ascii="宋体" w:hAnsi="宋体"/>
          <w:szCs w:val="21"/>
        </w:rPr>
      </w:pPr>
      <w:r>
        <w:rPr>
          <w:rFonts w:hint="eastAsia" w:ascii="宋体" w:hAnsi="宋体"/>
          <w:szCs w:val="21"/>
        </w:rPr>
        <w:t>15.三棱针点刺法操作步骤专家文字建议：</w:t>
      </w:r>
    </w:p>
    <w:p w14:paraId="2F3F6357">
      <w:pPr>
        <w:widowControl/>
        <w:spacing w:line="400" w:lineRule="exact"/>
        <w:ind w:firstLine="420" w:firstLineChars="200"/>
        <w:rPr>
          <w:rFonts w:ascii="宋体" w:hAnsi="宋体"/>
          <w:szCs w:val="21"/>
        </w:rPr>
      </w:pPr>
      <w:r>
        <w:rPr>
          <w:rFonts w:hint="eastAsia" w:ascii="宋体" w:hAnsi="宋体"/>
          <w:szCs w:val="21"/>
        </w:rPr>
        <w:t>1）建议采纳0.5 mm～5 mm深度描述，更符合不同年龄儿童皮厚差异，安全性更佳。（张雅婷）</w:t>
      </w:r>
    </w:p>
    <w:p w14:paraId="3CEE39C5">
      <w:pPr>
        <w:widowControl/>
        <w:spacing w:line="400" w:lineRule="exact"/>
        <w:ind w:firstLine="420" w:firstLineChars="200"/>
        <w:rPr>
          <w:rFonts w:ascii="宋体" w:hAnsi="宋体"/>
          <w:szCs w:val="21"/>
        </w:rPr>
      </w:pPr>
      <w:r>
        <w:rPr>
          <w:rFonts w:hint="eastAsia" w:ascii="宋体" w:hAnsi="宋体"/>
          <w:szCs w:val="21"/>
        </w:rPr>
        <w:t>2）刺入深度范围（0.5 mm～5 mm）更宽泛，涵盖更小年龄患儿，有文献支持。（王孟清）</w:t>
      </w:r>
    </w:p>
    <w:p w14:paraId="56EC7EF1">
      <w:pPr>
        <w:widowControl/>
        <w:spacing w:line="400" w:lineRule="exact"/>
        <w:ind w:firstLine="420" w:firstLineChars="200"/>
        <w:rPr>
          <w:rFonts w:ascii="宋体" w:hAnsi="宋体"/>
          <w:szCs w:val="21"/>
        </w:rPr>
      </w:pPr>
      <w:r>
        <w:rPr>
          <w:rFonts w:hint="eastAsia" w:ascii="宋体" w:hAnsi="宋体"/>
          <w:szCs w:val="21"/>
        </w:rPr>
        <w:t>3）点刺宁浅勿深，故选A方案（0.5 mm～5 mm）更稳妥。（马丙祥）</w:t>
      </w:r>
    </w:p>
    <w:p w14:paraId="26F17C63">
      <w:pPr>
        <w:widowControl/>
        <w:spacing w:line="400" w:lineRule="exact"/>
        <w:ind w:firstLine="420" w:firstLineChars="200"/>
        <w:rPr>
          <w:rFonts w:ascii="宋体" w:hAnsi="宋体"/>
          <w:szCs w:val="21"/>
        </w:rPr>
      </w:pPr>
      <w:r>
        <w:rPr>
          <w:rFonts w:hint="eastAsia" w:ascii="宋体" w:hAnsi="宋体"/>
          <w:szCs w:val="21"/>
        </w:rPr>
        <w:t>4）可在“A.”后加“根据患儿年龄大小”。（汪受传）</w:t>
      </w:r>
    </w:p>
    <w:p w14:paraId="7F3DA5CB">
      <w:pPr>
        <w:widowControl/>
        <w:spacing w:line="400" w:lineRule="exact"/>
        <w:ind w:firstLine="420" w:firstLineChars="200"/>
        <w:rPr>
          <w:rFonts w:ascii="宋体" w:hAnsi="宋体"/>
          <w:szCs w:val="21"/>
        </w:rPr>
      </w:pPr>
      <w:r>
        <w:rPr>
          <w:rFonts w:hint="eastAsia" w:ascii="宋体" w:hAnsi="宋体"/>
          <w:szCs w:val="21"/>
        </w:rPr>
        <w:t>16.三棱针刺络法操作步骤专家文字建议：</w:t>
      </w:r>
    </w:p>
    <w:p w14:paraId="6EB7B876">
      <w:pPr>
        <w:widowControl/>
        <w:spacing w:line="400" w:lineRule="exact"/>
        <w:ind w:firstLine="420" w:firstLineChars="200"/>
        <w:rPr>
          <w:rFonts w:ascii="宋体" w:hAnsi="宋体"/>
          <w:szCs w:val="21"/>
        </w:rPr>
      </w:pPr>
      <w:r>
        <w:rPr>
          <w:rFonts w:hint="eastAsia" w:ascii="宋体" w:hAnsi="宋体"/>
          <w:szCs w:val="21"/>
        </w:rPr>
        <w:t>1）如系感染引起的红肿，此种操作有可能导致感染扩散，应慎用！！（陈晓燕）</w:t>
      </w:r>
    </w:p>
    <w:p w14:paraId="2C27568F">
      <w:pPr>
        <w:widowControl/>
        <w:spacing w:line="400" w:lineRule="exact"/>
        <w:ind w:firstLine="420" w:firstLineChars="200"/>
        <w:rPr>
          <w:rFonts w:ascii="宋体" w:hAnsi="宋体"/>
          <w:szCs w:val="21"/>
        </w:rPr>
      </w:pPr>
      <w:r>
        <w:rPr>
          <w:rFonts w:hint="eastAsia" w:ascii="宋体" w:hAnsi="宋体"/>
          <w:szCs w:val="21"/>
        </w:rPr>
        <w:t>2）表述更简洁，与《GB/T 21709.4-2008》一致。（王孟清）</w:t>
      </w:r>
    </w:p>
    <w:p w14:paraId="44130A27">
      <w:pPr>
        <w:widowControl/>
        <w:spacing w:line="400" w:lineRule="exact"/>
        <w:ind w:firstLine="420" w:firstLineChars="200"/>
        <w:rPr>
          <w:rFonts w:ascii="宋体" w:hAnsi="宋体"/>
          <w:szCs w:val="21"/>
        </w:rPr>
      </w:pPr>
      <w:r>
        <w:rPr>
          <w:rFonts w:hint="eastAsia" w:ascii="宋体" w:hAnsi="宋体"/>
          <w:szCs w:val="21"/>
        </w:rPr>
        <w:t>3）“2 mm～5 mm”刺入深度更合适。（戎萍）</w:t>
      </w:r>
    </w:p>
    <w:p w14:paraId="183AB2AB">
      <w:pPr>
        <w:widowControl/>
        <w:spacing w:line="400" w:lineRule="exact"/>
        <w:ind w:firstLine="420" w:firstLineChars="200"/>
        <w:rPr>
          <w:rFonts w:ascii="宋体" w:hAnsi="宋体"/>
          <w:szCs w:val="21"/>
        </w:rPr>
      </w:pPr>
      <w:r>
        <w:rPr>
          <w:rFonts w:hint="eastAsia" w:ascii="宋体" w:hAnsi="宋体"/>
          <w:szCs w:val="21"/>
        </w:rPr>
        <w:t>4）B项表述较准确。（乔木林）</w:t>
      </w:r>
    </w:p>
    <w:p w14:paraId="182B036A">
      <w:pPr>
        <w:widowControl/>
        <w:spacing w:line="400" w:lineRule="exact"/>
        <w:ind w:firstLine="420" w:firstLineChars="200"/>
        <w:rPr>
          <w:rFonts w:ascii="宋体" w:hAnsi="宋体"/>
          <w:szCs w:val="21"/>
        </w:rPr>
      </w:pPr>
      <w:r>
        <w:rPr>
          <w:rFonts w:hint="eastAsia" w:ascii="宋体" w:hAnsi="宋体"/>
          <w:szCs w:val="21"/>
        </w:rPr>
        <w:t>17.三棱针散刺法操作步骤专家文字建议：</w:t>
      </w:r>
    </w:p>
    <w:p w14:paraId="431DAF15">
      <w:pPr>
        <w:widowControl/>
        <w:spacing w:line="400" w:lineRule="exact"/>
        <w:ind w:firstLine="420" w:firstLineChars="200"/>
        <w:rPr>
          <w:rFonts w:ascii="宋体" w:hAnsi="宋体"/>
          <w:szCs w:val="21"/>
        </w:rPr>
      </w:pPr>
      <w:r>
        <w:rPr>
          <w:rFonts w:hint="eastAsia" w:ascii="宋体" w:hAnsi="宋体"/>
          <w:szCs w:val="21"/>
        </w:rPr>
        <w:t>1）儿童慎用。（陈晓燕）</w:t>
      </w:r>
    </w:p>
    <w:p w14:paraId="03B71C4D">
      <w:pPr>
        <w:widowControl/>
        <w:spacing w:line="400" w:lineRule="exact"/>
        <w:ind w:firstLine="420" w:firstLineChars="200"/>
        <w:rPr>
          <w:rFonts w:ascii="宋体" w:hAnsi="宋体"/>
          <w:szCs w:val="21"/>
        </w:rPr>
      </w:pPr>
      <w:r>
        <w:rPr>
          <w:rFonts w:hint="eastAsia" w:ascii="宋体" w:hAnsi="宋体"/>
          <w:szCs w:val="21"/>
        </w:rPr>
        <w:t>2）表述更简洁，符合《GB/T 21709.4-2008》。（王孟清）</w:t>
      </w:r>
    </w:p>
    <w:p w14:paraId="082694E0">
      <w:pPr>
        <w:widowControl/>
        <w:spacing w:line="400" w:lineRule="exact"/>
        <w:ind w:firstLine="420" w:firstLineChars="200"/>
        <w:rPr>
          <w:rFonts w:ascii="宋体" w:hAnsi="宋体"/>
          <w:szCs w:val="21"/>
        </w:rPr>
      </w:pPr>
      <w:r>
        <w:rPr>
          <w:rFonts w:hint="eastAsia" w:ascii="宋体" w:hAnsi="宋体"/>
          <w:szCs w:val="21"/>
        </w:rPr>
        <w:t>3）B项表述较具体。（乔木林）</w:t>
      </w:r>
    </w:p>
    <w:p w14:paraId="63ADCF9B">
      <w:pPr>
        <w:widowControl/>
        <w:spacing w:line="400" w:lineRule="exact"/>
        <w:ind w:firstLine="420" w:firstLineChars="200"/>
        <w:rPr>
          <w:rFonts w:ascii="宋体" w:hAnsi="宋体"/>
          <w:szCs w:val="21"/>
        </w:rPr>
      </w:pPr>
      <w:r>
        <w:rPr>
          <w:rFonts w:hint="eastAsia" w:ascii="宋体" w:hAnsi="宋体"/>
          <w:szCs w:val="21"/>
        </w:rPr>
        <w:t>19.温针灸法操作描述专家文字建议：</w:t>
      </w:r>
    </w:p>
    <w:p w14:paraId="1F2CD23B">
      <w:pPr>
        <w:widowControl/>
        <w:spacing w:line="400" w:lineRule="exact"/>
        <w:ind w:firstLine="420" w:firstLineChars="200"/>
        <w:rPr>
          <w:rFonts w:ascii="宋体" w:hAnsi="宋体"/>
          <w:szCs w:val="21"/>
        </w:rPr>
      </w:pPr>
      <w:r>
        <w:rPr>
          <w:rFonts w:hint="eastAsia" w:ascii="宋体" w:hAnsi="宋体"/>
          <w:szCs w:val="21"/>
        </w:rPr>
        <w:t>1）原文已考虑患儿灼烫感受及处理方式，表达合理。（陈仁寿）</w:t>
      </w:r>
    </w:p>
    <w:p w14:paraId="22E950BE">
      <w:pPr>
        <w:widowControl/>
        <w:spacing w:line="400" w:lineRule="exact"/>
        <w:ind w:firstLine="420" w:firstLineChars="200"/>
        <w:rPr>
          <w:rFonts w:ascii="宋体" w:hAnsi="宋体"/>
          <w:szCs w:val="21"/>
        </w:rPr>
      </w:pPr>
      <w:r>
        <w:rPr>
          <w:rFonts w:hint="eastAsia" w:ascii="宋体" w:hAnsi="宋体"/>
          <w:szCs w:val="21"/>
        </w:rPr>
        <w:t>2）建议补充“A.温针灸法”中关于“艾绒”的叙述，更全面。（徐伟英）</w:t>
      </w:r>
    </w:p>
    <w:p w14:paraId="0B925271">
      <w:pPr>
        <w:widowControl/>
        <w:spacing w:line="400" w:lineRule="exact"/>
        <w:ind w:firstLine="420" w:firstLineChars="200"/>
        <w:rPr>
          <w:rFonts w:ascii="宋体" w:hAnsi="宋体"/>
          <w:szCs w:val="21"/>
        </w:rPr>
      </w:pPr>
      <w:r>
        <w:rPr>
          <w:rFonts w:hint="eastAsia" w:ascii="宋体" w:hAnsi="宋体"/>
          <w:szCs w:val="21"/>
        </w:rPr>
        <w:t>3）国标规定了艾条段距皮肤3 cm～4 cm，且艾条比艾绒不易散落，推荐使用艾条。（马丙祥）</w:t>
      </w:r>
    </w:p>
    <w:p w14:paraId="7332B05E">
      <w:pPr>
        <w:widowControl/>
        <w:spacing w:line="400" w:lineRule="exact"/>
        <w:ind w:firstLine="420" w:firstLineChars="200"/>
        <w:rPr>
          <w:rFonts w:ascii="宋体" w:hAnsi="宋体"/>
          <w:szCs w:val="21"/>
        </w:rPr>
      </w:pPr>
      <w:r>
        <w:rPr>
          <w:rFonts w:hint="eastAsia" w:ascii="宋体" w:hAnsi="宋体"/>
          <w:szCs w:val="21"/>
        </w:rPr>
        <w:t>4）将二者（艾绒与艾条）合并，修改完善。（韩新民）</w:t>
      </w:r>
    </w:p>
    <w:p w14:paraId="4D6DC275">
      <w:pPr>
        <w:widowControl/>
        <w:spacing w:line="400" w:lineRule="exact"/>
        <w:ind w:firstLine="420" w:firstLineChars="200"/>
        <w:rPr>
          <w:rFonts w:ascii="宋体" w:hAnsi="宋体"/>
          <w:szCs w:val="21"/>
        </w:rPr>
      </w:pPr>
      <w:r>
        <w:rPr>
          <w:rFonts w:hint="eastAsia" w:ascii="宋体" w:hAnsi="宋体"/>
          <w:szCs w:val="21"/>
        </w:rPr>
        <w:t>21.“附录Ａ （资料性）常用毫针”规格修改专家文字建议：</w:t>
      </w:r>
    </w:p>
    <w:p w14:paraId="37F52BA7">
      <w:pPr>
        <w:widowControl/>
        <w:spacing w:line="400" w:lineRule="exact"/>
        <w:ind w:firstLine="420" w:firstLineChars="200"/>
        <w:rPr>
          <w:rFonts w:ascii="宋体" w:hAnsi="宋体"/>
          <w:szCs w:val="21"/>
        </w:rPr>
      </w:pPr>
      <w:r>
        <w:rPr>
          <w:rFonts w:hint="eastAsia" w:ascii="宋体" w:hAnsi="宋体"/>
          <w:szCs w:val="21"/>
        </w:rPr>
        <w:t>1）前期审查专家提出儿科可以选择更细的针灸针，因此增加更细的毫针规格，参考《针灸推拿词典》中列出的0.23mm（34号）、0.20mm（36号）等更细规格。（胡思源）</w:t>
      </w:r>
    </w:p>
    <w:p w14:paraId="2A2CAF2F">
      <w:pPr>
        <w:widowControl/>
        <w:spacing w:line="400" w:lineRule="exact"/>
        <w:ind w:firstLine="420" w:firstLineChars="200"/>
        <w:rPr>
          <w:rFonts w:ascii="宋体" w:hAnsi="宋体"/>
          <w:szCs w:val="21"/>
        </w:rPr>
      </w:pPr>
      <w:r>
        <w:rPr>
          <w:rFonts w:hint="eastAsia" w:ascii="宋体" w:hAnsi="宋体"/>
          <w:szCs w:val="21"/>
        </w:rPr>
        <w:t>2）建议增加34号、36号规格，细针适用于儿童皮肤薄、痛感敏感部位。（张雅婷）</w:t>
      </w:r>
    </w:p>
    <w:p w14:paraId="15D1864B">
      <w:pPr>
        <w:widowControl/>
        <w:spacing w:line="400" w:lineRule="exact"/>
        <w:ind w:firstLine="420" w:firstLineChars="200"/>
        <w:rPr>
          <w:rFonts w:ascii="宋体" w:hAnsi="宋体"/>
          <w:szCs w:val="21"/>
        </w:rPr>
      </w:pPr>
      <w:r>
        <w:rPr>
          <w:rFonts w:hint="eastAsia" w:ascii="宋体" w:hAnsi="宋体"/>
          <w:szCs w:val="21"/>
        </w:rPr>
        <w:t>3）增加更细规格（34号、36号），符合儿科临床对更细、更安全针具的需求。（王有鹏、王明明）</w:t>
      </w:r>
    </w:p>
    <w:p w14:paraId="1F081600">
      <w:pPr>
        <w:widowControl/>
        <w:spacing w:line="400" w:lineRule="exact"/>
        <w:ind w:firstLine="420" w:firstLineChars="200"/>
        <w:rPr>
          <w:rFonts w:ascii="宋体" w:hAnsi="宋体"/>
          <w:szCs w:val="21"/>
        </w:rPr>
      </w:pPr>
      <w:r>
        <w:rPr>
          <w:rFonts w:hint="eastAsia" w:ascii="宋体" w:hAnsi="宋体"/>
          <w:szCs w:val="21"/>
        </w:rPr>
        <w:t>4）查找ISO标准所述毫针的直径规格进行核准，确保国际一致性。（汪受传）</w:t>
      </w:r>
    </w:p>
    <w:p w14:paraId="1B9B3ECE">
      <w:pPr>
        <w:widowControl/>
        <w:spacing w:line="400" w:lineRule="exact"/>
        <w:ind w:firstLine="420" w:firstLineChars="200"/>
        <w:rPr>
          <w:rFonts w:ascii="宋体" w:hAnsi="宋体"/>
          <w:szCs w:val="21"/>
        </w:rPr>
      </w:pPr>
      <w:r>
        <w:rPr>
          <w:rFonts w:hint="eastAsia" w:ascii="宋体" w:hAnsi="宋体"/>
          <w:szCs w:val="21"/>
        </w:rPr>
        <w:t>5）毫针规格一般只用“直径”加长度表示（如0.30×75mm），较少使用“号数”表示，建议规范表述方式。（乔木林）</w:t>
      </w:r>
    </w:p>
    <w:p w14:paraId="10F179B6">
      <w:pPr>
        <w:widowControl/>
        <w:spacing w:line="400" w:lineRule="exact"/>
        <w:ind w:firstLine="420" w:firstLineChars="200"/>
        <w:rPr>
          <w:rFonts w:ascii="宋体" w:hAnsi="宋体"/>
          <w:szCs w:val="21"/>
        </w:rPr>
      </w:pPr>
      <w:r>
        <w:rPr>
          <w:rFonts w:hint="eastAsia" w:ascii="宋体" w:hAnsi="宋体"/>
          <w:szCs w:val="21"/>
        </w:rPr>
        <w:t>22.循法操作专家文字建议：</w:t>
      </w:r>
    </w:p>
    <w:p w14:paraId="5A2EDF13">
      <w:pPr>
        <w:widowControl/>
        <w:spacing w:line="400" w:lineRule="exact"/>
        <w:ind w:firstLine="420" w:firstLineChars="200"/>
        <w:rPr>
          <w:rFonts w:ascii="宋体" w:hAnsi="宋体"/>
          <w:szCs w:val="21"/>
        </w:rPr>
      </w:pPr>
      <w:r>
        <w:rPr>
          <w:rFonts w:hint="eastAsia" w:ascii="宋体" w:hAnsi="宋体"/>
          <w:szCs w:val="21"/>
        </w:rPr>
        <w:t>1）循法：屈曲第二指关节，垂直于经脉上，以指头沿针刺腧穴所属之经的路线上向心循按。（陈晓燕、吴佳盛、陈仁寿、万力生、阮红明、王孟清、王明明、杨京华、张君、胡思源）</w:t>
      </w:r>
    </w:p>
    <w:p w14:paraId="0D304A57">
      <w:pPr>
        <w:widowControl/>
        <w:spacing w:line="400" w:lineRule="exact"/>
        <w:ind w:firstLine="420" w:firstLineChars="200"/>
        <w:rPr>
          <w:rFonts w:ascii="宋体" w:hAnsi="宋体"/>
          <w:szCs w:val="21"/>
        </w:rPr>
      </w:pPr>
      <w:r>
        <w:rPr>
          <w:rFonts w:hint="eastAsia" w:ascii="宋体" w:hAnsi="宋体"/>
          <w:szCs w:val="21"/>
        </w:rPr>
        <w:t>2）单指循按比多指循按效果更佳。（陈晓燕）</w:t>
      </w:r>
    </w:p>
    <w:p w14:paraId="7E091E0B">
      <w:pPr>
        <w:widowControl/>
        <w:spacing w:line="400" w:lineRule="exact"/>
        <w:ind w:firstLine="420" w:firstLineChars="200"/>
        <w:rPr>
          <w:rFonts w:ascii="宋体" w:hAnsi="宋体"/>
          <w:szCs w:val="21"/>
        </w:rPr>
      </w:pPr>
      <w:r>
        <w:rPr>
          <w:rFonts w:hint="eastAsia" w:ascii="宋体" w:hAnsi="宋体"/>
          <w:szCs w:val="21"/>
        </w:rPr>
        <w:t>3）明确“垂直于经脉上，向心循按”，操作更规范。（王孟清）</w:t>
      </w:r>
    </w:p>
    <w:p w14:paraId="61B6E3B5">
      <w:pPr>
        <w:widowControl/>
        <w:spacing w:line="400" w:lineRule="exact"/>
        <w:ind w:firstLine="420" w:firstLineChars="200"/>
        <w:rPr>
          <w:rFonts w:ascii="宋体" w:hAnsi="宋体"/>
          <w:szCs w:val="21"/>
        </w:rPr>
      </w:pPr>
      <w:r>
        <w:rPr>
          <w:rFonts w:hint="eastAsia" w:ascii="宋体" w:hAnsi="宋体"/>
          <w:szCs w:val="21"/>
        </w:rPr>
        <w:t>24.刮法操作专家文字建议：</w:t>
      </w:r>
    </w:p>
    <w:p w14:paraId="4AFD06A0">
      <w:pPr>
        <w:widowControl/>
        <w:spacing w:line="400" w:lineRule="exact"/>
        <w:ind w:firstLine="420" w:firstLineChars="200"/>
        <w:rPr>
          <w:rFonts w:ascii="宋体" w:hAnsi="宋体"/>
          <w:szCs w:val="21"/>
        </w:rPr>
      </w:pPr>
      <w:r>
        <w:rPr>
          <w:rFonts w:hint="eastAsia" w:ascii="宋体" w:hAnsi="宋体"/>
          <w:szCs w:val="21"/>
        </w:rPr>
        <w:t>1）刮法分向上刮和向下刮。用拇指抵住针尾，以</w:t>
      </w:r>
      <w:r>
        <w:rPr>
          <w:rFonts w:hint="eastAsia"/>
          <w:color w:val="000000" w:themeColor="text1"/>
          <w:lang w:val="en-US" w:eastAsia="zh-CN"/>
          <w14:textFill>
            <w14:solidFill>
              <w14:schemeClr w14:val="tx1"/>
            </w14:solidFill>
          </w14:textFill>
        </w:rPr>
        <w:t>示</w:t>
      </w:r>
      <w:r>
        <w:rPr>
          <w:rFonts w:hint="eastAsia" w:ascii="宋体" w:hAnsi="宋体"/>
          <w:szCs w:val="21"/>
        </w:rPr>
        <w:t>指或中指的指甲刮针柄；或以</w:t>
      </w:r>
      <w:r>
        <w:rPr>
          <w:rFonts w:hint="eastAsia"/>
          <w:color w:val="000000" w:themeColor="text1"/>
          <w:lang w:val="en-US" w:eastAsia="zh-CN"/>
          <w14:textFill>
            <w14:solidFill>
              <w14:schemeClr w14:val="tx1"/>
            </w14:solidFill>
          </w14:textFill>
        </w:rPr>
        <w:t>示</w:t>
      </w:r>
      <w:r>
        <w:rPr>
          <w:rFonts w:hint="eastAsia" w:ascii="宋体" w:hAnsi="宋体"/>
          <w:szCs w:val="21"/>
        </w:rPr>
        <w:t>指、中指抵住针尾，用拇指甲刮针柄。（刘英、熊磊、陈晓燕、陈秀珍、吴佳盛、倪光夏、陈仁寿、万力生、阮红明、王孟清、蔡承翰、王明明、张君、胡思源）</w:t>
      </w:r>
    </w:p>
    <w:p w14:paraId="270E4821">
      <w:pPr>
        <w:widowControl/>
        <w:spacing w:line="400" w:lineRule="exact"/>
        <w:ind w:firstLine="420" w:firstLineChars="200"/>
        <w:rPr>
          <w:rFonts w:ascii="宋体" w:hAnsi="宋体"/>
          <w:szCs w:val="21"/>
        </w:rPr>
      </w:pPr>
      <w:r>
        <w:rPr>
          <w:rFonts w:hint="eastAsia" w:ascii="宋体" w:hAnsi="宋体"/>
          <w:szCs w:val="21"/>
        </w:rPr>
        <w:t>2）表述更简洁，符合《GB/T 21709.21-2013》。（王孟清）</w:t>
      </w:r>
    </w:p>
    <w:p w14:paraId="1C9DF9F5">
      <w:pPr>
        <w:widowControl/>
        <w:spacing w:line="400" w:lineRule="exact"/>
        <w:ind w:firstLine="420" w:firstLineChars="200"/>
        <w:rPr>
          <w:rFonts w:ascii="宋体" w:hAnsi="宋体"/>
          <w:szCs w:val="21"/>
        </w:rPr>
      </w:pPr>
      <w:r>
        <w:rPr>
          <w:rFonts w:hint="eastAsia" w:ascii="宋体" w:hAnsi="宋体"/>
          <w:szCs w:val="21"/>
        </w:rPr>
        <w:t>3）B项表述较具体，建议采用。文中应将“示指”统一为“食指”。（乔木林）</w:t>
      </w:r>
    </w:p>
    <w:p w14:paraId="4F5872A5">
      <w:pPr>
        <w:widowControl/>
        <w:spacing w:line="400" w:lineRule="exact"/>
        <w:ind w:firstLine="420" w:firstLineChars="200"/>
        <w:rPr>
          <w:rFonts w:ascii="宋体" w:hAnsi="宋体"/>
          <w:szCs w:val="21"/>
        </w:rPr>
      </w:pPr>
      <w:r>
        <w:rPr>
          <w:rFonts w:hint="eastAsia" w:ascii="宋体" w:hAnsi="宋体"/>
          <w:szCs w:val="21"/>
        </w:rPr>
        <w:t>4）小于10岁儿童，建议不用刮法。（陈晓燕）</w:t>
      </w:r>
    </w:p>
    <w:p w14:paraId="48E15CA4">
      <w:pPr>
        <w:widowControl/>
        <w:spacing w:line="400" w:lineRule="exact"/>
        <w:ind w:firstLine="420" w:firstLineChars="200"/>
        <w:rPr>
          <w:rFonts w:ascii="宋体" w:hAnsi="宋体"/>
          <w:szCs w:val="21"/>
        </w:rPr>
      </w:pPr>
      <w:r>
        <w:rPr>
          <w:rFonts w:hint="eastAsia" w:ascii="宋体" w:hAnsi="宋体"/>
          <w:szCs w:val="21"/>
        </w:rPr>
        <w:t>25.摇法操作专家文字建议：</w:t>
      </w:r>
    </w:p>
    <w:p w14:paraId="212D7789">
      <w:pPr>
        <w:widowControl/>
        <w:spacing w:line="400" w:lineRule="exact"/>
        <w:ind w:firstLine="420" w:firstLineChars="200"/>
        <w:rPr>
          <w:rFonts w:ascii="宋体" w:hAnsi="宋体"/>
          <w:szCs w:val="21"/>
        </w:rPr>
      </w:pPr>
      <w:r>
        <w:rPr>
          <w:rFonts w:hint="eastAsia" w:ascii="宋体" w:hAnsi="宋体"/>
          <w:szCs w:val="21"/>
        </w:rPr>
        <w:t>1）摇法：针刺入一定深度后，手持针柄，将针按一定程序摇动，是使针感通过关节的一种方法。详见“4.3.2.1 青龙摆尾法”与“4.3.2.2 白虎摇头法”。（陈晓燕、吴佳盛、陈仁寿、万力生、阮红明、郑秀芬、杨燕、何丽、王明明、张君、杨京华、张君）</w:t>
      </w:r>
    </w:p>
    <w:p w14:paraId="3D57FF4A">
      <w:pPr>
        <w:widowControl/>
        <w:spacing w:line="400" w:lineRule="exact"/>
        <w:ind w:firstLine="420" w:firstLineChars="200"/>
        <w:rPr>
          <w:rFonts w:ascii="宋体" w:hAnsi="宋体"/>
          <w:szCs w:val="21"/>
        </w:rPr>
      </w:pPr>
      <w:r>
        <w:rPr>
          <w:rFonts w:hint="eastAsia" w:ascii="宋体" w:hAnsi="宋体"/>
          <w:szCs w:val="21"/>
        </w:rPr>
        <w:t>2）原文已概括核心操作，复式手法（如青龙摆尾、白虎摇头）可在手法部分另述，避免冗杂。（王孟清）</w:t>
      </w:r>
    </w:p>
    <w:p w14:paraId="443AFD4A">
      <w:pPr>
        <w:widowControl/>
        <w:spacing w:line="400" w:lineRule="exact"/>
        <w:ind w:firstLine="420" w:firstLineChars="200"/>
        <w:rPr>
          <w:rFonts w:ascii="宋体" w:hAnsi="宋体"/>
          <w:szCs w:val="21"/>
        </w:rPr>
      </w:pPr>
      <w:r>
        <w:rPr>
          <w:rFonts w:hint="eastAsia" w:ascii="宋体" w:hAnsi="宋体"/>
          <w:szCs w:val="21"/>
        </w:rPr>
        <w:t>3）文字需要再简洁一点。（陈仁寿）</w:t>
      </w:r>
    </w:p>
    <w:p w14:paraId="2B8C188A">
      <w:pPr>
        <w:widowControl/>
        <w:spacing w:line="400" w:lineRule="exact"/>
        <w:ind w:firstLine="420" w:firstLineChars="200"/>
        <w:rPr>
          <w:rFonts w:ascii="宋体" w:hAnsi="宋体"/>
          <w:szCs w:val="21"/>
        </w:rPr>
      </w:pPr>
      <w:r>
        <w:rPr>
          <w:rFonts w:hint="eastAsia" w:ascii="宋体" w:hAnsi="宋体"/>
          <w:szCs w:val="21"/>
        </w:rPr>
        <w:t>4）小于10岁儿童随拔随应，建议不用，以减少恐针感。（陈晓燕）</w:t>
      </w:r>
    </w:p>
    <w:p w14:paraId="265BADE3">
      <w:pPr>
        <w:widowControl/>
        <w:spacing w:line="400" w:lineRule="exact"/>
        <w:ind w:firstLine="420" w:firstLineChars="200"/>
        <w:rPr>
          <w:rFonts w:ascii="宋体" w:hAnsi="宋体"/>
          <w:szCs w:val="21"/>
        </w:rPr>
      </w:pPr>
      <w:r>
        <w:rPr>
          <w:rFonts w:hint="eastAsia" w:ascii="宋体" w:hAnsi="宋体"/>
          <w:szCs w:val="21"/>
        </w:rPr>
        <w:t>26.飞法操作专家文字建议：</w:t>
      </w:r>
    </w:p>
    <w:p w14:paraId="6DE9A422">
      <w:pPr>
        <w:widowControl/>
        <w:spacing w:line="400" w:lineRule="exact"/>
        <w:ind w:firstLine="420" w:firstLineChars="200"/>
        <w:rPr>
          <w:rFonts w:ascii="宋体" w:hAnsi="宋体"/>
          <w:szCs w:val="21"/>
        </w:rPr>
      </w:pPr>
      <w:r>
        <w:rPr>
          <w:rFonts w:hint="eastAsia" w:ascii="宋体" w:hAnsi="宋体"/>
          <w:szCs w:val="21"/>
        </w:rPr>
        <w:t>1）刺手拇</w:t>
      </w:r>
      <w:r>
        <w:rPr>
          <w:rFonts w:hint="eastAsia" w:ascii="宋体" w:hAnsi="宋体"/>
          <w:szCs w:val="21"/>
          <w:lang w:eastAsia="zh-CN"/>
        </w:rPr>
        <w:t>、</w:t>
      </w:r>
      <w:r>
        <w:rPr>
          <w:rFonts w:hint="eastAsia"/>
          <w:color w:val="000000" w:themeColor="text1"/>
          <w:lang w:val="en-US" w:eastAsia="zh-CN"/>
          <w14:textFill>
            <w14:solidFill>
              <w14:schemeClr w14:val="tx1"/>
            </w14:solidFill>
          </w14:textFill>
        </w:rPr>
        <w:t>示</w:t>
      </w:r>
      <w:r>
        <w:rPr>
          <w:rFonts w:hint="eastAsia" w:ascii="宋体" w:hAnsi="宋体"/>
          <w:szCs w:val="21"/>
        </w:rPr>
        <w:t>两指相对，由针尾上方下到针根部后，轻捏针根，然后向上飞旋，使术者指感有如提针，但要提而不出。由下而上的旋摩同时伴以由左而右（顺时针）的旋摩，要使术者的指感有如捻转，但要捻而不转，使其力呈下紧上松之漏斗型。在施术过程中，两指一捏一放如飞鸟展翅之象，故名曰飞。（刘英、熊磊、陈秀珍、吴佳盛、倪光夏、陈仁寿、万力生、阮红明、崔霞、何丽、王明明、张君、胡思源）</w:t>
      </w:r>
    </w:p>
    <w:p w14:paraId="2933946C">
      <w:pPr>
        <w:widowControl/>
        <w:spacing w:line="400" w:lineRule="exact"/>
        <w:ind w:firstLine="420" w:firstLineChars="200"/>
        <w:rPr>
          <w:rFonts w:ascii="宋体" w:hAnsi="宋体"/>
          <w:szCs w:val="21"/>
        </w:rPr>
      </w:pPr>
      <w:r>
        <w:rPr>
          <w:rFonts w:hint="eastAsia" w:ascii="宋体" w:hAnsi="宋体"/>
          <w:szCs w:val="21"/>
        </w:rPr>
        <w:t>2）描述更细致，强调“提而不出，捻而不转”，体现手法精髓。（王孟清）</w:t>
      </w:r>
    </w:p>
    <w:p w14:paraId="51D4F0B6">
      <w:pPr>
        <w:widowControl/>
        <w:spacing w:line="400" w:lineRule="exact"/>
        <w:ind w:firstLine="420" w:firstLineChars="200"/>
        <w:rPr>
          <w:rFonts w:ascii="宋体" w:hAnsi="宋体"/>
          <w:szCs w:val="21"/>
        </w:rPr>
      </w:pPr>
      <w:r>
        <w:rPr>
          <w:rFonts w:hint="eastAsia" w:ascii="宋体" w:hAnsi="宋体"/>
          <w:szCs w:val="21"/>
        </w:rPr>
        <w:t>27.震颤法的命名与操作专家文字建议：</w:t>
      </w:r>
    </w:p>
    <w:p w14:paraId="6AF772D0">
      <w:pPr>
        <w:widowControl/>
        <w:spacing w:line="400" w:lineRule="exact"/>
        <w:ind w:firstLine="420" w:firstLineChars="200"/>
        <w:rPr>
          <w:rFonts w:ascii="宋体" w:hAnsi="宋体"/>
          <w:szCs w:val="21"/>
        </w:rPr>
      </w:pPr>
      <w:r>
        <w:rPr>
          <w:rFonts w:hint="eastAsia" w:ascii="宋体" w:hAnsi="宋体"/>
          <w:szCs w:val="21"/>
        </w:rPr>
        <w:t>1）颤法：手持针柄颤动针体，颤动的速度较快，幅度要小，力度要均匀。（熊磊、陈秀珍、吴佳盛、倪光夏、陈仁寿、万力生、阮红明、王明明、张君、胡思源）</w:t>
      </w:r>
    </w:p>
    <w:p w14:paraId="79F6E707">
      <w:pPr>
        <w:widowControl/>
        <w:spacing w:line="400" w:lineRule="exact"/>
        <w:ind w:firstLine="420" w:firstLineChars="200"/>
        <w:rPr>
          <w:rFonts w:ascii="宋体" w:hAnsi="宋体"/>
          <w:szCs w:val="21"/>
        </w:rPr>
      </w:pPr>
      <w:r>
        <w:rPr>
          <w:rFonts w:hint="eastAsia" w:ascii="宋体" w:hAnsi="宋体"/>
          <w:szCs w:val="21"/>
        </w:rPr>
        <w:t>2）命名“颤法”更简洁，与《GB/T 21709.21-2013》一致。（王孟清）</w:t>
      </w:r>
    </w:p>
    <w:p w14:paraId="3E95E58E">
      <w:pPr>
        <w:widowControl/>
        <w:spacing w:line="400" w:lineRule="exact"/>
        <w:ind w:firstLine="420" w:firstLineChars="200"/>
        <w:rPr>
          <w:rFonts w:ascii="宋体" w:hAnsi="宋体"/>
          <w:szCs w:val="21"/>
        </w:rPr>
      </w:pPr>
      <w:r>
        <w:rPr>
          <w:rFonts w:hint="eastAsia" w:ascii="宋体" w:hAnsi="宋体"/>
          <w:szCs w:val="21"/>
        </w:rPr>
        <w:t>3）“震颤法”还是“颤法”，希查找相关标准确认。（汪受传）</w:t>
      </w:r>
    </w:p>
    <w:p w14:paraId="45F6D770">
      <w:pPr>
        <w:widowControl/>
        <w:spacing w:line="400" w:lineRule="exact"/>
        <w:ind w:firstLine="420" w:firstLineChars="200"/>
        <w:rPr>
          <w:rFonts w:ascii="宋体" w:hAnsi="宋体"/>
          <w:szCs w:val="21"/>
        </w:rPr>
      </w:pPr>
      <w:r>
        <w:rPr>
          <w:rFonts w:hint="eastAsia" w:ascii="宋体" w:hAnsi="宋体"/>
          <w:szCs w:val="21"/>
        </w:rPr>
        <w:t>4）可将“震颤法”改为“颤法”。（戎萍）</w:t>
      </w:r>
    </w:p>
    <w:p w14:paraId="5214C37E">
      <w:pPr>
        <w:widowControl/>
        <w:spacing w:line="400" w:lineRule="exact"/>
        <w:ind w:firstLine="420" w:firstLineChars="200"/>
        <w:rPr>
          <w:rFonts w:ascii="宋体" w:hAnsi="宋体"/>
          <w:szCs w:val="21"/>
        </w:rPr>
      </w:pPr>
      <w:r>
        <w:rPr>
          <w:rFonts w:hint="eastAsia" w:ascii="宋体" w:hAnsi="宋体"/>
          <w:szCs w:val="21"/>
        </w:rPr>
        <w:t>28.单式补泻手法各手法操作专家文字建议：</w:t>
      </w:r>
    </w:p>
    <w:p w14:paraId="3A5C6FDE">
      <w:pPr>
        <w:widowControl/>
        <w:spacing w:line="400" w:lineRule="exact"/>
        <w:ind w:firstLine="420" w:firstLineChars="200"/>
        <w:rPr>
          <w:rFonts w:ascii="宋体" w:hAnsi="宋体"/>
          <w:szCs w:val="21"/>
        </w:rPr>
      </w:pPr>
      <w:r>
        <w:rPr>
          <w:rFonts w:hint="eastAsia" w:ascii="宋体" w:hAnsi="宋体"/>
          <w:szCs w:val="21"/>
        </w:rPr>
        <w:t>1）徐疾补泻：补法，针刺得气后，用重力慢（徐入）插针；泻法，针刺得气后，用轻力慢（徐出）提针。提插补泻：补法，针刺得气后，用重力插针；泻法，针刺得气后，用轻力提针。捻转补泻：补法，针刺得气后，拇指向前（顺时针）用力重捻；泻法，针刺得气后，拇指向后（逆时针）用力轻捻。（熊磊、陈晓燕、陈秀珍、吴佳盛、倪光夏、陈仁寿、万力生、阮红明、蔡承翰、崔霞、王明明、张君、胡思源）</w:t>
      </w:r>
    </w:p>
    <w:p w14:paraId="72B06746">
      <w:pPr>
        <w:widowControl/>
        <w:spacing w:line="400" w:lineRule="exact"/>
        <w:ind w:firstLine="420" w:firstLineChars="200"/>
        <w:rPr>
          <w:rFonts w:ascii="宋体" w:hAnsi="宋体"/>
          <w:szCs w:val="21"/>
        </w:rPr>
      </w:pPr>
      <w:r>
        <w:rPr>
          <w:rFonts w:hint="eastAsia" w:ascii="宋体" w:hAnsi="宋体"/>
          <w:szCs w:val="21"/>
        </w:rPr>
        <w:t>2）原文对各补泻手法描述更系统、详尽，便于深入学习与操作。（王孟清）</w:t>
      </w:r>
    </w:p>
    <w:p w14:paraId="1285E17B">
      <w:pPr>
        <w:widowControl/>
        <w:spacing w:line="400" w:lineRule="exact"/>
        <w:ind w:firstLine="420" w:firstLineChars="200"/>
        <w:rPr>
          <w:rFonts w:ascii="宋体" w:hAnsi="宋体"/>
          <w:szCs w:val="21"/>
        </w:rPr>
      </w:pPr>
      <w:r>
        <w:rPr>
          <w:rFonts w:hint="eastAsia" w:ascii="宋体" w:hAnsi="宋体"/>
          <w:szCs w:val="21"/>
        </w:rPr>
        <w:t>3）国标原文阐述更具体，更具临床指导意义。（马丙祥）</w:t>
      </w:r>
    </w:p>
    <w:p w14:paraId="3F3CEFD0">
      <w:pPr>
        <w:widowControl/>
        <w:spacing w:line="400" w:lineRule="exact"/>
        <w:ind w:firstLine="420" w:firstLineChars="200"/>
        <w:rPr>
          <w:rFonts w:ascii="宋体" w:hAnsi="宋体"/>
          <w:szCs w:val="21"/>
        </w:rPr>
      </w:pPr>
      <w:r>
        <w:rPr>
          <w:rFonts w:hint="eastAsia" w:ascii="宋体" w:hAnsi="宋体"/>
          <w:szCs w:val="21"/>
        </w:rPr>
        <w:t>29.隔姜灸操作步骤专家文字建议：</w:t>
      </w:r>
    </w:p>
    <w:p w14:paraId="1D23092C">
      <w:pPr>
        <w:widowControl/>
        <w:spacing w:line="400" w:lineRule="exact"/>
        <w:ind w:firstLine="420" w:firstLineChars="200"/>
        <w:rPr>
          <w:rFonts w:ascii="宋体" w:hAnsi="宋体"/>
          <w:szCs w:val="21"/>
        </w:rPr>
      </w:pPr>
      <w:r>
        <w:rPr>
          <w:rFonts w:hint="eastAsia" w:ascii="宋体" w:hAnsi="宋体"/>
          <w:szCs w:val="21"/>
        </w:rPr>
        <w:t>1）用鲜姜切成直径大约2cm～3cm、厚约0.4cm～0.6cm的薄片，中间以针刺数孔，置于应灸腧穴或患处，再将艾炷放在姜片上点燃施灸。当艾炷燃尽，易炷再灸，直至灸完应灸壮数。常用于因寒所致的呕吐、腹痛、腹泻及风寒痹痛等。（熊磊、陈秀燕、陈秀珍、陈仁寿、万力生、阮红明、崔霞、蔡承翰、王孟清、王明明、张君、胡思源、张雅婷）</w:t>
      </w:r>
    </w:p>
    <w:p w14:paraId="0CDA4235">
      <w:pPr>
        <w:widowControl/>
        <w:spacing w:line="400" w:lineRule="exact"/>
        <w:ind w:firstLine="420" w:firstLineChars="200"/>
        <w:rPr>
          <w:rFonts w:ascii="宋体" w:hAnsi="宋体"/>
          <w:szCs w:val="21"/>
        </w:rPr>
      </w:pPr>
      <w:r>
        <w:rPr>
          <w:rFonts w:hint="eastAsia" w:ascii="宋体" w:hAnsi="宋体"/>
          <w:szCs w:val="21"/>
        </w:rPr>
        <w:t>2）姜片厚度0.4cm～0.6cm更合理，避免过薄烫伤。（王孟清）</w:t>
      </w:r>
    </w:p>
    <w:p w14:paraId="6539DC1A">
      <w:pPr>
        <w:widowControl/>
        <w:spacing w:line="400" w:lineRule="exact"/>
        <w:ind w:firstLine="420" w:firstLineChars="200"/>
        <w:rPr>
          <w:rFonts w:ascii="宋体" w:hAnsi="宋体"/>
          <w:szCs w:val="21"/>
        </w:rPr>
      </w:pPr>
      <w:r>
        <w:rPr>
          <w:rFonts w:hint="eastAsia" w:ascii="宋体" w:hAnsi="宋体"/>
          <w:szCs w:val="21"/>
        </w:rPr>
        <w:t>3）建议增加“适用范围3岁及以上”，符合儿童依从性及安全性考虑。（张雅婷）</w:t>
      </w:r>
    </w:p>
    <w:p w14:paraId="381E6916">
      <w:pPr>
        <w:widowControl/>
        <w:spacing w:line="400" w:lineRule="exact"/>
        <w:ind w:firstLine="420" w:firstLineChars="200"/>
        <w:rPr>
          <w:rFonts w:ascii="宋体" w:hAnsi="宋体"/>
          <w:szCs w:val="21"/>
        </w:rPr>
      </w:pPr>
      <w:r>
        <w:rPr>
          <w:rFonts w:hint="eastAsia" w:ascii="宋体" w:hAnsi="宋体"/>
          <w:szCs w:val="21"/>
        </w:rPr>
        <w:t>4）小于10岁的孩子慎用。（陈晓燕）</w:t>
      </w:r>
    </w:p>
    <w:p w14:paraId="536E4A3E">
      <w:pPr>
        <w:widowControl/>
        <w:spacing w:line="400" w:lineRule="exact"/>
        <w:ind w:firstLine="420" w:firstLineChars="200"/>
        <w:rPr>
          <w:rFonts w:ascii="宋体" w:hAnsi="宋体"/>
          <w:szCs w:val="21"/>
        </w:rPr>
      </w:pPr>
      <w:r>
        <w:rPr>
          <w:rFonts w:hint="eastAsia" w:ascii="宋体" w:hAnsi="宋体"/>
          <w:szCs w:val="21"/>
        </w:rPr>
        <w:t>30.附录Ｄ（资料性）刺四缝疗程专家文字建议：</w:t>
      </w:r>
    </w:p>
    <w:p w14:paraId="78BA3C3D">
      <w:pPr>
        <w:widowControl/>
        <w:spacing w:line="400" w:lineRule="exact"/>
        <w:ind w:firstLine="420" w:firstLineChars="200"/>
        <w:rPr>
          <w:rFonts w:ascii="宋体" w:hAnsi="宋体"/>
          <w:szCs w:val="21"/>
        </w:rPr>
      </w:pPr>
      <w:r>
        <w:rPr>
          <w:rFonts w:hint="eastAsia" w:ascii="宋体" w:hAnsi="宋体"/>
          <w:szCs w:val="21"/>
        </w:rPr>
        <w:t>1）每周刺1</w:t>
      </w:r>
      <w:r>
        <w:rPr>
          <w:rFonts w:hint="eastAsia" w:ascii="仿宋" w:hAnsi="仿宋" w:eastAsia="仿宋" w:cs="仿宋"/>
          <w:szCs w:val="21"/>
        </w:rPr>
        <w:t>～</w:t>
      </w:r>
      <w:r>
        <w:rPr>
          <w:rFonts w:hint="eastAsia" w:ascii="宋体" w:hAnsi="宋体"/>
          <w:szCs w:val="21"/>
        </w:rPr>
        <w:t>2次，病重者可隔日刺1次，待病情好转后减为每周1次、10天1次或15天1次，最多不超过10次。（刘英、熊磊、陈晓燕、陈秀珍、赵琼、吴佳盛、倪光夏、王俊宏、陈仁寿、万力生、阮红明、杨燕、蔡承翰、崔霞、孙香娟、汪受传、王明明、徐伟英、杨京华、张君、胡思源、秦艳虹、李江全、马丙祥）</w:t>
      </w:r>
    </w:p>
    <w:p w14:paraId="473919E8">
      <w:pPr>
        <w:widowControl/>
        <w:spacing w:line="400" w:lineRule="exact"/>
        <w:ind w:firstLine="420" w:firstLineChars="200"/>
        <w:rPr>
          <w:rFonts w:ascii="宋体" w:hAnsi="宋体"/>
          <w:szCs w:val="21"/>
        </w:rPr>
      </w:pPr>
      <w:r>
        <w:rPr>
          <w:rFonts w:hint="eastAsia" w:ascii="宋体" w:hAnsi="宋体"/>
          <w:szCs w:val="21"/>
        </w:rPr>
        <w:t>2）对昏迷患儿，每天做一次，3</w:t>
      </w:r>
      <w:r>
        <w:rPr>
          <w:rFonts w:hint="eastAsia" w:ascii="仿宋" w:hAnsi="仿宋" w:eastAsia="仿宋" w:cs="仿宋"/>
          <w:szCs w:val="21"/>
        </w:rPr>
        <w:t>～</w:t>
      </w:r>
      <w:r>
        <w:rPr>
          <w:rFonts w:hint="eastAsia" w:ascii="宋体" w:hAnsi="宋体"/>
          <w:szCs w:val="21"/>
        </w:rPr>
        <w:t>5天一疗程；苷症、厌食、肺炎等每3</w:t>
      </w:r>
      <w:r>
        <w:rPr>
          <w:rFonts w:hint="eastAsia" w:ascii="仿宋" w:hAnsi="仿宋" w:eastAsia="仿宋" w:cs="仿宋"/>
          <w:szCs w:val="21"/>
        </w:rPr>
        <w:t>～</w:t>
      </w:r>
      <w:r>
        <w:rPr>
          <w:rFonts w:hint="eastAsia" w:ascii="宋体" w:hAnsi="宋体"/>
          <w:szCs w:val="21"/>
        </w:rPr>
        <w:t>7天做一次，一疗程最少3次。（阮红明）</w:t>
      </w:r>
    </w:p>
    <w:p w14:paraId="5DC14626">
      <w:pPr>
        <w:widowControl/>
        <w:spacing w:line="400" w:lineRule="exact"/>
        <w:ind w:firstLine="420" w:firstLineChars="200"/>
        <w:rPr>
          <w:rFonts w:ascii="宋体" w:hAnsi="宋体"/>
          <w:szCs w:val="21"/>
        </w:rPr>
      </w:pPr>
      <w:r>
        <w:rPr>
          <w:rFonts w:hint="eastAsia" w:ascii="宋体" w:hAnsi="宋体"/>
          <w:szCs w:val="21"/>
        </w:rPr>
        <w:t>3）是否补充1岁以内应谨慎操作。（崔霞）</w:t>
      </w:r>
    </w:p>
    <w:p w14:paraId="5A9A9708">
      <w:pPr>
        <w:widowControl/>
        <w:spacing w:line="400" w:lineRule="exact"/>
        <w:ind w:firstLine="420" w:firstLineChars="200"/>
        <w:rPr>
          <w:rFonts w:ascii="宋体" w:hAnsi="宋体"/>
          <w:szCs w:val="21"/>
        </w:rPr>
      </w:pPr>
      <w:r>
        <w:rPr>
          <w:rFonts w:hint="eastAsia" w:ascii="宋体" w:hAnsi="宋体"/>
          <w:szCs w:val="21"/>
        </w:rPr>
        <w:t>4）施治频率应更多参考病情，而非年龄。（马丙祥）</w:t>
      </w:r>
    </w:p>
    <w:p w14:paraId="5DBE293E">
      <w:pPr>
        <w:widowControl/>
        <w:spacing w:line="400" w:lineRule="exact"/>
        <w:ind w:firstLine="420" w:firstLineChars="200"/>
        <w:rPr>
          <w:rFonts w:ascii="宋体" w:hAnsi="宋体"/>
          <w:szCs w:val="21"/>
        </w:rPr>
      </w:pPr>
      <w:r>
        <w:rPr>
          <w:rFonts w:hint="eastAsia" w:ascii="宋体" w:hAnsi="宋体"/>
          <w:szCs w:val="21"/>
        </w:rPr>
        <w:t>5）B项表述更适用于儿科临床，因可根据病情灵活调整。（乔木林）</w:t>
      </w:r>
    </w:p>
    <w:p w14:paraId="73EDB591">
      <w:pPr>
        <w:widowControl/>
        <w:spacing w:line="400" w:lineRule="exact"/>
        <w:ind w:firstLine="420" w:firstLineChars="200"/>
        <w:rPr>
          <w:rFonts w:ascii="宋体" w:hAnsi="宋体"/>
          <w:szCs w:val="21"/>
        </w:rPr>
      </w:pPr>
      <w:r>
        <w:rPr>
          <w:rFonts w:hint="eastAsia" w:ascii="宋体" w:hAnsi="宋体"/>
          <w:szCs w:val="21"/>
        </w:rPr>
        <w:t>31.隔盐灸操作步骤专家文字建议：</w:t>
      </w:r>
    </w:p>
    <w:p w14:paraId="0669BD3C">
      <w:pPr>
        <w:widowControl/>
        <w:spacing w:line="400" w:lineRule="exact"/>
        <w:ind w:firstLine="420" w:firstLineChars="200"/>
        <w:rPr>
          <w:rFonts w:ascii="宋体" w:hAnsi="宋体"/>
          <w:szCs w:val="21"/>
        </w:rPr>
      </w:pPr>
      <w:r>
        <w:rPr>
          <w:rFonts w:hint="eastAsia" w:ascii="宋体" w:hAnsi="宋体"/>
          <w:szCs w:val="21"/>
        </w:rPr>
        <w:t>1）儿童吐泻并作，要观察有无脱水症状，不能仅用此法。（陈晓燕）</w:t>
      </w:r>
    </w:p>
    <w:p w14:paraId="5DD86E08">
      <w:pPr>
        <w:widowControl/>
        <w:spacing w:line="400" w:lineRule="exact"/>
        <w:ind w:firstLine="420" w:firstLineChars="200"/>
        <w:rPr>
          <w:rFonts w:ascii="宋体" w:hAnsi="宋体"/>
          <w:szCs w:val="21"/>
        </w:rPr>
      </w:pPr>
      <w:r>
        <w:rPr>
          <w:rFonts w:hint="eastAsia" w:ascii="宋体" w:hAnsi="宋体"/>
          <w:szCs w:val="21"/>
        </w:rPr>
        <w:t>32.隔附子灸操作步骤专家文字建议：</w:t>
      </w:r>
    </w:p>
    <w:p w14:paraId="297CF592">
      <w:pPr>
        <w:widowControl/>
        <w:spacing w:line="400" w:lineRule="exact"/>
        <w:ind w:firstLine="420" w:firstLineChars="200"/>
        <w:rPr>
          <w:rFonts w:ascii="宋体" w:hAnsi="宋体"/>
          <w:szCs w:val="21"/>
        </w:rPr>
      </w:pPr>
      <w:r>
        <w:rPr>
          <w:rFonts w:hint="eastAsia" w:ascii="宋体" w:hAnsi="宋体"/>
          <w:szCs w:val="21"/>
        </w:rPr>
        <w:t>1）儿童慎用。（陈晓燕）</w:t>
      </w:r>
    </w:p>
    <w:p w14:paraId="749554EC">
      <w:pPr>
        <w:widowControl/>
        <w:spacing w:line="400" w:lineRule="exact"/>
        <w:ind w:firstLine="420" w:firstLineChars="200"/>
        <w:rPr>
          <w:rFonts w:ascii="宋体" w:hAnsi="宋体"/>
          <w:szCs w:val="21"/>
        </w:rPr>
      </w:pPr>
      <w:r>
        <w:rPr>
          <w:rFonts w:hint="eastAsia" w:ascii="宋体" w:hAnsi="宋体"/>
          <w:szCs w:val="21"/>
        </w:rPr>
        <w:t>2）删除“～2 cm”。（汪受传）</w:t>
      </w:r>
    </w:p>
    <w:p w14:paraId="73AF8EC6">
      <w:pPr>
        <w:widowControl/>
        <w:spacing w:line="400" w:lineRule="exact"/>
        <w:ind w:firstLine="420" w:firstLineChars="200"/>
        <w:rPr>
          <w:rFonts w:ascii="宋体" w:hAnsi="宋体"/>
          <w:szCs w:val="21"/>
        </w:rPr>
      </w:pPr>
      <w:r>
        <w:rPr>
          <w:rFonts w:hint="eastAsia" w:ascii="宋体" w:hAnsi="宋体"/>
          <w:szCs w:val="21"/>
        </w:rPr>
        <w:t>3）黄酒调制后幼龄儿童外敷是否合适有待商榷（戎萍）</w:t>
      </w:r>
    </w:p>
    <w:p w14:paraId="47F73D02">
      <w:pPr>
        <w:widowControl/>
        <w:spacing w:line="400" w:lineRule="exact"/>
        <w:ind w:firstLine="420" w:firstLineChars="200"/>
        <w:rPr>
          <w:rFonts w:ascii="宋体" w:hAnsi="宋体"/>
          <w:szCs w:val="21"/>
        </w:rPr>
      </w:pPr>
      <w:r>
        <w:rPr>
          <w:rFonts w:hint="eastAsia" w:ascii="宋体" w:hAnsi="宋体"/>
          <w:szCs w:val="21"/>
        </w:rPr>
        <w:t>4）命名“隔附子饼灸”更规范，参数（直径、厚度）与《GB/T 21709.1-2008》一致。选项A“直径0.2 cm ～0.3 cm”不合实际。（马丙祥）</w:t>
      </w:r>
    </w:p>
    <w:p w14:paraId="135A4353">
      <w:pPr>
        <w:widowControl/>
        <w:spacing w:line="400" w:lineRule="exact"/>
        <w:ind w:firstLine="420" w:firstLineChars="200"/>
        <w:rPr>
          <w:rFonts w:ascii="宋体" w:hAnsi="宋体"/>
          <w:szCs w:val="21"/>
        </w:rPr>
      </w:pPr>
      <w:r>
        <w:rPr>
          <w:rFonts w:hint="eastAsia" w:ascii="宋体" w:hAnsi="宋体"/>
          <w:szCs w:val="21"/>
        </w:rPr>
        <w:t>33.雷火神针操作专家文字建议：</w:t>
      </w:r>
    </w:p>
    <w:p w14:paraId="15E183AC">
      <w:pPr>
        <w:widowControl/>
        <w:spacing w:line="400" w:lineRule="exact"/>
        <w:ind w:firstLine="420" w:firstLineChars="200"/>
        <w:rPr>
          <w:rFonts w:ascii="宋体" w:hAnsi="宋体"/>
          <w:szCs w:val="21"/>
        </w:rPr>
      </w:pPr>
      <w:r>
        <w:rPr>
          <w:rFonts w:hint="eastAsia" w:ascii="宋体" w:hAnsi="宋体"/>
          <w:szCs w:val="21"/>
        </w:rPr>
        <w:t>1）因此灸味道很大，刺激呼吸道，建议儿童慎用。（陈晓燕）</w:t>
      </w:r>
    </w:p>
    <w:p w14:paraId="1C7979EC">
      <w:pPr>
        <w:widowControl/>
        <w:spacing w:line="400" w:lineRule="exact"/>
        <w:ind w:firstLine="420" w:firstLineChars="200"/>
        <w:rPr>
          <w:rFonts w:ascii="宋体" w:hAnsi="宋体"/>
          <w:szCs w:val="21"/>
        </w:rPr>
      </w:pPr>
      <w:r>
        <w:rPr>
          <w:rFonts w:hint="eastAsia" w:ascii="宋体" w:hAnsi="宋体"/>
          <w:szCs w:val="21"/>
        </w:rPr>
        <w:t>2）麝香最好要规定具体剂量。（陈仁寿）</w:t>
      </w:r>
    </w:p>
    <w:p w14:paraId="4017F883">
      <w:pPr>
        <w:widowControl/>
        <w:spacing w:line="400" w:lineRule="exact"/>
        <w:ind w:firstLine="420" w:firstLineChars="200"/>
        <w:rPr>
          <w:rFonts w:ascii="宋体" w:hAnsi="宋体"/>
          <w:szCs w:val="21"/>
        </w:rPr>
      </w:pPr>
      <w:r>
        <w:rPr>
          <w:rFonts w:hint="eastAsia" w:ascii="宋体" w:hAnsi="宋体"/>
          <w:szCs w:val="21"/>
        </w:rPr>
        <w:t>3）艾绒量改为94g，删除穿山甲（保护动物），桑皮纸尺寸不作硬性规定，更科学、合规。（王孟清）</w:t>
      </w:r>
    </w:p>
    <w:p w14:paraId="55AAD8DC">
      <w:pPr>
        <w:widowControl/>
        <w:spacing w:line="400" w:lineRule="exact"/>
        <w:ind w:firstLine="420" w:firstLineChars="200"/>
        <w:rPr>
          <w:rFonts w:ascii="宋体" w:hAnsi="宋体"/>
          <w:szCs w:val="21"/>
        </w:rPr>
      </w:pPr>
      <w:r>
        <w:rPr>
          <w:rFonts w:hint="eastAsia" w:ascii="宋体" w:hAnsi="宋体"/>
          <w:szCs w:val="21"/>
        </w:rPr>
        <w:t>34.太乙神针组成和制作方法专家文字建议：</w:t>
      </w:r>
    </w:p>
    <w:p w14:paraId="31CA6859">
      <w:pPr>
        <w:widowControl/>
        <w:spacing w:line="400" w:lineRule="exact"/>
        <w:ind w:firstLine="420" w:firstLineChars="200"/>
        <w:rPr>
          <w:rFonts w:ascii="宋体" w:hAnsi="宋体"/>
          <w:szCs w:val="21"/>
        </w:rPr>
      </w:pPr>
      <w:r>
        <w:rPr>
          <w:rFonts w:hint="eastAsia" w:ascii="宋体" w:hAnsi="宋体"/>
          <w:szCs w:val="21"/>
        </w:rPr>
        <w:t>1）“萎病”“痿病”“痿证”？按中医临床名词术语国家标准核准。（汪受传）</w:t>
      </w:r>
    </w:p>
    <w:p w14:paraId="39783A23">
      <w:pPr>
        <w:widowControl/>
        <w:spacing w:line="400" w:lineRule="exact"/>
        <w:ind w:firstLine="420" w:firstLineChars="200"/>
        <w:rPr>
          <w:rFonts w:ascii="宋体" w:hAnsi="宋体"/>
          <w:szCs w:val="21"/>
        </w:rPr>
      </w:pPr>
      <w:r>
        <w:rPr>
          <w:rFonts w:hint="eastAsia" w:ascii="宋体" w:hAnsi="宋体"/>
          <w:szCs w:val="21"/>
        </w:rPr>
        <w:t>2）儿童慎用。（陈晓燕）</w:t>
      </w:r>
    </w:p>
    <w:p w14:paraId="662DACCF">
      <w:pPr>
        <w:widowControl/>
        <w:spacing w:line="400" w:lineRule="exact"/>
        <w:ind w:firstLine="420" w:firstLineChars="200"/>
        <w:rPr>
          <w:rFonts w:ascii="宋体" w:hAnsi="宋体"/>
          <w:szCs w:val="21"/>
        </w:rPr>
      </w:pPr>
      <w:r>
        <w:rPr>
          <w:rFonts w:hint="eastAsia" w:ascii="宋体" w:hAnsi="宋体"/>
          <w:szCs w:val="21"/>
        </w:rPr>
        <w:t>3）麝香最好要有具体剂量。（陈仁寿）</w:t>
      </w:r>
    </w:p>
    <w:p w14:paraId="5F02E020">
      <w:pPr>
        <w:widowControl/>
        <w:spacing w:line="400" w:lineRule="exact"/>
        <w:ind w:firstLine="420" w:firstLineChars="200"/>
        <w:rPr>
          <w:rFonts w:ascii="宋体" w:hAnsi="宋体"/>
          <w:szCs w:val="21"/>
        </w:rPr>
      </w:pPr>
      <w:r>
        <w:rPr>
          <w:rFonts w:hint="eastAsia" w:ascii="宋体" w:hAnsi="宋体"/>
          <w:szCs w:val="21"/>
        </w:rPr>
        <w:t>4）萎病改痿病，麝香改人工麝香（刘英）</w:t>
      </w:r>
    </w:p>
    <w:p w14:paraId="709B6B8A">
      <w:pPr>
        <w:widowControl/>
        <w:spacing w:line="400" w:lineRule="exact"/>
        <w:ind w:firstLine="420" w:firstLineChars="200"/>
        <w:rPr>
          <w:rFonts w:ascii="宋体" w:hAnsi="宋体"/>
          <w:szCs w:val="21"/>
        </w:rPr>
      </w:pPr>
      <w:r>
        <w:rPr>
          <w:rFonts w:hint="eastAsia" w:ascii="宋体" w:hAnsi="宋体"/>
          <w:szCs w:val="21"/>
        </w:rPr>
        <w:t>35.艾灸治疗时间及疗程专家文字建议：</w:t>
      </w:r>
    </w:p>
    <w:p w14:paraId="45896072">
      <w:pPr>
        <w:widowControl/>
        <w:spacing w:line="400" w:lineRule="exact"/>
        <w:ind w:firstLine="420" w:firstLineChars="200"/>
        <w:rPr>
          <w:rFonts w:ascii="宋体" w:hAnsi="宋体"/>
          <w:szCs w:val="21"/>
        </w:rPr>
      </w:pPr>
      <w:r>
        <w:rPr>
          <w:rFonts w:hint="eastAsia" w:ascii="宋体" w:hAnsi="宋体"/>
          <w:szCs w:val="21"/>
        </w:rPr>
        <w:t>1）“依病症辨证确定”改为“依小儿年龄大小、病症辨证确定”。（汪受传）</w:t>
      </w:r>
    </w:p>
    <w:p w14:paraId="2659E2E5">
      <w:pPr>
        <w:widowControl/>
        <w:spacing w:line="400" w:lineRule="exact"/>
        <w:ind w:firstLine="420" w:firstLineChars="200"/>
        <w:rPr>
          <w:rFonts w:ascii="宋体" w:hAnsi="宋体"/>
          <w:szCs w:val="21"/>
        </w:rPr>
      </w:pPr>
      <w:r>
        <w:rPr>
          <w:rFonts w:hint="eastAsia" w:ascii="宋体" w:hAnsi="宋体"/>
          <w:szCs w:val="21"/>
        </w:rPr>
        <w:t>2）"B项加A项的'或隔日或3天'。"（乔木林）</w:t>
      </w:r>
    </w:p>
    <w:p w14:paraId="5359AF9C">
      <w:pPr>
        <w:widowControl/>
        <w:spacing w:line="400" w:lineRule="exact"/>
        <w:ind w:firstLine="420" w:firstLineChars="200"/>
        <w:rPr>
          <w:rFonts w:ascii="宋体" w:hAnsi="宋体"/>
          <w:szCs w:val="21"/>
        </w:rPr>
      </w:pPr>
      <w:r>
        <w:rPr>
          <w:rFonts w:hint="eastAsia" w:ascii="宋体" w:hAnsi="宋体"/>
          <w:szCs w:val="21"/>
        </w:rPr>
        <w:t>3）建议采用修订表述，限定3～10分钟，并强调儿童灸量为成人一半，以提升安全性。（张雅婷）</w:t>
      </w:r>
    </w:p>
    <w:p w14:paraId="5A974833">
      <w:pPr>
        <w:widowControl/>
        <w:spacing w:line="400" w:lineRule="exact"/>
        <w:ind w:firstLine="420" w:firstLineChars="200"/>
        <w:rPr>
          <w:rFonts w:ascii="宋体" w:hAnsi="宋体"/>
          <w:szCs w:val="21"/>
        </w:rPr>
      </w:pPr>
      <w:r>
        <w:rPr>
          <w:rFonts w:hint="eastAsia" w:ascii="宋体" w:hAnsi="宋体"/>
          <w:szCs w:val="21"/>
        </w:rPr>
        <w:t>36.小儿囟门附近针刺操作说法专家文字建议：</w:t>
      </w:r>
    </w:p>
    <w:p w14:paraId="434D978D">
      <w:pPr>
        <w:widowControl/>
        <w:spacing w:line="400" w:lineRule="exact"/>
        <w:ind w:firstLine="420" w:firstLineChars="200"/>
        <w:rPr>
          <w:rFonts w:ascii="宋体" w:hAnsi="宋体"/>
          <w:szCs w:val="21"/>
        </w:rPr>
      </w:pPr>
      <w:r>
        <w:rPr>
          <w:rFonts w:hint="eastAsia" w:ascii="宋体" w:hAnsi="宋体"/>
          <w:szCs w:val="21"/>
        </w:rPr>
        <w:t>1）改不宜针刺为禁止针刺。（陈晓燕）</w:t>
      </w:r>
    </w:p>
    <w:p w14:paraId="67179F59">
      <w:pPr>
        <w:widowControl/>
        <w:spacing w:line="400" w:lineRule="exact"/>
        <w:ind w:firstLine="420" w:firstLineChars="200"/>
        <w:rPr>
          <w:rFonts w:ascii="宋体" w:hAnsi="宋体"/>
          <w:szCs w:val="21"/>
        </w:rPr>
      </w:pPr>
      <w:r>
        <w:rPr>
          <w:rFonts w:hint="eastAsia" w:ascii="宋体" w:hAnsi="宋体"/>
          <w:szCs w:val="21"/>
        </w:rPr>
        <w:t>2）国标原文阐述太绝对（马丙祥）</w:t>
      </w:r>
    </w:p>
    <w:p w14:paraId="202E78FF">
      <w:pPr>
        <w:widowControl/>
        <w:spacing w:line="400" w:lineRule="exact"/>
        <w:ind w:firstLine="422" w:firstLineChars="200"/>
        <w:outlineLvl w:val="5"/>
        <w:rPr>
          <w:rFonts w:ascii="宋体" w:hAnsi="宋体"/>
          <w:b/>
          <w:bCs/>
          <w:szCs w:val="21"/>
        </w:rPr>
      </w:pPr>
      <w:r>
        <w:rPr>
          <w:rFonts w:hint="eastAsia" w:ascii="宋体" w:hAnsi="宋体"/>
          <w:b/>
          <w:bCs/>
          <w:szCs w:val="21"/>
        </w:rPr>
        <w:t xml:space="preserve">3.1.2 </w:t>
      </w:r>
      <w:r>
        <w:rPr>
          <w:rFonts w:ascii="宋体" w:hAnsi="宋体"/>
          <w:b/>
          <w:bCs/>
          <w:szCs w:val="21"/>
        </w:rPr>
        <w:t>拟新增、修改/删除条文</w:t>
      </w:r>
    </w:p>
    <w:tbl>
      <w:tblPr>
        <w:tblStyle w:val="12"/>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295"/>
        <w:gridCol w:w="4065"/>
        <w:gridCol w:w="1506"/>
        <w:gridCol w:w="662"/>
        <w:gridCol w:w="971"/>
      </w:tblGrid>
      <w:tr w14:paraId="7EB83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jc w:val="center"/>
        </w:trPr>
        <w:tc>
          <w:tcPr>
            <w:tcW w:w="1295" w:type="dxa"/>
            <w:tcBorders>
              <w:tl2br w:val="nil"/>
            </w:tcBorders>
            <w:shd w:val="clear" w:color="auto" w:fill="auto"/>
            <w:tcMar>
              <w:top w:w="45" w:type="dxa"/>
              <w:left w:w="98" w:type="dxa"/>
              <w:bottom w:w="45" w:type="dxa"/>
              <w:right w:w="98" w:type="dxa"/>
            </w:tcMar>
            <w:vAlign w:val="center"/>
          </w:tcPr>
          <w:p w14:paraId="04751BD9">
            <w:pPr>
              <w:widowControl/>
              <w:snapToGrid w:val="0"/>
              <w:jc w:val="center"/>
              <w:rPr>
                <w:rFonts w:ascii="宋体" w:hAnsi="宋体" w:cs="宋体"/>
                <w:b/>
                <w:bCs/>
                <w:color w:val="000000"/>
                <w:szCs w:val="21"/>
              </w:rPr>
            </w:pPr>
            <w:r>
              <w:rPr>
                <w:rFonts w:hint="eastAsia" w:ascii="宋体" w:hAnsi="宋体" w:cs="宋体"/>
                <w:b/>
                <w:bCs/>
                <w:color w:val="000000"/>
                <w:szCs w:val="21"/>
              </w:rPr>
              <w:t>原条目序号</w:t>
            </w:r>
          </w:p>
        </w:tc>
        <w:tc>
          <w:tcPr>
            <w:tcW w:w="4065" w:type="dxa"/>
            <w:shd w:val="clear" w:color="auto" w:fill="auto"/>
            <w:tcMar>
              <w:top w:w="45" w:type="dxa"/>
              <w:left w:w="98" w:type="dxa"/>
              <w:bottom w:w="45" w:type="dxa"/>
              <w:right w:w="98" w:type="dxa"/>
            </w:tcMar>
            <w:vAlign w:val="center"/>
          </w:tcPr>
          <w:p w14:paraId="0DCDFC76">
            <w:pPr>
              <w:widowControl/>
              <w:snapToGrid w:val="0"/>
              <w:jc w:val="center"/>
              <w:rPr>
                <w:rFonts w:ascii="宋体" w:hAnsi="宋体" w:cs="宋体"/>
                <w:b/>
                <w:bCs/>
                <w:color w:val="000000"/>
                <w:szCs w:val="21"/>
              </w:rPr>
            </w:pPr>
            <w:r>
              <w:rPr>
                <w:rFonts w:hint="eastAsia" w:ascii="宋体" w:hAnsi="宋体" w:cs="宋体"/>
                <w:b/>
                <w:bCs/>
                <w:color w:val="000000"/>
                <w:szCs w:val="21"/>
              </w:rPr>
              <w:t>条目</w:t>
            </w:r>
          </w:p>
        </w:tc>
        <w:tc>
          <w:tcPr>
            <w:tcW w:w="1506" w:type="dxa"/>
            <w:shd w:val="clear" w:color="auto" w:fill="auto"/>
            <w:tcMar>
              <w:top w:w="45" w:type="dxa"/>
              <w:left w:w="98" w:type="dxa"/>
              <w:bottom w:w="45" w:type="dxa"/>
              <w:right w:w="98" w:type="dxa"/>
            </w:tcMar>
            <w:vAlign w:val="center"/>
          </w:tcPr>
          <w:p w14:paraId="6481C01C">
            <w:pPr>
              <w:widowControl/>
              <w:snapToGrid w:val="0"/>
              <w:jc w:val="center"/>
              <w:rPr>
                <w:rFonts w:ascii="宋体" w:hAnsi="宋体" w:cs="宋体"/>
                <w:b/>
                <w:bCs/>
                <w:color w:val="000000"/>
                <w:szCs w:val="21"/>
              </w:rPr>
            </w:pPr>
            <w:r>
              <w:rPr>
                <w:rFonts w:hint="eastAsia" w:ascii="宋体" w:hAnsi="宋体" w:cs="宋体"/>
                <w:b/>
                <w:bCs/>
                <w:color w:val="000000"/>
                <w:szCs w:val="21"/>
              </w:rPr>
              <w:t>最高支持选项</w:t>
            </w:r>
          </w:p>
        </w:tc>
        <w:tc>
          <w:tcPr>
            <w:tcW w:w="662" w:type="dxa"/>
            <w:shd w:val="clear" w:color="auto" w:fill="auto"/>
            <w:tcMar>
              <w:top w:w="45" w:type="dxa"/>
              <w:left w:w="98" w:type="dxa"/>
              <w:bottom w:w="45" w:type="dxa"/>
              <w:right w:w="98" w:type="dxa"/>
            </w:tcMar>
            <w:vAlign w:val="center"/>
          </w:tcPr>
          <w:p w14:paraId="3E432AE7">
            <w:pPr>
              <w:widowControl/>
              <w:snapToGrid w:val="0"/>
              <w:jc w:val="center"/>
              <w:rPr>
                <w:rFonts w:ascii="宋体" w:hAnsi="宋体" w:cs="宋体"/>
                <w:b/>
                <w:bCs/>
                <w:color w:val="000000"/>
                <w:szCs w:val="21"/>
              </w:rPr>
            </w:pPr>
            <w:r>
              <w:rPr>
                <w:rFonts w:hint="eastAsia" w:ascii="宋体" w:hAnsi="宋体" w:cs="宋体"/>
                <w:b/>
                <w:bCs/>
                <w:color w:val="000000"/>
                <w:szCs w:val="21"/>
              </w:rPr>
              <w:t>频数</w:t>
            </w:r>
          </w:p>
        </w:tc>
        <w:tc>
          <w:tcPr>
            <w:tcW w:w="971" w:type="dxa"/>
            <w:shd w:val="clear" w:color="auto" w:fill="auto"/>
            <w:tcMar>
              <w:top w:w="45" w:type="dxa"/>
              <w:left w:w="98" w:type="dxa"/>
              <w:bottom w:w="45" w:type="dxa"/>
              <w:right w:w="98" w:type="dxa"/>
            </w:tcMar>
            <w:vAlign w:val="center"/>
          </w:tcPr>
          <w:p w14:paraId="19C29470">
            <w:pPr>
              <w:widowControl/>
              <w:snapToGrid w:val="0"/>
              <w:jc w:val="center"/>
              <w:rPr>
                <w:rFonts w:ascii="宋体" w:hAnsi="宋体" w:cs="宋体"/>
                <w:b/>
                <w:bCs/>
                <w:color w:val="000000"/>
                <w:szCs w:val="21"/>
              </w:rPr>
            </w:pPr>
            <w:r>
              <w:rPr>
                <w:rFonts w:hint="eastAsia" w:ascii="宋体" w:hAnsi="宋体" w:cs="宋体"/>
                <w:b/>
                <w:bCs/>
                <w:color w:val="000000"/>
                <w:szCs w:val="21"/>
              </w:rPr>
              <w:t>百分比</w:t>
            </w:r>
          </w:p>
        </w:tc>
      </w:tr>
      <w:tr w14:paraId="6050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295" w:type="dxa"/>
            <w:shd w:val="clear" w:color="auto" w:fill="auto"/>
            <w:tcMar>
              <w:top w:w="45" w:type="dxa"/>
              <w:left w:w="98" w:type="dxa"/>
              <w:bottom w:w="45" w:type="dxa"/>
              <w:right w:w="98" w:type="dxa"/>
            </w:tcMar>
            <w:vAlign w:val="center"/>
          </w:tcPr>
          <w:p w14:paraId="196459CA">
            <w:pPr>
              <w:widowControl/>
              <w:snapToGrid w:val="0"/>
              <w:jc w:val="center"/>
              <w:rPr>
                <w:rFonts w:ascii="宋体" w:hAnsi="宋体" w:cs="宋体"/>
                <w:color w:val="000000"/>
                <w:sz w:val="22"/>
                <w:szCs w:val="21"/>
              </w:rPr>
            </w:pPr>
            <w:r>
              <w:rPr>
                <w:rFonts w:hint="eastAsia" w:ascii="宋体" w:hAnsi="宋体" w:cs="宋体"/>
                <w:color w:val="000000"/>
                <w:sz w:val="22"/>
                <w:szCs w:val="21"/>
              </w:rPr>
              <w:t>1</w:t>
            </w:r>
          </w:p>
        </w:tc>
        <w:tc>
          <w:tcPr>
            <w:tcW w:w="4065" w:type="dxa"/>
            <w:shd w:val="clear" w:color="auto" w:fill="auto"/>
            <w:tcMar>
              <w:top w:w="45" w:type="dxa"/>
              <w:left w:w="98" w:type="dxa"/>
              <w:bottom w:w="45" w:type="dxa"/>
              <w:right w:w="98" w:type="dxa"/>
            </w:tcMar>
            <w:vAlign w:val="center"/>
          </w:tcPr>
          <w:p w14:paraId="19C9F89C">
            <w:pPr>
              <w:snapToGrid w:val="0"/>
              <w:spacing w:after="160"/>
              <w:jc w:val="left"/>
              <w:rPr>
                <w:rFonts w:ascii="宋体" w:hAnsi="宋体" w:cs="宋体"/>
                <w:sz w:val="22"/>
                <w:szCs w:val="24"/>
                <w14:ligatures w14:val="standardContextual"/>
              </w:rPr>
            </w:pPr>
            <w:r>
              <w:rPr>
                <w:rFonts w:hint="eastAsia" w:ascii="宋体" w:hAnsi="宋体" w:cs="宋体"/>
                <w:sz w:val="22"/>
                <w:szCs w:val="24"/>
                <w14:ligatures w14:val="standardContextual"/>
              </w:rPr>
              <w:t>修改“1 范围</w:t>
            </w:r>
            <w:r>
              <w:rPr>
                <w:rFonts w:ascii="宋体" w:hAnsi="宋体" w:cs="宋体"/>
                <w:sz w:val="22"/>
                <w:szCs w:val="24"/>
                <w14:ligatures w14:val="standardContextual"/>
              </w:rPr>
              <w:t>”</w:t>
            </w:r>
          </w:p>
        </w:tc>
        <w:tc>
          <w:tcPr>
            <w:tcW w:w="1506" w:type="dxa"/>
            <w:shd w:val="clear" w:color="auto" w:fill="auto"/>
            <w:tcMar>
              <w:top w:w="45" w:type="dxa"/>
              <w:left w:w="98" w:type="dxa"/>
              <w:bottom w:w="45" w:type="dxa"/>
              <w:right w:w="98" w:type="dxa"/>
            </w:tcMar>
            <w:vAlign w:val="center"/>
          </w:tcPr>
          <w:p w14:paraId="6A7761B2">
            <w:pPr>
              <w:widowControl/>
              <w:snapToGrid w:val="0"/>
              <w:spacing w:after="160"/>
              <w:jc w:val="center"/>
              <w:textAlignment w:val="center"/>
              <w:rPr>
                <w:rFonts w:ascii="宋体" w:hAnsi="宋体" w:cs="宋体"/>
                <w:color w:val="000000"/>
                <w:sz w:val="22"/>
                <w14:ligatures w14:val="standardContextual"/>
              </w:rPr>
            </w:pPr>
            <w:r>
              <w:rPr>
                <w:rFonts w:hint="eastAsia" w:ascii="宋体" w:hAnsi="宋体" w:cs="宋体"/>
                <w:color w:val="000000"/>
                <w:kern w:val="0"/>
                <w:sz w:val="22"/>
                <w:lang w:bidi="ar"/>
                <w14:ligatures w14:val="standardContextual"/>
              </w:rPr>
              <w:t>A.</w:t>
            </w:r>
            <w:r>
              <w:rPr>
                <w:rStyle w:val="18"/>
                <w:rFonts w:hint="default"/>
                <w:lang w:bidi="ar"/>
                <w14:ligatures w14:val="standardContextual"/>
              </w:rPr>
              <w:t>同意</w:t>
            </w:r>
          </w:p>
        </w:tc>
        <w:tc>
          <w:tcPr>
            <w:tcW w:w="662" w:type="dxa"/>
            <w:shd w:val="clear" w:color="auto" w:fill="auto"/>
            <w:tcMar>
              <w:top w:w="45" w:type="dxa"/>
              <w:left w:w="98" w:type="dxa"/>
              <w:bottom w:w="45" w:type="dxa"/>
              <w:right w:w="98" w:type="dxa"/>
            </w:tcMar>
            <w:vAlign w:val="center"/>
          </w:tcPr>
          <w:p w14:paraId="1F65BDF4">
            <w:pPr>
              <w:widowControl/>
              <w:snapToGrid w:val="0"/>
              <w:spacing w:after="160"/>
              <w:jc w:val="center"/>
              <w:textAlignment w:val="center"/>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33</w:t>
            </w:r>
          </w:p>
        </w:tc>
        <w:tc>
          <w:tcPr>
            <w:tcW w:w="971" w:type="dxa"/>
            <w:shd w:val="clear" w:color="auto" w:fill="auto"/>
            <w:tcMar>
              <w:top w:w="45" w:type="dxa"/>
              <w:left w:w="98" w:type="dxa"/>
              <w:bottom w:w="45" w:type="dxa"/>
              <w:right w:w="98" w:type="dxa"/>
            </w:tcMar>
            <w:vAlign w:val="center"/>
          </w:tcPr>
          <w:p w14:paraId="6577141C">
            <w:pPr>
              <w:widowControl/>
              <w:snapToGrid w:val="0"/>
              <w:spacing w:after="160"/>
              <w:jc w:val="center"/>
              <w:textAlignment w:val="bottom"/>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97.06%</w:t>
            </w:r>
          </w:p>
        </w:tc>
      </w:tr>
      <w:tr w14:paraId="35A15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295" w:type="dxa"/>
            <w:shd w:val="clear" w:color="auto" w:fill="auto"/>
            <w:tcMar>
              <w:top w:w="45" w:type="dxa"/>
              <w:left w:w="98" w:type="dxa"/>
              <w:bottom w:w="45" w:type="dxa"/>
              <w:right w:w="98" w:type="dxa"/>
            </w:tcMar>
            <w:vAlign w:val="center"/>
          </w:tcPr>
          <w:p w14:paraId="3B8D2DD4">
            <w:pPr>
              <w:widowControl/>
              <w:snapToGrid w:val="0"/>
              <w:jc w:val="center"/>
              <w:rPr>
                <w:rFonts w:ascii="宋体" w:hAnsi="宋体" w:cs="宋体"/>
                <w:color w:val="000000"/>
                <w:sz w:val="22"/>
                <w:szCs w:val="21"/>
              </w:rPr>
            </w:pPr>
            <w:r>
              <w:rPr>
                <w:rFonts w:hint="eastAsia" w:ascii="宋体" w:hAnsi="宋体" w:cs="宋体"/>
                <w:color w:val="000000"/>
                <w:sz w:val="22"/>
                <w:szCs w:val="21"/>
              </w:rPr>
              <w:t>2</w:t>
            </w:r>
          </w:p>
        </w:tc>
        <w:tc>
          <w:tcPr>
            <w:tcW w:w="4065" w:type="dxa"/>
            <w:shd w:val="clear" w:color="auto" w:fill="auto"/>
            <w:tcMar>
              <w:top w:w="45" w:type="dxa"/>
              <w:left w:w="98" w:type="dxa"/>
              <w:bottom w:w="45" w:type="dxa"/>
              <w:right w:w="98" w:type="dxa"/>
            </w:tcMar>
            <w:vAlign w:val="center"/>
          </w:tcPr>
          <w:p w14:paraId="006173E5">
            <w:pPr>
              <w:snapToGrid w:val="0"/>
              <w:spacing w:after="160"/>
              <w:jc w:val="left"/>
              <w:rPr>
                <w:rFonts w:ascii="宋体" w:hAnsi="宋体" w:cs="宋体"/>
                <w:sz w:val="22"/>
                <w:szCs w:val="24"/>
                <w14:ligatures w14:val="standardContextual"/>
              </w:rPr>
            </w:pPr>
            <w:r>
              <w:rPr>
                <w:rFonts w:hint="eastAsia" w:ascii="宋体" w:hAnsi="宋体" w:cs="宋体"/>
                <w:sz w:val="22"/>
                <w:szCs w:val="24"/>
                <w14:ligatures w14:val="standardContextual"/>
              </w:rPr>
              <w:t>修改“2 规范性引用文件</w:t>
            </w:r>
            <w:r>
              <w:rPr>
                <w:rFonts w:ascii="宋体" w:hAnsi="宋体" w:cs="宋体"/>
                <w:sz w:val="22"/>
                <w:szCs w:val="24"/>
                <w14:ligatures w14:val="standardContextual"/>
              </w:rPr>
              <w:t>”</w:t>
            </w:r>
          </w:p>
        </w:tc>
        <w:tc>
          <w:tcPr>
            <w:tcW w:w="1506" w:type="dxa"/>
            <w:shd w:val="clear" w:color="auto" w:fill="auto"/>
            <w:tcMar>
              <w:top w:w="45" w:type="dxa"/>
              <w:left w:w="98" w:type="dxa"/>
              <w:bottom w:w="45" w:type="dxa"/>
              <w:right w:w="98" w:type="dxa"/>
            </w:tcMar>
            <w:vAlign w:val="center"/>
          </w:tcPr>
          <w:p w14:paraId="7FA382B4">
            <w:pPr>
              <w:widowControl/>
              <w:snapToGrid w:val="0"/>
              <w:spacing w:after="160"/>
              <w:jc w:val="center"/>
              <w:textAlignment w:val="center"/>
              <w:rPr>
                <w:rFonts w:ascii="宋体" w:hAnsi="宋体" w:cs="宋体"/>
                <w:color w:val="000000"/>
                <w:sz w:val="22"/>
                <w14:ligatures w14:val="standardContextual"/>
              </w:rPr>
            </w:pPr>
            <w:r>
              <w:rPr>
                <w:rFonts w:hint="eastAsia" w:ascii="宋体" w:hAnsi="宋体" w:cs="宋体"/>
                <w:color w:val="000000"/>
                <w:kern w:val="0"/>
                <w:sz w:val="22"/>
                <w:lang w:bidi="ar"/>
                <w14:ligatures w14:val="standardContextual"/>
              </w:rPr>
              <w:t>A.</w:t>
            </w:r>
            <w:r>
              <w:rPr>
                <w:rStyle w:val="18"/>
                <w:rFonts w:hint="default"/>
                <w:lang w:bidi="ar"/>
                <w14:ligatures w14:val="standardContextual"/>
              </w:rPr>
              <w:t>同意</w:t>
            </w:r>
          </w:p>
        </w:tc>
        <w:tc>
          <w:tcPr>
            <w:tcW w:w="662" w:type="dxa"/>
            <w:shd w:val="clear" w:color="auto" w:fill="auto"/>
            <w:tcMar>
              <w:top w:w="45" w:type="dxa"/>
              <w:left w:w="98" w:type="dxa"/>
              <w:bottom w:w="45" w:type="dxa"/>
              <w:right w:w="98" w:type="dxa"/>
            </w:tcMar>
            <w:vAlign w:val="center"/>
          </w:tcPr>
          <w:p w14:paraId="144F2633">
            <w:pPr>
              <w:widowControl/>
              <w:snapToGrid w:val="0"/>
              <w:spacing w:after="160"/>
              <w:jc w:val="center"/>
              <w:textAlignment w:val="center"/>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33</w:t>
            </w:r>
          </w:p>
        </w:tc>
        <w:tc>
          <w:tcPr>
            <w:tcW w:w="971" w:type="dxa"/>
            <w:shd w:val="clear" w:color="auto" w:fill="auto"/>
            <w:tcMar>
              <w:top w:w="45" w:type="dxa"/>
              <w:left w:w="98" w:type="dxa"/>
              <w:bottom w:w="45" w:type="dxa"/>
              <w:right w:w="98" w:type="dxa"/>
            </w:tcMar>
            <w:vAlign w:val="center"/>
          </w:tcPr>
          <w:p w14:paraId="776C65CF">
            <w:pPr>
              <w:widowControl/>
              <w:snapToGrid w:val="0"/>
              <w:spacing w:after="160"/>
              <w:jc w:val="center"/>
              <w:textAlignment w:val="bottom"/>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97.06%</w:t>
            </w:r>
          </w:p>
        </w:tc>
      </w:tr>
      <w:tr w14:paraId="7E2D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295" w:type="dxa"/>
            <w:shd w:val="clear" w:color="auto" w:fill="auto"/>
            <w:tcMar>
              <w:top w:w="45" w:type="dxa"/>
              <w:left w:w="98" w:type="dxa"/>
              <w:bottom w:w="45" w:type="dxa"/>
              <w:right w:w="98" w:type="dxa"/>
            </w:tcMar>
            <w:vAlign w:val="center"/>
          </w:tcPr>
          <w:p w14:paraId="23AEEBF2">
            <w:pPr>
              <w:widowControl/>
              <w:snapToGrid w:val="0"/>
              <w:jc w:val="center"/>
              <w:rPr>
                <w:rFonts w:ascii="宋体" w:hAnsi="宋体" w:cs="宋体"/>
                <w:color w:val="000000"/>
                <w:sz w:val="22"/>
                <w:szCs w:val="21"/>
              </w:rPr>
            </w:pPr>
            <w:r>
              <w:rPr>
                <w:rFonts w:hint="eastAsia" w:ascii="宋体" w:hAnsi="宋体" w:cs="宋体"/>
                <w:color w:val="000000"/>
                <w:sz w:val="22"/>
                <w:szCs w:val="21"/>
              </w:rPr>
              <w:t>3</w:t>
            </w:r>
          </w:p>
        </w:tc>
        <w:tc>
          <w:tcPr>
            <w:tcW w:w="4065" w:type="dxa"/>
            <w:shd w:val="clear" w:color="auto" w:fill="auto"/>
            <w:tcMar>
              <w:top w:w="45" w:type="dxa"/>
              <w:left w:w="98" w:type="dxa"/>
              <w:bottom w:w="45" w:type="dxa"/>
              <w:right w:w="98" w:type="dxa"/>
            </w:tcMar>
            <w:vAlign w:val="center"/>
          </w:tcPr>
          <w:p w14:paraId="485CC8F3">
            <w:pPr>
              <w:snapToGrid w:val="0"/>
              <w:spacing w:after="160"/>
              <w:jc w:val="left"/>
              <w:rPr>
                <w:rFonts w:ascii="宋体" w:hAnsi="宋体" w:cs="宋体"/>
                <w:sz w:val="22"/>
                <w:szCs w:val="24"/>
                <w14:ligatures w14:val="standardContextual"/>
              </w:rPr>
            </w:pPr>
            <w:r>
              <w:rPr>
                <w:rFonts w:hint="eastAsia" w:ascii="宋体" w:hAnsi="宋体" w:cs="宋体"/>
                <w:sz w:val="22"/>
                <w:szCs w:val="24"/>
                <w14:ligatures w14:val="standardContextual"/>
              </w:rPr>
              <w:t>修改“4.1.5 穴位</w:t>
            </w:r>
            <w:r>
              <w:rPr>
                <w:rFonts w:ascii="宋体" w:hAnsi="宋体" w:cs="宋体"/>
                <w:sz w:val="22"/>
                <w:szCs w:val="24"/>
                <w14:ligatures w14:val="standardContextual"/>
              </w:rPr>
              <w:t>”</w:t>
            </w:r>
          </w:p>
        </w:tc>
        <w:tc>
          <w:tcPr>
            <w:tcW w:w="1506" w:type="dxa"/>
            <w:shd w:val="clear" w:color="auto" w:fill="auto"/>
            <w:tcMar>
              <w:top w:w="45" w:type="dxa"/>
              <w:left w:w="98" w:type="dxa"/>
              <w:bottom w:w="45" w:type="dxa"/>
              <w:right w:w="98" w:type="dxa"/>
            </w:tcMar>
            <w:vAlign w:val="center"/>
          </w:tcPr>
          <w:p w14:paraId="578E1C72">
            <w:pPr>
              <w:widowControl/>
              <w:snapToGrid w:val="0"/>
              <w:spacing w:after="160"/>
              <w:jc w:val="center"/>
              <w:textAlignment w:val="center"/>
              <w:rPr>
                <w:rFonts w:ascii="宋体" w:hAnsi="宋体" w:cs="宋体"/>
                <w:color w:val="000000"/>
                <w:sz w:val="22"/>
                <w14:ligatures w14:val="standardContextual"/>
              </w:rPr>
            </w:pPr>
            <w:r>
              <w:rPr>
                <w:rFonts w:hint="eastAsia" w:ascii="宋体" w:hAnsi="宋体" w:cs="宋体"/>
                <w:color w:val="000000"/>
                <w:kern w:val="0"/>
                <w:sz w:val="22"/>
                <w:lang w:bidi="ar"/>
                <w14:ligatures w14:val="standardContextual"/>
              </w:rPr>
              <w:t>A.</w:t>
            </w:r>
            <w:r>
              <w:rPr>
                <w:rStyle w:val="18"/>
                <w:rFonts w:hint="default"/>
                <w:lang w:bidi="ar"/>
                <w14:ligatures w14:val="standardContextual"/>
              </w:rPr>
              <w:t>同意</w:t>
            </w:r>
          </w:p>
        </w:tc>
        <w:tc>
          <w:tcPr>
            <w:tcW w:w="662" w:type="dxa"/>
            <w:shd w:val="clear" w:color="auto" w:fill="auto"/>
            <w:tcMar>
              <w:top w:w="45" w:type="dxa"/>
              <w:left w:w="98" w:type="dxa"/>
              <w:bottom w:w="45" w:type="dxa"/>
              <w:right w:w="98" w:type="dxa"/>
            </w:tcMar>
            <w:vAlign w:val="center"/>
          </w:tcPr>
          <w:p w14:paraId="70FEA5DE">
            <w:pPr>
              <w:widowControl/>
              <w:snapToGrid w:val="0"/>
              <w:spacing w:after="160"/>
              <w:jc w:val="center"/>
              <w:textAlignment w:val="center"/>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34</w:t>
            </w:r>
          </w:p>
        </w:tc>
        <w:tc>
          <w:tcPr>
            <w:tcW w:w="971" w:type="dxa"/>
            <w:shd w:val="clear" w:color="auto" w:fill="auto"/>
            <w:tcMar>
              <w:top w:w="45" w:type="dxa"/>
              <w:left w:w="98" w:type="dxa"/>
              <w:bottom w:w="45" w:type="dxa"/>
              <w:right w:w="98" w:type="dxa"/>
            </w:tcMar>
            <w:vAlign w:val="center"/>
          </w:tcPr>
          <w:p w14:paraId="234C3C80">
            <w:pPr>
              <w:widowControl/>
              <w:snapToGrid w:val="0"/>
              <w:spacing w:after="160"/>
              <w:jc w:val="center"/>
              <w:textAlignment w:val="bottom"/>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100.00%</w:t>
            </w:r>
          </w:p>
        </w:tc>
      </w:tr>
      <w:tr w14:paraId="7E9CD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295" w:type="dxa"/>
            <w:shd w:val="clear" w:color="auto" w:fill="auto"/>
            <w:tcMar>
              <w:top w:w="45" w:type="dxa"/>
              <w:left w:w="98" w:type="dxa"/>
              <w:bottom w:w="45" w:type="dxa"/>
              <w:right w:w="98" w:type="dxa"/>
            </w:tcMar>
            <w:vAlign w:val="center"/>
          </w:tcPr>
          <w:p w14:paraId="3FAAAA1F">
            <w:pPr>
              <w:widowControl/>
              <w:snapToGrid w:val="0"/>
              <w:jc w:val="center"/>
              <w:rPr>
                <w:rFonts w:ascii="宋体" w:hAnsi="宋体" w:cs="宋体"/>
                <w:color w:val="000000"/>
                <w:sz w:val="22"/>
                <w:szCs w:val="21"/>
              </w:rPr>
            </w:pPr>
            <w:r>
              <w:rPr>
                <w:rFonts w:hint="eastAsia" w:ascii="宋体" w:hAnsi="宋体" w:cs="宋体"/>
                <w:color w:val="000000"/>
                <w:sz w:val="22"/>
                <w:szCs w:val="21"/>
              </w:rPr>
              <w:t>4</w:t>
            </w:r>
          </w:p>
        </w:tc>
        <w:tc>
          <w:tcPr>
            <w:tcW w:w="4065" w:type="dxa"/>
            <w:shd w:val="clear" w:color="auto" w:fill="auto"/>
            <w:tcMar>
              <w:top w:w="45" w:type="dxa"/>
              <w:left w:w="98" w:type="dxa"/>
              <w:bottom w:w="45" w:type="dxa"/>
              <w:right w:w="98" w:type="dxa"/>
            </w:tcMar>
            <w:vAlign w:val="center"/>
          </w:tcPr>
          <w:p w14:paraId="64B9C4DE">
            <w:pPr>
              <w:snapToGrid w:val="0"/>
              <w:spacing w:after="160"/>
              <w:jc w:val="left"/>
              <w:rPr>
                <w:rFonts w:ascii="宋体" w:hAnsi="宋体" w:cs="宋体"/>
                <w:sz w:val="22"/>
                <w:szCs w:val="24"/>
                <w14:ligatures w14:val="standardContextual"/>
              </w:rPr>
            </w:pPr>
            <w:r>
              <w:rPr>
                <w:rFonts w:hint="eastAsia" w:ascii="宋体" w:hAnsi="宋体" w:cs="宋体"/>
                <w:sz w:val="22"/>
                <w:szCs w:val="24"/>
                <w14:ligatures w14:val="standardContextual"/>
              </w:rPr>
              <w:t>修改“4.2.1 进针方法</w:t>
            </w:r>
            <w:r>
              <w:rPr>
                <w:rFonts w:ascii="宋体" w:hAnsi="宋体" w:cs="宋体"/>
                <w:sz w:val="22"/>
                <w:szCs w:val="24"/>
                <w14:ligatures w14:val="standardContextual"/>
              </w:rPr>
              <w:t>”</w:t>
            </w:r>
          </w:p>
        </w:tc>
        <w:tc>
          <w:tcPr>
            <w:tcW w:w="1506" w:type="dxa"/>
            <w:shd w:val="clear" w:color="auto" w:fill="auto"/>
            <w:tcMar>
              <w:top w:w="45" w:type="dxa"/>
              <w:left w:w="98" w:type="dxa"/>
              <w:bottom w:w="45" w:type="dxa"/>
              <w:right w:w="98" w:type="dxa"/>
            </w:tcMar>
            <w:vAlign w:val="center"/>
          </w:tcPr>
          <w:p w14:paraId="2CC18CCF">
            <w:pPr>
              <w:widowControl/>
              <w:snapToGrid w:val="0"/>
              <w:spacing w:after="160"/>
              <w:jc w:val="center"/>
              <w:textAlignment w:val="center"/>
              <w:rPr>
                <w:rFonts w:ascii="宋体" w:hAnsi="宋体" w:cs="宋体"/>
                <w:color w:val="000000"/>
                <w:sz w:val="22"/>
                <w14:ligatures w14:val="standardContextual"/>
              </w:rPr>
            </w:pPr>
            <w:r>
              <w:rPr>
                <w:rFonts w:hint="eastAsia" w:ascii="宋体" w:hAnsi="宋体" w:cs="宋体"/>
                <w:color w:val="000000"/>
                <w:kern w:val="0"/>
                <w:sz w:val="22"/>
                <w:lang w:bidi="ar"/>
                <w14:ligatures w14:val="standardContextual"/>
              </w:rPr>
              <w:t>A.</w:t>
            </w:r>
            <w:r>
              <w:rPr>
                <w:rStyle w:val="18"/>
                <w:rFonts w:hint="default"/>
                <w:lang w:bidi="ar"/>
                <w14:ligatures w14:val="standardContextual"/>
              </w:rPr>
              <w:t>同意</w:t>
            </w:r>
          </w:p>
        </w:tc>
        <w:tc>
          <w:tcPr>
            <w:tcW w:w="662" w:type="dxa"/>
            <w:shd w:val="clear" w:color="auto" w:fill="auto"/>
            <w:tcMar>
              <w:top w:w="45" w:type="dxa"/>
              <w:left w:w="98" w:type="dxa"/>
              <w:bottom w:w="45" w:type="dxa"/>
              <w:right w:w="98" w:type="dxa"/>
            </w:tcMar>
            <w:vAlign w:val="center"/>
          </w:tcPr>
          <w:p w14:paraId="47D6EE5E">
            <w:pPr>
              <w:widowControl/>
              <w:snapToGrid w:val="0"/>
              <w:spacing w:after="160"/>
              <w:jc w:val="center"/>
              <w:textAlignment w:val="center"/>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34</w:t>
            </w:r>
          </w:p>
        </w:tc>
        <w:tc>
          <w:tcPr>
            <w:tcW w:w="971" w:type="dxa"/>
            <w:shd w:val="clear" w:color="auto" w:fill="auto"/>
            <w:tcMar>
              <w:top w:w="45" w:type="dxa"/>
              <w:left w:w="98" w:type="dxa"/>
              <w:bottom w:w="45" w:type="dxa"/>
              <w:right w:w="98" w:type="dxa"/>
            </w:tcMar>
            <w:vAlign w:val="center"/>
          </w:tcPr>
          <w:p w14:paraId="11FB376E">
            <w:pPr>
              <w:widowControl/>
              <w:snapToGrid w:val="0"/>
              <w:spacing w:after="160"/>
              <w:jc w:val="center"/>
              <w:textAlignment w:val="bottom"/>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100.00%</w:t>
            </w:r>
          </w:p>
        </w:tc>
      </w:tr>
      <w:tr w14:paraId="6E508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295" w:type="dxa"/>
            <w:shd w:val="clear" w:color="auto" w:fill="auto"/>
            <w:tcMar>
              <w:top w:w="45" w:type="dxa"/>
              <w:left w:w="98" w:type="dxa"/>
              <w:bottom w:w="45" w:type="dxa"/>
              <w:right w:w="98" w:type="dxa"/>
            </w:tcMar>
            <w:vAlign w:val="center"/>
          </w:tcPr>
          <w:p w14:paraId="4670F862">
            <w:pPr>
              <w:widowControl/>
              <w:snapToGrid w:val="0"/>
              <w:jc w:val="center"/>
              <w:rPr>
                <w:rFonts w:ascii="宋体" w:hAnsi="宋体" w:cs="宋体"/>
                <w:color w:val="000000"/>
                <w:sz w:val="22"/>
                <w:szCs w:val="21"/>
              </w:rPr>
            </w:pPr>
            <w:r>
              <w:rPr>
                <w:rFonts w:hint="eastAsia" w:ascii="宋体" w:hAnsi="宋体" w:cs="宋体"/>
                <w:color w:val="000000"/>
                <w:sz w:val="22"/>
                <w:szCs w:val="21"/>
              </w:rPr>
              <w:t>5</w:t>
            </w:r>
          </w:p>
        </w:tc>
        <w:tc>
          <w:tcPr>
            <w:tcW w:w="4065" w:type="dxa"/>
            <w:shd w:val="clear" w:color="auto" w:fill="auto"/>
            <w:tcMar>
              <w:top w:w="45" w:type="dxa"/>
              <w:left w:w="98" w:type="dxa"/>
              <w:bottom w:w="45" w:type="dxa"/>
              <w:right w:w="98" w:type="dxa"/>
            </w:tcMar>
            <w:vAlign w:val="center"/>
          </w:tcPr>
          <w:p w14:paraId="59BE876A">
            <w:pPr>
              <w:snapToGrid w:val="0"/>
              <w:spacing w:after="160"/>
              <w:jc w:val="left"/>
              <w:rPr>
                <w:rFonts w:ascii="宋体" w:hAnsi="宋体" w:cs="宋体"/>
                <w:sz w:val="22"/>
                <w:szCs w:val="24"/>
                <w14:ligatures w14:val="standardContextual"/>
              </w:rPr>
            </w:pPr>
            <w:r>
              <w:rPr>
                <w:rFonts w:hint="eastAsia" w:ascii="宋体" w:hAnsi="宋体" w:cs="宋体"/>
                <w:sz w:val="22"/>
                <w:szCs w:val="24"/>
                <w14:ligatures w14:val="standardContextual"/>
              </w:rPr>
              <w:t>修改“4.2.1.2.5 针管进针法</w:t>
            </w:r>
            <w:r>
              <w:rPr>
                <w:rFonts w:ascii="宋体" w:hAnsi="宋体" w:cs="宋体"/>
                <w:sz w:val="22"/>
                <w:szCs w:val="24"/>
                <w14:ligatures w14:val="standardContextual"/>
              </w:rPr>
              <w:t>”</w:t>
            </w:r>
          </w:p>
        </w:tc>
        <w:tc>
          <w:tcPr>
            <w:tcW w:w="1506" w:type="dxa"/>
            <w:shd w:val="clear" w:color="auto" w:fill="auto"/>
            <w:tcMar>
              <w:top w:w="45" w:type="dxa"/>
              <w:left w:w="98" w:type="dxa"/>
              <w:bottom w:w="45" w:type="dxa"/>
              <w:right w:w="98" w:type="dxa"/>
            </w:tcMar>
            <w:vAlign w:val="center"/>
          </w:tcPr>
          <w:p w14:paraId="5423D447">
            <w:pPr>
              <w:widowControl/>
              <w:snapToGrid w:val="0"/>
              <w:spacing w:after="160"/>
              <w:jc w:val="center"/>
              <w:textAlignment w:val="center"/>
              <w:rPr>
                <w:rFonts w:ascii="宋体" w:hAnsi="宋体" w:cs="宋体"/>
                <w:color w:val="000000"/>
                <w:sz w:val="22"/>
                <w14:ligatures w14:val="standardContextual"/>
              </w:rPr>
            </w:pPr>
            <w:r>
              <w:rPr>
                <w:rFonts w:hint="eastAsia" w:ascii="宋体" w:hAnsi="宋体" w:cs="宋体"/>
                <w:color w:val="000000"/>
                <w:kern w:val="0"/>
                <w:sz w:val="22"/>
                <w:lang w:bidi="ar"/>
                <w14:ligatures w14:val="standardContextual"/>
              </w:rPr>
              <w:t>A.</w:t>
            </w:r>
            <w:r>
              <w:rPr>
                <w:rStyle w:val="18"/>
                <w:rFonts w:hint="default"/>
                <w:lang w:bidi="ar"/>
                <w14:ligatures w14:val="standardContextual"/>
              </w:rPr>
              <w:t>同意</w:t>
            </w:r>
          </w:p>
        </w:tc>
        <w:tc>
          <w:tcPr>
            <w:tcW w:w="662" w:type="dxa"/>
            <w:shd w:val="clear" w:color="auto" w:fill="auto"/>
            <w:tcMar>
              <w:top w:w="45" w:type="dxa"/>
              <w:left w:w="98" w:type="dxa"/>
              <w:bottom w:w="45" w:type="dxa"/>
              <w:right w:w="98" w:type="dxa"/>
            </w:tcMar>
            <w:vAlign w:val="center"/>
          </w:tcPr>
          <w:p w14:paraId="772ACDA3">
            <w:pPr>
              <w:widowControl/>
              <w:snapToGrid w:val="0"/>
              <w:spacing w:after="160"/>
              <w:jc w:val="center"/>
              <w:textAlignment w:val="center"/>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33</w:t>
            </w:r>
          </w:p>
        </w:tc>
        <w:tc>
          <w:tcPr>
            <w:tcW w:w="971" w:type="dxa"/>
            <w:shd w:val="clear" w:color="auto" w:fill="auto"/>
            <w:tcMar>
              <w:top w:w="45" w:type="dxa"/>
              <w:left w:w="98" w:type="dxa"/>
              <w:bottom w:w="45" w:type="dxa"/>
              <w:right w:w="98" w:type="dxa"/>
            </w:tcMar>
            <w:vAlign w:val="center"/>
          </w:tcPr>
          <w:p w14:paraId="0466B712">
            <w:pPr>
              <w:widowControl/>
              <w:snapToGrid w:val="0"/>
              <w:spacing w:after="160"/>
              <w:jc w:val="center"/>
              <w:textAlignment w:val="bottom"/>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97.06%</w:t>
            </w:r>
          </w:p>
        </w:tc>
      </w:tr>
      <w:tr w14:paraId="649E0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295" w:type="dxa"/>
            <w:shd w:val="clear" w:color="auto" w:fill="auto"/>
            <w:tcMar>
              <w:top w:w="45" w:type="dxa"/>
              <w:left w:w="98" w:type="dxa"/>
              <w:bottom w:w="45" w:type="dxa"/>
              <w:right w:w="98" w:type="dxa"/>
            </w:tcMar>
            <w:vAlign w:val="center"/>
          </w:tcPr>
          <w:p w14:paraId="27EA27C3">
            <w:pPr>
              <w:widowControl/>
              <w:snapToGrid w:val="0"/>
              <w:jc w:val="center"/>
              <w:rPr>
                <w:rFonts w:ascii="宋体" w:hAnsi="宋体" w:cs="宋体"/>
                <w:color w:val="000000"/>
                <w:sz w:val="22"/>
                <w:szCs w:val="21"/>
              </w:rPr>
            </w:pPr>
            <w:r>
              <w:rPr>
                <w:rFonts w:hint="eastAsia" w:ascii="宋体" w:hAnsi="宋体" w:cs="宋体"/>
                <w:color w:val="000000"/>
                <w:sz w:val="22"/>
                <w:szCs w:val="21"/>
              </w:rPr>
              <w:t>6</w:t>
            </w:r>
          </w:p>
        </w:tc>
        <w:tc>
          <w:tcPr>
            <w:tcW w:w="4065" w:type="dxa"/>
            <w:shd w:val="clear" w:color="auto" w:fill="auto"/>
            <w:tcMar>
              <w:top w:w="45" w:type="dxa"/>
              <w:left w:w="98" w:type="dxa"/>
              <w:bottom w:w="45" w:type="dxa"/>
              <w:right w:w="98" w:type="dxa"/>
            </w:tcMar>
            <w:vAlign w:val="center"/>
          </w:tcPr>
          <w:p w14:paraId="51556C0A">
            <w:pPr>
              <w:snapToGrid w:val="0"/>
              <w:spacing w:after="160"/>
              <w:jc w:val="left"/>
              <w:rPr>
                <w:rFonts w:ascii="宋体" w:hAnsi="宋体" w:cs="宋体"/>
                <w:sz w:val="22"/>
                <w:szCs w:val="24"/>
                <w14:ligatures w14:val="standardContextual"/>
              </w:rPr>
            </w:pPr>
            <w:r>
              <w:rPr>
                <w:rFonts w:hint="eastAsia" w:ascii="宋体" w:hAnsi="宋体" w:cs="宋体"/>
                <w:sz w:val="22"/>
                <w:szCs w:val="24"/>
                <w14:ligatures w14:val="standardContextual"/>
              </w:rPr>
              <w:t>修改“5.1.2.1 针具</w:t>
            </w:r>
            <w:r>
              <w:rPr>
                <w:rFonts w:ascii="宋体" w:hAnsi="宋体" w:cs="宋体"/>
                <w:sz w:val="22"/>
                <w:szCs w:val="24"/>
                <w14:ligatures w14:val="standardContextual"/>
              </w:rPr>
              <w:t>”</w:t>
            </w:r>
          </w:p>
        </w:tc>
        <w:tc>
          <w:tcPr>
            <w:tcW w:w="1506" w:type="dxa"/>
            <w:shd w:val="clear" w:color="auto" w:fill="auto"/>
            <w:tcMar>
              <w:top w:w="45" w:type="dxa"/>
              <w:left w:w="98" w:type="dxa"/>
              <w:bottom w:w="45" w:type="dxa"/>
              <w:right w:w="98" w:type="dxa"/>
            </w:tcMar>
            <w:vAlign w:val="center"/>
          </w:tcPr>
          <w:p w14:paraId="15CD9FC6">
            <w:pPr>
              <w:widowControl/>
              <w:snapToGrid w:val="0"/>
              <w:spacing w:after="160"/>
              <w:jc w:val="center"/>
              <w:textAlignment w:val="center"/>
              <w:rPr>
                <w:rFonts w:ascii="宋体" w:hAnsi="宋体" w:cs="宋体"/>
                <w:color w:val="000000"/>
                <w:sz w:val="22"/>
                <w14:ligatures w14:val="standardContextual"/>
              </w:rPr>
            </w:pPr>
            <w:r>
              <w:rPr>
                <w:rFonts w:hint="eastAsia" w:ascii="宋体" w:hAnsi="宋体" w:cs="宋体"/>
                <w:color w:val="000000"/>
                <w:kern w:val="0"/>
                <w:sz w:val="22"/>
                <w:lang w:bidi="ar"/>
                <w14:ligatures w14:val="standardContextual"/>
              </w:rPr>
              <w:t>A.</w:t>
            </w:r>
            <w:r>
              <w:rPr>
                <w:rStyle w:val="18"/>
                <w:rFonts w:hint="default"/>
                <w:lang w:bidi="ar"/>
                <w14:ligatures w14:val="standardContextual"/>
              </w:rPr>
              <w:t>同意</w:t>
            </w:r>
          </w:p>
        </w:tc>
        <w:tc>
          <w:tcPr>
            <w:tcW w:w="662" w:type="dxa"/>
            <w:shd w:val="clear" w:color="auto" w:fill="auto"/>
            <w:tcMar>
              <w:top w:w="45" w:type="dxa"/>
              <w:left w:w="98" w:type="dxa"/>
              <w:bottom w:w="45" w:type="dxa"/>
              <w:right w:w="98" w:type="dxa"/>
            </w:tcMar>
            <w:vAlign w:val="center"/>
          </w:tcPr>
          <w:p w14:paraId="2CF4D307">
            <w:pPr>
              <w:widowControl/>
              <w:snapToGrid w:val="0"/>
              <w:spacing w:after="160"/>
              <w:jc w:val="center"/>
              <w:textAlignment w:val="center"/>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25</w:t>
            </w:r>
          </w:p>
        </w:tc>
        <w:tc>
          <w:tcPr>
            <w:tcW w:w="971" w:type="dxa"/>
            <w:shd w:val="clear" w:color="auto" w:fill="auto"/>
            <w:tcMar>
              <w:top w:w="45" w:type="dxa"/>
              <w:left w:w="98" w:type="dxa"/>
              <w:bottom w:w="45" w:type="dxa"/>
              <w:right w:w="98" w:type="dxa"/>
            </w:tcMar>
            <w:vAlign w:val="center"/>
          </w:tcPr>
          <w:p w14:paraId="0D7D98E4">
            <w:pPr>
              <w:widowControl/>
              <w:snapToGrid w:val="0"/>
              <w:spacing w:after="160"/>
              <w:jc w:val="center"/>
              <w:textAlignment w:val="bottom"/>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75.76%</w:t>
            </w:r>
          </w:p>
        </w:tc>
      </w:tr>
      <w:tr w14:paraId="684EA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295" w:type="dxa"/>
            <w:shd w:val="clear" w:color="auto" w:fill="auto"/>
            <w:tcMar>
              <w:top w:w="45" w:type="dxa"/>
              <w:left w:w="98" w:type="dxa"/>
              <w:bottom w:w="45" w:type="dxa"/>
              <w:right w:w="98" w:type="dxa"/>
            </w:tcMar>
            <w:vAlign w:val="center"/>
          </w:tcPr>
          <w:p w14:paraId="4251BA6E">
            <w:pPr>
              <w:widowControl/>
              <w:snapToGrid w:val="0"/>
              <w:jc w:val="center"/>
              <w:rPr>
                <w:rFonts w:ascii="宋体" w:hAnsi="宋体" w:cs="宋体"/>
                <w:color w:val="000000"/>
                <w:sz w:val="22"/>
                <w:szCs w:val="21"/>
              </w:rPr>
            </w:pPr>
            <w:r>
              <w:rPr>
                <w:rFonts w:hint="eastAsia" w:ascii="宋体" w:hAnsi="宋体" w:cs="宋体"/>
                <w:color w:val="000000"/>
                <w:sz w:val="22"/>
                <w:szCs w:val="21"/>
              </w:rPr>
              <w:t>7</w:t>
            </w:r>
          </w:p>
        </w:tc>
        <w:tc>
          <w:tcPr>
            <w:tcW w:w="4065" w:type="dxa"/>
            <w:shd w:val="clear" w:color="auto" w:fill="auto"/>
            <w:tcMar>
              <w:top w:w="45" w:type="dxa"/>
              <w:left w:w="98" w:type="dxa"/>
              <w:bottom w:w="45" w:type="dxa"/>
              <w:right w:w="98" w:type="dxa"/>
            </w:tcMar>
            <w:vAlign w:val="center"/>
          </w:tcPr>
          <w:p w14:paraId="4F28BDCD">
            <w:pPr>
              <w:snapToGrid w:val="0"/>
              <w:spacing w:after="160"/>
              <w:jc w:val="left"/>
              <w:rPr>
                <w:rFonts w:ascii="宋体" w:hAnsi="宋体" w:cs="宋体"/>
                <w:sz w:val="22"/>
                <w:szCs w:val="24"/>
                <w14:ligatures w14:val="standardContextual"/>
              </w:rPr>
            </w:pPr>
            <w:r>
              <w:rPr>
                <w:rFonts w:hint="eastAsia" w:ascii="宋体" w:hAnsi="宋体" w:cs="宋体"/>
                <w:sz w:val="22"/>
                <w:szCs w:val="24"/>
                <w14:ligatures w14:val="standardContextual"/>
              </w:rPr>
              <w:t>修改“6.1.5 穴位</w:t>
            </w:r>
            <w:r>
              <w:rPr>
                <w:rFonts w:ascii="宋体" w:hAnsi="宋体" w:cs="宋体"/>
                <w:sz w:val="22"/>
                <w:szCs w:val="24"/>
                <w14:ligatures w14:val="standardContextual"/>
              </w:rPr>
              <w:t>”</w:t>
            </w:r>
          </w:p>
        </w:tc>
        <w:tc>
          <w:tcPr>
            <w:tcW w:w="1506" w:type="dxa"/>
            <w:shd w:val="clear" w:color="auto" w:fill="auto"/>
            <w:tcMar>
              <w:top w:w="45" w:type="dxa"/>
              <w:left w:w="98" w:type="dxa"/>
              <w:bottom w:w="45" w:type="dxa"/>
              <w:right w:w="98" w:type="dxa"/>
            </w:tcMar>
            <w:vAlign w:val="center"/>
          </w:tcPr>
          <w:p w14:paraId="751FBD95">
            <w:pPr>
              <w:widowControl/>
              <w:snapToGrid w:val="0"/>
              <w:spacing w:after="160"/>
              <w:jc w:val="center"/>
              <w:textAlignment w:val="center"/>
              <w:rPr>
                <w:rFonts w:ascii="宋体" w:hAnsi="宋体" w:cs="宋体"/>
                <w:color w:val="000000"/>
                <w:sz w:val="22"/>
                <w14:ligatures w14:val="standardContextual"/>
              </w:rPr>
            </w:pPr>
            <w:r>
              <w:rPr>
                <w:rFonts w:hint="eastAsia" w:ascii="宋体" w:hAnsi="宋体" w:cs="宋体"/>
                <w:color w:val="000000"/>
                <w:kern w:val="0"/>
                <w:sz w:val="22"/>
                <w:lang w:bidi="ar"/>
                <w14:ligatures w14:val="standardContextual"/>
              </w:rPr>
              <w:t>A.</w:t>
            </w:r>
            <w:r>
              <w:rPr>
                <w:rStyle w:val="18"/>
                <w:rFonts w:hint="default"/>
                <w:lang w:bidi="ar"/>
                <w14:ligatures w14:val="standardContextual"/>
              </w:rPr>
              <w:t>同意</w:t>
            </w:r>
          </w:p>
        </w:tc>
        <w:tc>
          <w:tcPr>
            <w:tcW w:w="662" w:type="dxa"/>
            <w:shd w:val="clear" w:color="auto" w:fill="auto"/>
            <w:tcMar>
              <w:top w:w="45" w:type="dxa"/>
              <w:left w:w="98" w:type="dxa"/>
              <w:bottom w:w="45" w:type="dxa"/>
              <w:right w:w="98" w:type="dxa"/>
            </w:tcMar>
            <w:vAlign w:val="center"/>
          </w:tcPr>
          <w:p w14:paraId="1956C7C5">
            <w:pPr>
              <w:widowControl/>
              <w:snapToGrid w:val="0"/>
              <w:spacing w:after="160"/>
              <w:jc w:val="center"/>
              <w:textAlignment w:val="center"/>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34</w:t>
            </w:r>
          </w:p>
        </w:tc>
        <w:tc>
          <w:tcPr>
            <w:tcW w:w="971" w:type="dxa"/>
            <w:shd w:val="clear" w:color="auto" w:fill="auto"/>
            <w:tcMar>
              <w:top w:w="45" w:type="dxa"/>
              <w:left w:w="98" w:type="dxa"/>
              <w:bottom w:w="45" w:type="dxa"/>
              <w:right w:w="98" w:type="dxa"/>
            </w:tcMar>
            <w:vAlign w:val="center"/>
          </w:tcPr>
          <w:p w14:paraId="7CB2AD3B">
            <w:pPr>
              <w:widowControl/>
              <w:snapToGrid w:val="0"/>
              <w:spacing w:after="160"/>
              <w:jc w:val="center"/>
              <w:textAlignment w:val="bottom"/>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100.00%</w:t>
            </w:r>
          </w:p>
        </w:tc>
      </w:tr>
      <w:tr w14:paraId="36E17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295" w:type="dxa"/>
            <w:shd w:val="clear" w:color="auto" w:fill="auto"/>
            <w:tcMar>
              <w:top w:w="45" w:type="dxa"/>
              <w:left w:w="98" w:type="dxa"/>
              <w:bottom w:w="45" w:type="dxa"/>
              <w:right w:w="98" w:type="dxa"/>
            </w:tcMar>
            <w:vAlign w:val="center"/>
          </w:tcPr>
          <w:p w14:paraId="1502FB93">
            <w:pPr>
              <w:widowControl/>
              <w:snapToGrid w:val="0"/>
              <w:jc w:val="center"/>
              <w:rPr>
                <w:rFonts w:ascii="宋体" w:hAnsi="宋体" w:cs="宋体"/>
                <w:color w:val="000000"/>
                <w:sz w:val="22"/>
                <w:szCs w:val="21"/>
              </w:rPr>
            </w:pPr>
            <w:r>
              <w:rPr>
                <w:rFonts w:hint="eastAsia" w:ascii="宋体" w:hAnsi="宋体" w:cs="宋体"/>
                <w:color w:val="000000"/>
                <w:sz w:val="22"/>
                <w:szCs w:val="21"/>
              </w:rPr>
              <w:t>8</w:t>
            </w:r>
          </w:p>
        </w:tc>
        <w:tc>
          <w:tcPr>
            <w:tcW w:w="4065" w:type="dxa"/>
            <w:shd w:val="clear" w:color="auto" w:fill="auto"/>
            <w:tcMar>
              <w:top w:w="45" w:type="dxa"/>
              <w:left w:w="98" w:type="dxa"/>
              <w:bottom w:w="45" w:type="dxa"/>
              <w:right w:w="98" w:type="dxa"/>
            </w:tcMar>
            <w:vAlign w:val="center"/>
          </w:tcPr>
          <w:p w14:paraId="2D741B25">
            <w:pPr>
              <w:snapToGrid w:val="0"/>
              <w:spacing w:after="160"/>
              <w:jc w:val="left"/>
              <w:rPr>
                <w:rFonts w:ascii="宋体" w:hAnsi="宋体" w:cs="宋体"/>
                <w:sz w:val="22"/>
                <w:szCs w:val="24"/>
                <w14:ligatures w14:val="standardContextual"/>
              </w:rPr>
            </w:pPr>
            <w:r>
              <w:rPr>
                <w:rFonts w:hint="eastAsia" w:ascii="宋体" w:hAnsi="宋体" w:cs="宋体"/>
                <w:sz w:val="22"/>
                <w:szCs w:val="24"/>
                <w14:ligatures w14:val="standardContextual"/>
              </w:rPr>
              <w:t>修改“6.3 施术后处理”</w:t>
            </w:r>
          </w:p>
        </w:tc>
        <w:tc>
          <w:tcPr>
            <w:tcW w:w="1506" w:type="dxa"/>
            <w:shd w:val="clear" w:color="auto" w:fill="auto"/>
            <w:tcMar>
              <w:top w:w="45" w:type="dxa"/>
              <w:left w:w="98" w:type="dxa"/>
              <w:bottom w:w="45" w:type="dxa"/>
              <w:right w:w="98" w:type="dxa"/>
            </w:tcMar>
            <w:vAlign w:val="center"/>
          </w:tcPr>
          <w:p w14:paraId="00BC646C">
            <w:pPr>
              <w:widowControl/>
              <w:snapToGrid w:val="0"/>
              <w:spacing w:after="160"/>
              <w:jc w:val="center"/>
              <w:textAlignment w:val="center"/>
              <w:rPr>
                <w:rFonts w:ascii="宋体" w:hAnsi="宋体" w:cs="宋体"/>
                <w:color w:val="000000"/>
                <w:sz w:val="22"/>
                <w14:ligatures w14:val="standardContextual"/>
              </w:rPr>
            </w:pPr>
            <w:r>
              <w:rPr>
                <w:rFonts w:hint="eastAsia" w:ascii="宋体" w:hAnsi="宋体" w:cs="宋体"/>
                <w:color w:val="000000"/>
                <w:kern w:val="0"/>
                <w:sz w:val="22"/>
                <w:lang w:bidi="ar"/>
                <w14:ligatures w14:val="standardContextual"/>
              </w:rPr>
              <w:t>A.</w:t>
            </w:r>
            <w:r>
              <w:rPr>
                <w:rStyle w:val="18"/>
                <w:rFonts w:hint="default"/>
                <w:lang w:bidi="ar"/>
                <w14:ligatures w14:val="standardContextual"/>
              </w:rPr>
              <w:t>同意</w:t>
            </w:r>
          </w:p>
        </w:tc>
        <w:tc>
          <w:tcPr>
            <w:tcW w:w="662" w:type="dxa"/>
            <w:shd w:val="clear" w:color="auto" w:fill="auto"/>
            <w:tcMar>
              <w:top w:w="45" w:type="dxa"/>
              <w:left w:w="98" w:type="dxa"/>
              <w:bottom w:w="45" w:type="dxa"/>
              <w:right w:w="98" w:type="dxa"/>
            </w:tcMar>
            <w:vAlign w:val="center"/>
          </w:tcPr>
          <w:p w14:paraId="419B24DE">
            <w:pPr>
              <w:widowControl/>
              <w:snapToGrid w:val="0"/>
              <w:spacing w:after="160"/>
              <w:jc w:val="center"/>
              <w:textAlignment w:val="center"/>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31</w:t>
            </w:r>
          </w:p>
        </w:tc>
        <w:tc>
          <w:tcPr>
            <w:tcW w:w="971" w:type="dxa"/>
            <w:shd w:val="clear" w:color="auto" w:fill="auto"/>
            <w:tcMar>
              <w:top w:w="45" w:type="dxa"/>
              <w:left w:w="98" w:type="dxa"/>
              <w:bottom w:w="45" w:type="dxa"/>
              <w:right w:w="98" w:type="dxa"/>
            </w:tcMar>
            <w:vAlign w:val="center"/>
          </w:tcPr>
          <w:p w14:paraId="374F73F8">
            <w:pPr>
              <w:widowControl/>
              <w:snapToGrid w:val="0"/>
              <w:spacing w:after="160"/>
              <w:jc w:val="center"/>
              <w:textAlignment w:val="bottom"/>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93.94%</w:t>
            </w:r>
          </w:p>
        </w:tc>
      </w:tr>
      <w:tr w14:paraId="489CB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295" w:type="dxa"/>
            <w:shd w:val="clear" w:color="auto" w:fill="auto"/>
            <w:tcMar>
              <w:top w:w="45" w:type="dxa"/>
              <w:left w:w="98" w:type="dxa"/>
              <w:bottom w:w="45" w:type="dxa"/>
              <w:right w:w="98" w:type="dxa"/>
            </w:tcMar>
            <w:vAlign w:val="center"/>
          </w:tcPr>
          <w:p w14:paraId="4C01FDAA">
            <w:pPr>
              <w:widowControl/>
              <w:snapToGrid w:val="0"/>
              <w:jc w:val="center"/>
              <w:rPr>
                <w:rFonts w:ascii="宋体" w:hAnsi="宋体" w:cs="宋体"/>
                <w:color w:val="000000"/>
                <w:sz w:val="22"/>
                <w:szCs w:val="21"/>
              </w:rPr>
            </w:pPr>
            <w:r>
              <w:rPr>
                <w:rFonts w:hint="eastAsia" w:ascii="宋体" w:hAnsi="宋体" w:cs="宋体"/>
                <w:color w:val="000000"/>
                <w:sz w:val="22"/>
                <w:szCs w:val="21"/>
              </w:rPr>
              <w:t>9</w:t>
            </w:r>
          </w:p>
        </w:tc>
        <w:tc>
          <w:tcPr>
            <w:tcW w:w="4065" w:type="dxa"/>
            <w:shd w:val="clear" w:color="auto" w:fill="auto"/>
            <w:tcMar>
              <w:top w:w="45" w:type="dxa"/>
              <w:left w:w="98" w:type="dxa"/>
              <w:bottom w:w="45" w:type="dxa"/>
              <w:right w:w="98" w:type="dxa"/>
            </w:tcMar>
            <w:vAlign w:val="center"/>
          </w:tcPr>
          <w:p w14:paraId="3B238B8C">
            <w:pPr>
              <w:snapToGrid w:val="0"/>
              <w:spacing w:after="160"/>
              <w:jc w:val="left"/>
              <w:rPr>
                <w:rFonts w:ascii="宋体" w:hAnsi="宋体" w:cs="宋体"/>
                <w:sz w:val="22"/>
                <w:szCs w:val="24"/>
                <w14:ligatures w14:val="standardContextual"/>
              </w:rPr>
            </w:pPr>
            <w:r>
              <w:rPr>
                <w:rFonts w:hint="eastAsia" w:ascii="宋体" w:hAnsi="宋体" w:cs="宋体"/>
                <w:sz w:val="22"/>
                <w:szCs w:val="24"/>
                <w14:ligatures w14:val="standardContextual"/>
              </w:rPr>
              <w:t>增加“7.2.1.1 悬起灸法”温和灸描述</w:t>
            </w:r>
          </w:p>
        </w:tc>
        <w:tc>
          <w:tcPr>
            <w:tcW w:w="1506" w:type="dxa"/>
            <w:shd w:val="clear" w:color="auto" w:fill="auto"/>
            <w:tcMar>
              <w:top w:w="45" w:type="dxa"/>
              <w:left w:w="98" w:type="dxa"/>
              <w:bottom w:w="45" w:type="dxa"/>
              <w:right w:w="98" w:type="dxa"/>
            </w:tcMar>
            <w:vAlign w:val="center"/>
          </w:tcPr>
          <w:p w14:paraId="68D4B01F">
            <w:pPr>
              <w:widowControl/>
              <w:snapToGrid w:val="0"/>
              <w:spacing w:after="160"/>
              <w:jc w:val="center"/>
              <w:textAlignment w:val="center"/>
              <w:rPr>
                <w:rFonts w:ascii="宋体" w:hAnsi="宋体" w:cs="宋体"/>
                <w:color w:val="000000"/>
                <w:sz w:val="22"/>
                <w14:ligatures w14:val="standardContextual"/>
              </w:rPr>
            </w:pPr>
            <w:r>
              <w:rPr>
                <w:rFonts w:hint="eastAsia" w:ascii="宋体" w:hAnsi="宋体" w:cs="宋体"/>
                <w:color w:val="000000"/>
                <w:kern w:val="0"/>
                <w:sz w:val="22"/>
                <w:lang w:bidi="ar"/>
                <w14:ligatures w14:val="standardContextual"/>
              </w:rPr>
              <w:t>A.</w:t>
            </w:r>
            <w:r>
              <w:rPr>
                <w:rStyle w:val="18"/>
                <w:rFonts w:hint="default"/>
                <w:lang w:bidi="ar"/>
                <w14:ligatures w14:val="standardContextual"/>
              </w:rPr>
              <w:t>同意</w:t>
            </w:r>
          </w:p>
        </w:tc>
        <w:tc>
          <w:tcPr>
            <w:tcW w:w="662" w:type="dxa"/>
            <w:shd w:val="clear" w:color="auto" w:fill="auto"/>
            <w:tcMar>
              <w:top w:w="45" w:type="dxa"/>
              <w:left w:w="98" w:type="dxa"/>
              <w:bottom w:w="45" w:type="dxa"/>
              <w:right w:w="98" w:type="dxa"/>
            </w:tcMar>
            <w:vAlign w:val="center"/>
          </w:tcPr>
          <w:p w14:paraId="17329968">
            <w:pPr>
              <w:widowControl/>
              <w:snapToGrid w:val="0"/>
              <w:spacing w:after="160"/>
              <w:jc w:val="center"/>
              <w:textAlignment w:val="center"/>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33</w:t>
            </w:r>
          </w:p>
        </w:tc>
        <w:tc>
          <w:tcPr>
            <w:tcW w:w="971" w:type="dxa"/>
            <w:shd w:val="clear" w:color="auto" w:fill="auto"/>
            <w:tcMar>
              <w:top w:w="45" w:type="dxa"/>
              <w:left w:w="98" w:type="dxa"/>
              <w:bottom w:w="45" w:type="dxa"/>
              <w:right w:w="98" w:type="dxa"/>
            </w:tcMar>
            <w:vAlign w:val="center"/>
          </w:tcPr>
          <w:p w14:paraId="49891DEB">
            <w:pPr>
              <w:widowControl/>
              <w:snapToGrid w:val="0"/>
              <w:spacing w:after="160"/>
              <w:jc w:val="center"/>
              <w:textAlignment w:val="bottom"/>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97.06%</w:t>
            </w:r>
          </w:p>
        </w:tc>
      </w:tr>
      <w:tr w14:paraId="628A5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295" w:type="dxa"/>
            <w:shd w:val="clear" w:color="auto" w:fill="auto"/>
            <w:tcMar>
              <w:top w:w="45" w:type="dxa"/>
              <w:left w:w="98" w:type="dxa"/>
              <w:bottom w:w="45" w:type="dxa"/>
              <w:right w:w="98" w:type="dxa"/>
            </w:tcMar>
            <w:vAlign w:val="center"/>
          </w:tcPr>
          <w:p w14:paraId="7F9545BA">
            <w:pPr>
              <w:widowControl/>
              <w:snapToGrid w:val="0"/>
              <w:jc w:val="center"/>
              <w:rPr>
                <w:rFonts w:ascii="宋体" w:hAnsi="宋体" w:cs="宋体"/>
                <w:color w:val="000000"/>
                <w:sz w:val="22"/>
                <w:szCs w:val="21"/>
              </w:rPr>
            </w:pPr>
            <w:r>
              <w:rPr>
                <w:rFonts w:hint="eastAsia" w:ascii="宋体" w:hAnsi="宋体" w:cs="宋体"/>
                <w:color w:val="000000"/>
                <w:sz w:val="22"/>
                <w:szCs w:val="21"/>
              </w:rPr>
              <w:t>10</w:t>
            </w:r>
          </w:p>
        </w:tc>
        <w:tc>
          <w:tcPr>
            <w:tcW w:w="4065" w:type="dxa"/>
            <w:shd w:val="clear" w:color="auto" w:fill="auto"/>
            <w:tcMar>
              <w:top w:w="45" w:type="dxa"/>
              <w:left w:w="98" w:type="dxa"/>
              <w:bottom w:w="45" w:type="dxa"/>
              <w:right w:w="98" w:type="dxa"/>
            </w:tcMar>
            <w:vAlign w:val="center"/>
          </w:tcPr>
          <w:p w14:paraId="0AE3E5B8">
            <w:pPr>
              <w:snapToGrid w:val="0"/>
              <w:spacing w:after="160"/>
              <w:jc w:val="left"/>
              <w:rPr>
                <w:rFonts w:ascii="宋体" w:hAnsi="宋体" w:cs="宋体"/>
                <w:sz w:val="22"/>
                <w:szCs w:val="24"/>
                <w14:ligatures w14:val="standardContextual"/>
              </w:rPr>
            </w:pPr>
            <w:r>
              <w:rPr>
                <w:rFonts w:hint="eastAsia" w:ascii="宋体" w:hAnsi="宋体" w:cs="宋体"/>
                <w:sz w:val="22"/>
                <w:szCs w:val="24"/>
                <w14:ligatures w14:val="standardContextual"/>
              </w:rPr>
              <w:t>增加“7.2.1.1 悬起灸法”施灸细节描述</w:t>
            </w:r>
          </w:p>
        </w:tc>
        <w:tc>
          <w:tcPr>
            <w:tcW w:w="1506" w:type="dxa"/>
            <w:shd w:val="clear" w:color="auto" w:fill="auto"/>
            <w:tcMar>
              <w:top w:w="45" w:type="dxa"/>
              <w:left w:w="98" w:type="dxa"/>
              <w:bottom w:w="45" w:type="dxa"/>
              <w:right w:w="98" w:type="dxa"/>
            </w:tcMar>
            <w:vAlign w:val="center"/>
          </w:tcPr>
          <w:p w14:paraId="7ECF125A">
            <w:pPr>
              <w:widowControl/>
              <w:snapToGrid w:val="0"/>
              <w:spacing w:after="160"/>
              <w:jc w:val="center"/>
              <w:textAlignment w:val="center"/>
              <w:rPr>
                <w:rFonts w:ascii="宋体" w:hAnsi="宋体" w:cs="宋体"/>
                <w:color w:val="000000"/>
                <w:sz w:val="22"/>
                <w14:ligatures w14:val="standardContextual"/>
              </w:rPr>
            </w:pPr>
            <w:r>
              <w:rPr>
                <w:rFonts w:hint="eastAsia" w:ascii="宋体" w:hAnsi="宋体" w:cs="宋体"/>
                <w:color w:val="000000"/>
                <w:kern w:val="0"/>
                <w:sz w:val="22"/>
                <w:lang w:bidi="ar"/>
                <w14:ligatures w14:val="standardContextual"/>
              </w:rPr>
              <w:t>A.</w:t>
            </w:r>
            <w:r>
              <w:rPr>
                <w:rStyle w:val="18"/>
                <w:rFonts w:hint="default"/>
                <w:lang w:bidi="ar"/>
                <w14:ligatures w14:val="standardContextual"/>
              </w:rPr>
              <w:t>同意</w:t>
            </w:r>
          </w:p>
        </w:tc>
        <w:tc>
          <w:tcPr>
            <w:tcW w:w="662" w:type="dxa"/>
            <w:shd w:val="clear" w:color="auto" w:fill="auto"/>
            <w:tcMar>
              <w:top w:w="45" w:type="dxa"/>
              <w:left w:w="98" w:type="dxa"/>
              <w:bottom w:w="45" w:type="dxa"/>
              <w:right w:w="98" w:type="dxa"/>
            </w:tcMar>
            <w:vAlign w:val="center"/>
          </w:tcPr>
          <w:p w14:paraId="241F5209">
            <w:pPr>
              <w:widowControl/>
              <w:snapToGrid w:val="0"/>
              <w:spacing w:after="160"/>
              <w:jc w:val="center"/>
              <w:textAlignment w:val="center"/>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33</w:t>
            </w:r>
          </w:p>
        </w:tc>
        <w:tc>
          <w:tcPr>
            <w:tcW w:w="971" w:type="dxa"/>
            <w:shd w:val="clear" w:color="auto" w:fill="auto"/>
            <w:tcMar>
              <w:top w:w="45" w:type="dxa"/>
              <w:left w:w="98" w:type="dxa"/>
              <w:bottom w:w="45" w:type="dxa"/>
              <w:right w:w="98" w:type="dxa"/>
            </w:tcMar>
            <w:vAlign w:val="center"/>
          </w:tcPr>
          <w:p w14:paraId="2C7A1F7E">
            <w:pPr>
              <w:widowControl/>
              <w:snapToGrid w:val="0"/>
              <w:spacing w:after="160"/>
              <w:jc w:val="center"/>
              <w:textAlignment w:val="bottom"/>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97.06%</w:t>
            </w:r>
          </w:p>
        </w:tc>
      </w:tr>
      <w:tr w14:paraId="1757E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295" w:type="dxa"/>
            <w:shd w:val="clear" w:color="auto" w:fill="auto"/>
            <w:tcMar>
              <w:top w:w="45" w:type="dxa"/>
              <w:left w:w="98" w:type="dxa"/>
              <w:bottom w:w="45" w:type="dxa"/>
              <w:right w:w="98" w:type="dxa"/>
            </w:tcMar>
            <w:vAlign w:val="center"/>
          </w:tcPr>
          <w:p w14:paraId="740D28EC">
            <w:pPr>
              <w:widowControl/>
              <w:snapToGrid w:val="0"/>
              <w:jc w:val="center"/>
              <w:rPr>
                <w:rFonts w:ascii="宋体" w:hAnsi="宋体" w:cs="宋体"/>
                <w:color w:val="000000"/>
                <w:sz w:val="22"/>
                <w:szCs w:val="21"/>
              </w:rPr>
            </w:pPr>
            <w:r>
              <w:rPr>
                <w:rFonts w:hint="eastAsia" w:ascii="宋体" w:hAnsi="宋体" w:cs="宋体"/>
                <w:color w:val="000000"/>
                <w:sz w:val="22"/>
                <w:szCs w:val="21"/>
              </w:rPr>
              <w:t>11</w:t>
            </w:r>
          </w:p>
        </w:tc>
        <w:tc>
          <w:tcPr>
            <w:tcW w:w="4065" w:type="dxa"/>
            <w:shd w:val="clear" w:color="auto" w:fill="auto"/>
            <w:tcMar>
              <w:top w:w="45" w:type="dxa"/>
              <w:left w:w="98" w:type="dxa"/>
              <w:bottom w:w="45" w:type="dxa"/>
              <w:right w:w="98" w:type="dxa"/>
            </w:tcMar>
            <w:vAlign w:val="center"/>
          </w:tcPr>
          <w:p w14:paraId="55D3500A">
            <w:pPr>
              <w:snapToGrid w:val="0"/>
              <w:spacing w:after="160"/>
              <w:jc w:val="left"/>
              <w:rPr>
                <w:rFonts w:ascii="宋体" w:hAnsi="宋体" w:cs="宋体"/>
                <w:sz w:val="22"/>
                <w:szCs w:val="24"/>
                <w14:ligatures w14:val="standardContextual"/>
              </w:rPr>
            </w:pPr>
            <w:r>
              <w:rPr>
                <w:rFonts w:hint="eastAsia" w:ascii="宋体" w:hAnsi="宋体" w:cs="宋体"/>
                <w:sz w:val="22"/>
                <w:szCs w:val="24"/>
                <w14:ligatures w14:val="standardContextual"/>
              </w:rPr>
              <w:t>修改“B.2.2.1 烧山火法”技术要点</w:t>
            </w:r>
          </w:p>
        </w:tc>
        <w:tc>
          <w:tcPr>
            <w:tcW w:w="1506" w:type="dxa"/>
            <w:shd w:val="clear" w:color="auto" w:fill="auto"/>
            <w:tcMar>
              <w:top w:w="45" w:type="dxa"/>
              <w:left w:w="98" w:type="dxa"/>
              <w:bottom w:w="45" w:type="dxa"/>
              <w:right w:w="98" w:type="dxa"/>
            </w:tcMar>
            <w:vAlign w:val="center"/>
          </w:tcPr>
          <w:p w14:paraId="75110F39">
            <w:pPr>
              <w:widowControl/>
              <w:snapToGrid w:val="0"/>
              <w:spacing w:after="160"/>
              <w:jc w:val="center"/>
              <w:textAlignment w:val="center"/>
              <w:rPr>
                <w:rFonts w:ascii="宋体" w:hAnsi="宋体" w:cs="宋体"/>
                <w:color w:val="000000"/>
                <w:sz w:val="22"/>
                <w14:ligatures w14:val="standardContextual"/>
              </w:rPr>
            </w:pPr>
            <w:r>
              <w:rPr>
                <w:rFonts w:hint="eastAsia" w:ascii="宋体" w:hAnsi="宋体" w:cs="宋体"/>
                <w:color w:val="000000"/>
                <w:kern w:val="0"/>
                <w:sz w:val="22"/>
                <w:lang w:bidi="ar"/>
                <w14:ligatures w14:val="standardContextual"/>
              </w:rPr>
              <w:t>A.</w:t>
            </w:r>
            <w:r>
              <w:rPr>
                <w:rStyle w:val="18"/>
                <w:rFonts w:hint="default"/>
                <w:lang w:bidi="ar"/>
                <w14:ligatures w14:val="standardContextual"/>
              </w:rPr>
              <w:t>同意</w:t>
            </w:r>
          </w:p>
        </w:tc>
        <w:tc>
          <w:tcPr>
            <w:tcW w:w="662" w:type="dxa"/>
            <w:shd w:val="clear" w:color="auto" w:fill="auto"/>
            <w:tcMar>
              <w:top w:w="45" w:type="dxa"/>
              <w:left w:w="98" w:type="dxa"/>
              <w:bottom w:w="45" w:type="dxa"/>
              <w:right w:w="98" w:type="dxa"/>
            </w:tcMar>
            <w:vAlign w:val="center"/>
          </w:tcPr>
          <w:p w14:paraId="6DE33532">
            <w:pPr>
              <w:widowControl/>
              <w:snapToGrid w:val="0"/>
              <w:spacing w:after="160"/>
              <w:jc w:val="center"/>
              <w:textAlignment w:val="center"/>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30</w:t>
            </w:r>
          </w:p>
        </w:tc>
        <w:tc>
          <w:tcPr>
            <w:tcW w:w="971" w:type="dxa"/>
            <w:shd w:val="clear" w:color="auto" w:fill="auto"/>
            <w:tcMar>
              <w:top w:w="45" w:type="dxa"/>
              <w:left w:w="98" w:type="dxa"/>
              <w:bottom w:w="45" w:type="dxa"/>
              <w:right w:w="98" w:type="dxa"/>
            </w:tcMar>
            <w:vAlign w:val="center"/>
          </w:tcPr>
          <w:p w14:paraId="42DFAFFF">
            <w:pPr>
              <w:widowControl/>
              <w:snapToGrid w:val="0"/>
              <w:spacing w:after="160"/>
              <w:jc w:val="center"/>
              <w:textAlignment w:val="bottom"/>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90.91%</w:t>
            </w:r>
          </w:p>
        </w:tc>
      </w:tr>
      <w:tr w14:paraId="55004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295" w:type="dxa"/>
            <w:shd w:val="clear" w:color="auto" w:fill="auto"/>
            <w:tcMar>
              <w:top w:w="45" w:type="dxa"/>
              <w:left w:w="98" w:type="dxa"/>
              <w:bottom w:w="45" w:type="dxa"/>
              <w:right w:w="98" w:type="dxa"/>
            </w:tcMar>
            <w:vAlign w:val="center"/>
          </w:tcPr>
          <w:p w14:paraId="1C9704C3">
            <w:pPr>
              <w:widowControl/>
              <w:snapToGrid w:val="0"/>
              <w:jc w:val="center"/>
              <w:rPr>
                <w:rFonts w:ascii="宋体" w:hAnsi="宋体" w:cs="宋体"/>
                <w:color w:val="000000"/>
                <w:sz w:val="22"/>
                <w:szCs w:val="21"/>
              </w:rPr>
            </w:pPr>
            <w:r>
              <w:rPr>
                <w:rFonts w:hint="eastAsia" w:ascii="宋体" w:hAnsi="宋体" w:cs="宋体"/>
                <w:color w:val="000000"/>
                <w:sz w:val="22"/>
                <w:szCs w:val="21"/>
              </w:rPr>
              <w:t>12</w:t>
            </w:r>
          </w:p>
        </w:tc>
        <w:tc>
          <w:tcPr>
            <w:tcW w:w="4065" w:type="dxa"/>
            <w:shd w:val="clear" w:color="auto" w:fill="auto"/>
            <w:tcMar>
              <w:top w:w="45" w:type="dxa"/>
              <w:left w:w="98" w:type="dxa"/>
              <w:bottom w:w="45" w:type="dxa"/>
              <w:right w:w="98" w:type="dxa"/>
            </w:tcMar>
            <w:vAlign w:val="center"/>
          </w:tcPr>
          <w:p w14:paraId="559A54B8">
            <w:pPr>
              <w:snapToGrid w:val="0"/>
              <w:spacing w:after="160"/>
              <w:jc w:val="left"/>
              <w:rPr>
                <w:rFonts w:ascii="宋体" w:hAnsi="宋体" w:cs="宋体"/>
                <w:sz w:val="22"/>
                <w:szCs w:val="24"/>
                <w14:ligatures w14:val="standardContextual"/>
              </w:rPr>
            </w:pPr>
            <w:r>
              <w:rPr>
                <w:rFonts w:hint="eastAsia" w:ascii="宋体" w:hAnsi="宋体" w:cs="宋体"/>
                <w:sz w:val="22"/>
                <w:szCs w:val="24"/>
                <w14:ligatures w14:val="standardContextual"/>
              </w:rPr>
              <w:t>新增“B.2.2.1 烧山火法”技术操作细节描述</w:t>
            </w:r>
          </w:p>
        </w:tc>
        <w:tc>
          <w:tcPr>
            <w:tcW w:w="1506" w:type="dxa"/>
            <w:shd w:val="clear" w:color="auto" w:fill="auto"/>
            <w:tcMar>
              <w:top w:w="45" w:type="dxa"/>
              <w:left w:w="98" w:type="dxa"/>
              <w:bottom w:w="45" w:type="dxa"/>
              <w:right w:w="98" w:type="dxa"/>
            </w:tcMar>
            <w:vAlign w:val="center"/>
          </w:tcPr>
          <w:p w14:paraId="5119593F">
            <w:pPr>
              <w:widowControl/>
              <w:snapToGrid w:val="0"/>
              <w:spacing w:after="160"/>
              <w:jc w:val="center"/>
              <w:textAlignment w:val="center"/>
              <w:rPr>
                <w:rFonts w:ascii="宋体" w:hAnsi="宋体" w:cs="宋体"/>
                <w:color w:val="000000"/>
                <w:sz w:val="22"/>
                <w14:ligatures w14:val="standardContextual"/>
              </w:rPr>
            </w:pPr>
            <w:r>
              <w:rPr>
                <w:rFonts w:hint="eastAsia" w:ascii="宋体" w:hAnsi="宋体" w:cs="宋体"/>
                <w:color w:val="000000"/>
                <w:kern w:val="0"/>
                <w:sz w:val="22"/>
                <w:lang w:bidi="ar"/>
                <w14:ligatures w14:val="standardContextual"/>
              </w:rPr>
              <w:t>A.</w:t>
            </w:r>
            <w:r>
              <w:rPr>
                <w:rStyle w:val="18"/>
                <w:rFonts w:hint="default"/>
                <w:lang w:bidi="ar"/>
                <w14:ligatures w14:val="standardContextual"/>
              </w:rPr>
              <w:t>同意</w:t>
            </w:r>
          </w:p>
        </w:tc>
        <w:tc>
          <w:tcPr>
            <w:tcW w:w="662" w:type="dxa"/>
            <w:shd w:val="clear" w:color="auto" w:fill="auto"/>
            <w:tcMar>
              <w:top w:w="45" w:type="dxa"/>
              <w:left w:w="98" w:type="dxa"/>
              <w:bottom w:w="45" w:type="dxa"/>
              <w:right w:w="98" w:type="dxa"/>
            </w:tcMar>
            <w:vAlign w:val="center"/>
          </w:tcPr>
          <w:p w14:paraId="6D56832A">
            <w:pPr>
              <w:widowControl/>
              <w:snapToGrid w:val="0"/>
              <w:spacing w:after="160"/>
              <w:jc w:val="center"/>
              <w:textAlignment w:val="center"/>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33</w:t>
            </w:r>
          </w:p>
        </w:tc>
        <w:tc>
          <w:tcPr>
            <w:tcW w:w="971" w:type="dxa"/>
            <w:shd w:val="clear" w:color="auto" w:fill="auto"/>
            <w:tcMar>
              <w:top w:w="45" w:type="dxa"/>
              <w:left w:w="98" w:type="dxa"/>
              <w:bottom w:w="45" w:type="dxa"/>
              <w:right w:w="98" w:type="dxa"/>
            </w:tcMar>
            <w:vAlign w:val="center"/>
          </w:tcPr>
          <w:p w14:paraId="0FFE0BF9">
            <w:pPr>
              <w:widowControl/>
              <w:snapToGrid w:val="0"/>
              <w:spacing w:after="160"/>
              <w:jc w:val="center"/>
              <w:textAlignment w:val="bottom"/>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97.06%</w:t>
            </w:r>
          </w:p>
        </w:tc>
      </w:tr>
      <w:tr w14:paraId="5286B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295" w:type="dxa"/>
            <w:shd w:val="clear" w:color="auto" w:fill="auto"/>
            <w:tcMar>
              <w:top w:w="45" w:type="dxa"/>
              <w:left w:w="98" w:type="dxa"/>
              <w:bottom w:w="45" w:type="dxa"/>
              <w:right w:w="98" w:type="dxa"/>
            </w:tcMar>
            <w:vAlign w:val="center"/>
          </w:tcPr>
          <w:p w14:paraId="11BABD8A">
            <w:pPr>
              <w:widowControl/>
              <w:snapToGrid w:val="0"/>
              <w:jc w:val="center"/>
              <w:rPr>
                <w:rFonts w:ascii="宋体" w:hAnsi="宋体" w:cs="宋体"/>
                <w:color w:val="000000"/>
                <w:sz w:val="22"/>
                <w:szCs w:val="21"/>
              </w:rPr>
            </w:pPr>
            <w:r>
              <w:rPr>
                <w:rFonts w:hint="eastAsia" w:ascii="宋体" w:hAnsi="宋体" w:cs="宋体"/>
                <w:color w:val="000000"/>
                <w:sz w:val="22"/>
                <w:szCs w:val="21"/>
              </w:rPr>
              <w:t>13</w:t>
            </w:r>
          </w:p>
        </w:tc>
        <w:tc>
          <w:tcPr>
            <w:tcW w:w="4065" w:type="dxa"/>
            <w:shd w:val="clear" w:color="auto" w:fill="auto"/>
            <w:tcMar>
              <w:top w:w="45" w:type="dxa"/>
              <w:left w:w="98" w:type="dxa"/>
              <w:bottom w:w="45" w:type="dxa"/>
              <w:right w:w="98" w:type="dxa"/>
            </w:tcMar>
            <w:vAlign w:val="center"/>
          </w:tcPr>
          <w:p w14:paraId="481F72AE">
            <w:pPr>
              <w:snapToGrid w:val="0"/>
              <w:spacing w:after="160"/>
              <w:jc w:val="left"/>
              <w:rPr>
                <w:rFonts w:ascii="宋体" w:hAnsi="宋体" w:cs="宋体"/>
                <w:sz w:val="22"/>
                <w:szCs w:val="24"/>
                <w14:ligatures w14:val="standardContextual"/>
              </w:rPr>
            </w:pPr>
            <w:r>
              <w:rPr>
                <w:rFonts w:hint="eastAsia" w:ascii="宋体" w:hAnsi="宋体" w:cs="宋体"/>
                <w:sz w:val="22"/>
                <w:szCs w:val="24"/>
                <w14:ligatures w14:val="standardContextual"/>
              </w:rPr>
              <w:t>修改“B.2.2.2 透天凉法”</w:t>
            </w:r>
          </w:p>
        </w:tc>
        <w:tc>
          <w:tcPr>
            <w:tcW w:w="1506" w:type="dxa"/>
            <w:shd w:val="clear" w:color="auto" w:fill="auto"/>
            <w:tcMar>
              <w:top w:w="45" w:type="dxa"/>
              <w:left w:w="98" w:type="dxa"/>
              <w:bottom w:w="45" w:type="dxa"/>
              <w:right w:w="98" w:type="dxa"/>
            </w:tcMar>
            <w:vAlign w:val="center"/>
          </w:tcPr>
          <w:p w14:paraId="092E9E43">
            <w:pPr>
              <w:widowControl/>
              <w:snapToGrid w:val="0"/>
              <w:spacing w:after="160"/>
              <w:jc w:val="center"/>
              <w:textAlignment w:val="center"/>
              <w:rPr>
                <w:rFonts w:ascii="宋体" w:hAnsi="宋体" w:cs="宋体"/>
                <w:color w:val="000000"/>
                <w:sz w:val="22"/>
                <w14:ligatures w14:val="standardContextual"/>
              </w:rPr>
            </w:pPr>
            <w:r>
              <w:rPr>
                <w:rFonts w:hint="eastAsia" w:ascii="宋体" w:hAnsi="宋体" w:cs="宋体"/>
                <w:color w:val="000000"/>
                <w:kern w:val="0"/>
                <w:sz w:val="22"/>
                <w:lang w:bidi="ar"/>
                <w14:ligatures w14:val="standardContextual"/>
              </w:rPr>
              <w:t>A.</w:t>
            </w:r>
            <w:r>
              <w:rPr>
                <w:rStyle w:val="18"/>
                <w:rFonts w:hint="default"/>
                <w:lang w:bidi="ar"/>
                <w14:ligatures w14:val="standardContextual"/>
              </w:rPr>
              <w:t>同意</w:t>
            </w:r>
          </w:p>
        </w:tc>
        <w:tc>
          <w:tcPr>
            <w:tcW w:w="662" w:type="dxa"/>
            <w:shd w:val="clear" w:color="auto" w:fill="auto"/>
            <w:tcMar>
              <w:top w:w="45" w:type="dxa"/>
              <w:left w:w="98" w:type="dxa"/>
              <w:bottom w:w="45" w:type="dxa"/>
              <w:right w:w="98" w:type="dxa"/>
            </w:tcMar>
            <w:vAlign w:val="center"/>
          </w:tcPr>
          <w:p w14:paraId="75CA89D7">
            <w:pPr>
              <w:widowControl/>
              <w:snapToGrid w:val="0"/>
              <w:spacing w:after="160"/>
              <w:jc w:val="center"/>
              <w:textAlignment w:val="center"/>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32</w:t>
            </w:r>
          </w:p>
        </w:tc>
        <w:tc>
          <w:tcPr>
            <w:tcW w:w="971" w:type="dxa"/>
            <w:shd w:val="clear" w:color="auto" w:fill="auto"/>
            <w:tcMar>
              <w:top w:w="45" w:type="dxa"/>
              <w:left w:w="98" w:type="dxa"/>
              <w:bottom w:w="45" w:type="dxa"/>
              <w:right w:w="98" w:type="dxa"/>
            </w:tcMar>
            <w:vAlign w:val="center"/>
          </w:tcPr>
          <w:p w14:paraId="38815596">
            <w:pPr>
              <w:widowControl/>
              <w:snapToGrid w:val="0"/>
              <w:spacing w:after="160"/>
              <w:jc w:val="center"/>
              <w:textAlignment w:val="bottom"/>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96.97%</w:t>
            </w:r>
          </w:p>
        </w:tc>
      </w:tr>
      <w:tr w14:paraId="6D54A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295" w:type="dxa"/>
            <w:shd w:val="clear" w:color="auto" w:fill="auto"/>
            <w:tcMar>
              <w:top w:w="45" w:type="dxa"/>
              <w:left w:w="98" w:type="dxa"/>
              <w:bottom w:w="45" w:type="dxa"/>
              <w:right w:w="98" w:type="dxa"/>
            </w:tcMar>
            <w:vAlign w:val="center"/>
          </w:tcPr>
          <w:p w14:paraId="729950DF">
            <w:pPr>
              <w:widowControl/>
              <w:snapToGrid w:val="0"/>
              <w:jc w:val="center"/>
              <w:rPr>
                <w:rFonts w:ascii="宋体" w:hAnsi="宋体" w:cs="宋体"/>
                <w:color w:val="000000"/>
                <w:sz w:val="22"/>
                <w:szCs w:val="21"/>
              </w:rPr>
            </w:pPr>
            <w:r>
              <w:rPr>
                <w:rFonts w:hint="eastAsia" w:ascii="宋体" w:hAnsi="宋体" w:cs="宋体"/>
                <w:color w:val="000000"/>
                <w:sz w:val="22"/>
                <w:szCs w:val="21"/>
              </w:rPr>
              <w:t>14</w:t>
            </w:r>
          </w:p>
        </w:tc>
        <w:tc>
          <w:tcPr>
            <w:tcW w:w="4065" w:type="dxa"/>
            <w:shd w:val="clear" w:color="auto" w:fill="auto"/>
            <w:tcMar>
              <w:top w:w="45" w:type="dxa"/>
              <w:left w:w="98" w:type="dxa"/>
              <w:bottom w:w="45" w:type="dxa"/>
              <w:right w:w="98" w:type="dxa"/>
            </w:tcMar>
            <w:vAlign w:val="center"/>
          </w:tcPr>
          <w:p w14:paraId="519F6841">
            <w:pPr>
              <w:snapToGrid w:val="0"/>
              <w:spacing w:after="160"/>
              <w:jc w:val="left"/>
              <w:rPr>
                <w:rFonts w:ascii="宋体" w:hAnsi="宋体" w:cs="宋体"/>
                <w:sz w:val="22"/>
                <w:szCs w:val="24"/>
                <w14:ligatures w14:val="standardContextual"/>
              </w:rPr>
            </w:pPr>
            <w:r>
              <w:rPr>
                <w:rFonts w:hint="eastAsia" w:ascii="宋体" w:hAnsi="宋体" w:cs="宋体"/>
                <w:sz w:val="22"/>
                <w:szCs w:val="24"/>
                <w14:ligatures w14:val="standardContextual"/>
              </w:rPr>
              <w:t>删除“附录C（资料性）三棱针治疗出血量计算”</w:t>
            </w:r>
          </w:p>
        </w:tc>
        <w:tc>
          <w:tcPr>
            <w:tcW w:w="1506" w:type="dxa"/>
            <w:shd w:val="clear" w:color="auto" w:fill="auto"/>
            <w:tcMar>
              <w:top w:w="45" w:type="dxa"/>
              <w:left w:w="98" w:type="dxa"/>
              <w:bottom w:w="45" w:type="dxa"/>
              <w:right w:w="98" w:type="dxa"/>
            </w:tcMar>
            <w:vAlign w:val="center"/>
          </w:tcPr>
          <w:p w14:paraId="7AAC7A93">
            <w:pPr>
              <w:widowControl/>
              <w:snapToGrid w:val="0"/>
              <w:spacing w:after="160"/>
              <w:jc w:val="center"/>
              <w:textAlignment w:val="center"/>
              <w:rPr>
                <w:rFonts w:ascii="宋体" w:hAnsi="宋体" w:cs="宋体"/>
                <w:color w:val="000000"/>
                <w:sz w:val="22"/>
                <w14:ligatures w14:val="standardContextual"/>
              </w:rPr>
            </w:pPr>
            <w:r>
              <w:rPr>
                <w:rFonts w:hint="eastAsia" w:ascii="宋体" w:hAnsi="宋体" w:cs="宋体"/>
                <w:color w:val="000000"/>
                <w:kern w:val="0"/>
                <w:sz w:val="22"/>
                <w:lang w:bidi="ar"/>
                <w14:ligatures w14:val="standardContextual"/>
              </w:rPr>
              <w:t>A.</w:t>
            </w:r>
            <w:r>
              <w:rPr>
                <w:rStyle w:val="18"/>
                <w:rFonts w:hint="default"/>
                <w:lang w:bidi="ar"/>
                <w14:ligatures w14:val="standardContextual"/>
              </w:rPr>
              <w:t>同意</w:t>
            </w:r>
          </w:p>
        </w:tc>
        <w:tc>
          <w:tcPr>
            <w:tcW w:w="662" w:type="dxa"/>
            <w:shd w:val="clear" w:color="auto" w:fill="auto"/>
            <w:tcMar>
              <w:top w:w="45" w:type="dxa"/>
              <w:left w:w="98" w:type="dxa"/>
              <w:bottom w:w="45" w:type="dxa"/>
              <w:right w:w="98" w:type="dxa"/>
            </w:tcMar>
            <w:vAlign w:val="center"/>
          </w:tcPr>
          <w:p w14:paraId="33692560">
            <w:pPr>
              <w:widowControl/>
              <w:snapToGrid w:val="0"/>
              <w:spacing w:after="160"/>
              <w:jc w:val="center"/>
              <w:textAlignment w:val="center"/>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33</w:t>
            </w:r>
          </w:p>
        </w:tc>
        <w:tc>
          <w:tcPr>
            <w:tcW w:w="971" w:type="dxa"/>
            <w:shd w:val="clear" w:color="auto" w:fill="auto"/>
            <w:tcMar>
              <w:top w:w="45" w:type="dxa"/>
              <w:left w:w="98" w:type="dxa"/>
              <w:bottom w:w="45" w:type="dxa"/>
              <w:right w:w="98" w:type="dxa"/>
            </w:tcMar>
            <w:vAlign w:val="center"/>
          </w:tcPr>
          <w:p w14:paraId="57FCC477">
            <w:pPr>
              <w:widowControl/>
              <w:snapToGrid w:val="0"/>
              <w:spacing w:after="160"/>
              <w:jc w:val="center"/>
              <w:textAlignment w:val="bottom"/>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97.06%</w:t>
            </w:r>
          </w:p>
        </w:tc>
      </w:tr>
      <w:tr w14:paraId="02041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295" w:type="dxa"/>
            <w:shd w:val="clear" w:color="auto" w:fill="auto"/>
            <w:tcMar>
              <w:top w:w="45" w:type="dxa"/>
              <w:left w:w="98" w:type="dxa"/>
              <w:bottom w:w="45" w:type="dxa"/>
              <w:right w:w="98" w:type="dxa"/>
            </w:tcMar>
            <w:vAlign w:val="center"/>
          </w:tcPr>
          <w:p w14:paraId="520FDBD3">
            <w:pPr>
              <w:widowControl/>
              <w:snapToGrid w:val="0"/>
              <w:jc w:val="center"/>
              <w:rPr>
                <w:rFonts w:ascii="宋体" w:hAnsi="宋体" w:cs="宋体"/>
                <w:color w:val="000000"/>
                <w:sz w:val="22"/>
                <w:szCs w:val="21"/>
              </w:rPr>
            </w:pPr>
            <w:r>
              <w:rPr>
                <w:rFonts w:hint="eastAsia" w:ascii="宋体" w:hAnsi="宋体" w:cs="宋体"/>
                <w:color w:val="000000"/>
                <w:sz w:val="22"/>
                <w:szCs w:val="21"/>
              </w:rPr>
              <w:t>15</w:t>
            </w:r>
          </w:p>
        </w:tc>
        <w:tc>
          <w:tcPr>
            <w:tcW w:w="4065" w:type="dxa"/>
            <w:shd w:val="clear" w:color="auto" w:fill="auto"/>
            <w:tcMar>
              <w:top w:w="45" w:type="dxa"/>
              <w:left w:w="98" w:type="dxa"/>
              <w:bottom w:w="45" w:type="dxa"/>
              <w:right w:w="98" w:type="dxa"/>
            </w:tcMar>
            <w:vAlign w:val="center"/>
          </w:tcPr>
          <w:p w14:paraId="2329933E">
            <w:pPr>
              <w:snapToGrid w:val="0"/>
              <w:spacing w:after="160"/>
              <w:jc w:val="left"/>
              <w:rPr>
                <w:rFonts w:ascii="宋体" w:hAnsi="宋体" w:cs="宋体"/>
                <w:sz w:val="22"/>
                <w:szCs w:val="24"/>
                <w14:ligatures w14:val="standardContextual"/>
              </w:rPr>
            </w:pPr>
            <w:r>
              <w:rPr>
                <w:rFonts w:hint="eastAsia" w:ascii="宋体" w:hAnsi="宋体" w:cs="宋体"/>
                <w:sz w:val="22"/>
                <w:szCs w:val="24"/>
                <w14:ligatures w14:val="standardContextual"/>
              </w:rPr>
              <w:t>修改“E.1 隔姜灸”</w:t>
            </w:r>
          </w:p>
        </w:tc>
        <w:tc>
          <w:tcPr>
            <w:tcW w:w="1506" w:type="dxa"/>
            <w:shd w:val="clear" w:color="auto" w:fill="auto"/>
            <w:tcMar>
              <w:top w:w="45" w:type="dxa"/>
              <w:left w:w="98" w:type="dxa"/>
              <w:bottom w:w="45" w:type="dxa"/>
              <w:right w:w="98" w:type="dxa"/>
            </w:tcMar>
            <w:vAlign w:val="center"/>
          </w:tcPr>
          <w:p w14:paraId="7BEA3A94">
            <w:pPr>
              <w:widowControl/>
              <w:snapToGrid w:val="0"/>
              <w:spacing w:after="160"/>
              <w:jc w:val="center"/>
              <w:textAlignment w:val="center"/>
              <w:rPr>
                <w:rFonts w:ascii="宋体" w:hAnsi="宋体" w:cs="宋体"/>
                <w:color w:val="000000"/>
                <w:sz w:val="22"/>
                <w14:ligatures w14:val="standardContextual"/>
              </w:rPr>
            </w:pPr>
            <w:r>
              <w:rPr>
                <w:rFonts w:hint="eastAsia" w:ascii="宋体" w:hAnsi="宋体" w:cs="宋体"/>
                <w:color w:val="000000"/>
                <w:kern w:val="0"/>
                <w:sz w:val="22"/>
                <w:lang w:bidi="ar"/>
                <w14:ligatures w14:val="standardContextual"/>
              </w:rPr>
              <w:t>A.</w:t>
            </w:r>
            <w:r>
              <w:rPr>
                <w:rStyle w:val="18"/>
                <w:rFonts w:hint="default"/>
                <w:lang w:bidi="ar"/>
                <w14:ligatures w14:val="standardContextual"/>
              </w:rPr>
              <w:t>同意</w:t>
            </w:r>
          </w:p>
        </w:tc>
        <w:tc>
          <w:tcPr>
            <w:tcW w:w="662" w:type="dxa"/>
            <w:shd w:val="clear" w:color="auto" w:fill="auto"/>
            <w:tcMar>
              <w:top w:w="45" w:type="dxa"/>
              <w:left w:w="98" w:type="dxa"/>
              <w:bottom w:w="45" w:type="dxa"/>
              <w:right w:w="98" w:type="dxa"/>
            </w:tcMar>
            <w:vAlign w:val="center"/>
          </w:tcPr>
          <w:p w14:paraId="19BD22C5">
            <w:pPr>
              <w:widowControl/>
              <w:snapToGrid w:val="0"/>
              <w:spacing w:after="160"/>
              <w:jc w:val="center"/>
              <w:textAlignment w:val="center"/>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34</w:t>
            </w:r>
          </w:p>
        </w:tc>
        <w:tc>
          <w:tcPr>
            <w:tcW w:w="971" w:type="dxa"/>
            <w:shd w:val="clear" w:color="auto" w:fill="auto"/>
            <w:tcMar>
              <w:top w:w="45" w:type="dxa"/>
              <w:left w:w="98" w:type="dxa"/>
              <w:bottom w:w="45" w:type="dxa"/>
              <w:right w:w="98" w:type="dxa"/>
            </w:tcMar>
            <w:vAlign w:val="center"/>
          </w:tcPr>
          <w:p w14:paraId="6883A6E7">
            <w:pPr>
              <w:widowControl/>
              <w:snapToGrid w:val="0"/>
              <w:spacing w:after="160"/>
              <w:jc w:val="center"/>
              <w:textAlignment w:val="bottom"/>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100.00%</w:t>
            </w:r>
          </w:p>
        </w:tc>
      </w:tr>
      <w:tr w14:paraId="57E8F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295" w:type="dxa"/>
            <w:shd w:val="clear" w:color="auto" w:fill="auto"/>
            <w:tcMar>
              <w:top w:w="45" w:type="dxa"/>
              <w:left w:w="98" w:type="dxa"/>
              <w:bottom w:w="45" w:type="dxa"/>
              <w:right w:w="98" w:type="dxa"/>
            </w:tcMar>
            <w:vAlign w:val="center"/>
          </w:tcPr>
          <w:p w14:paraId="78EFE455">
            <w:pPr>
              <w:widowControl/>
              <w:snapToGrid w:val="0"/>
              <w:jc w:val="center"/>
              <w:rPr>
                <w:rFonts w:ascii="宋体" w:hAnsi="宋体" w:cs="宋体"/>
                <w:color w:val="000000"/>
                <w:sz w:val="22"/>
                <w:szCs w:val="21"/>
              </w:rPr>
            </w:pPr>
            <w:r>
              <w:rPr>
                <w:rFonts w:hint="eastAsia" w:ascii="宋体" w:hAnsi="宋体" w:cs="宋体"/>
                <w:color w:val="000000"/>
                <w:sz w:val="22"/>
                <w:szCs w:val="21"/>
              </w:rPr>
              <w:t>16</w:t>
            </w:r>
          </w:p>
        </w:tc>
        <w:tc>
          <w:tcPr>
            <w:tcW w:w="4065" w:type="dxa"/>
            <w:shd w:val="clear" w:color="auto" w:fill="auto"/>
            <w:tcMar>
              <w:top w:w="45" w:type="dxa"/>
              <w:left w:w="98" w:type="dxa"/>
              <w:bottom w:w="45" w:type="dxa"/>
              <w:right w:w="98" w:type="dxa"/>
            </w:tcMar>
            <w:vAlign w:val="center"/>
          </w:tcPr>
          <w:p w14:paraId="39480B47">
            <w:pPr>
              <w:snapToGrid w:val="0"/>
              <w:spacing w:after="160"/>
              <w:jc w:val="left"/>
              <w:rPr>
                <w:rFonts w:ascii="宋体" w:hAnsi="宋体" w:cs="宋体"/>
                <w:sz w:val="22"/>
                <w:szCs w:val="24"/>
                <w14:ligatures w14:val="standardContextual"/>
              </w:rPr>
            </w:pPr>
            <w:r>
              <w:rPr>
                <w:rFonts w:hint="eastAsia" w:ascii="宋体" w:hAnsi="宋体" w:cs="宋体"/>
                <w:sz w:val="22"/>
                <w:szCs w:val="24"/>
                <w14:ligatures w14:val="standardContextual"/>
              </w:rPr>
              <w:t>修改“E.2 隔蒜灸”</w:t>
            </w:r>
          </w:p>
        </w:tc>
        <w:tc>
          <w:tcPr>
            <w:tcW w:w="1506" w:type="dxa"/>
            <w:shd w:val="clear" w:color="auto" w:fill="auto"/>
            <w:tcMar>
              <w:top w:w="45" w:type="dxa"/>
              <w:left w:w="98" w:type="dxa"/>
              <w:bottom w:w="45" w:type="dxa"/>
              <w:right w:w="98" w:type="dxa"/>
            </w:tcMar>
            <w:vAlign w:val="center"/>
          </w:tcPr>
          <w:p w14:paraId="39A2BA79">
            <w:pPr>
              <w:widowControl/>
              <w:snapToGrid w:val="0"/>
              <w:spacing w:after="160"/>
              <w:jc w:val="center"/>
              <w:textAlignment w:val="center"/>
              <w:rPr>
                <w:rFonts w:ascii="宋体" w:hAnsi="宋体" w:cs="宋体"/>
                <w:color w:val="000000"/>
                <w:sz w:val="22"/>
                <w14:ligatures w14:val="standardContextual"/>
              </w:rPr>
            </w:pPr>
            <w:r>
              <w:rPr>
                <w:rFonts w:hint="eastAsia" w:ascii="宋体" w:hAnsi="宋体" w:cs="宋体"/>
                <w:color w:val="000000"/>
                <w:kern w:val="0"/>
                <w:sz w:val="22"/>
                <w:lang w:bidi="ar"/>
                <w14:ligatures w14:val="standardContextual"/>
              </w:rPr>
              <w:t>A.</w:t>
            </w:r>
            <w:r>
              <w:rPr>
                <w:rStyle w:val="18"/>
                <w:rFonts w:hint="default"/>
                <w:lang w:bidi="ar"/>
                <w14:ligatures w14:val="standardContextual"/>
              </w:rPr>
              <w:t>同意</w:t>
            </w:r>
          </w:p>
        </w:tc>
        <w:tc>
          <w:tcPr>
            <w:tcW w:w="662" w:type="dxa"/>
            <w:shd w:val="clear" w:color="auto" w:fill="auto"/>
            <w:tcMar>
              <w:top w:w="45" w:type="dxa"/>
              <w:left w:w="98" w:type="dxa"/>
              <w:bottom w:w="45" w:type="dxa"/>
              <w:right w:w="98" w:type="dxa"/>
            </w:tcMar>
            <w:vAlign w:val="center"/>
          </w:tcPr>
          <w:p w14:paraId="0FDDB053">
            <w:pPr>
              <w:widowControl/>
              <w:snapToGrid w:val="0"/>
              <w:spacing w:after="160"/>
              <w:jc w:val="center"/>
              <w:textAlignment w:val="center"/>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31</w:t>
            </w:r>
          </w:p>
        </w:tc>
        <w:tc>
          <w:tcPr>
            <w:tcW w:w="971" w:type="dxa"/>
            <w:shd w:val="clear" w:color="auto" w:fill="auto"/>
            <w:tcMar>
              <w:top w:w="45" w:type="dxa"/>
              <w:left w:w="98" w:type="dxa"/>
              <w:bottom w:w="45" w:type="dxa"/>
              <w:right w:w="98" w:type="dxa"/>
            </w:tcMar>
            <w:vAlign w:val="center"/>
          </w:tcPr>
          <w:p w14:paraId="20B9C1B7">
            <w:pPr>
              <w:widowControl/>
              <w:snapToGrid w:val="0"/>
              <w:spacing w:after="160"/>
              <w:jc w:val="center"/>
              <w:textAlignment w:val="bottom"/>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91.18%</w:t>
            </w:r>
          </w:p>
        </w:tc>
      </w:tr>
      <w:tr w14:paraId="18739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295" w:type="dxa"/>
            <w:shd w:val="clear" w:color="auto" w:fill="auto"/>
            <w:tcMar>
              <w:top w:w="45" w:type="dxa"/>
              <w:left w:w="98" w:type="dxa"/>
              <w:bottom w:w="45" w:type="dxa"/>
              <w:right w:w="98" w:type="dxa"/>
            </w:tcMar>
            <w:vAlign w:val="center"/>
          </w:tcPr>
          <w:p w14:paraId="42F1BCA3">
            <w:pPr>
              <w:widowControl/>
              <w:snapToGrid w:val="0"/>
              <w:jc w:val="center"/>
              <w:rPr>
                <w:rFonts w:ascii="宋体" w:hAnsi="宋体" w:cs="宋体"/>
                <w:color w:val="000000"/>
                <w:sz w:val="22"/>
                <w:szCs w:val="21"/>
              </w:rPr>
            </w:pPr>
            <w:r>
              <w:rPr>
                <w:rFonts w:hint="eastAsia" w:ascii="宋体" w:hAnsi="宋体" w:cs="宋体"/>
                <w:color w:val="000000"/>
                <w:sz w:val="22"/>
                <w:szCs w:val="21"/>
              </w:rPr>
              <w:t>17</w:t>
            </w:r>
          </w:p>
        </w:tc>
        <w:tc>
          <w:tcPr>
            <w:tcW w:w="4065" w:type="dxa"/>
            <w:shd w:val="clear" w:color="auto" w:fill="auto"/>
            <w:tcMar>
              <w:top w:w="45" w:type="dxa"/>
              <w:left w:w="98" w:type="dxa"/>
              <w:bottom w:w="45" w:type="dxa"/>
              <w:right w:w="98" w:type="dxa"/>
            </w:tcMar>
            <w:vAlign w:val="center"/>
          </w:tcPr>
          <w:p w14:paraId="27986769">
            <w:pPr>
              <w:snapToGrid w:val="0"/>
              <w:spacing w:after="160"/>
              <w:jc w:val="left"/>
              <w:rPr>
                <w:rFonts w:ascii="宋体" w:hAnsi="宋体" w:cs="宋体"/>
                <w:sz w:val="22"/>
                <w:szCs w:val="24"/>
                <w14:ligatures w14:val="standardContextual"/>
              </w:rPr>
            </w:pPr>
            <w:r>
              <w:rPr>
                <w:rFonts w:hint="eastAsia" w:ascii="宋体" w:hAnsi="宋体" w:cs="宋体"/>
                <w:sz w:val="22"/>
                <w:szCs w:val="24"/>
                <w14:ligatures w14:val="standardContextual"/>
              </w:rPr>
              <w:t>删除“E.6 隔黄土灸”</w:t>
            </w:r>
          </w:p>
        </w:tc>
        <w:tc>
          <w:tcPr>
            <w:tcW w:w="1506" w:type="dxa"/>
            <w:shd w:val="clear" w:color="auto" w:fill="auto"/>
            <w:tcMar>
              <w:top w:w="45" w:type="dxa"/>
              <w:left w:w="98" w:type="dxa"/>
              <w:bottom w:w="45" w:type="dxa"/>
              <w:right w:w="98" w:type="dxa"/>
            </w:tcMar>
            <w:vAlign w:val="center"/>
          </w:tcPr>
          <w:p w14:paraId="44E7A8E3">
            <w:pPr>
              <w:widowControl/>
              <w:snapToGrid w:val="0"/>
              <w:spacing w:after="160"/>
              <w:jc w:val="center"/>
              <w:textAlignment w:val="center"/>
              <w:rPr>
                <w:rFonts w:ascii="宋体" w:hAnsi="宋体" w:cs="宋体"/>
                <w:color w:val="000000"/>
                <w:sz w:val="22"/>
                <w14:ligatures w14:val="standardContextual"/>
              </w:rPr>
            </w:pPr>
            <w:r>
              <w:rPr>
                <w:rFonts w:hint="eastAsia" w:ascii="宋体" w:hAnsi="宋体" w:cs="宋体"/>
                <w:color w:val="000000"/>
                <w:kern w:val="0"/>
                <w:sz w:val="22"/>
                <w:lang w:bidi="ar"/>
                <w14:ligatures w14:val="standardContextual"/>
              </w:rPr>
              <w:t>A.</w:t>
            </w:r>
            <w:r>
              <w:rPr>
                <w:rStyle w:val="18"/>
                <w:rFonts w:hint="default"/>
                <w:lang w:bidi="ar"/>
                <w14:ligatures w14:val="standardContextual"/>
              </w:rPr>
              <w:t>同意</w:t>
            </w:r>
          </w:p>
        </w:tc>
        <w:tc>
          <w:tcPr>
            <w:tcW w:w="662" w:type="dxa"/>
            <w:shd w:val="clear" w:color="auto" w:fill="auto"/>
            <w:tcMar>
              <w:top w:w="45" w:type="dxa"/>
              <w:left w:w="98" w:type="dxa"/>
              <w:bottom w:w="45" w:type="dxa"/>
              <w:right w:w="98" w:type="dxa"/>
            </w:tcMar>
            <w:vAlign w:val="center"/>
          </w:tcPr>
          <w:p w14:paraId="38854A46">
            <w:pPr>
              <w:widowControl/>
              <w:snapToGrid w:val="0"/>
              <w:spacing w:after="160"/>
              <w:jc w:val="center"/>
              <w:textAlignment w:val="center"/>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33</w:t>
            </w:r>
          </w:p>
        </w:tc>
        <w:tc>
          <w:tcPr>
            <w:tcW w:w="971" w:type="dxa"/>
            <w:shd w:val="clear" w:color="auto" w:fill="auto"/>
            <w:tcMar>
              <w:top w:w="45" w:type="dxa"/>
              <w:left w:w="98" w:type="dxa"/>
              <w:bottom w:w="45" w:type="dxa"/>
              <w:right w:w="98" w:type="dxa"/>
            </w:tcMar>
            <w:vAlign w:val="center"/>
          </w:tcPr>
          <w:p w14:paraId="096D99C2">
            <w:pPr>
              <w:widowControl/>
              <w:snapToGrid w:val="0"/>
              <w:spacing w:after="160"/>
              <w:jc w:val="center"/>
              <w:textAlignment w:val="bottom"/>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97.06%</w:t>
            </w:r>
          </w:p>
        </w:tc>
      </w:tr>
      <w:tr w14:paraId="2A6F6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295" w:type="dxa"/>
            <w:shd w:val="clear" w:color="auto" w:fill="auto"/>
            <w:tcMar>
              <w:top w:w="45" w:type="dxa"/>
              <w:left w:w="98" w:type="dxa"/>
              <w:bottom w:w="45" w:type="dxa"/>
              <w:right w:w="98" w:type="dxa"/>
            </w:tcMar>
            <w:vAlign w:val="center"/>
          </w:tcPr>
          <w:p w14:paraId="7F60AB1C">
            <w:pPr>
              <w:widowControl/>
              <w:snapToGrid w:val="0"/>
              <w:jc w:val="center"/>
              <w:rPr>
                <w:rFonts w:ascii="宋体" w:hAnsi="宋体" w:cs="宋体"/>
                <w:color w:val="000000"/>
                <w:sz w:val="22"/>
                <w:szCs w:val="21"/>
              </w:rPr>
            </w:pPr>
            <w:r>
              <w:rPr>
                <w:rFonts w:hint="eastAsia" w:ascii="宋体" w:hAnsi="宋体" w:cs="宋体"/>
                <w:color w:val="000000"/>
                <w:sz w:val="22"/>
                <w:szCs w:val="21"/>
              </w:rPr>
              <w:t>18</w:t>
            </w:r>
          </w:p>
        </w:tc>
        <w:tc>
          <w:tcPr>
            <w:tcW w:w="4065" w:type="dxa"/>
            <w:shd w:val="clear" w:color="auto" w:fill="auto"/>
            <w:tcMar>
              <w:top w:w="45" w:type="dxa"/>
              <w:left w:w="98" w:type="dxa"/>
              <w:bottom w:w="45" w:type="dxa"/>
              <w:right w:w="98" w:type="dxa"/>
            </w:tcMar>
            <w:vAlign w:val="center"/>
          </w:tcPr>
          <w:p w14:paraId="0285470F">
            <w:pPr>
              <w:snapToGrid w:val="0"/>
              <w:spacing w:after="160"/>
              <w:jc w:val="left"/>
              <w:rPr>
                <w:rFonts w:ascii="宋体" w:hAnsi="宋体" w:cs="宋体"/>
                <w:sz w:val="22"/>
                <w:szCs w:val="24"/>
                <w14:ligatures w14:val="standardContextual"/>
              </w:rPr>
            </w:pPr>
            <w:r>
              <w:rPr>
                <w:rFonts w:hint="eastAsia" w:ascii="宋体" w:hAnsi="宋体" w:cs="宋体"/>
                <w:sz w:val="22"/>
                <w:szCs w:val="24"/>
                <w14:ligatures w14:val="standardContextual"/>
              </w:rPr>
              <w:t>删除“E.7 隔胡椒饼灸”</w:t>
            </w:r>
          </w:p>
        </w:tc>
        <w:tc>
          <w:tcPr>
            <w:tcW w:w="1506" w:type="dxa"/>
            <w:shd w:val="clear" w:color="auto" w:fill="auto"/>
            <w:tcMar>
              <w:top w:w="45" w:type="dxa"/>
              <w:left w:w="98" w:type="dxa"/>
              <w:bottom w:w="45" w:type="dxa"/>
              <w:right w:w="98" w:type="dxa"/>
            </w:tcMar>
            <w:vAlign w:val="center"/>
          </w:tcPr>
          <w:p w14:paraId="07F7237D">
            <w:pPr>
              <w:widowControl/>
              <w:snapToGrid w:val="0"/>
              <w:spacing w:after="160"/>
              <w:jc w:val="center"/>
              <w:textAlignment w:val="center"/>
              <w:rPr>
                <w:rFonts w:ascii="宋体" w:hAnsi="宋体" w:cs="宋体"/>
                <w:color w:val="000000"/>
                <w:sz w:val="22"/>
                <w14:ligatures w14:val="standardContextual"/>
              </w:rPr>
            </w:pPr>
            <w:r>
              <w:rPr>
                <w:rFonts w:hint="eastAsia" w:ascii="宋体" w:hAnsi="宋体" w:cs="宋体"/>
                <w:color w:val="000000"/>
                <w:kern w:val="0"/>
                <w:sz w:val="22"/>
                <w:lang w:bidi="ar"/>
                <w14:ligatures w14:val="standardContextual"/>
              </w:rPr>
              <w:t>A.</w:t>
            </w:r>
            <w:r>
              <w:rPr>
                <w:rStyle w:val="18"/>
                <w:rFonts w:hint="default"/>
                <w:lang w:bidi="ar"/>
                <w14:ligatures w14:val="standardContextual"/>
              </w:rPr>
              <w:t>同意</w:t>
            </w:r>
          </w:p>
        </w:tc>
        <w:tc>
          <w:tcPr>
            <w:tcW w:w="662" w:type="dxa"/>
            <w:shd w:val="clear" w:color="auto" w:fill="auto"/>
            <w:tcMar>
              <w:top w:w="45" w:type="dxa"/>
              <w:left w:w="98" w:type="dxa"/>
              <w:bottom w:w="45" w:type="dxa"/>
              <w:right w:w="98" w:type="dxa"/>
            </w:tcMar>
            <w:vAlign w:val="center"/>
          </w:tcPr>
          <w:p w14:paraId="49E88198">
            <w:pPr>
              <w:widowControl/>
              <w:snapToGrid w:val="0"/>
              <w:spacing w:after="160"/>
              <w:jc w:val="center"/>
              <w:textAlignment w:val="center"/>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30</w:t>
            </w:r>
          </w:p>
        </w:tc>
        <w:tc>
          <w:tcPr>
            <w:tcW w:w="971" w:type="dxa"/>
            <w:shd w:val="clear" w:color="auto" w:fill="auto"/>
            <w:tcMar>
              <w:top w:w="45" w:type="dxa"/>
              <w:left w:w="98" w:type="dxa"/>
              <w:bottom w:w="45" w:type="dxa"/>
              <w:right w:w="98" w:type="dxa"/>
            </w:tcMar>
            <w:vAlign w:val="center"/>
          </w:tcPr>
          <w:p w14:paraId="22C3AE60">
            <w:pPr>
              <w:widowControl/>
              <w:snapToGrid w:val="0"/>
              <w:spacing w:after="160"/>
              <w:jc w:val="center"/>
              <w:textAlignment w:val="bottom"/>
              <w:rPr>
                <w:rFonts w:ascii="宋体" w:hAnsi="宋体" w:cs="宋体"/>
                <w:color w:val="000000"/>
                <w:sz w:val="22"/>
                <w:szCs w:val="20"/>
                <w14:ligatures w14:val="standardContextual"/>
              </w:rPr>
            </w:pPr>
            <w:r>
              <w:rPr>
                <w:rFonts w:hint="eastAsia" w:ascii="宋体" w:hAnsi="宋体" w:cs="宋体"/>
                <w:color w:val="000000"/>
                <w:kern w:val="0"/>
                <w:sz w:val="22"/>
                <w:szCs w:val="20"/>
                <w:lang w:bidi="ar"/>
                <w14:ligatures w14:val="standardContextual"/>
              </w:rPr>
              <w:t>88.24%</w:t>
            </w:r>
          </w:p>
        </w:tc>
      </w:tr>
    </w:tbl>
    <w:p w14:paraId="61E540D3">
      <w:pPr>
        <w:widowControl/>
        <w:spacing w:line="400" w:lineRule="exact"/>
        <w:ind w:firstLine="422" w:firstLineChars="200"/>
        <w:outlineLvl w:val="4"/>
        <w:rPr>
          <w:rFonts w:ascii="宋体" w:hAnsi="宋体"/>
          <w:b/>
          <w:bCs/>
          <w:szCs w:val="21"/>
        </w:rPr>
      </w:pPr>
      <w:r>
        <w:rPr>
          <w:rFonts w:ascii="宋体" w:hAnsi="宋体"/>
          <w:b/>
          <w:bCs/>
          <w:szCs w:val="21"/>
        </w:rPr>
        <w:t xml:space="preserve">3.2 争议条目分析 </w:t>
      </w:r>
    </w:p>
    <w:p w14:paraId="7773FDA0">
      <w:pPr>
        <w:widowControl/>
        <w:spacing w:line="400" w:lineRule="exact"/>
        <w:ind w:firstLine="420" w:firstLineChars="200"/>
        <w:rPr>
          <w:rFonts w:ascii="宋体" w:hAnsi="宋体"/>
          <w:szCs w:val="21"/>
        </w:rPr>
      </w:pPr>
      <w:r>
        <w:rPr>
          <w:rFonts w:ascii="宋体" w:hAnsi="宋体"/>
          <w:szCs w:val="21"/>
        </w:rPr>
        <w:t>根据“1.2统计结果处理方案”，仍有</w:t>
      </w:r>
      <w:r>
        <w:rPr>
          <w:rFonts w:hint="eastAsia" w:ascii="宋体" w:hAnsi="宋体"/>
          <w:szCs w:val="21"/>
        </w:rPr>
        <w:t>4</w:t>
      </w:r>
      <w:r>
        <w:rPr>
          <w:rFonts w:ascii="宋体" w:hAnsi="宋体"/>
          <w:szCs w:val="21"/>
        </w:rPr>
        <w:t>条条目无超过50%的选项，分别为：</w:t>
      </w:r>
      <w:r>
        <w:rPr>
          <w:rFonts w:hint="eastAsia" w:ascii="宋体" w:hAnsi="宋体"/>
          <w:szCs w:val="21"/>
        </w:rPr>
        <w:t>“平刺”的命名与定义、实按灸法操作步骤、艾灸术后护理和弹法操作（弹叩针柄法），</w:t>
      </w:r>
      <w:r>
        <w:rPr>
          <w:rFonts w:ascii="宋体" w:hAnsi="宋体"/>
          <w:szCs w:val="21"/>
        </w:rPr>
        <w:t>争议条目主题及最高选项汇总如下：</w:t>
      </w:r>
    </w:p>
    <w:p w14:paraId="4BCBE1C4">
      <w:pPr>
        <w:widowControl/>
        <w:spacing w:line="400" w:lineRule="exact"/>
        <w:ind w:firstLine="422" w:firstLineChars="200"/>
        <w:outlineLvl w:val="5"/>
        <w:rPr>
          <w:rFonts w:ascii="宋体" w:hAnsi="宋体"/>
          <w:b/>
          <w:bCs/>
          <w:szCs w:val="21"/>
        </w:rPr>
      </w:pPr>
      <w:r>
        <w:rPr>
          <w:rFonts w:hint="eastAsia" w:ascii="宋体" w:hAnsi="宋体"/>
          <w:b/>
          <w:bCs/>
          <w:szCs w:val="21"/>
        </w:rPr>
        <w:t>（1）</w:t>
      </w:r>
      <w:r>
        <w:rPr>
          <w:rFonts w:ascii="宋体" w:hAnsi="宋体"/>
          <w:b/>
          <w:bCs/>
          <w:szCs w:val="21"/>
        </w:rPr>
        <w:t>平刺的命名与定义</w:t>
      </w:r>
    </w:p>
    <w:p w14:paraId="6AD30444">
      <w:pPr>
        <w:widowControl/>
        <w:spacing w:line="400" w:lineRule="exact"/>
        <w:ind w:firstLine="420" w:firstLineChars="200"/>
        <w:rPr>
          <w:rFonts w:ascii="宋体" w:hAnsi="宋体"/>
          <w:szCs w:val="21"/>
        </w:rPr>
      </w:pPr>
      <w:r>
        <w:rPr>
          <w:rFonts w:ascii="宋体" w:hAnsi="宋体"/>
          <w:szCs w:val="21"/>
        </w:rPr>
        <w:t>国家标准原文：平刺  针身与皮肤表面呈15°左右或沿皮肤表面以更小的角度刺入。适用于皮薄肉少处的腧穴，如头部、胸骨部的腧穴。</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6"/>
        <w:gridCol w:w="860"/>
        <w:gridCol w:w="696"/>
      </w:tblGrid>
      <w:tr w14:paraId="0BCF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6966" w:type="dxa"/>
            <w:tcBorders>
              <w:insideH w:val="single" w:sz="4" w:space="0"/>
            </w:tcBorders>
          </w:tcPr>
          <w:p w14:paraId="1E1371C9">
            <w:pPr>
              <w:widowControl/>
              <w:spacing w:line="400" w:lineRule="exact"/>
              <w:rPr>
                <w:rFonts w:ascii="宋体" w:hAnsi="宋体"/>
                <w:szCs w:val="21"/>
              </w:rPr>
            </w:pPr>
            <w:r>
              <w:rPr>
                <w:rFonts w:ascii="宋体" w:hAnsi="宋体"/>
                <w:szCs w:val="21"/>
              </w:rPr>
              <w:t>选项</w:t>
            </w:r>
          </w:p>
        </w:tc>
        <w:tc>
          <w:tcPr>
            <w:tcW w:w="860" w:type="dxa"/>
            <w:tcBorders>
              <w:insideH w:val="single" w:sz="4" w:space="0"/>
            </w:tcBorders>
          </w:tcPr>
          <w:p w14:paraId="638C95E7">
            <w:pPr>
              <w:widowControl/>
              <w:spacing w:line="400" w:lineRule="exact"/>
              <w:rPr>
                <w:rFonts w:ascii="宋体" w:hAnsi="宋体"/>
                <w:szCs w:val="21"/>
              </w:rPr>
            </w:pPr>
            <w:r>
              <w:rPr>
                <w:rFonts w:ascii="宋体" w:hAnsi="宋体"/>
                <w:szCs w:val="21"/>
              </w:rPr>
              <w:t>频数</w:t>
            </w:r>
          </w:p>
        </w:tc>
        <w:tc>
          <w:tcPr>
            <w:tcW w:w="696" w:type="dxa"/>
            <w:tcBorders>
              <w:insideH w:val="single" w:sz="4" w:space="0"/>
            </w:tcBorders>
          </w:tcPr>
          <w:p w14:paraId="62819C5B">
            <w:pPr>
              <w:widowControl/>
              <w:spacing w:line="400" w:lineRule="exact"/>
              <w:rPr>
                <w:rFonts w:ascii="宋体" w:hAnsi="宋体"/>
                <w:szCs w:val="21"/>
              </w:rPr>
            </w:pPr>
            <w:r>
              <w:rPr>
                <w:rFonts w:ascii="宋体" w:hAnsi="宋体"/>
                <w:szCs w:val="21"/>
              </w:rPr>
              <w:t>比例</w:t>
            </w:r>
          </w:p>
        </w:tc>
      </w:tr>
      <w:tr w14:paraId="72CC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66" w:type="dxa"/>
          </w:tcPr>
          <w:p w14:paraId="4D06C2A7">
            <w:pPr>
              <w:widowControl/>
              <w:spacing w:line="400" w:lineRule="exact"/>
              <w:rPr>
                <w:rFonts w:ascii="宋体" w:hAnsi="宋体"/>
                <w:szCs w:val="21"/>
              </w:rPr>
            </w:pPr>
            <w:r>
              <w:rPr>
                <w:rFonts w:ascii="宋体" w:hAnsi="宋体"/>
                <w:szCs w:val="21"/>
              </w:rPr>
              <w:t>A.横刺法  针体与皮肤呈15°角左右，横向刺入皮肤。横刺法适用于头面部，胸背及肌肉浅薄处。</w:t>
            </w:r>
          </w:p>
        </w:tc>
        <w:tc>
          <w:tcPr>
            <w:tcW w:w="860" w:type="dxa"/>
          </w:tcPr>
          <w:p w14:paraId="7D07F4C0">
            <w:pPr>
              <w:widowControl/>
              <w:spacing w:line="400" w:lineRule="exact"/>
              <w:rPr>
                <w:rFonts w:ascii="宋体" w:hAnsi="宋体"/>
                <w:szCs w:val="21"/>
              </w:rPr>
            </w:pPr>
            <w:r>
              <w:rPr>
                <w:rFonts w:hint="eastAsia" w:ascii="宋体" w:hAnsi="宋体"/>
                <w:szCs w:val="21"/>
              </w:rPr>
              <w:t>17</w:t>
            </w:r>
          </w:p>
        </w:tc>
        <w:tc>
          <w:tcPr>
            <w:tcW w:w="696" w:type="dxa"/>
          </w:tcPr>
          <w:p w14:paraId="1884BBED">
            <w:pPr>
              <w:widowControl/>
              <w:spacing w:line="400" w:lineRule="exact"/>
              <w:rPr>
                <w:rFonts w:ascii="宋体" w:hAnsi="宋体"/>
                <w:szCs w:val="21"/>
              </w:rPr>
            </w:pPr>
            <w:r>
              <w:rPr>
                <w:rFonts w:hint="eastAsia" w:ascii="宋体" w:hAnsi="宋体"/>
                <w:szCs w:val="21"/>
              </w:rPr>
              <w:t>50%</w:t>
            </w:r>
          </w:p>
        </w:tc>
      </w:tr>
      <w:tr w14:paraId="4807B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66" w:type="dxa"/>
          </w:tcPr>
          <w:p w14:paraId="0140A5EA">
            <w:pPr>
              <w:widowControl/>
              <w:spacing w:line="400" w:lineRule="exact"/>
              <w:rPr>
                <w:rFonts w:ascii="宋体" w:hAnsi="宋体"/>
                <w:szCs w:val="21"/>
              </w:rPr>
            </w:pPr>
            <w:r>
              <w:rPr>
                <w:rFonts w:ascii="宋体" w:hAnsi="宋体"/>
                <w:szCs w:val="21"/>
              </w:rPr>
              <w:t>B.沿用国家标准原文。</w:t>
            </w:r>
          </w:p>
        </w:tc>
        <w:tc>
          <w:tcPr>
            <w:tcW w:w="860" w:type="dxa"/>
          </w:tcPr>
          <w:p w14:paraId="436DF1FD">
            <w:pPr>
              <w:widowControl/>
              <w:spacing w:line="400" w:lineRule="exact"/>
              <w:rPr>
                <w:rFonts w:ascii="宋体" w:hAnsi="宋体"/>
                <w:szCs w:val="21"/>
              </w:rPr>
            </w:pPr>
            <w:r>
              <w:rPr>
                <w:rFonts w:ascii="宋体" w:hAnsi="宋体"/>
                <w:szCs w:val="21"/>
              </w:rPr>
              <w:t>17</w:t>
            </w:r>
          </w:p>
        </w:tc>
        <w:tc>
          <w:tcPr>
            <w:tcW w:w="696" w:type="dxa"/>
          </w:tcPr>
          <w:p w14:paraId="665A8429">
            <w:pPr>
              <w:widowControl/>
              <w:spacing w:line="400" w:lineRule="exact"/>
              <w:rPr>
                <w:rFonts w:ascii="宋体" w:hAnsi="宋体"/>
                <w:szCs w:val="21"/>
              </w:rPr>
            </w:pPr>
            <w:r>
              <w:rPr>
                <w:rFonts w:hint="eastAsia" w:ascii="宋体" w:hAnsi="宋体"/>
                <w:szCs w:val="21"/>
              </w:rPr>
              <w:t>50%</w:t>
            </w:r>
          </w:p>
        </w:tc>
      </w:tr>
    </w:tbl>
    <w:p w14:paraId="68C42EFC">
      <w:pPr>
        <w:widowControl/>
        <w:spacing w:line="400" w:lineRule="exact"/>
        <w:ind w:firstLine="420" w:firstLineChars="200"/>
        <w:rPr>
          <w:rFonts w:ascii="宋体" w:hAnsi="宋体"/>
          <w:szCs w:val="21"/>
        </w:rPr>
      </w:pPr>
      <w:r>
        <w:rPr>
          <w:rFonts w:ascii="宋体" w:hAnsi="宋体"/>
          <w:szCs w:val="21"/>
        </w:rPr>
        <w:t>专家文字建议：</w:t>
      </w:r>
    </w:p>
    <w:p w14:paraId="31A19D43">
      <w:pPr>
        <w:widowControl/>
        <w:spacing w:line="400" w:lineRule="exact"/>
        <w:ind w:firstLine="420" w:firstLineChars="200"/>
        <w:rPr>
          <w:rFonts w:ascii="宋体" w:hAnsi="宋体"/>
          <w:szCs w:val="21"/>
        </w:rPr>
      </w:pPr>
      <w:r>
        <w:rPr>
          <w:rFonts w:hint="eastAsia" w:ascii="宋体" w:hAnsi="宋体"/>
          <w:szCs w:val="21"/>
        </w:rPr>
        <w:t>1）</w:t>
      </w:r>
      <w:r>
        <w:rPr>
          <w:rFonts w:ascii="宋体" w:hAnsi="宋体"/>
          <w:szCs w:val="21"/>
        </w:rPr>
        <w:t>“平刺”与“横刺”的名称，再参考其他相关标准确定。</w:t>
      </w:r>
      <w:r>
        <w:rPr>
          <w:rFonts w:hint="eastAsia" w:ascii="宋体" w:hAnsi="宋体"/>
          <w:szCs w:val="21"/>
        </w:rPr>
        <w:t>（汪受传）</w:t>
      </w:r>
    </w:p>
    <w:p w14:paraId="0FA7232F">
      <w:pPr>
        <w:widowControl/>
        <w:spacing w:line="400" w:lineRule="exact"/>
        <w:ind w:firstLine="420" w:firstLineChars="200"/>
        <w:rPr>
          <w:rFonts w:ascii="宋体" w:hAnsi="宋体"/>
          <w:szCs w:val="21"/>
        </w:rPr>
      </w:pPr>
      <w:r>
        <w:rPr>
          <w:rFonts w:hint="eastAsia" w:ascii="宋体" w:hAnsi="宋体"/>
          <w:szCs w:val="21"/>
        </w:rPr>
        <w:t>2）</w:t>
      </w:r>
      <w:r>
        <w:rPr>
          <w:rFonts w:ascii="宋体" w:hAnsi="宋体"/>
          <w:szCs w:val="21"/>
        </w:rPr>
        <w:t>术语“横刺法”更通用，与《GB/T 21709.20-2009》一致。</w:t>
      </w:r>
      <w:r>
        <w:rPr>
          <w:rFonts w:hint="eastAsia" w:ascii="宋体" w:hAnsi="宋体"/>
          <w:szCs w:val="21"/>
        </w:rPr>
        <w:t>（王孟清）</w:t>
      </w:r>
    </w:p>
    <w:p w14:paraId="1EC22A2B">
      <w:pPr>
        <w:widowControl/>
        <w:spacing w:line="400" w:lineRule="exact"/>
        <w:ind w:firstLine="420" w:firstLineChars="200"/>
        <w:rPr>
          <w:rFonts w:ascii="宋体" w:hAnsi="宋体"/>
          <w:szCs w:val="21"/>
        </w:rPr>
      </w:pPr>
      <w:r>
        <w:rPr>
          <w:rFonts w:hint="eastAsia" w:ascii="宋体" w:hAnsi="宋体"/>
          <w:szCs w:val="21"/>
        </w:rPr>
        <w:t>3）</w:t>
      </w:r>
      <w:r>
        <w:rPr>
          <w:rFonts w:ascii="宋体" w:hAnsi="宋体"/>
          <w:szCs w:val="21"/>
        </w:rPr>
        <w:t>平刺  针身与皮肤表面呈15°角左右或沿皮肤表面以更小的角度刺入。适用于皮薄肉少处的腧穴，如头部、胸骨部的腧穴。B项更确切，但加入A项的“角”字。</w:t>
      </w:r>
      <w:r>
        <w:rPr>
          <w:rFonts w:hint="eastAsia" w:ascii="宋体" w:hAnsi="宋体"/>
          <w:szCs w:val="21"/>
        </w:rPr>
        <w:t>（乔木林）</w:t>
      </w:r>
    </w:p>
    <w:p w14:paraId="7DD113C3">
      <w:pPr>
        <w:widowControl/>
        <w:spacing w:line="400" w:lineRule="exact"/>
        <w:ind w:firstLine="422" w:firstLineChars="200"/>
        <w:outlineLvl w:val="5"/>
        <w:rPr>
          <w:rFonts w:ascii="宋体" w:hAnsi="宋体"/>
          <w:b/>
          <w:bCs/>
          <w:szCs w:val="21"/>
        </w:rPr>
      </w:pPr>
      <w:r>
        <w:rPr>
          <w:rFonts w:hint="eastAsia" w:ascii="宋体" w:hAnsi="宋体"/>
          <w:b/>
          <w:bCs/>
          <w:szCs w:val="21"/>
        </w:rPr>
        <w:t>（2）实按灸法操作步骤</w:t>
      </w:r>
    </w:p>
    <w:p w14:paraId="567241E4">
      <w:pPr>
        <w:widowControl/>
        <w:spacing w:line="400" w:lineRule="exact"/>
        <w:ind w:firstLine="420" w:firstLineChars="200"/>
        <w:rPr>
          <w:rFonts w:ascii="宋体" w:hAnsi="宋体"/>
          <w:szCs w:val="21"/>
        </w:rPr>
      </w:pPr>
      <w:r>
        <w:rPr>
          <w:rFonts w:hint="eastAsia" w:ascii="宋体" w:hAnsi="宋体"/>
          <w:szCs w:val="21"/>
        </w:rPr>
        <w:t>国家标准原文：选定施灸部位，用特制的药艾条点燃一端，在穴位上覆盖5～10层棉布，将艾火隔着棉布紧按在穴位上，停留1 s～2 s即提起，提起后稍停再按，艾火熄灭可重新点燃。如此反复。每穴按灸5～7次，患儿皮肤出现温热和红晕现象为度。</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6"/>
        <w:gridCol w:w="860"/>
        <w:gridCol w:w="846"/>
      </w:tblGrid>
      <w:tr w14:paraId="61A85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6966" w:type="dxa"/>
            <w:tcBorders>
              <w:insideH w:val="single" w:sz="4" w:space="0"/>
            </w:tcBorders>
          </w:tcPr>
          <w:p w14:paraId="5C8B26B1">
            <w:pPr>
              <w:widowControl/>
              <w:spacing w:line="400" w:lineRule="exact"/>
              <w:rPr>
                <w:rFonts w:ascii="宋体" w:hAnsi="宋体"/>
                <w:szCs w:val="21"/>
              </w:rPr>
            </w:pPr>
            <w:r>
              <w:rPr>
                <w:rFonts w:hint="eastAsia" w:ascii="宋体" w:hAnsi="宋体"/>
                <w:szCs w:val="21"/>
              </w:rPr>
              <w:t>选项</w:t>
            </w:r>
          </w:p>
        </w:tc>
        <w:tc>
          <w:tcPr>
            <w:tcW w:w="860" w:type="dxa"/>
            <w:tcBorders>
              <w:insideH w:val="single" w:sz="4" w:space="0"/>
            </w:tcBorders>
          </w:tcPr>
          <w:p w14:paraId="67B2D2B6">
            <w:pPr>
              <w:widowControl/>
              <w:spacing w:line="400" w:lineRule="exact"/>
              <w:rPr>
                <w:rFonts w:ascii="宋体" w:hAnsi="宋体"/>
                <w:szCs w:val="21"/>
              </w:rPr>
            </w:pPr>
            <w:r>
              <w:rPr>
                <w:rFonts w:hint="eastAsia" w:ascii="宋体" w:hAnsi="宋体"/>
                <w:szCs w:val="21"/>
              </w:rPr>
              <w:t>频数</w:t>
            </w:r>
          </w:p>
        </w:tc>
        <w:tc>
          <w:tcPr>
            <w:tcW w:w="696" w:type="dxa"/>
            <w:tcBorders>
              <w:insideH w:val="single" w:sz="4" w:space="0"/>
            </w:tcBorders>
          </w:tcPr>
          <w:p w14:paraId="5F8FC8F8">
            <w:pPr>
              <w:widowControl/>
              <w:spacing w:line="400" w:lineRule="exact"/>
              <w:rPr>
                <w:rFonts w:ascii="宋体" w:hAnsi="宋体"/>
                <w:szCs w:val="21"/>
              </w:rPr>
            </w:pPr>
            <w:r>
              <w:rPr>
                <w:rFonts w:hint="eastAsia" w:ascii="宋体" w:hAnsi="宋体"/>
                <w:szCs w:val="21"/>
              </w:rPr>
              <w:t>比例</w:t>
            </w:r>
          </w:p>
        </w:tc>
      </w:tr>
      <w:tr w14:paraId="0A26B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66" w:type="dxa"/>
          </w:tcPr>
          <w:p w14:paraId="69D6A92C">
            <w:pPr>
              <w:widowControl/>
              <w:spacing w:line="400" w:lineRule="exact"/>
              <w:rPr>
                <w:rFonts w:ascii="宋体" w:hAnsi="宋体"/>
                <w:szCs w:val="21"/>
              </w:rPr>
            </w:pPr>
            <w:r>
              <w:rPr>
                <w:rFonts w:hint="eastAsia" w:ascii="宋体" w:hAnsi="宋体"/>
                <w:szCs w:val="21"/>
              </w:rPr>
              <w:t>A.在施灸部位上铺设6层～8层绵纸、纱布、绸布或棉布；术者手持艾条，将艾条的一端点燃，艾条燃着端对准施灸部位直按其上，停1s～2s，使热力透达深部。待病人感到按灸局部灼烫、疼痛即拿开艾条。每次每穴可按3次～7次，移去艾条和铺设的纸或布，见皮肤红晕为度。</w:t>
            </w:r>
          </w:p>
        </w:tc>
        <w:tc>
          <w:tcPr>
            <w:tcW w:w="860" w:type="dxa"/>
            <w:shd w:val="clear" w:color="auto" w:fill="auto"/>
            <w:vAlign w:val="center"/>
          </w:tcPr>
          <w:p w14:paraId="6FB3B9D6">
            <w:pPr>
              <w:widowControl/>
              <w:spacing w:line="400" w:lineRule="exact"/>
              <w:jc w:val="center"/>
              <w:rPr>
                <w:rFonts w:ascii="宋体" w:hAnsi="宋体"/>
                <w:szCs w:val="21"/>
              </w:rPr>
            </w:pPr>
            <w:r>
              <w:rPr>
                <w:rFonts w:hint="eastAsia" w:ascii="宋体" w:hAnsi="宋体"/>
                <w:szCs w:val="21"/>
              </w:rPr>
              <w:t>11</w:t>
            </w:r>
          </w:p>
        </w:tc>
        <w:tc>
          <w:tcPr>
            <w:tcW w:w="696" w:type="dxa"/>
            <w:shd w:val="clear" w:color="auto" w:fill="auto"/>
            <w:vAlign w:val="center"/>
          </w:tcPr>
          <w:p w14:paraId="68132EC5">
            <w:pPr>
              <w:widowControl/>
              <w:spacing w:line="400" w:lineRule="exact"/>
              <w:jc w:val="center"/>
              <w:rPr>
                <w:rFonts w:ascii="宋体" w:hAnsi="宋体"/>
                <w:szCs w:val="21"/>
              </w:rPr>
            </w:pPr>
            <w:r>
              <w:rPr>
                <w:rFonts w:ascii="宋体" w:hAnsi="宋体"/>
                <w:szCs w:val="21"/>
              </w:rPr>
              <w:t>32.35%</w:t>
            </w:r>
          </w:p>
        </w:tc>
      </w:tr>
      <w:tr w14:paraId="1CFE4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66" w:type="dxa"/>
          </w:tcPr>
          <w:p w14:paraId="27E7EEA9">
            <w:pPr>
              <w:widowControl/>
              <w:spacing w:line="400" w:lineRule="exact"/>
              <w:rPr>
                <w:rFonts w:ascii="宋体" w:hAnsi="宋体"/>
                <w:szCs w:val="21"/>
              </w:rPr>
            </w:pPr>
            <w:r>
              <w:rPr>
                <w:rFonts w:hint="eastAsia" w:ascii="宋体" w:hAnsi="宋体"/>
                <w:szCs w:val="21"/>
              </w:rPr>
              <w:t>B.在施灸部位上铺设6层～8层棉纸、纱布、绸布或棉布。施术者以执笔状手持艾条，将艾条的一端点燃，艾条燃着端对准施灸部位直按其上，停2s～4s，使药气热力透达深部；或受术者感到按灸局部灼烫、疼痛即提起艾条，待灼烫感或疼痛减轻后再行按压。若操作中艾火熄灭，可取预先点燃的备用艾条迅速接替施灸，如此反复。每次每穴可按3次～7次，或以移去铺设物后见施灸部位皮肤红晕为度。每日或隔日1次。</w:t>
            </w:r>
          </w:p>
        </w:tc>
        <w:tc>
          <w:tcPr>
            <w:tcW w:w="860" w:type="dxa"/>
            <w:shd w:val="clear" w:color="auto" w:fill="auto"/>
            <w:vAlign w:val="center"/>
          </w:tcPr>
          <w:p w14:paraId="1B72FE0B">
            <w:pPr>
              <w:widowControl/>
              <w:spacing w:line="400" w:lineRule="exact"/>
              <w:jc w:val="center"/>
              <w:rPr>
                <w:rFonts w:ascii="宋体" w:hAnsi="宋体"/>
                <w:szCs w:val="21"/>
              </w:rPr>
            </w:pPr>
            <w:r>
              <w:rPr>
                <w:rFonts w:hint="eastAsia" w:ascii="宋体" w:hAnsi="宋体"/>
                <w:szCs w:val="21"/>
              </w:rPr>
              <w:t>6</w:t>
            </w:r>
          </w:p>
        </w:tc>
        <w:tc>
          <w:tcPr>
            <w:tcW w:w="696" w:type="dxa"/>
            <w:shd w:val="clear" w:color="auto" w:fill="auto"/>
            <w:vAlign w:val="center"/>
          </w:tcPr>
          <w:p w14:paraId="507E3D7A">
            <w:pPr>
              <w:widowControl/>
              <w:spacing w:line="400" w:lineRule="exact"/>
              <w:jc w:val="center"/>
              <w:rPr>
                <w:rFonts w:ascii="宋体" w:hAnsi="宋体"/>
                <w:szCs w:val="21"/>
              </w:rPr>
            </w:pPr>
            <w:r>
              <w:rPr>
                <w:rFonts w:ascii="宋体" w:hAnsi="宋体"/>
                <w:szCs w:val="21"/>
              </w:rPr>
              <w:t>17.65%</w:t>
            </w:r>
          </w:p>
        </w:tc>
      </w:tr>
      <w:tr w14:paraId="788C0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66" w:type="dxa"/>
          </w:tcPr>
          <w:p w14:paraId="510411B9">
            <w:pPr>
              <w:widowControl/>
              <w:spacing w:line="400" w:lineRule="exact"/>
              <w:rPr>
                <w:rFonts w:ascii="宋体" w:hAnsi="宋体"/>
                <w:szCs w:val="21"/>
              </w:rPr>
            </w:pPr>
            <w:r>
              <w:rPr>
                <w:rFonts w:hint="eastAsia" w:ascii="宋体" w:hAnsi="宋体"/>
                <w:szCs w:val="21"/>
              </w:rPr>
              <w:t>C.沿用国家标准原文。</w:t>
            </w:r>
          </w:p>
        </w:tc>
        <w:tc>
          <w:tcPr>
            <w:tcW w:w="860" w:type="dxa"/>
            <w:shd w:val="clear" w:color="auto" w:fill="auto"/>
            <w:vAlign w:val="center"/>
          </w:tcPr>
          <w:p w14:paraId="419864B5">
            <w:pPr>
              <w:widowControl/>
              <w:spacing w:line="400" w:lineRule="exact"/>
              <w:jc w:val="center"/>
              <w:rPr>
                <w:rFonts w:ascii="宋体" w:hAnsi="宋体"/>
                <w:szCs w:val="21"/>
              </w:rPr>
            </w:pPr>
            <w:r>
              <w:rPr>
                <w:rFonts w:hint="eastAsia" w:ascii="宋体" w:hAnsi="宋体"/>
                <w:szCs w:val="21"/>
              </w:rPr>
              <w:t>10</w:t>
            </w:r>
          </w:p>
        </w:tc>
        <w:tc>
          <w:tcPr>
            <w:tcW w:w="696" w:type="dxa"/>
            <w:shd w:val="clear" w:color="auto" w:fill="auto"/>
            <w:vAlign w:val="center"/>
          </w:tcPr>
          <w:p w14:paraId="307A74EA">
            <w:pPr>
              <w:widowControl/>
              <w:spacing w:line="400" w:lineRule="exact"/>
              <w:jc w:val="center"/>
              <w:rPr>
                <w:rFonts w:ascii="宋体" w:hAnsi="宋体"/>
                <w:szCs w:val="21"/>
              </w:rPr>
            </w:pPr>
            <w:r>
              <w:rPr>
                <w:rFonts w:ascii="宋体" w:hAnsi="宋体"/>
                <w:szCs w:val="21"/>
              </w:rPr>
              <w:t>29.41%</w:t>
            </w:r>
          </w:p>
        </w:tc>
      </w:tr>
      <w:tr w14:paraId="01362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66" w:type="dxa"/>
          </w:tcPr>
          <w:p w14:paraId="3A93820C">
            <w:pPr>
              <w:widowControl/>
              <w:spacing w:line="400" w:lineRule="exact"/>
              <w:rPr>
                <w:rFonts w:ascii="宋体" w:hAnsi="宋体"/>
                <w:szCs w:val="21"/>
              </w:rPr>
            </w:pPr>
            <w:r>
              <w:rPr>
                <w:rFonts w:hint="eastAsia" w:ascii="宋体" w:hAnsi="宋体"/>
                <w:szCs w:val="21"/>
              </w:rPr>
              <w:t>D.综合以上内容。</w:t>
            </w:r>
          </w:p>
        </w:tc>
        <w:tc>
          <w:tcPr>
            <w:tcW w:w="860" w:type="dxa"/>
            <w:shd w:val="clear" w:color="auto" w:fill="auto"/>
            <w:vAlign w:val="center"/>
          </w:tcPr>
          <w:p w14:paraId="59BE6FBA">
            <w:pPr>
              <w:widowControl/>
              <w:spacing w:line="400" w:lineRule="exact"/>
              <w:jc w:val="center"/>
              <w:rPr>
                <w:rFonts w:ascii="宋体" w:hAnsi="宋体"/>
                <w:szCs w:val="21"/>
              </w:rPr>
            </w:pPr>
            <w:r>
              <w:rPr>
                <w:rFonts w:hint="eastAsia" w:ascii="宋体" w:hAnsi="宋体"/>
                <w:szCs w:val="21"/>
              </w:rPr>
              <w:t>7</w:t>
            </w:r>
          </w:p>
        </w:tc>
        <w:tc>
          <w:tcPr>
            <w:tcW w:w="696" w:type="dxa"/>
            <w:shd w:val="clear" w:color="auto" w:fill="auto"/>
            <w:vAlign w:val="center"/>
          </w:tcPr>
          <w:p w14:paraId="43096C82">
            <w:pPr>
              <w:widowControl/>
              <w:spacing w:line="400" w:lineRule="exact"/>
              <w:jc w:val="center"/>
              <w:rPr>
                <w:rFonts w:ascii="宋体" w:hAnsi="宋体"/>
                <w:szCs w:val="21"/>
              </w:rPr>
            </w:pPr>
            <w:r>
              <w:rPr>
                <w:rFonts w:ascii="宋体" w:hAnsi="宋体"/>
                <w:szCs w:val="21"/>
              </w:rPr>
              <w:t>20.59%</w:t>
            </w:r>
          </w:p>
        </w:tc>
      </w:tr>
    </w:tbl>
    <w:p w14:paraId="180DB1A6">
      <w:pPr>
        <w:widowControl/>
        <w:spacing w:line="400" w:lineRule="exact"/>
        <w:ind w:firstLine="420" w:firstLineChars="200"/>
        <w:rPr>
          <w:rFonts w:ascii="宋体" w:hAnsi="宋体"/>
          <w:szCs w:val="21"/>
        </w:rPr>
      </w:pPr>
      <w:r>
        <w:rPr>
          <w:rFonts w:hint="eastAsia" w:ascii="宋体" w:hAnsi="宋体"/>
          <w:szCs w:val="21"/>
        </w:rPr>
        <w:t>专家文字建议：</w:t>
      </w:r>
    </w:p>
    <w:p w14:paraId="333542B4">
      <w:pPr>
        <w:widowControl/>
        <w:spacing w:line="400" w:lineRule="exact"/>
        <w:ind w:firstLine="420" w:firstLineChars="200"/>
        <w:rPr>
          <w:rFonts w:ascii="宋体" w:hAnsi="宋体"/>
          <w:szCs w:val="21"/>
        </w:rPr>
      </w:pPr>
      <w:r>
        <w:rPr>
          <w:rFonts w:hint="eastAsia" w:ascii="宋体" w:hAnsi="宋体"/>
          <w:szCs w:val="21"/>
        </w:rPr>
        <w:t>1）5～10层棉纸…停1～2s。（刘英）</w:t>
      </w:r>
    </w:p>
    <w:p w14:paraId="26575A6F">
      <w:pPr>
        <w:widowControl/>
        <w:spacing w:line="400" w:lineRule="exact"/>
        <w:ind w:firstLine="420" w:firstLineChars="200"/>
        <w:rPr>
          <w:rFonts w:ascii="宋体" w:hAnsi="宋体"/>
          <w:szCs w:val="21"/>
        </w:rPr>
      </w:pPr>
      <w:r>
        <w:rPr>
          <w:rFonts w:hint="eastAsia" w:ascii="宋体" w:hAnsi="宋体"/>
          <w:szCs w:val="21"/>
        </w:rPr>
        <w:t>2）是否要几层纱布？能否加必要时或者不加数量 ，纱布多，影响传热效果。（崔霞）</w:t>
      </w:r>
    </w:p>
    <w:p w14:paraId="04E62A4D">
      <w:pPr>
        <w:widowControl/>
        <w:spacing w:line="400" w:lineRule="exact"/>
        <w:ind w:firstLine="420" w:firstLineChars="200"/>
        <w:rPr>
          <w:rFonts w:ascii="宋体" w:hAnsi="宋体"/>
          <w:szCs w:val="21"/>
        </w:rPr>
      </w:pPr>
      <w:r>
        <w:rPr>
          <w:rFonts w:hint="eastAsia" w:ascii="宋体" w:hAnsi="宋体"/>
          <w:szCs w:val="21"/>
        </w:rPr>
        <w:t>3）“病人”改为“患儿”。（汪受传）</w:t>
      </w:r>
    </w:p>
    <w:p w14:paraId="2DDFBAF7">
      <w:pPr>
        <w:widowControl/>
        <w:spacing w:line="400" w:lineRule="exact"/>
        <w:ind w:firstLine="420" w:firstLineChars="200"/>
        <w:rPr>
          <w:rFonts w:ascii="宋体" w:hAnsi="宋体"/>
          <w:szCs w:val="21"/>
        </w:rPr>
      </w:pPr>
      <w:r>
        <w:rPr>
          <w:rFonts w:hint="eastAsia" w:ascii="宋体" w:hAnsi="宋体"/>
          <w:szCs w:val="21"/>
        </w:rPr>
        <w:t>4）</w:t>
      </w:r>
      <w:r>
        <w:rPr>
          <w:rFonts w:ascii="宋体" w:hAnsi="宋体"/>
          <w:szCs w:val="21"/>
        </w:rPr>
        <w:t>融合A、B优点，明确铺设物材质、按灸时间与次数，更安全、规范。</w:t>
      </w:r>
      <w:r>
        <w:rPr>
          <w:rFonts w:hint="eastAsia" w:ascii="宋体" w:hAnsi="宋体"/>
          <w:szCs w:val="21"/>
        </w:rPr>
        <w:t>（王孟清）</w:t>
      </w:r>
    </w:p>
    <w:p w14:paraId="041CA090">
      <w:pPr>
        <w:widowControl/>
        <w:spacing w:line="400" w:lineRule="exact"/>
        <w:ind w:firstLine="420" w:firstLineChars="200"/>
        <w:rPr>
          <w:rFonts w:ascii="宋体" w:hAnsi="宋体"/>
          <w:szCs w:val="21"/>
        </w:rPr>
      </w:pPr>
      <w:r>
        <w:rPr>
          <w:rFonts w:hint="eastAsia" w:ascii="宋体" w:hAnsi="宋体"/>
          <w:szCs w:val="21"/>
        </w:rPr>
        <w:t>5）</w:t>
      </w:r>
      <w:r>
        <w:rPr>
          <w:rFonts w:ascii="宋体" w:hAnsi="宋体"/>
          <w:szCs w:val="21"/>
        </w:rPr>
        <w:t>C项为主。综合A项。选定施灸部位，用特制的药艾条点燃一端，在穴位上覆盖5～10层棉布或纱布，将艾火隔着棉布紧按在穴位上，停留1 s～2 s即提起，使热力透达深部，提起后稍停再按，艾火熄灭可重新点燃。如此反复。每次每穴可按3次～7次，移去艾条和铺设的布，患儿皮肤出现温热和红晕现象为度。</w:t>
      </w:r>
      <w:r>
        <w:rPr>
          <w:rFonts w:hint="eastAsia" w:ascii="宋体" w:hAnsi="宋体"/>
          <w:szCs w:val="21"/>
        </w:rPr>
        <w:t>（乔木林）</w:t>
      </w:r>
    </w:p>
    <w:p w14:paraId="2D8AC719">
      <w:pPr>
        <w:widowControl/>
        <w:spacing w:line="400" w:lineRule="exact"/>
        <w:ind w:firstLine="422" w:firstLineChars="200"/>
        <w:outlineLvl w:val="5"/>
        <w:rPr>
          <w:rFonts w:ascii="宋体" w:hAnsi="宋体"/>
          <w:b/>
          <w:bCs/>
          <w:szCs w:val="21"/>
        </w:rPr>
      </w:pPr>
      <w:r>
        <w:rPr>
          <w:rFonts w:hint="eastAsia" w:ascii="宋体" w:hAnsi="宋体"/>
          <w:b/>
          <w:bCs/>
          <w:szCs w:val="21"/>
        </w:rPr>
        <w:t>（3）艾灸术后护理</w:t>
      </w:r>
    </w:p>
    <w:p w14:paraId="682E2D03">
      <w:pPr>
        <w:widowControl/>
        <w:spacing w:line="400" w:lineRule="exact"/>
        <w:ind w:firstLine="420" w:firstLineChars="200"/>
        <w:rPr>
          <w:rFonts w:ascii="宋体" w:hAnsi="宋体"/>
          <w:szCs w:val="21"/>
        </w:rPr>
      </w:pPr>
      <w:r>
        <w:rPr>
          <w:rFonts w:hint="eastAsia" w:ascii="宋体" w:hAnsi="宋体"/>
          <w:szCs w:val="21"/>
        </w:rPr>
        <w:t>国家标准原文：施灸后，皮肤多有红晕灼热感，不需处理，可自行消失。若施灸部位局部发生水肿或水泡，水泡直径小于1 cm时，避免擦破，可任其自然吸收；如水泡直径在1 cm以上且泡液较多时，可用消毒毫针刺破水泡，放出泡液，或用一次性注射器抽出水液，消毒后用无菌纱布包裹；若不慎导致灸疮，严重者应以消炎药膏或玉红膏涂覆，或请外科医师协助处理。</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6"/>
        <w:gridCol w:w="860"/>
        <w:gridCol w:w="696"/>
      </w:tblGrid>
      <w:tr w14:paraId="557AB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6966" w:type="dxa"/>
            <w:tcBorders>
              <w:insideH w:val="single" w:sz="4" w:space="0"/>
            </w:tcBorders>
          </w:tcPr>
          <w:p w14:paraId="11794DD7">
            <w:pPr>
              <w:widowControl/>
              <w:spacing w:line="400" w:lineRule="exact"/>
              <w:rPr>
                <w:rFonts w:ascii="宋体" w:hAnsi="宋体"/>
                <w:szCs w:val="21"/>
              </w:rPr>
            </w:pPr>
            <w:r>
              <w:rPr>
                <w:rFonts w:hint="eastAsia" w:ascii="宋体" w:hAnsi="宋体"/>
                <w:szCs w:val="21"/>
              </w:rPr>
              <w:t>选项</w:t>
            </w:r>
          </w:p>
        </w:tc>
        <w:tc>
          <w:tcPr>
            <w:tcW w:w="860" w:type="dxa"/>
            <w:tcBorders>
              <w:insideH w:val="single" w:sz="4" w:space="0"/>
            </w:tcBorders>
          </w:tcPr>
          <w:p w14:paraId="123078A1">
            <w:pPr>
              <w:widowControl/>
              <w:spacing w:line="400" w:lineRule="exact"/>
              <w:rPr>
                <w:rFonts w:ascii="宋体" w:hAnsi="宋体"/>
                <w:szCs w:val="21"/>
              </w:rPr>
            </w:pPr>
            <w:r>
              <w:rPr>
                <w:rFonts w:hint="eastAsia" w:ascii="宋体" w:hAnsi="宋体"/>
                <w:szCs w:val="21"/>
              </w:rPr>
              <w:t>频数</w:t>
            </w:r>
          </w:p>
        </w:tc>
        <w:tc>
          <w:tcPr>
            <w:tcW w:w="696" w:type="dxa"/>
            <w:tcBorders>
              <w:insideH w:val="single" w:sz="4" w:space="0"/>
            </w:tcBorders>
          </w:tcPr>
          <w:p w14:paraId="24C518E9">
            <w:pPr>
              <w:widowControl/>
              <w:spacing w:line="400" w:lineRule="exact"/>
              <w:rPr>
                <w:rFonts w:ascii="宋体" w:hAnsi="宋体"/>
                <w:szCs w:val="21"/>
              </w:rPr>
            </w:pPr>
            <w:r>
              <w:rPr>
                <w:rFonts w:hint="eastAsia" w:ascii="宋体" w:hAnsi="宋体"/>
                <w:szCs w:val="21"/>
              </w:rPr>
              <w:t>比例</w:t>
            </w:r>
          </w:p>
        </w:tc>
      </w:tr>
      <w:tr w14:paraId="405E0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66" w:type="dxa"/>
          </w:tcPr>
          <w:p w14:paraId="1409EC52">
            <w:pPr>
              <w:widowControl/>
              <w:spacing w:line="400" w:lineRule="exact"/>
              <w:rPr>
                <w:rFonts w:ascii="宋体" w:hAnsi="宋体"/>
                <w:szCs w:val="21"/>
              </w:rPr>
            </w:pPr>
            <w:r>
              <w:rPr>
                <w:rFonts w:hint="eastAsia" w:ascii="宋体" w:hAnsi="宋体"/>
                <w:szCs w:val="21"/>
              </w:rPr>
              <w:t>A.施灸后，皮肤多有红晕灼热感，不需处理，可自行消失。 灸后如对表皮基底层以上的皮肤组织造成灼伤可发生水肿或水泡。如水泡直径在１cm左右，一般不需任何处理，待其自行吸收即可；如水泡较大，可用消毒针剪刺破或剪开泡皮放出水泡内容物，并剪去泡皮，暴露被破坏的基底层，涂搽消炎膏药以防止感染，创面的无菌脓液不必清理，直至结痂自愈。灸泡皮肤可以在5d～8d内结痂并自动脱落，愈后一般不留瘢痕。 灸后有时会破坏皮肤基底层或真皮组织，发生水肿、溃烂、体液渗出，甚至形成无菌性化脓。轻者仅破坏皮肤基底层，受损伤的皮肤在7d～20d内结痂并自动脱落，留有永久性浅在瘢痕；重者真皮组织 被破坏，创面在20d～50d结厚痂自动脱落，愈后留有永久性瘢痕，即古代医著所记载的灸疮。在灸疮化脓期间，不宜从事体力劳动，要注意休息，严防感染。若感染发生，轻度发红或红肿，可在局部作消炎处理，一般短时间内可消失；如出现红肿热痛且范围较大，在上述处理的同时口服或外用消炎药物；化脓 部位较深，则应请外科医生协助处理。</w:t>
            </w:r>
          </w:p>
        </w:tc>
        <w:tc>
          <w:tcPr>
            <w:tcW w:w="860" w:type="dxa"/>
          </w:tcPr>
          <w:p w14:paraId="1739D8C8">
            <w:pPr>
              <w:widowControl/>
              <w:spacing w:line="400" w:lineRule="exact"/>
              <w:rPr>
                <w:rFonts w:ascii="宋体" w:hAnsi="宋体"/>
                <w:szCs w:val="21"/>
              </w:rPr>
            </w:pPr>
            <w:r>
              <w:rPr>
                <w:rFonts w:hint="eastAsia" w:ascii="宋体" w:hAnsi="宋体"/>
                <w:szCs w:val="21"/>
              </w:rPr>
              <w:t>17</w:t>
            </w:r>
          </w:p>
        </w:tc>
        <w:tc>
          <w:tcPr>
            <w:tcW w:w="696" w:type="dxa"/>
          </w:tcPr>
          <w:p w14:paraId="2C522ADF">
            <w:pPr>
              <w:widowControl/>
              <w:spacing w:line="400" w:lineRule="exact"/>
              <w:rPr>
                <w:rFonts w:ascii="宋体" w:hAnsi="宋体"/>
                <w:szCs w:val="21"/>
              </w:rPr>
            </w:pPr>
            <w:r>
              <w:rPr>
                <w:rFonts w:hint="eastAsia" w:ascii="宋体" w:hAnsi="宋体"/>
                <w:szCs w:val="21"/>
              </w:rPr>
              <w:t>50%</w:t>
            </w:r>
          </w:p>
        </w:tc>
      </w:tr>
      <w:tr w14:paraId="77FA8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66" w:type="dxa"/>
          </w:tcPr>
          <w:p w14:paraId="38C1346E">
            <w:pPr>
              <w:widowControl/>
              <w:spacing w:line="400" w:lineRule="exact"/>
              <w:rPr>
                <w:rFonts w:ascii="宋体" w:hAnsi="宋体"/>
                <w:szCs w:val="21"/>
              </w:rPr>
            </w:pPr>
            <w:r>
              <w:rPr>
                <w:rFonts w:hint="eastAsia" w:ascii="宋体" w:hAnsi="宋体"/>
                <w:szCs w:val="21"/>
              </w:rPr>
              <w:t>B.沿用国家标准原文。</w:t>
            </w:r>
          </w:p>
        </w:tc>
        <w:tc>
          <w:tcPr>
            <w:tcW w:w="860" w:type="dxa"/>
          </w:tcPr>
          <w:p w14:paraId="37EF628A">
            <w:pPr>
              <w:widowControl/>
              <w:spacing w:line="400" w:lineRule="exact"/>
              <w:rPr>
                <w:rFonts w:ascii="宋体" w:hAnsi="宋体"/>
                <w:szCs w:val="21"/>
              </w:rPr>
            </w:pPr>
            <w:r>
              <w:rPr>
                <w:rFonts w:ascii="宋体" w:hAnsi="宋体"/>
                <w:szCs w:val="21"/>
              </w:rPr>
              <w:t>17</w:t>
            </w:r>
          </w:p>
        </w:tc>
        <w:tc>
          <w:tcPr>
            <w:tcW w:w="696" w:type="dxa"/>
          </w:tcPr>
          <w:p w14:paraId="7D8202B9">
            <w:pPr>
              <w:widowControl/>
              <w:spacing w:line="400" w:lineRule="exact"/>
              <w:rPr>
                <w:rFonts w:ascii="宋体" w:hAnsi="宋体"/>
                <w:szCs w:val="21"/>
              </w:rPr>
            </w:pPr>
            <w:r>
              <w:rPr>
                <w:rFonts w:hint="eastAsia" w:ascii="宋体" w:hAnsi="宋体"/>
                <w:szCs w:val="21"/>
              </w:rPr>
              <w:t>50%</w:t>
            </w:r>
          </w:p>
        </w:tc>
      </w:tr>
    </w:tbl>
    <w:p w14:paraId="3816B780">
      <w:pPr>
        <w:widowControl/>
        <w:spacing w:line="400" w:lineRule="exact"/>
        <w:ind w:firstLine="420" w:firstLineChars="200"/>
        <w:rPr>
          <w:rFonts w:ascii="宋体" w:hAnsi="宋体"/>
          <w:szCs w:val="21"/>
        </w:rPr>
      </w:pPr>
      <w:r>
        <w:rPr>
          <w:rFonts w:ascii="宋体" w:hAnsi="宋体"/>
          <w:szCs w:val="21"/>
        </w:rPr>
        <w:t>专家文字建议：</w:t>
      </w:r>
    </w:p>
    <w:p w14:paraId="224E8900">
      <w:pPr>
        <w:widowControl/>
        <w:spacing w:line="400" w:lineRule="exact"/>
        <w:ind w:firstLine="420" w:firstLineChars="200"/>
        <w:rPr>
          <w:rFonts w:ascii="宋体" w:hAnsi="宋体"/>
          <w:szCs w:val="21"/>
        </w:rPr>
      </w:pPr>
      <w:r>
        <w:rPr>
          <w:rFonts w:ascii="宋体" w:hAnsi="宋体"/>
          <w:szCs w:val="21"/>
        </w:rPr>
        <w:t>1）建议儿童尽量用温和灸，避免任何皮肤损伤；严重烫伤建议直接由西医外科处理。（陈晓燕）</w:t>
      </w:r>
    </w:p>
    <w:p w14:paraId="546526CE">
      <w:pPr>
        <w:widowControl/>
        <w:spacing w:line="400" w:lineRule="exact"/>
        <w:ind w:firstLine="420" w:firstLineChars="200"/>
        <w:rPr>
          <w:rFonts w:ascii="宋体" w:hAnsi="宋体"/>
          <w:szCs w:val="21"/>
        </w:rPr>
      </w:pPr>
      <w:r>
        <w:rPr>
          <w:rFonts w:ascii="宋体" w:hAnsi="宋体"/>
          <w:szCs w:val="21"/>
        </w:rPr>
        <w:t>2）文字太过复杂，需精简。（陈仁寿）</w:t>
      </w:r>
    </w:p>
    <w:p w14:paraId="0ACE412F">
      <w:pPr>
        <w:widowControl/>
        <w:spacing w:line="400" w:lineRule="exact"/>
        <w:ind w:firstLine="420" w:firstLineChars="200"/>
        <w:rPr>
          <w:rFonts w:ascii="宋体" w:hAnsi="宋体"/>
          <w:szCs w:val="21"/>
        </w:rPr>
      </w:pPr>
      <w:r>
        <w:rPr>
          <w:rFonts w:ascii="宋体" w:hAnsi="宋体"/>
          <w:szCs w:val="21"/>
        </w:rPr>
        <w:t>3）对于小儿，“不宜从事体力劳动”建议改为“不宜从事剧烈体育活动”。（崔霞）</w:t>
      </w:r>
    </w:p>
    <w:p w14:paraId="6E5CB76E">
      <w:pPr>
        <w:widowControl/>
        <w:spacing w:line="400" w:lineRule="exact"/>
        <w:ind w:firstLine="420" w:firstLineChars="200"/>
        <w:rPr>
          <w:rFonts w:ascii="宋体" w:hAnsi="宋体"/>
          <w:szCs w:val="21"/>
        </w:rPr>
      </w:pPr>
      <w:r>
        <w:rPr>
          <w:rFonts w:ascii="宋体" w:hAnsi="宋体"/>
          <w:szCs w:val="21"/>
        </w:rPr>
        <w:t>4）水泡直径在1 cm以上且泡液较多时，建议请外科医生协助处理。（戎萍）</w:t>
      </w:r>
    </w:p>
    <w:p w14:paraId="5341A2DD">
      <w:pPr>
        <w:widowControl/>
        <w:spacing w:line="400" w:lineRule="exact"/>
        <w:ind w:firstLine="420" w:firstLineChars="200"/>
        <w:rPr>
          <w:rFonts w:ascii="宋体" w:hAnsi="宋体"/>
          <w:color w:val="FF0000"/>
          <w:szCs w:val="21"/>
        </w:rPr>
      </w:pPr>
      <w:r>
        <w:rPr>
          <w:rFonts w:ascii="宋体" w:hAnsi="宋体"/>
          <w:szCs w:val="21"/>
        </w:rPr>
        <w:t>5）应综合B与A项内容，明确“在灸后如对表皮基底层以上的皮肤组织造成灼伤”一句，并注意国际安全标准（如澳洲要求不能造成烧灼伤或灸疮）。（乔木林）</w:t>
      </w:r>
    </w:p>
    <w:p w14:paraId="44B3FB37">
      <w:pPr>
        <w:widowControl/>
        <w:spacing w:line="400" w:lineRule="exact"/>
        <w:ind w:firstLine="422" w:firstLineChars="200"/>
        <w:outlineLvl w:val="5"/>
        <w:rPr>
          <w:rFonts w:ascii="宋体" w:hAnsi="宋体"/>
          <w:b/>
          <w:bCs/>
          <w:szCs w:val="21"/>
        </w:rPr>
      </w:pPr>
      <w:r>
        <w:rPr>
          <w:rFonts w:hint="eastAsia" w:ascii="宋体" w:hAnsi="宋体"/>
          <w:b/>
          <w:bCs/>
          <w:szCs w:val="21"/>
        </w:rPr>
        <w:t>（4）</w:t>
      </w:r>
      <w:r>
        <w:rPr>
          <w:rFonts w:ascii="宋体" w:hAnsi="宋体"/>
          <w:b/>
          <w:bCs/>
          <w:szCs w:val="21"/>
        </w:rPr>
        <w:t>弹法操作（弹叩针柄法）</w:t>
      </w:r>
    </w:p>
    <w:p w14:paraId="1CBC17F4">
      <w:pPr>
        <w:widowControl/>
        <w:spacing w:line="400" w:lineRule="exact"/>
        <w:ind w:firstLine="420" w:firstLineChars="200"/>
        <w:rPr>
          <w:rFonts w:ascii="宋体" w:hAnsi="宋体"/>
          <w:szCs w:val="21"/>
        </w:rPr>
      </w:pPr>
      <w:r>
        <w:rPr>
          <w:rFonts w:ascii="宋体" w:hAnsi="宋体"/>
          <w:szCs w:val="21"/>
        </w:rPr>
        <w:t>国家标准原文：医师拇指与示指相交，对准刺入穴内的针柄尾部轻轻弹叩，使针体发生微微震颤，也可用示指一指对准针柄弹震，使针体振动。</w:t>
      </w:r>
    </w:p>
    <w:p w14:paraId="13FCDD49">
      <w:pPr>
        <w:widowControl/>
        <w:spacing w:line="400" w:lineRule="exact"/>
        <w:ind w:firstLine="420" w:firstLineChars="200"/>
        <w:rPr>
          <w:rFonts w:ascii="宋体" w:hAnsi="宋体"/>
          <w:szCs w:val="21"/>
        </w:rPr>
      </w:pPr>
      <w:r>
        <w:rPr>
          <w:rFonts w:ascii="宋体" w:hAnsi="宋体"/>
          <w:szCs w:val="21"/>
        </w:rPr>
        <w:t>技术要点：弹不可过猛，以免引起弯针、滞针。弹不可过频，以免产生相反作用，反使经气速去。弹法应在留针期轻轻弹叩，一般7～10次。</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6"/>
        <w:gridCol w:w="860"/>
        <w:gridCol w:w="696"/>
      </w:tblGrid>
      <w:tr w14:paraId="6E3B2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966" w:type="dxa"/>
            <w:tcBorders>
              <w:insideH w:val="single" w:sz="4" w:space="0"/>
            </w:tcBorders>
          </w:tcPr>
          <w:p w14:paraId="5E0AEC73">
            <w:pPr>
              <w:widowControl/>
              <w:spacing w:line="400" w:lineRule="exact"/>
              <w:rPr>
                <w:rFonts w:ascii="宋体" w:hAnsi="宋体"/>
                <w:szCs w:val="21"/>
              </w:rPr>
            </w:pPr>
            <w:r>
              <w:rPr>
                <w:rFonts w:ascii="宋体" w:hAnsi="宋体"/>
                <w:szCs w:val="21"/>
              </w:rPr>
              <w:t>选项</w:t>
            </w:r>
          </w:p>
        </w:tc>
        <w:tc>
          <w:tcPr>
            <w:tcW w:w="860" w:type="dxa"/>
            <w:tcBorders>
              <w:insideH w:val="single" w:sz="4" w:space="0"/>
            </w:tcBorders>
          </w:tcPr>
          <w:p w14:paraId="16BE20FA">
            <w:pPr>
              <w:widowControl/>
              <w:spacing w:line="400" w:lineRule="exact"/>
              <w:rPr>
                <w:rFonts w:ascii="宋体" w:hAnsi="宋体"/>
                <w:szCs w:val="21"/>
              </w:rPr>
            </w:pPr>
            <w:r>
              <w:rPr>
                <w:rFonts w:ascii="宋体" w:hAnsi="宋体"/>
                <w:szCs w:val="21"/>
              </w:rPr>
              <w:t>频数</w:t>
            </w:r>
          </w:p>
        </w:tc>
        <w:tc>
          <w:tcPr>
            <w:tcW w:w="696" w:type="dxa"/>
            <w:tcBorders>
              <w:insideH w:val="single" w:sz="4" w:space="0"/>
            </w:tcBorders>
          </w:tcPr>
          <w:p w14:paraId="03B548CB">
            <w:pPr>
              <w:widowControl/>
              <w:spacing w:line="400" w:lineRule="exact"/>
              <w:rPr>
                <w:rFonts w:ascii="宋体" w:hAnsi="宋体"/>
                <w:szCs w:val="21"/>
              </w:rPr>
            </w:pPr>
            <w:r>
              <w:rPr>
                <w:rFonts w:ascii="宋体" w:hAnsi="宋体"/>
                <w:szCs w:val="21"/>
              </w:rPr>
              <w:t>比例</w:t>
            </w:r>
          </w:p>
        </w:tc>
      </w:tr>
      <w:tr w14:paraId="7930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66" w:type="dxa"/>
          </w:tcPr>
          <w:p w14:paraId="364F8FE7">
            <w:pPr>
              <w:widowControl/>
              <w:spacing w:line="400" w:lineRule="exact"/>
              <w:rPr>
                <w:rFonts w:ascii="宋体" w:hAnsi="宋体"/>
                <w:szCs w:val="21"/>
              </w:rPr>
            </w:pPr>
            <w:r>
              <w:rPr>
                <w:rFonts w:ascii="宋体" w:hAnsi="宋体"/>
                <w:szCs w:val="21"/>
              </w:rPr>
              <w:t>A.弹法 用指甲弹击针柄的方法。以拇指、</w:t>
            </w:r>
            <w:r>
              <w:rPr>
                <w:rFonts w:hint="eastAsia"/>
                <w:color w:val="000000" w:themeColor="text1"/>
                <w:lang w:val="en-US" w:eastAsia="zh-CN"/>
                <w14:textFill>
                  <w14:solidFill>
                    <w14:schemeClr w14:val="tx1"/>
                  </w14:solidFill>
                </w14:textFill>
              </w:rPr>
              <w:t>示</w:t>
            </w:r>
            <w:r>
              <w:rPr>
                <w:rFonts w:ascii="宋体" w:hAnsi="宋体"/>
                <w:szCs w:val="21"/>
              </w:rPr>
              <w:t>指交互或拇指、中指交互，以拇指指肚扣住</w:t>
            </w:r>
            <w:r>
              <w:rPr>
                <w:rFonts w:hint="eastAsia"/>
                <w:color w:val="000000" w:themeColor="text1"/>
                <w:lang w:val="en-US" w:eastAsia="zh-CN"/>
                <w14:textFill>
                  <w14:solidFill>
                    <w14:schemeClr w14:val="tx1"/>
                  </w14:solidFill>
                </w14:textFill>
              </w:rPr>
              <w:t>示</w:t>
            </w:r>
            <w:r>
              <w:rPr>
                <w:rFonts w:ascii="宋体" w:hAnsi="宋体"/>
                <w:szCs w:val="21"/>
              </w:rPr>
              <w:t>指或中指指端，用</w:t>
            </w:r>
            <w:r>
              <w:rPr>
                <w:rFonts w:hint="eastAsia"/>
                <w:color w:val="000000" w:themeColor="text1"/>
                <w:lang w:val="en-US" w:eastAsia="zh-CN"/>
                <w14:textFill>
                  <w14:solidFill>
                    <w14:schemeClr w14:val="tx1"/>
                  </w14:solidFill>
                </w14:textFill>
              </w:rPr>
              <w:t>示</w:t>
            </w:r>
            <w:r>
              <w:rPr>
                <w:rFonts w:ascii="宋体" w:hAnsi="宋体"/>
                <w:szCs w:val="21"/>
              </w:rPr>
              <w:t>指甲或中指甲弹击针柄。在进针时亦可用同法由针尾向针身弹击进针。</w:t>
            </w:r>
          </w:p>
        </w:tc>
        <w:tc>
          <w:tcPr>
            <w:tcW w:w="860" w:type="dxa"/>
          </w:tcPr>
          <w:p w14:paraId="5F8348B8">
            <w:pPr>
              <w:widowControl/>
              <w:spacing w:line="400" w:lineRule="exact"/>
              <w:rPr>
                <w:rFonts w:ascii="宋体" w:hAnsi="宋体"/>
                <w:szCs w:val="21"/>
              </w:rPr>
            </w:pPr>
            <w:r>
              <w:rPr>
                <w:rFonts w:ascii="宋体" w:hAnsi="宋体"/>
                <w:szCs w:val="21"/>
              </w:rPr>
              <w:t>17</w:t>
            </w:r>
          </w:p>
        </w:tc>
        <w:tc>
          <w:tcPr>
            <w:tcW w:w="696" w:type="dxa"/>
          </w:tcPr>
          <w:p w14:paraId="61803007">
            <w:pPr>
              <w:widowControl/>
              <w:spacing w:line="400" w:lineRule="exact"/>
              <w:rPr>
                <w:rFonts w:ascii="宋体" w:hAnsi="宋体"/>
                <w:szCs w:val="21"/>
              </w:rPr>
            </w:pPr>
            <w:r>
              <w:rPr>
                <w:rFonts w:ascii="宋体" w:hAnsi="宋体"/>
                <w:szCs w:val="21"/>
              </w:rPr>
              <w:t>50%</w:t>
            </w:r>
          </w:p>
        </w:tc>
      </w:tr>
      <w:tr w14:paraId="162A6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66" w:type="dxa"/>
          </w:tcPr>
          <w:p w14:paraId="169CB6A7">
            <w:pPr>
              <w:widowControl/>
              <w:spacing w:line="400" w:lineRule="exact"/>
              <w:rPr>
                <w:rFonts w:ascii="宋体" w:hAnsi="宋体"/>
                <w:szCs w:val="21"/>
              </w:rPr>
            </w:pPr>
            <w:r>
              <w:rPr>
                <w:rFonts w:ascii="宋体" w:hAnsi="宋体"/>
                <w:szCs w:val="21"/>
              </w:rPr>
              <w:t>B.沿用国家标准原文。</w:t>
            </w:r>
          </w:p>
        </w:tc>
        <w:tc>
          <w:tcPr>
            <w:tcW w:w="860" w:type="dxa"/>
          </w:tcPr>
          <w:p w14:paraId="6EFD1494">
            <w:pPr>
              <w:widowControl/>
              <w:spacing w:line="400" w:lineRule="exact"/>
              <w:rPr>
                <w:rFonts w:ascii="宋体" w:hAnsi="宋体"/>
                <w:szCs w:val="21"/>
              </w:rPr>
            </w:pPr>
            <w:r>
              <w:rPr>
                <w:rFonts w:ascii="宋体" w:hAnsi="宋体"/>
                <w:szCs w:val="21"/>
              </w:rPr>
              <w:t>17</w:t>
            </w:r>
          </w:p>
        </w:tc>
        <w:tc>
          <w:tcPr>
            <w:tcW w:w="696" w:type="dxa"/>
          </w:tcPr>
          <w:p w14:paraId="1A0F5D45">
            <w:pPr>
              <w:widowControl/>
              <w:spacing w:line="400" w:lineRule="exact"/>
              <w:rPr>
                <w:rFonts w:ascii="宋体" w:hAnsi="宋体"/>
                <w:szCs w:val="21"/>
              </w:rPr>
            </w:pPr>
            <w:r>
              <w:rPr>
                <w:rFonts w:ascii="宋体" w:hAnsi="宋体"/>
                <w:szCs w:val="21"/>
              </w:rPr>
              <w:t>50%</w:t>
            </w:r>
          </w:p>
        </w:tc>
      </w:tr>
    </w:tbl>
    <w:p w14:paraId="5FA990A0">
      <w:pPr>
        <w:widowControl/>
        <w:spacing w:line="400" w:lineRule="exact"/>
        <w:ind w:firstLine="420" w:firstLineChars="200"/>
        <w:rPr>
          <w:rFonts w:ascii="宋体" w:hAnsi="宋体"/>
          <w:szCs w:val="21"/>
        </w:rPr>
      </w:pPr>
      <w:r>
        <w:rPr>
          <w:rFonts w:ascii="宋体" w:hAnsi="宋体"/>
          <w:szCs w:val="21"/>
        </w:rPr>
        <w:t>专家文字建议：</w:t>
      </w:r>
    </w:p>
    <w:p w14:paraId="34512FAF">
      <w:pPr>
        <w:widowControl/>
        <w:spacing w:line="400" w:lineRule="exact"/>
        <w:ind w:firstLine="420" w:firstLineChars="200"/>
        <w:rPr>
          <w:rFonts w:ascii="宋体" w:hAnsi="宋体"/>
          <w:szCs w:val="21"/>
        </w:rPr>
      </w:pPr>
      <w:r>
        <w:rPr>
          <w:rFonts w:hint="eastAsia" w:ascii="宋体" w:hAnsi="宋体"/>
          <w:szCs w:val="21"/>
        </w:rPr>
        <w:t>1）对于小于10岁的儿童，可以不用弹法。（陈晓燕）</w:t>
      </w:r>
    </w:p>
    <w:p w14:paraId="2A3C6729">
      <w:pPr>
        <w:widowControl/>
        <w:spacing w:line="400" w:lineRule="exact"/>
        <w:ind w:firstLine="420" w:firstLineChars="200"/>
        <w:rPr>
          <w:rFonts w:ascii="宋体" w:hAnsi="宋体"/>
          <w:szCs w:val="21"/>
        </w:rPr>
      </w:pPr>
      <w:r>
        <w:rPr>
          <w:rFonts w:hint="eastAsia" w:ascii="宋体" w:hAnsi="宋体"/>
          <w:szCs w:val="21"/>
        </w:rPr>
        <w:t>2）“食指”改为“示指”。（王孟清）</w:t>
      </w:r>
    </w:p>
    <w:p w14:paraId="00897935">
      <w:pPr>
        <w:widowControl/>
        <w:spacing w:line="400" w:lineRule="exact"/>
        <w:ind w:firstLine="420" w:firstLineChars="200"/>
        <w:rPr>
          <w:rFonts w:ascii="宋体" w:hAnsi="宋体"/>
          <w:szCs w:val="21"/>
        </w:rPr>
      </w:pPr>
      <w:r>
        <w:rPr>
          <w:rFonts w:hint="eastAsia" w:ascii="宋体" w:hAnsi="宋体"/>
          <w:szCs w:val="21"/>
        </w:rPr>
        <w:t>3）明确“用指甲弹击针柄”，描述更精准。（王明明）</w:t>
      </w:r>
    </w:p>
    <w:p w14:paraId="56DE8B6B">
      <w:pPr>
        <w:widowControl/>
        <w:spacing w:line="400" w:lineRule="exact"/>
        <w:ind w:firstLine="420" w:firstLineChars="200"/>
        <w:rPr>
          <w:rFonts w:ascii="宋体" w:hAnsi="宋体"/>
          <w:szCs w:val="21"/>
        </w:rPr>
      </w:pPr>
      <w:r>
        <w:rPr>
          <w:rFonts w:hint="eastAsia" w:ascii="宋体" w:hAnsi="宋体"/>
          <w:szCs w:val="21"/>
        </w:rPr>
        <w:t>4）B项表述较具体。文中改用“食指”。（乔木林）</w:t>
      </w:r>
    </w:p>
    <w:p w14:paraId="11F60043">
      <w:pPr>
        <w:widowControl/>
        <w:spacing w:line="400" w:lineRule="exact"/>
        <w:ind w:firstLine="420" w:firstLineChars="200"/>
        <w:rPr>
          <w:rFonts w:ascii="宋体" w:hAnsi="宋体"/>
          <w:szCs w:val="21"/>
        </w:rPr>
      </w:pPr>
      <w:r>
        <w:rPr>
          <w:rFonts w:hint="eastAsia" w:ascii="宋体" w:hAnsi="宋体"/>
          <w:szCs w:val="21"/>
        </w:rPr>
        <w:t>5）选A，因为指甲弹击可以产生良好震动（马丙祥）</w:t>
      </w:r>
    </w:p>
    <w:p w14:paraId="74849F32">
      <w:pPr>
        <w:widowControl/>
        <w:spacing w:line="400" w:lineRule="exact"/>
        <w:ind w:firstLine="422" w:firstLineChars="200"/>
        <w:outlineLvl w:val="2"/>
        <w:rPr>
          <w:rFonts w:ascii="宋体" w:hAnsi="宋体"/>
          <w:b/>
          <w:bCs/>
          <w:szCs w:val="21"/>
        </w:rPr>
      </w:pPr>
      <w:r>
        <w:rPr>
          <w:rFonts w:hint="eastAsia" w:ascii="宋体" w:hAnsi="宋体"/>
          <w:b/>
          <w:bCs/>
          <w:szCs w:val="21"/>
        </w:rPr>
        <w:t>四、讨论</w:t>
      </w:r>
    </w:p>
    <w:p w14:paraId="0AFAC47E">
      <w:pPr>
        <w:widowControl/>
        <w:spacing w:line="400" w:lineRule="exact"/>
        <w:ind w:firstLine="422" w:firstLineChars="200"/>
        <w:outlineLvl w:val="3"/>
        <w:rPr>
          <w:rFonts w:ascii="宋体" w:hAnsi="宋体"/>
          <w:b/>
          <w:bCs/>
          <w:szCs w:val="21"/>
        </w:rPr>
      </w:pPr>
      <w:r>
        <w:rPr>
          <w:rFonts w:hint="eastAsia" w:ascii="宋体" w:hAnsi="宋体"/>
          <w:b/>
          <w:bCs/>
          <w:szCs w:val="21"/>
        </w:rPr>
        <w:t>1.术语和操作定义的规范</w:t>
      </w:r>
    </w:p>
    <w:p w14:paraId="44861CD9">
      <w:pPr>
        <w:widowControl/>
        <w:spacing w:line="400" w:lineRule="exact"/>
        <w:ind w:firstLine="420" w:firstLineChars="200"/>
        <w:rPr>
          <w:rFonts w:ascii="宋体" w:hAnsi="宋体"/>
          <w:szCs w:val="21"/>
        </w:rPr>
      </w:pPr>
      <w:r>
        <w:rPr>
          <w:rFonts w:ascii="宋体" w:hAnsi="宋体"/>
          <w:szCs w:val="21"/>
        </w:rPr>
        <w:t>本次小儿针灸专家咨询中，针刺操作、灸法操作、器具选择及附录内容等多方面共计数十条条目达成高一致性意见，其中直接接受修改意见的条目和拟新增、修改/删除条款的支持率多在75%～100%之间（如“修改4.2.1进针方法”“修改4.1.5穴位”“附录A常用毫针规格”等均获100%支持）。这些高共识条目为现行国家标准的优化升级奠定了坚实基础，也为其向国际标准转化提供了关键依据，体现出突出的实践价值与国际适配意义。</w:t>
      </w:r>
    </w:p>
    <w:p w14:paraId="66CF775E">
      <w:pPr>
        <w:widowControl/>
        <w:spacing w:line="400" w:lineRule="exact"/>
        <w:ind w:firstLine="420" w:firstLineChars="200"/>
        <w:rPr>
          <w:rFonts w:ascii="宋体" w:hAnsi="宋体"/>
          <w:szCs w:val="21"/>
        </w:rPr>
      </w:pPr>
      <w:r>
        <w:rPr>
          <w:rFonts w:ascii="宋体" w:hAnsi="宋体"/>
          <w:szCs w:val="21"/>
        </w:rPr>
        <w:t>在术语与操作定义层面，得气、晕针、体位选择、各类进针方法（舒张进针法、提捏进针法、爪切进针法、管针进针法）、直刺、平刺、留针、出针步骤、针具选择，以及三棱针点刺法、刺络法、散刺法等核心概念均完成了系统梳理和优化。</w:t>
      </w:r>
    </w:p>
    <w:p w14:paraId="1FB38DE8">
      <w:pPr>
        <w:widowControl/>
        <w:spacing w:line="400" w:lineRule="exact"/>
        <w:ind w:firstLine="420" w:firstLineChars="200"/>
        <w:rPr>
          <w:rFonts w:ascii="宋体" w:hAnsi="宋体"/>
          <w:szCs w:val="21"/>
        </w:rPr>
      </w:pPr>
      <w:r>
        <w:rPr>
          <w:rFonts w:ascii="宋体" w:hAnsi="宋体"/>
          <w:szCs w:val="21"/>
        </w:rPr>
        <w:t>得气、晕针、留针、出针等关键术语多数沿用现行国家标准原文（如得气定义支持率88.24%、晕针定义沿用原文支持率61.76%、留针和出针定义沿用原文支持率均超过53%），保持了与现行国内规范的连续性和可追溯性，有利于与既有临床文献及教学体系无缝衔接。</w:t>
      </w:r>
    </w:p>
    <w:p w14:paraId="3C9BFD9F">
      <w:pPr>
        <w:widowControl/>
        <w:spacing w:line="400" w:lineRule="exact"/>
        <w:ind w:firstLine="420" w:firstLineChars="200"/>
        <w:rPr>
          <w:rFonts w:ascii="宋体" w:hAnsi="宋体"/>
          <w:szCs w:val="21"/>
        </w:rPr>
      </w:pPr>
      <w:r>
        <w:rPr>
          <w:rFonts w:ascii="宋体" w:hAnsi="宋体"/>
          <w:szCs w:val="21"/>
        </w:rPr>
        <w:t>舒张进针法、提捏进针法、爪切进针法（指切进针法改名）以及管针进针法等进针方式，在保持传统技术内涵的前提下，对操作要点和适应部位进行了简明、可操作的描述，例如：舒张进针法强调“用于皮肤较松软处进针”；提捏进针法强调“用于皮肉浅薄处进针”；管针进针法明确针管材质、长度以及进针弹击步骤。这些描述获得50%以上专家支持，其中管针进针法支持率达67.65%。通过对技术名称、适应部位、操作步骤的同步规范，使不同国家和地区的儿科针灸医师能够直观理解和复制操作，减少因术语含糊导致的误用和变异。</w:t>
      </w:r>
    </w:p>
    <w:p w14:paraId="6F8B9C69">
      <w:pPr>
        <w:widowControl/>
        <w:spacing w:line="400" w:lineRule="exact"/>
        <w:ind w:firstLine="420" w:firstLineChars="200"/>
        <w:rPr>
          <w:rFonts w:ascii="宋体" w:hAnsi="宋体"/>
          <w:szCs w:val="21"/>
        </w:rPr>
      </w:pPr>
      <w:r>
        <w:rPr>
          <w:rFonts w:ascii="宋体" w:hAnsi="宋体"/>
          <w:szCs w:val="21"/>
        </w:rPr>
        <w:t>整体来看，这一系列术语和操作定义的规范，一方面沿用国家标准中已被广泛接受的核心表述，确保了标准内部和历史演变的连续性；另一方面通过对进针角度、用力方式、适应部位及治疗频次的精细化描述，提升了描述的可量化程度，使小儿针灸技术更易被翻译、对照和国际化传播，为跨语言、跨文化的临床与科研合作减少理解偏差。</w:t>
      </w:r>
    </w:p>
    <w:p w14:paraId="51009272">
      <w:pPr>
        <w:widowControl/>
        <w:spacing w:line="400" w:lineRule="exact"/>
        <w:ind w:firstLine="422" w:firstLineChars="200"/>
        <w:outlineLvl w:val="3"/>
        <w:rPr>
          <w:rFonts w:ascii="宋体" w:hAnsi="宋体"/>
          <w:b/>
          <w:bCs/>
          <w:szCs w:val="21"/>
        </w:rPr>
      </w:pPr>
      <w:r>
        <w:rPr>
          <w:rFonts w:hint="eastAsia" w:ascii="宋体" w:hAnsi="宋体"/>
          <w:b/>
          <w:bCs/>
          <w:szCs w:val="21"/>
        </w:rPr>
        <w:t>2.</w:t>
      </w:r>
      <w:r>
        <w:rPr>
          <w:rFonts w:ascii="宋体" w:hAnsi="宋体"/>
          <w:b/>
          <w:bCs/>
          <w:szCs w:val="21"/>
        </w:rPr>
        <w:t>标准框架与结构条文的优化</w:t>
      </w:r>
    </w:p>
    <w:p w14:paraId="628AA23C">
      <w:pPr>
        <w:widowControl/>
        <w:spacing w:line="400" w:lineRule="exact"/>
        <w:ind w:firstLine="420" w:firstLineChars="200"/>
        <w:rPr>
          <w:rFonts w:ascii="宋体" w:hAnsi="宋体"/>
          <w:szCs w:val="21"/>
        </w:rPr>
      </w:pPr>
      <w:r>
        <w:rPr>
          <w:rFonts w:ascii="宋体" w:hAnsi="宋体"/>
          <w:szCs w:val="21"/>
        </w:rPr>
        <w:t>在标准框架和条文结构方面，“1 范围”“2 规范性引用文件”“4.1.5/6.1.5 穴位”“4.2.1 进针方法”“6.3 施术后处理”等条款的修改，以及增加“7.2.1.1 悬起灸法”相关内容、调整附录内容等方案均获得较高支持率（多在90%以上，部分条目支持率达100%）。</w:t>
      </w:r>
    </w:p>
    <w:p w14:paraId="3F09C3A0">
      <w:pPr>
        <w:widowControl/>
        <w:spacing w:line="400" w:lineRule="exact"/>
        <w:ind w:firstLine="420" w:firstLineChars="200"/>
        <w:rPr>
          <w:rFonts w:ascii="宋体" w:hAnsi="宋体"/>
          <w:szCs w:val="21"/>
        </w:rPr>
      </w:pPr>
      <w:r>
        <w:rPr>
          <w:rFonts w:ascii="宋体" w:hAnsi="宋体"/>
          <w:szCs w:val="21"/>
        </w:rPr>
        <w:t>对“范围”和“规范性引用文件”的修订获97%以上支持，表明专家普遍认同以更加明确的适用人群、适应证边界和参考文献体系，来强化标准的权威性与可溯源性。这与国际标准普遍强调的“完整性、证据性、可核查性”高度一致，为将来向ISO等国际组织申报相关标准创造了形式上的先决条件。</w:t>
      </w:r>
    </w:p>
    <w:p w14:paraId="1F91F8AE">
      <w:pPr>
        <w:widowControl/>
        <w:spacing w:line="400" w:lineRule="exact"/>
        <w:ind w:firstLine="420" w:firstLineChars="200"/>
        <w:rPr>
          <w:rFonts w:ascii="宋体" w:hAnsi="宋体"/>
          <w:szCs w:val="21"/>
        </w:rPr>
      </w:pPr>
      <w:r>
        <w:rPr>
          <w:rFonts w:ascii="宋体" w:hAnsi="宋体"/>
          <w:szCs w:val="21"/>
        </w:rPr>
        <w:t>对“4.1.5 穴位”和“6.1.5 穴位”的修改获得100%支持，通过统一小儿穴位命名、定位与适应证的描述逻辑，使针灸穴位在儿科应用中的规范性进一步提升，也为与WHO标准穴位命名体系等国际规范开展对接提供便利。</w:t>
      </w:r>
    </w:p>
    <w:p w14:paraId="0BDA6B75">
      <w:pPr>
        <w:widowControl/>
        <w:spacing w:line="400" w:lineRule="exact"/>
        <w:ind w:firstLine="420" w:firstLineChars="200"/>
        <w:rPr>
          <w:rFonts w:ascii="宋体" w:hAnsi="宋体"/>
          <w:szCs w:val="21"/>
        </w:rPr>
      </w:pPr>
      <w:r>
        <w:rPr>
          <w:rFonts w:ascii="宋体" w:hAnsi="宋体"/>
          <w:szCs w:val="21"/>
        </w:rPr>
        <w:t>对“6.3 施术后处理”的修改获高支持率，体现了专家对“全过程管理”的重视，将小儿针灸从单纯“操作规范”扩展为涵盖“术前评估—施术过程—术后处理”的完整闭环，这种闭环思维与现代医疗质量与安全管理模式保持高度一致，更符合国际医学界对儿童医疗的综合安全要求。</w:t>
      </w:r>
    </w:p>
    <w:p w14:paraId="11927F2F">
      <w:pPr>
        <w:widowControl/>
        <w:spacing w:line="400" w:lineRule="exact"/>
        <w:ind w:firstLine="422" w:firstLineChars="200"/>
        <w:outlineLvl w:val="3"/>
        <w:rPr>
          <w:rFonts w:ascii="宋体" w:hAnsi="宋体"/>
          <w:b/>
          <w:bCs/>
          <w:szCs w:val="21"/>
        </w:rPr>
      </w:pPr>
      <w:r>
        <w:rPr>
          <w:rFonts w:hint="eastAsia" w:ascii="宋体" w:hAnsi="宋体"/>
          <w:b/>
          <w:bCs/>
          <w:szCs w:val="21"/>
        </w:rPr>
        <w:t>3.</w:t>
      </w:r>
      <w:r>
        <w:rPr>
          <w:rFonts w:ascii="宋体" w:hAnsi="宋体"/>
          <w:b/>
          <w:bCs/>
          <w:szCs w:val="21"/>
        </w:rPr>
        <w:t>操作细节与安全规范的强化</w:t>
      </w:r>
    </w:p>
    <w:p w14:paraId="31F22788">
      <w:pPr>
        <w:widowControl/>
        <w:spacing w:line="400" w:lineRule="exact"/>
        <w:ind w:firstLine="420" w:firstLineChars="200"/>
        <w:rPr>
          <w:rFonts w:ascii="宋体" w:hAnsi="宋体"/>
          <w:szCs w:val="21"/>
        </w:rPr>
      </w:pPr>
      <w:r>
        <w:rPr>
          <w:rFonts w:ascii="宋体" w:hAnsi="宋体"/>
          <w:szCs w:val="21"/>
        </w:rPr>
        <w:t>本次共识特别强调了小儿针灸在安全性方面的特殊要求，多个条目针对小儿解剖特点和生理反应进行了细化。</w:t>
      </w:r>
    </w:p>
    <w:p w14:paraId="00436564">
      <w:pPr>
        <w:widowControl/>
        <w:spacing w:line="400" w:lineRule="exact"/>
        <w:ind w:firstLine="420" w:firstLineChars="200"/>
        <w:rPr>
          <w:rFonts w:ascii="宋体" w:hAnsi="宋体"/>
          <w:szCs w:val="21"/>
        </w:rPr>
      </w:pPr>
      <w:r>
        <w:rPr>
          <w:rFonts w:ascii="宋体" w:hAnsi="宋体"/>
          <w:szCs w:val="21"/>
        </w:rPr>
        <w:t>“小儿囟门附近针刺操作”明确提出“小儿囟门未闭合时，囟门附近的腧穴不宜针刺”，支持率达73.53%。这一条款以解剖学和发育安全为依据，对国际临床工作者而言具有高度可理解性和可接受性，有助于统一全球范围内对婴幼儿头部针刺风险的共识认知。</w:t>
      </w:r>
    </w:p>
    <w:p w14:paraId="7698EBA8">
      <w:pPr>
        <w:widowControl/>
        <w:spacing w:line="400" w:lineRule="exact"/>
        <w:ind w:firstLine="420" w:firstLineChars="200"/>
        <w:rPr>
          <w:rFonts w:ascii="宋体" w:hAnsi="宋体"/>
          <w:szCs w:val="21"/>
        </w:rPr>
      </w:pPr>
      <w:r>
        <w:rPr>
          <w:rFonts w:ascii="宋体" w:hAnsi="宋体"/>
          <w:szCs w:val="21"/>
        </w:rPr>
        <w:t>对艾灸相关内容进行细致规范，如“艾灸治疗时间及疗程”“隔姜灸、隔蒜灸等操作步骤”的修订，以及对隔黄土灸、隔胡椒饼灸等不再符合当前儿科临床主流的操作形式予以删除。艾灸时间和频次的建议（每穴3～10 min，每日或隔日灸等）兼顾疗效和耐受性，并充分考虑儿童对热刺激的敏感性，使操作更具量化和可控性。</w:t>
      </w:r>
    </w:p>
    <w:p w14:paraId="5E15118C">
      <w:pPr>
        <w:widowControl/>
        <w:spacing w:line="400" w:lineRule="exact"/>
        <w:ind w:firstLine="422" w:firstLineChars="200"/>
        <w:outlineLvl w:val="3"/>
        <w:rPr>
          <w:rFonts w:ascii="宋体" w:hAnsi="宋体"/>
          <w:b/>
          <w:bCs/>
          <w:szCs w:val="21"/>
        </w:rPr>
      </w:pPr>
      <w:r>
        <w:rPr>
          <w:rFonts w:hint="eastAsia" w:ascii="宋体" w:hAnsi="宋体"/>
          <w:b/>
          <w:bCs/>
          <w:szCs w:val="21"/>
        </w:rPr>
        <w:t>4.争议条目的核心分歧与深层原因</w:t>
      </w:r>
    </w:p>
    <w:p w14:paraId="76F56831">
      <w:pPr>
        <w:widowControl/>
        <w:spacing w:line="400" w:lineRule="exact"/>
        <w:ind w:firstLine="422" w:firstLineChars="200"/>
        <w:outlineLvl w:val="4"/>
        <w:rPr>
          <w:rFonts w:ascii="宋体" w:hAnsi="宋体"/>
          <w:b/>
          <w:bCs/>
          <w:szCs w:val="21"/>
        </w:rPr>
      </w:pPr>
      <w:r>
        <w:rPr>
          <w:rFonts w:hint="eastAsia" w:ascii="宋体" w:hAnsi="宋体"/>
          <w:b/>
          <w:bCs/>
          <w:szCs w:val="21"/>
        </w:rPr>
        <w:t>（1）术语统一性与国家标准引用的考量</w:t>
      </w:r>
    </w:p>
    <w:p w14:paraId="38FAC1CF">
      <w:pPr>
        <w:widowControl/>
        <w:spacing w:line="400" w:lineRule="exact"/>
        <w:ind w:firstLine="420" w:firstLineChars="200"/>
        <w:rPr>
          <w:rFonts w:ascii="宋体" w:hAnsi="宋体"/>
          <w:szCs w:val="21"/>
        </w:rPr>
      </w:pPr>
      <w:r>
        <w:rPr>
          <w:rFonts w:hint="eastAsia" w:ascii="宋体" w:hAnsi="宋体"/>
          <w:szCs w:val="21"/>
        </w:rPr>
        <w:t>争议条目：“平刺”的命名与定义</w:t>
      </w:r>
    </w:p>
    <w:p w14:paraId="6A7A2771">
      <w:pPr>
        <w:widowControl/>
        <w:spacing w:line="400" w:lineRule="exact"/>
        <w:ind w:firstLine="420" w:firstLineChars="200"/>
        <w:rPr>
          <w:rFonts w:ascii="宋体" w:hAnsi="宋体"/>
          <w:szCs w:val="21"/>
        </w:rPr>
      </w:pPr>
      <w:r>
        <w:rPr>
          <w:rFonts w:hint="eastAsia" w:ascii="宋体" w:hAnsi="宋体"/>
          <w:szCs w:val="21"/>
        </w:rPr>
        <w:t>核心分歧：专家对于“平刺”和“横刺法”的名称选择及定义表述存在分歧（各占50%）。</w:t>
      </w:r>
    </w:p>
    <w:p w14:paraId="7E3B54E7">
      <w:pPr>
        <w:widowControl/>
        <w:spacing w:line="400" w:lineRule="exact"/>
        <w:ind w:firstLine="420" w:firstLineChars="200"/>
        <w:rPr>
          <w:rFonts w:ascii="宋体" w:hAnsi="宋体"/>
          <w:szCs w:val="21"/>
        </w:rPr>
      </w:pPr>
      <w:r>
        <w:rPr>
          <w:rFonts w:hint="eastAsia" w:ascii="宋体" w:hAnsi="宋体"/>
          <w:szCs w:val="21"/>
        </w:rPr>
        <w:t>深层原因：这一分歧主要源于对现有国家标准的引用和术语统一性的需求。部分专家（如王孟清）明确提出“横刺法”更通用，且与《GB/T 21709.20-2009 针灸技术操作规范》一致，强调标准体系内部的一致性和国际通用性。而另一些专家可能更倾向于保持或优化现有国标的“平刺”表述，认为其在特定语境下有其合理性。这种争议反映了在制定新标准时，如何在遵循已有权威规范和采纳更广泛接受的术语之间做出权衡。乔木林的建议“加入A项的‘角’字”则试图调和两种表述，以期达到更精确和完善的定义。</w:t>
      </w:r>
    </w:p>
    <w:p w14:paraId="2EA7F342">
      <w:pPr>
        <w:widowControl/>
        <w:spacing w:line="400" w:lineRule="exact"/>
        <w:ind w:firstLine="422" w:firstLineChars="200"/>
        <w:outlineLvl w:val="4"/>
        <w:rPr>
          <w:rFonts w:ascii="宋体" w:hAnsi="宋体"/>
          <w:b/>
          <w:bCs/>
          <w:szCs w:val="21"/>
        </w:rPr>
      </w:pPr>
      <w:r>
        <w:rPr>
          <w:rFonts w:hint="eastAsia" w:ascii="宋体" w:hAnsi="宋体"/>
          <w:b/>
          <w:bCs/>
          <w:szCs w:val="21"/>
        </w:rPr>
        <w:t>（2）儿科操作的安全性、精细化与传统经验的融合</w:t>
      </w:r>
    </w:p>
    <w:p w14:paraId="573AE80F">
      <w:pPr>
        <w:widowControl/>
        <w:spacing w:line="400" w:lineRule="exact"/>
        <w:ind w:firstLine="420" w:firstLineChars="200"/>
        <w:rPr>
          <w:rFonts w:ascii="宋体" w:hAnsi="宋体"/>
          <w:szCs w:val="21"/>
        </w:rPr>
      </w:pPr>
      <w:r>
        <w:rPr>
          <w:rFonts w:hint="eastAsia" w:ascii="宋体" w:hAnsi="宋体"/>
          <w:szCs w:val="21"/>
        </w:rPr>
        <w:t>争议条目：“实按灸法操作步骤”“艾灸术后护理”“弹法操作（弹叩针柄法）”</w:t>
      </w:r>
    </w:p>
    <w:p w14:paraId="403F2E36">
      <w:pPr>
        <w:widowControl/>
        <w:spacing w:line="400" w:lineRule="exact"/>
        <w:ind w:firstLine="420" w:firstLineChars="200"/>
        <w:rPr>
          <w:rFonts w:ascii="宋体" w:hAnsi="宋体"/>
          <w:szCs w:val="21"/>
        </w:rPr>
      </w:pPr>
      <w:r>
        <w:rPr>
          <w:rFonts w:hint="eastAsia" w:ascii="宋体" w:hAnsi="宋体"/>
          <w:szCs w:val="21"/>
        </w:rPr>
        <w:t>核心分歧与深层原因：</w:t>
      </w:r>
    </w:p>
    <w:p w14:paraId="38C9F8C2">
      <w:pPr>
        <w:widowControl/>
        <w:spacing w:line="400" w:lineRule="exact"/>
        <w:ind w:firstLine="420" w:firstLineChars="200"/>
        <w:rPr>
          <w:rFonts w:ascii="宋体" w:hAnsi="宋体"/>
          <w:szCs w:val="21"/>
        </w:rPr>
      </w:pPr>
      <w:r>
        <w:rPr>
          <w:rFonts w:hint="eastAsia" w:ascii="宋体" w:hAnsi="宋体"/>
          <w:szCs w:val="21"/>
        </w:rPr>
        <w:t>实按灸法操作步骤：专家在铺设材料层数（5-10层 vs 6-8层）、按灸时长（1-2s vs 2-4s）、次数（5-7次 vs 3-7次），以及热感判断标准（温热红晕 vs 灼烫疼痛）等具体操作参数上存在较大差异，且最高选项支持率仅为32.35%。这突出反映了：儿科皮肤娇嫩的特殊性：儿童对热刺激的耐受度较低，传统成人操作参数可能不完全适用，需更精细化考量以避免烫伤。例如刘英、崔霞的建议都涉及铺设材料和时长的优化，以及对传热效果的关注。传统经验的个体化与标准化难题：艾灸操作具有较强的经验性，不同术者在实践中可能形成不同的“最佳”参数，如何在确保安全和疗效的前提下，将其量化并统一为标准成为难点。乔木林和王孟清的建议都尝试融合现有选项的优点，以求更安全、规范。术语细节的严谨性：“病人”改为“患儿”的建议，体现了儿科专家对文字表述严谨性和指向性的要求。</w:t>
      </w:r>
    </w:p>
    <w:p w14:paraId="354CA348">
      <w:pPr>
        <w:widowControl/>
        <w:spacing w:line="400" w:lineRule="exact"/>
        <w:ind w:firstLine="420" w:firstLineChars="200"/>
        <w:rPr>
          <w:rFonts w:ascii="宋体" w:hAnsi="宋体"/>
          <w:szCs w:val="21"/>
        </w:rPr>
      </w:pPr>
      <w:r>
        <w:rPr>
          <w:rFonts w:hint="eastAsia" w:ascii="宋体" w:hAnsi="宋体"/>
          <w:szCs w:val="21"/>
        </w:rPr>
        <w:t>艾灸术后护理：选项A（详细描述灸疮不同程度的愈合过程及处理，包括西医干预）和B（沿用国家标准原文，相对简洁）各获得50%支持。风险管理与信息透明度：选项A更详细地阐述了艾灸可能导致的并发症及其处理，包括长期愈合过程和瘢痕形成，旨在提高风险认知和管理。儿科安全底线与临床指南的平衡：陈晓燕提出“建议儿童尽量用温和灸避免任何损伤。严重烫伤建议直接西医外科处理。”，强调了儿科艾灸应以“无损伤”为最高目标，且在出现严重并发症时应迅速引入现代医学介入。这反映了儿科医学在安全上的高标准。而陈仁寿则认为“文字太过复杂，要精简”，说明部分专家倾向于更简洁实用的指导，避免过度冗余。技术适用性与实践经验：蔡承翰、王孟清、徐伟英、马丙祥等专家提出了补充温针灸、艾绒包裹等方法的描述，或讨论艾条与艾绒的选择，这表明专家们在术后护理的同时，也在反思和优化艾灸技术本身，以减少不良反应的发生。</w:t>
      </w:r>
    </w:p>
    <w:p w14:paraId="09C501D7">
      <w:pPr>
        <w:widowControl/>
        <w:spacing w:line="400" w:lineRule="exact"/>
        <w:ind w:firstLine="420" w:firstLineChars="200"/>
        <w:rPr>
          <w:rFonts w:ascii="宋体" w:hAnsi="宋体"/>
          <w:szCs w:val="21"/>
        </w:rPr>
      </w:pPr>
      <w:r>
        <w:rPr>
          <w:rFonts w:hint="eastAsia" w:ascii="宋体" w:hAnsi="宋体"/>
          <w:szCs w:val="21"/>
        </w:rPr>
        <w:t>弹法操作（弹叩针柄法）：选项A（强调用指甲弹击针柄，并可用于进针）和B（沿用国家标准原文，描述弹叩方式及技术要点）各占50%。操作细节的精准性：专家对“弹叩”的具体方式（指肚扣指端用指甲弹击 vs 拇指示指相交弹叩）和力度控制（“弹不可过猛”），以及作用时机（进针时 vs 留针期）存在不同理解。马丙祥指出“指甲弹击可以产生良好震动”，体现了对手法效果机制的追求。儿科适用性：陈晓燕提出“对于小于10岁的儿童，可以不用弹法。”，直接质疑了该手法在低龄儿童中的普适性，强调要根据患儿年龄和耐受度进行调整。术语规范：王孟清和乔木林都提及“食指”</w:t>
      </w:r>
      <w:r>
        <w:rPr>
          <w:rFonts w:hint="eastAsia" w:ascii="宋体" w:hAnsi="宋体"/>
          <w:szCs w:val="21"/>
          <w:lang w:val="en-US" w:eastAsia="zh-CN"/>
        </w:rPr>
        <w:t>与</w:t>
      </w:r>
      <w:r>
        <w:rPr>
          <w:rFonts w:hint="eastAsia" w:ascii="宋体" w:hAnsi="宋体"/>
          <w:szCs w:val="21"/>
        </w:rPr>
        <w:t>“示指”的细微修改，反映了对医学术语标准化的严谨性。</w:t>
      </w:r>
    </w:p>
    <w:p w14:paraId="5C5CDA17">
      <w:pPr>
        <w:widowControl/>
        <w:spacing w:line="400" w:lineRule="exact"/>
        <w:ind w:firstLine="420" w:firstLineChars="200"/>
        <w:rPr>
          <w:rFonts w:ascii="宋体" w:hAnsi="宋体"/>
          <w:szCs w:val="21"/>
        </w:rPr>
      </w:pPr>
      <w:r>
        <w:rPr>
          <w:rFonts w:hint="eastAsia" w:ascii="宋体" w:hAnsi="宋体"/>
          <w:szCs w:val="21"/>
        </w:rPr>
        <w:t>这些争议条目共同揭示了小儿针灸标准化过程中，需要在遵循传统、确保儿科安全、适应现代医学理念以及实现国际通用性之间寻求精妙平衡的复杂性。</w:t>
      </w:r>
    </w:p>
    <w:p w14:paraId="4ADF7756">
      <w:pPr>
        <w:widowControl/>
        <w:spacing w:line="400" w:lineRule="exact"/>
        <w:ind w:firstLine="422" w:firstLineChars="200"/>
        <w:outlineLvl w:val="2"/>
        <w:rPr>
          <w:rFonts w:ascii="宋体" w:hAnsi="宋体"/>
          <w:b/>
          <w:bCs/>
          <w:szCs w:val="21"/>
        </w:rPr>
      </w:pPr>
      <w:r>
        <w:rPr>
          <w:rFonts w:ascii="宋体" w:hAnsi="宋体"/>
          <w:b/>
          <w:bCs/>
          <w:szCs w:val="21"/>
        </w:rPr>
        <w:t>五、结论与下一步工作计划</w:t>
      </w:r>
    </w:p>
    <w:p w14:paraId="7D9EA929">
      <w:pPr>
        <w:widowControl/>
        <w:spacing w:line="400" w:lineRule="exact"/>
        <w:ind w:firstLine="420" w:firstLineChars="200"/>
        <w:rPr>
          <w:rFonts w:ascii="宋体" w:hAnsi="宋体"/>
          <w:szCs w:val="21"/>
        </w:rPr>
      </w:pPr>
      <w:r>
        <w:rPr>
          <w:rFonts w:ascii="宋体" w:hAnsi="宋体"/>
          <w:szCs w:val="21"/>
        </w:rPr>
        <w:t>本次问卷为国际标准修订提供了关键依据，部分条目已形成高一致性意见，可直接纳入修改稿。对意见分歧显著的条目，将提交后续专家论证会重点讨论</w:t>
      </w:r>
      <w:r>
        <w:rPr>
          <w:rFonts w:hint="eastAsia" w:ascii="宋体" w:hAnsi="宋体"/>
          <w:szCs w:val="21"/>
        </w:rPr>
        <w:t>。</w:t>
      </w:r>
    </w:p>
    <w:p w14:paraId="3CBF8E00">
      <w:pPr>
        <w:widowControl/>
        <w:spacing w:line="400" w:lineRule="exact"/>
        <w:ind w:firstLine="420" w:firstLineChars="200"/>
        <w:rPr>
          <w:rFonts w:ascii="宋体" w:hAnsi="宋体"/>
          <w:szCs w:val="21"/>
        </w:rPr>
      </w:pPr>
      <w:r>
        <w:rPr>
          <w:rFonts w:ascii="宋体" w:hAnsi="宋体"/>
          <w:szCs w:val="21"/>
        </w:rPr>
        <w:t>下一阶段工作包括：①整理经本次问卷修订的国际标准草稿；②补充规范性引用文件、参考文献等附录内容；③召开专家论证会；④完成国际标准提案的最终文本。</w:t>
      </w:r>
    </w:p>
    <w:p w14:paraId="0C378549">
      <w:pPr>
        <w:widowControl/>
        <w:spacing w:line="400" w:lineRule="exact"/>
        <w:ind w:firstLine="420" w:firstLineChars="200"/>
        <w:rPr>
          <w:rFonts w:ascii="宋体" w:hAnsi="宋体"/>
          <w:szCs w:val="21"/>
        </w:rPr>
      </w:pPr>
      <w:r>
        <w:rPr>
          <w:rFonts w:ascii="宋体" w:hAnsi="宋体"/>
          <w:szCs w:val="21"/>
        </w:rPr>
        <w:t>本研究为《中医技术操作规范  儿科  第</w:t>
      </w:r>
      <w:r>
        <w:rPr>
          <w:rFonts w:hint="eastAsia" w:ascii="宋体" w:hAnsi="宋体"/>
          <w:szCs w:val="21"/>
        </w:rPr>
        <w:t>3</w:t>
      </w:r>
      <w:r>
        <w:rPr>
          <w:rFonts w:ascii="宋体" w:hAnsi="宋体"/>
          <w:szCs w:val="21"/>
        </w:rPr>
        <w:t>部分：小儿</w:t>
      </w:r>
      <w:r>
        <w:rPr>
          <w:rFonts w:hint="eastAsia" w:ascii="宋体" w:hAnsi="宋体"/>
          <w:szCs w:val="21"/>
        </w:rPr>
        <w:t>针灸疗法</w:t>
      </w:r>
      <w:r>
        <w:rPr>
          <w:rFonts w:ascii="宋体" w:hAnsi="宋体"/>
          <w:szCs w:val="21"/>
        </w:rPr>
        <w:t>》国家标准向国际标准转化提供了科学依据，将有助于形成更加严谨、规范、具有国际认可度的中医儿科技术标准。</w:t>
      </w:r>
    </w:p>
    <w:p w14:paraId="7BA04708">
      <w:pPr>
        <w:rPr>
          <w:rFonts w:ascii="宋体" w:hAnsi="宋体"/>
          <w:szCs w:val="21"/>
        </w:rPr>
      </w:pPr>
      <w:r>
        <w:rPr>
          <w:rFonts w:ascii="宋体" w:hAnsi="宋体"/>
          <w:szCs w:val="21"/>
        </w:rPr>
        <w:br w:type="page"/>
      </w:r>
    </w:p>
    <w:p w14:paraId="62837EE4">
      <w:pPr>
        <w:rPr>
          <w:rFonts w:ascii="仿宋" w:hAnsi="仿宋" w:eastAsia="仿宋"/>
          <w:b/>
          <w:sz w:val="36"/>
          <w:szCs w:val="36"/>
        </w:rPr>
      </w:pPr>
      <w:r>
        <w:rPr>
          <w:rFonts w:hint="eastAsia" w:ascii="仿宋" w:hAnsi="仿宋" w:eastAsia="仿宋"/>
          <w:b/>
          <w:sz w:val="36"/>
          <w:szCs w:val="36"/>
        </w:rPr>
        <w:t>附件</w:t>
      </w:r>
      <w:r>
        <w:rPr>
          <w:rFonts w:ascii="仿宋" w:hAnsi="仿宋" w:eastAsia="仿宋"/>
          <w:b/>
          <w:sz w:val="36"/>
          <w:szCs w:val="36"/>
        </w:rPr>
        <w:t>2</w:t>
      </w:r>
    </w:p>
    <w:p w14:paraId="4CD78DEC">
      <w:pPr>
        <w:keepNext/>
        <w:keepLines/>
        <w:spacing w:after="312" w:afterLines="100"/>
        <w:jc w:val="center"/>
        <w:outlineLvl w:val="0"/>
        <w:rPr>
          <w:rFonts w:ascii="仿宋" w:hAnsi="仿宋" w:eastAsia="仿宋"/>
          <w:b/>
          <w:bCs/>
          <w:sz w:val="36"/>
          <w:szCs w:val="36"/>
        </w:rPr>
      </w:pPr>
      <w:bookmarkStart w:id="24" w:name="_Toc469601980"/>
      <w:bookmarkStart w:id="25" w:name="_Toc10190"/>
      <w:r>
        <w:rPr>
          <w:rFonts w:ascii="仿宋" w:hAnsi="仿宋" w:eastAsia="仿宋"/>
          <w:b/>
          <w:bCs/>
          <w:sz w:val="36"/>
          <w:szCs w:val="36"/>
        </w:rPr>
        <w:t>专家论证会会议纪要</w:t>
      </w:r>
      <w:bookmarkEnd w:id="24"/>
      <w:bookmarkEnd w:id="25"/>
    </w:p>
    <w:p w14:paraId="6A132FAF">
      <w:pPr>
        <w:spacing w:line="400" w:lineRule="exact"/>
        <w:jc w:val="left"/>
        <w:rPr>
          <w:rFonts w:ascii="仿宋" w:hAnsi="仿宋" w:eastAsia="仿宋"/>
          <w:sz w:val="24"/>
          <w:szCs w:val="24"/>
        </w:rPr>
      </w:pPr>
      <w:r>
        <w:rPr>
          <w:rFonts w:hint="eastAsia" w:ascii="仿宋" w:hAnsi="仿宋" w:eastAsia="仿宋"/>
          <w:b/>
          <w:bCs/>
          <w:sz w:val="24"/>
          <w:szCs w:val="24"/>
        </w:rPr>
        <w:t>会议时间</w:t>
      </w:r>
      <w:r>
        <w:rPr>
          <w:rFonts w:hint="eastAsia" w:ascii="仿宋" w:hAnsi="仿宋" w:eastAsia="仿宋"/>
          <w:sz w:val="24"/>
          <w:szCs w:val="24"/>
        </w:rPr>
        <w:t>：2025年12月3日 19:00-21:00</w:t>
      </w:r>
    </w:p>
    <w:p w14:paraId="11542019">
      <w:pPr>
        <w:spacing w:line="400" w:lineRule="exact"/>
        <w:jc w:val="left"/>
        <w:rPr>
          <w:rFonts w:ascii="仿宋" w:hAnsi="仿宋" w:eastAsia="仿宋"/>
          <w:sz w:val="24"/>
          <w:szCs w:val="24"/>
        </w:rPr>
      </w:pPr>
      <w:r>
        <w:rPr>
          <w:rFonts w:hint="eastAsia" w:ascii="仿宋" w:hAnsi="仿宋" w:eastAsia="仿宋"/>
          <w:b/>
          <w:bCs/>
          <w:sz w:val="24"/>
          <w:szCs w:val="24"/>
        </w:rPr>
        <w:t>会议地点：</w:t>
      </w:r>
      <w:r>
        <w:rPr>
          <w:rFonts w:hint="eastAsia" w:ascii="仿宋" w:hAnsi="仿宋" w:eastAsia="仿宋"/>
          <w:sz w:val="24"/>
          <w:szCs w:val="24"/>
        </w:rPr>
        <w:t>中国·南京（线下+线上结合）</w:t>
      </w:r>
    </w:p>
    <w:p w14:paraId="5BA07AC7">
      <w:pPr>
        <w:spacing w:line="400" w:lineRule="exact"/>
        <w:jc w:val="left"/>
        <w:rPr>
          <w:rFonts w:ascii="仿宋" w:hAnsi="仿宋" w:eastAsia="仿宋"/>
          <w:sz w:val="24"/>
          <w:szCs w:val="24"/>
        </w:rPr>
      </w:pPr>
      <w:r>
        <w:rPr>
          <w:rFonts w:hint="eastAsia" w:ascii="仿宋" w:hAnsi="仿宋" w:eastAsia="仿宋"/>
          <w:b/>
          <w:bCs/>
          <w:sz w:val="24"/>
          <w:szCs w:val="24"/>
        </w:rPr>
        <w:t>会议性质：</w:t>
      </w:r>
      <w:r>
        <w:rPr>
          <w:rFonts w:hint="eastAsia" w:ascii="仿宋" w:hAnsi="仿宋" w:eastAsia="仿宋"/>
          <w:sz w:val="24"/>
          <w:szCs w:val="24"/>
        </w:rPr>
        <w:t>国家标准（GB/Z 40893.3-2021）向世界中医药学会联合会（WFCMS）国际标准转化专家论证会</w:t>
      </w:r>
    </w:p>
    <w:p w14:paraId="4CEBB93F">
      <w:pPr>
        <w:spacing w:line="400" w:lineRule="exact"/>
        <w:jc w:val="left"/>
        <w:rPr>
          <w:rFonts w:ascii="仿宋" w:hAnsi="仿宋" w:eastAsia="仿宋"/>
          <w:b/>
          <w:bCs/>
          <w:sz w:val="24"/>
          <w:szCs w:val="24"/>
        </w:rPr>
      </w:pPr>
      <w:r>
        <w:rPr>
          <w:rFonts w:hint="eastAsia" w:ascii="仿宋" w:hAnsi="仿宋" w:eastAsia="仿宋"/>
          <w:b/>
          <w:bCs/>
          <w:sz w:val="24"/>
          <w:szCs w:val="24"/>
        </w:rPr>
        <w:t>参会人员：</w:t>
      </w:r>
    </w:p>
    <w:p w14:paraId="261B96E7">
      <w:pPr>
        <w:spacing w:line="400" w:lineRule="exact"/>
        <w:jc w:val="left"/>
        <w:rPr>
          <w:rFonts w:hint="default" w:ascii="仿宋" w:hAnsi="仿宋" w:eastAsia="仿宋"/>
          <w:sz w:val="24"/>
          <w:szCs w:val="24"/>
          <w:lang w:val="en-US" w:eastAsia="zh-CN"/>
        </w:rPr>
      </w:pPr>
      <w:r>
        <w:rPr>
          <w:rFonts w:hint="eastAsia" w:ascii="仿宋" w:hAnsi="仿宋" w:eastAsia="仿宋"/>
          <w:b/>
          <w:bCs/>
          <w:sz w:val="24"/>
          <w:szCs w:val="24"/>
        </w:rPr>
        <w:t>论证会专家组组长：</w:t>
      </w:r>
      <w:r>
        <w:rPr>
          <w:rFonts w:hint="eastAsia" w:ascii="仿宋" w:hAnsi="仿宋" w:eastAsia="仿宋"/>
          <w:sz w:val="24"/>
          <w:szCs w:val="24"/>
        </w:rPr>
        <w:t>汪受传（南京中医药大学附属医院）</w:t>
      </w:r>
      <w:r>
        <w:rPr>
          <w:rFonts w:hint="eastAsia" w:ascii="仿宋" w:hAnsi="仿宋" w:eastAsia="仿宋"/>
          <w:sz w:val="24"/>
          <w:szCs w:val="24"/>
          <w:lang w:eastAsia="zh-CN"/>
        </w:rPr>
        <w:t>，</w:t>
      </w:r>
      <w:r>
        <w:rPr>
          <w:rFonts w:hint="eastAsia" w:ascii="仿宋" w:hAnsi="仿宋" w:eastAsia="仿宋"/>
          <w:sz w:val="24"/>
          <w:szCs w:val="24"/>
          <w:lang w:val="en-US" w:eastAsia="zh-CN"/>
        </w:rPr>
        <w:t>各项目组成员。</w:t>
      </w:r>
    </w:p>
    <w:p w14:paraId="746AC8BF">
      <w:pPr>
        <w:spacing w:line="400" w:lineRule="exact"/>
        <w:jc w:val="left"/>
        <w:rPr>
          <w:rFonts w:ascii="仿宋" w:hAnsi="仿宋" w:eastAsia="仿宋"/>
          <w:sz w:val="24"/>
          <w:szCs w:val="24"/>
        </w:rPr>
      </w:pPr>
      <w:r>
        <w:rPr>
          <w:rFonts w:hint="eastAsia" w:ascii="仿宋" w:hAnsi="仿宋" w:eastAsia="仿宋"/>
          <w:b/>
          <w:bCs/>
          <w:sz w:val="24"/>
          <w:szCs w:val="24"/>
        </w:rPr>
        <w:t>专家组：组长：</w:t>
      </w:r>
      <w:r>
        <w:rPr>
          <w:rFonts w:hint="eastAsia" w:ascii="仿宋" w:hAnsi="仿宋" w:eastAsia="仿宋"/>
          <w:sz w:val="24"/>
          <w:szCs w:val="24"/>
        </w:rPr>
        <w:t>丁樱（河南中医药大学）。</w:t>
      </w:r>
      <w:r>
        <w:rPr>
          <w:rFonts w:hint="eastAsia" w:ascii="仿宋" w:hAnsi="仿宋" w:eastAsia="仿宋"/>
          <w:b/>
          <w:bCs/>
          <w:sz w:val="24"/>
          <w:szCs w:val="24"/>
        </w:rPr>
        <w:t>成员（按姓氏笔画排序）：</w:t>
      </w:r>
      <w:r>
        <w:rPr>
          <w:rFonts w:hint="eastAsia" w:ascii="仿宋" w:hAnsi="仿宋" w:eastAsia="仿宋"/>
          <w:sz w:val="24"/>
          <w:szCs w:val="24"/>
        </w:rPr>
        <w:t>万力生（深圳市儿童医院）、马融（天津中医药大学第一附属医院）、王有鹏（黑龙江中医药大学附属第二医院）、王丽丽（世界中医药学会联合会国际标准部）、王素梅（北京中医药大学东方医院）、史正刚（甘肃中医药大学）、刘建忠（湖北中医药大学）、虞坚尔（上海中医药大学）、熊磊（云南中医药大学）、张葆青（山东中医药大学附属医院）、俞建（复旦大学儿科医院）、戴启刚（南京中医药大学附属医院）</w:t>
      </w:r>
    </w:p>
    <w:p w14:paraId="38AED1F2">
      <w:pPr>
        <w:spacing w:line="400" w:lineRule="exact"/>
        <w:jc w:val="left"/>
        <w:rPr>
          <w:rFonts w:ascii="仿宋" w:hAnsi="仿宋" w:eastAsia="仿宋"/>
          <w:b/>
          <w:bCs/>
          <w:sz w:val="24"/>
          <w:szCs w:val="24"/>
        </w:rPr>
      </w:pPr>
      <w:r>
        <w:rPr>
          <w:rFonts w:hint="eastAsia" w:ascii="仿宋" w:hAnsi="仿宋" w:eastAsia="仿宋"/>
          <w:b/>
          <w:bCs/>
          <w:sz w:val="24"/>
          <w:szCs w:val="24"/>
        </w:rPr>
        <w:t>一、会议背景与工作基础</w:t>
      </w:r>
    </w:p>
    <w:p w14:paraId="729417F0">
      <w:pPr>
        <w:spacing w:line="400" w:lineRule="exact"/>
        <w:ind w:firstLine="480" w:firstLineChars="200"/>
        <w:jc w:val="left"/>
        <w:rPr>
          <w:rFonts w:ascii="仿宋" w:hAnsi="仿宋" w:eastAsia="仿宋"/>
          <w:sz w:val="24"/>
          <w:szCs w:val="24"/>
        </w:rPr>
      </w:pPr>
      <w:r>
        <w:rPr>
          <w:rFonts w:hint="eastAsia" w:ascii="仿宋" w:hAnsi="仿宋" w:eastAsia="仿宋"/>
          <w:sz w:val="24"/>
          <w:szCs w:val="24"/>
        </w:rPr>
        <w:t>本次专家论证会是《国际中医技术操作规范 儿科 第3部分：小儿针灸疗法》国际标准转化项目的关键性节点会议。为提升会议效率与决策科学性，项目组于会前向全体论证专家发送了论证会全套材料，内容包括：《国际中医技术操作规范 儿科 第3部分：小儿针灸疗法》专家问卷调查总结报告、《国际中医技术操作规范 儿科 第3部分：小儿针灸疗法》专家论证会征求意见函（包括4项核心争议条目、开放性问题及项目组整合建议）、原国家标准文本《GBZ 40893.3-2021 中医技术操作规范 儿科 第3部分：小儿针灸疗法》。</w:t>
      </w:r>
    </w:p>
    <w:p w14:paraId="410CB3F3">
      <w:pPr>
        <w:spacing w:line="400" w:lineRule="exact"/>
        <w:ind w:firstLine="480" w:firstLineChars="200"/>
        <w:jc w:val="left"/>
        <w:rPr>
          <w:rFonts w:ascii="仿宋" w:hAnsi="仿宋" w:eastAsia="仿宋"/>
          <w:sz w:val="24"/>
          <w:szCs w:val="24"/>
        </w:rPr>
      </w:pPr>
      <w:r>
        <w:rPr>
          <w:rFonts w:hint="eastAsia" w:ascii="仿宋" w:hAnsi="仿宋" w:eastAsia="仿宋"/>
          <w:sz w:val="24"/>
          <w:szCs w:val="24"/>
        </w:rPr>
        <w:t>会议采取“会前函审+会中论证+会后书面确认”的三段式工作模式。专家在会前已基于征求意见函内容进行独立审阅与初步评分，会中针对重点争议问题进行集中研讨，会后1周内（12月10日前）将书面意见函返回项目组邮箱，确保每位专家的最终意见得到完整记录。</w:t>
      </w:r>
    </w:p>
    <w:p w14:paraId="3D7354C4">
      <w:pPr>
        <w:spacing w:line="400" w:lineRule="exact"/>
        <w:ind w:firstLine="480" w:firstLineChars="200"/>
        <w:jc w:val="left"/>
        <w:rPr>
          <w:rFonts w:ascii="仿宋" w:hAnsi="仿宋" w:eastAsia="仿宋"/>
          <w:sz w:val="24"/>
          <w:szCs w:val="24"/>
        </w:rPr>
      </w:pPr>
      <w:r>
        <w:rPr>
          <w:rFonts w:hint="eastAsia" w:ascii="仿宋" w:hAnsi="仿宋" w:eastAsia="仿宋"/>
          <w:sz w:val="24"/>
          <w:szCs w:val="24"/>
        </w:rPr>
        <w:t>本会议纪要综合了会议现场讨论记录与13位专家书面返回的征求意见函双重信息，对各项争议条目及开放性建议的论证过程、专家评分结果、修改建议及最终决议进行了系统梳理，作为标准编制说明的重要组成部分，提交世界中医药学会联合会国际标准部审查。</w:t>
      </w:r>
    </w:p>
    <w:p w14:paraId="3F6BDE05">
      <w:pPr>
        <w:spacing w:line="400" w:lineRule="exact"/>
        <w:jc w:val="left"/>
        <w:rPr>
          <w:rFonts w:ascii="仿宋" w:hAnsi="仿宋" w:eastAsia="仿宋"/>
          <w:b/>
          <w:bCs/>
          <w:sz w:val="24"/>
          <w:szCs w:val="24"/>
        </w:rPr>
      </w:pPr>
      <w:r>
        <w:rPr>
          <w:rFonts w:hint="eastAsia" w:ascii="仿宋" w:hAnsi="仿宋" w:eastAsia="仿宋"/>
          <w:b/>
          <w:bCs/>
          <w:sz w:val="24"/>
          <w:szCs w:val="24"/>
        </w:rPr>
        <w:t>二、项目工作汇报</w:t>
      </w:r>
    </w:p>
    <w:p w14:paraId="2F68AC3F">
      <w:pPr>
        <w:spacing w:line="400" w:lineRule="exact"/>
        <w:ind w:firstLine="480" w:firstLineChars="200"/>
        <w:jc w:val="left"/>
        <w:rPr>
          <w:rFonts w:ascii="仿宋" w:hAnsi="仿宋" w:eastAsia="仿宋"/>
          <w:sz w:val="24"/>
          <w:szCs w:val="24"/>
        </w:rPr>
      </w:pPr>
      <w:r>
        <w:rPr>
          <w:rFonts w:hint="eastAsia" w:ascii="仿宋" w:hAnsi="仿宋" w:eastAsia="仿宋"/>
          <w:sz w:val="24"/>
          <w:szCs w:val="24"/>
        </w:rPr>
        <w:t>总项目负责人汪受传教授首先介绍了儿科五项操作标准的项目背景：本次转化工作源于2021年发布的中国国家标准，核心目标是通过严谨的循证研究与国际对标，形成具有科学性、安全性、可操作性的国际标准草案，推动中医儿科针灸操作技术在全球范围内的规范化应用。</w:t>
      </w:r>
    </w:p>
    <w:p w14:paraId="0FA5F24C">
      <w:pPr>
        <w:spacing w:line="400" w:lineRule="exact"/>
        <w:ind w:firstLine="480" w:firstLineChars="200"/>
        <w:jc w:val="left"/>
        <w:rPr>
          <w:rFonts w:ascii="仿宋" w:hAnsi="仿宋" w:eastAsia="仿宋"/>
          <w:sz w:val="24"/>
          <w:szCs w:val="24"/>
        </w:rPr>
      </w:pPr>
      <w:r>
        <w:rPr>
          <w:rFonts w:hint="eastAsia" w:ascii="仿宋" w:hAnsi="仿宋" w:eastAsia="仿宋"/>
          <w:sz w:val="24"/>
          <w:szCs w:val="24"/>
        </w:rPr>
        <w:t>项目组秘书单祎文向各位专家汇报了前期工作进展情况，并就专家问卷调查结果，重点将9项核心争议条目及开放性意见进行了介绍说明。</w:t>
      </w:r>
    </w:p>
    <w:p w14:paraId="16445DC4">
      <w:pPr>
        <w:spacing w:line="400" w:lineRule="exact"/>
        <w:jc w:val="left"/>
        <w:rPr>
          <w:rFonts w:ascii="仿宋" w:hAnsi="仿宋" w:eastAsia="仿宋"/>
          <w:b/>
          <w:bCs/>
          <w:sz w:val="24"/>
          <w:szCs w:val="24"/>
        </w:rPr>
      </w:pPr>
      <w:r>
        <w:rPr>
          <w:rFonts w:hint="eastAsia" w:ascii="仿宋" w:hAnsi="仿宋" w:eastAsia="仿宋"/>
          <w:b/>
          <w:bCs/>
          <w:sz w:val="24"/>
          <w:szCs w:val="24"/>
        </w:rPr>
        <w:t>三、争议条目决议</w:t>
      </w:r>
    </w:p>
    <w:p w14:paraId="15674F7B">
      <w:pPr>
        <w:spacing w:line="400" w:lineRule="exact"/>
        <w:ind w:firstLine="480" w:firstLineChars="200"/>
        <w:jc w:val="left"/>
        <w:rPr>
          <w:rFonts w:ascii="仿宋" w:hAnsi="仿宋" w:eastAsia="仿宋"/>
          <w:sz w:val="24"/>
          <w:szCs w:val="24"/>
        </w:rPr>
      </w:pPr>
      <w:r>
        <w:rPr>
          <w:rFonts w:hint="eastAsia" w:ascii="仿宋" w:hAnsi="仿宋" w:eastAsia="仿宋"/>
          <w:sz w:val="24"/>
          <w:szCs w:val="24"/>
        </w:rPr>
        <w:t>专家们会前已收到征求意见函、前期专家问卷调查总结报告及原国家标准电子版，对争议条目及开放性意见进行了认真审阅。会议中专家们积极发言，总体上对项目工作组提出的整合意见给予了肯定，认为技术方案已比较成熟，可以作为国际标准转化的基础。对于具体条款，专家们进行了认真讨论，提出如下论证意见：</w:t>
      </w:r>
    </w:p>
    <w:p w14:paraId="748C0EFA">
      <w:pPr>
        <w:spacing w:line="400" w:lineRule="exact"/>
        <w:jc w:val="left"/>
        <w:rPr>
          <w:rFonts w:ascii="仿宋" w:hAnsi="仿宋" w:eastAsia="仿宋"/>
          <w:b/>
          <w:bCs/>
          <w:sz w:val="24"/>
          <w:szCs w:val="24"/>
        </w:rPr>
      </w:pPr>
      <w:r>
        <w:rPr>
          <w:rFonts w:hint="eastAsia" w:ascii="仿宋" w:hAnsi="仿宋" w:eastAsia="仿宋"/>
          <w:b/>
          <w:bCs/>
          <w:sz w:val="24"/>
          <w:szCs w:val="24"/>
        </w:rPr>
        <w:t>（一）条目1：平刺的命名与定义</w:t>
      </w:r>
    </w:p>
    <w:p w14:paraId="41FFB5A0">
      <w:pPr>
        <w:spacing w:line="400" w:lineRule="exact"/>
        <w:jc w:val="left"/>
        <w:rPr>
          <w:rFonts w:ascii="仿宋" w:hAnsi="仿宋" w:eastAsia="仿宋"/>
          <w:b/>
          <w:bCs/>
          <w:sz w:val="24"/>
          <w:szCs w:val="24"/>
        </w:rPr>
      </w:pPr>
      <w:r>
        <w:rPr>
          <w:rFonts w:hint="eastAsia" w:ascii="仿宋" w:hAnsi="仿宋" w:eastAsia="仿宋"/>
          <w:b/>
          <w:bCs/>
          <w:sz w:val="24"/>
          <w:szCs w:val="24"/>
        </w:rPr>
        <w:t>1.征求意见函原文</w:t>
      </w:r>
    </w:p>
    <w:p w14:paraId="0889846F">
      <w:pPr>
        <w:spacing w:line="400" w:lineRule="exact"/>
        <w:ind w:firstLine="420" w:firstLineChars="200"/>
        <w:rPr>
          <w:rFonts w:ascii="宋体" w:hAnsi="宋体"/>
          <w:szCs w:val="21"/>
        </w:rPr>
      </w:pPr>
      <w:r>
        <w:rPr>
          <w:rFonts w:hint="eastAsia" w:ascii="宋体" w:hAnsi="宋体"/>
          <w:szCs w:val="21"/>
        </w:rPr>
        <w:t>（1）</w:t>
      </w:r>
      <w:r>
        <w:rPr>
          <w:rFonts w:ascii="宋体" w:hAnsi="宋体"/>
          <w:szCs w:val="21"/>
        </w:rPr>
        <w:t>国家标准原文：</w:t>
      </w:r>
    </w:p>
    <w:p w14:paraId="11263C3D">
      <w:pPr>
        <w:spacing w:line="400" w:lineRule="exact"/>
        <w:ind w:firstLine="420" w:firstLineChars="200"/>
        <w:rPr>
          <w:rFonts w:ascii="宋体" w:hAnsi="宋体"/>
          <w:szCs w:val="21"/>
        </w:rPr>
      </w:pPr>
      <w:r>
        <w:rPr>
          <w:rFonts w:ascii="宋体" w:hAnsi="宋体"/>
          <w:szCs w:val="21"/>
        </w:rPr>
        <w:t>平刺  针身与皮肤表面呈15°左右或沿皮肤表面以更小的角度刺入。适用于皮薄肉少处的腧穴，如头部、胸骨部的腧穴。</w:t>
      </w:r>
    </w:p>
    <w:p w14:paraId="28A6E0F6">
      <w:pPr>
        <w:spacing w:line="400" w:lineRule="exact"/>
        <w:ind w:firstLine="420" w:firstLineChars="200"/>
        <w:rPr>
          <w:rFonts w:ascii="宋体" w:hAnsi="宋体"/>
          <w:szCs w:val="21"/>
        </w:rPr>
      </w:pPr>
      <w:r>
        <w:rPr>
          <w:rFonts w:hint="eastAsia" w:ascii="宋体" w:hAnsi="宋体"/>
          <w:szCs w:val="21"/>
        </w:rPr>
        <w:t>（2）</w:t>
      </w:r>
      <w:r>
        <w:rPr>
          <w:rFonts w:ascii="宋体" w:hAnsi="宋体"/>
          <w:szCs w:val="21"/>
        </w:rPr>
        <w:t>项目组意见</w:t>
      </w:r>
      <w:r>
        <w:rPr>
          <w:rFonts w:hint="eastAsia" w:ascii="宋体" w:hAnsi="宋体"/>
          <w:szCs w:val="21"/>
        </w:rPr>
        <w:t>：</w:t>
      </w:r>
    </w:p>
    <w:p w14:paraId="31896AF6">
      <w:pPr>
        <w:spacing w:line="400" w:lineRule="exact"/>
        <w:ind w:firstLine="420" w:firstLineChars="200"/>
        <w:rPr>
          <w:rFonts w:ascii="宋体" w:hAnsi="宋体"/>
          <w:szCs w:val="21"/>
        </w:rPr>
      </w:pPr>
      <w:r>
        <w:rPr>
          <w:rFonts w:ascii="宋体" w:hAnsi="宋体"/>
          <w:szCs w:val="21"/>
        </w:rPr>
        <w:t>平刺  又称横刺。针身与皮肤表面呈15°左右或沿皮肤表面以更小的角度刺入。适用于皮项目组意见</w:t>
      </w:r>
      <w:r>
        <w:rPr>
          <w:rFonts w:hint="eastAsia" w:ascii="宋体" w:hAnsi="宋体"/>
          <w:szCs w:val="21"/>
        </w:rPr>
        <w:t xml:space="preserve"> </w:t>
      </w:r>
      <w:r>
        <w:rPr>
          <w:rFonts w:ascii="宋体" w:hAnsi="宋体"/>
          <w:szCs w:val="21"/>
        </w:rPr>
        <w:t>薄肉少处的腧穴，如头部、胸骨部的腧穴。</w:t>
      </w:r>
    </w:p>
    <w:p w14:paraId="77EBBD4B">
      <w:pPr>
        <w:spacing w:line="400" w:lineRule="exact"/>
        <w:jc w:val="left"/>
        <w:rPr>
          <w:rFonts w:ascii="仿宋" w:hAnsi="仿宋" w:eastAsia="仿宋"/>
          <w:b/>
          <w:bCs/>
          <w:sz w:val="24"/>
          <w:szCs w:val="24"/>
        </w:rPr>
      </w:pPr>
      <w:r>
        <w:rPr>
          <w:rFonts w:ascii="仿宋" w:hAnsi="仿宋" w:eastAsia="仿宋"/>
          <w:b/>
          <w:bCs/>
          <w:sz w:val="24"/>
          <w:szCs w:val="24"/>
        </w:rPr>
        <w:t>2.专家论证意见</w:t>
      </w:r>
    </w:p>
    <w:p w14:paraId="6F55F786">
      <w:pPr>
        <w:spacing w:line="400" w:lineRule="exact"/>
        <w:ind w:firstLine="420" w:firstLineChars="200"/>
        <w:rPr>
          <w:rFonts w:ascii="宋体" w:hAnsi="宋体"/>
          <w:szCs w:val="21"/>
        </w:rPr>
      </w:pPr>
      <w:r>
        <w:rPr>
          <w:rFonts w:ascii="宋体" w:hAnsi="宋体"/>
          <w:szCs w:val="21"/>
        </w:rPr>
        <w:t>（1）专家论证结果</w:t>
      </w:r>
    </w:p>
    <w:p w14:paraId="478184D7">
      <w:pPr>
        <w:spacing w:line="400" w:lineRule="exact"/>
        <w:ind w:firstLine="420" w:firstLineChars="200"/>
        <w:rPr>
          <w:rFonts w:ascii="宋体" w:hAnsi="宋体"/>
          <w:szCs w:val="21"/>
        </w:rPr>
      </w:pPr>
      <w:r>
        <w:rPr>
          <w:rFonts w:ascii="宋体" w:hAnsi="宋体"/>
          <w:szCs w:val="21"/>
        </w:rPr>
        <w:t>全体13位专家一致同意（2分/须选），支持率100%。</w:t>
      </w:r>
    </w:p>
    <w:p w14:paraId="46590FBB">
      <w:pPr>
        <w:spacing w:line="400" w:lineRule="exact"/>
        <w:ind w:firstLine="420" w:firstLineChars="200"/>
        <w:rPr>
          <w:rFonts w:ascii="宋体" w:hAnsi="宋体"/>
          <w:szCs w:val="21"/>
        </w:rPr>
      </w:pPr>
      <w:r>
        <w:rPr>
          <w:rFonts w:ascii="宋体" w:hAnsi="宋体"/>
          <w:szCs w:val="21"/>
        </w:rPr>
        <w:t>（2）主要修改建议</w:t>
      </w:r>
    </w:p>
    <w:p w14:paraId="149FDAEB">
      <w:pPr>
        <w:spacing w:line="400" w:lineRule="exact"/>
        <w:ind w:firstLine="420" w:firstLineChars="200"/>
        <w:rPr>
          <w:rFonts w:ascii="宋体" w:hAnsi="宋体"/>
          <w:szCs w:val="21"/>
        </w:rPr>
      </w:pPr>
      <w:r>
        <w:rPr>
          <w:rFonts w:hint="eastAsia" w:ascii="宋体" w:hAnsi="宋体"/>
          <w:szCs w:val="21"/>
        </w:rPr>
        <w:t>无具体修改意见。</w:t>
      </w:r>
    </w:p>
    <w:p w14:paraId="41E0F1D0">
      <w:pPr>
        <w:spacing w:line="400" w:lineRule="exact"/>
        <w:jc w:val="left"/>
        <w:rPr>
          <w:rFonts w:ascii="仿宋" w:hAnsi="仿宋" w:eastAsia="仿宋"/>
          <w:b/>
          <w:bCs/>
          <w:sz w:val="24"/>
          <w:szCs w:val="24"/>
        </w:rPr>
      </w:pPr>
      <w:r>
        <w:rPr>
          <w:rFonts w:hint="eastAsia" w:ascii="仿宋" w:hAnsi="仿宋" w:eastAsia="仿宋"/>
          <w:b/>
          <w:bCs/>
          <w:sz w:val="24"/>
          <w:szCs w:val="24"/>
        </w:rPr>
        <w:t>3.项目组决议</w:t>
      </w:r>
    </w:p>
    <w:p w14:paraId="2EF5CD64">
      <w:pPr>
        <w:spacing w:line="400" w:lineRule="exact"/>
        <w:ind w:firstLine="420" w:firstLineChars="200"/>
        <w:rPr>
          <w:rFonts w:ascii="宋体" w:hAnsi="宋体"/>
          <w:szCs w:val="21"/>
        </w:rPr>
      </w:pPr>
      <w:r>
        <w:rPr>
          <w:rFonts w:ascii="宋体" w:hAnsi="宋体"/>
          <w:szCs w:val="21"/>
        </w:rPr>
        <w:t>全票通过，采纳项目组意见。</w:t>
      </w:r>
    </w:p>
    <w:p w14:paraId="4FF8B06E">
      <w:pPr>
        <w:spacing w:line="400" w:lineRule="exact"/>
        <w:jc w:val="left"/>
        <w:rPr>
          <w:rFonts w:ascii="仿宋" w:hAnsi="仿宋" w:eastAsia="仿宋"/>
          <w:b/>
          <w:bCs/>
          <w:sz w:val="24"/>
          <w:szCs w:val="24"/>
        </w:rPr>
      </w:pPr>
      <w:r>
        <w:rPr>
          <w:rFonts w:hint="eastAsia" w:ascii="仿宋" w:hAnsi="仿宋" w:eastAsia="仿宋"/>
          <w:b/>
          <w:bCs/>
          <w:sz w:val="24"/>
          <w:szCs w:val="24"/>
        </w:rPr>
        <w:t>（二）条目2：实按灸法操作步骤</w:t>
      </w:r>
    </w:p>
    <w:p w14:paraId="521811DD">
      <w:pPr>
        <w:spacing w:line="400" w:lineRule="exact"/>
        <w:jc w:val="left"/>
        <w:rPr>
          <w:rFonts w:ascii="仿宋" w:hAnsi="仿宋" w:eastAsia="仿宋"/>
          <w:b/>
          <w:bCs/>
          <w:sz w:val="24"/>
          <w:szCs w:val="24"/>
        </w:rPr>
      </w:pPr>
      <w:r>
        <w:rPr>
          <w:rFonts w:hint="eastAsia" w:ascii="仿宋" w:hAnsi="仿宋" w:eastAsia="仿宋"/>
          <w:b/>
          <w:bCs/>
          <w:sz w:val="24"/>
          <w:szCs w:val="24"/>
        </w:rPr>
        <w:t>1.征求意见函原文</w:t>
      </w:r>
    </w:p>
    <w:p w14:paraId="70EBA057">
      <w:pPr>
        <w:spacing w:line="400" w:lineRule="exact"/>
        <w:ind w:firstLine="420" w:firstLineChars="200"/>
        <w:rPr>
          <w:rFonts w:ascii="宋体" w:hAnsi="宋体"/>
          <w:szCs w:val="21"/>
        </w:rPr>
      </w:pPr>
      <w:r>
        <w:rPr>
          <w:rFonts w:hint="eastAsia" w:ascii="宋体" w:hAnsi="宋体"/>
          <w:szCs w:val="21"/>
        </w:rPr>
        <w:t>（1）</w:t>
      </w:r>
      <w:r>
        <w:rPr>
          <w:rFonts w:ascii="宋体" w:hAnsi="宋体"/>
          <w:szCs w:val="21"/>
        </w:rPr>
        <w:t>国家标准原文：</w:t>
      </w:r>
    </w:p>
    <w:p w14:paraId="1F60D6FB">
      <w:pPr>
        <w:spacing w:line="400" w:lineRule="exact"/>
        <w:ind w:firstLine="420" w:firstLineChars="200"/>
        <w:rPr>
          <w:rFonts w:ascii="宋体" w:hAnsi="宋体"/>
          <w:szCs w:val="21"/>
        </w:rPr>
      </w:pPr>
      <w:r>
        <w:rPr>
          <w:rFonts w:ascii="宋体" w:hAnsi="宋体"/>
          <w:szCs w:val="21"/>
        </w:rPr>
        <w:t>选定施灸部位，用特制的药艾条点燃一端，在穴位上覆盖5～10层棉布，将艾火隔着棉布紧按在穴位上，停留1 s～2 s即提起，提起后稍停再按，艾火熄灭可重新点燃。如此反复。每穴按灸5～7次，患儿皮肤出现温热和红晕现象为度。</w:t>
      </w:r>
    </w:p>
    <w:p w14:paraId="65CF85B1">
      <w:pPr>
        <w:spacing w:line="400" w:lineRule="exact"/>
        <w:ind w:firstLine="420" w:firstLineChars="200"/>
        <w:rPr>
          <w:rFonts w:ascii="宋体" w:hAnsi="宋体"/>
          <w:szCs w:val="21"/>
        </w:rPr>
      </w:pPr>
      <w:r>
        <w:rPr>
          <w:rFonts w:hint="eastAsia" w:ascii="宋体" w:hAnsi="宋体"/>
          <w:szCs w:val="21"/>
        </w:rPr>
        <w:t>（2）</w:t>
      </w:r>
      <w:r>
        <w:rPr>
          <w:rFonts w:ascii="宋体" w:hAnsi="宋体"/>
          <w:szCs w:val="21"/>
        </w:rPr>
        <w:t>项目组意见</w:t>
      </w:r>
      <w:r>
        <w:rPr>
          <w:rFonts w:hint="eastAsia" w:ascii="宋体" w:hAnsi="宋体"/>
          <w:szCs w:val="21"/>
        </w:rPr>
        <w:t>：</w:t>
      </w:r>
    </w:p>
    <w:p w14:paraId="0FFB0AB5">
      <w:pPr>
        <w:spacing w:line="400" w:lineRule="exact"/>
        <w:ind w:firstLine="420" w:firstLineChars="200"/>
        <w:rPr>
          <w:rFonts w:ascii="宋体" w:hAnsi="宋体"/>
          <w:szCs w:val="21"/>
        </w:rPr>
      </w:pPr>
      <w:r>
        <w:rPr>
          <w:rFonts w:ascii="宋体" w:hAnsi="宋体"/>
          <w:szCs w:val="21"/>
        </w:rPr>
        <w:t>选定施灸部位，以特制药艾条点燃一端。在穴位处铺设约5～10层棉纸、棉布或纱布，以隔热防烫。术者以执笔状手持艾条，将燃着端对准施灸部位，隔着铺设物紧按在穴位上，停留约1s～2s，使药气与热力透达深部，患儿局部有明显温热感即提起艾条，稍停后再按。如操作中艾火熄灭，可重新点燃或以预先点燃的备用艾条迅速接替施灸，如此反复。每次每穴按灸约3～7次，移去艾条和铺设物，见患儿施灸部位皮肤出现温热和红晕现象为度。每日或隔日1次。</w:t>
      </w:r>
    </w:p>
    <w:p w14:paraId="681693F8">
      <w:pPr>
        <w:spacing w:line="400" w:lineRule="exact"/>
        <w:jc w:val="left"/>
        <w:rPr>
          <w:rFonts w:ascii="仿宋" w:hAnsi="仿宋" w:eastAsia="仿宋"/>
          <w:b/>
          <w:bCs/>
          <w:sz w:val="24"/>
          <w:szCs w:val="24"/>
        </w:rPr>
      </w:pPr>
      <w:r>
        <w:rPr>
          <w:rFonts w:ascii="仿宋" w:hAnsi="仿宋" w:eastAsia="仿宋"/>
          <w:b/>
          <w:bCs/>
          <w:sz w:val="24"/>
          <w:szCs w:val="24"/>
        </w:rPr>
        <w:t>2.专家论证意见</w:t>
      </w:r>
    </w:p>
    <w:p w14:paraId="340C9875">
      <w:pPr>
        <w:spacing w:line="400" w:lineRule="exact"/>
        <w:ind w:firstLine="420" w:firstLineChars="200"/>
        <w:rPr>
          <w:rFonts w:ascii="宋体" w:hAnsi="宋体"/>
          <w:szCs w:val="21"/>
        </w:rPr>
      </w:pPr>
      <w:r>
        <w:rPr>
          <w:rFonts w:ascii="宋体" w:hAnsi="宋体"/>
          <w:szCs w:val="21"/>
        </w:rPr>
        <w:t>（1）专家论证结果</w:t>
      </w:r>
    </w:p>
    <w:p w14:paraId="29390D54">
      <w:pPr>
        <w:spacing w:line="400" w:lineRule="exact"/>
        <w:ind w:firstLine="420" w:firstLineChars="200"/>
        <w:rPr>
          <w:rFonts w:ascii="宋体" w:hAnsi="宋体"/>
          <w:szCs w:val="21"/>
        </w:rPr>
      </w:pPr>
      <w:r>
        <w:rPr>
          <w:rFonts w:ascii="宋体" w:hAnsi="宋体"/>
          <w:szCs w:val="21"/>
        </w:rPr>
        <w:t>全体</w:t>
      </w:r>
      <w:r>
        <w:rPr>
          <w:rFonts w:hint="eastAsia" w:ascii="宋体" w:hAnsi="宋体"/>
          <w:szCs w:val="21"/>
        </w:rPr>
        <w:t>12</w:t>
      </w:r>
      <w:r>
        <w:rPr>
          <w:rFonts w:ascii="宋体" w:hAnsi="宋体"/>
          <w:szCs w:val="21"/>
        </w:rPr>
        <w:t>位专家一致同意（2分/须选），</w:t>
      </w:r>
      <w:r>
        <w:rPr>
          <w:rFonts w:hint="eastAsia" w:ascii="宋体" w:hAnsi="宋体"/>
          <w:szCs w:val="21"/>
        </w:rPr>
        <w:t>1位专家部分同意，</w:t>
      </w:r>
      <w:r>
        <w:rPr>
          <w:rFonts w:ascii="宋体" w:hAnsi="宋体"/>
          <w:szCs w:val="21"/>
        </w:rPr>
        <w:t>支持率</w:t>
      </w:r>
      <w:r>
        <w:rPr>
          <w:rFonts w:hint="eastAsia" w:ascii="宋体" w:hAnsi="宋体"/>
          <w:szCs w:val="21"/>
        </w:rPr>
        <w:t>92.31</w:t>
      </w:r>
      <w:r>
        <w:rPr>
          <w:rFonts w:ascii="宋体" w:hAnsi="宋体"/>
          <w:szCs w:val="21"/>
        </w:rPr>
        <w:t>%。</w:t>
      </w:r>
    </w:p>
    <w:p w14:paraId="56BED0A7">
      <w:pPr>
        <w:spacing w:line="400" w:lineRule="exact"/>
        <w:ind w:firstLine="420" w:firstLineChars="200"/>
        <w:rPr>
          <w:rFonts w:ascii="宋体" w:hAnsi="宋体"/>
          <w:szCs w:val="21"/>
        </w:rPr>
      </w:pPr>
      <w:r>
        <w:rPr>
          <w:rFonts w:ascii="宋体" w:hAnsi="宋体"/>
          <w:szCs w:val="21"/>
        </w:rPr>
        <w:t>（2）主要修改建议</w:t>
      </w:r>
    </w:p>
    <w:p w14:paraId="3F6B3C6B">
      <w:pPr>
        <w:spacing w:line="400" w:lineRule="exact"/>
        <w:ind w:firstLine="420" w:firstLineChars="200"/>
        <w:rPr>
          <w:rFonts w:ascii="宋体" w:hAnsi="宋体"/>
          <w:szCs w:val="21"/>
        </w:rPr>
      </w:pPr>
      <w:r>
        <w:rPr>
          <w:rFonts w:hint="eastAsia" w:ascii="宋体" w:hAnsi="宋体"/>
          <w:szCs w:val="21"/>
        </w:rPr>
        <w:t>王丽丽：1、只能用“特制药艾条”，普通艾条可以吗？  2、“棉纸、棉布或纱布 ”改为“无菌纱布”是否更规范？。</w:t>
      </w:r>
    </w:p>
    <w:p w14:paraId="2B84F1B9">
      <w:pPr>
        <w:spacing w:line="400" w:lineRule="exact"/>
        <w:ind w:firstLine="420" w:firstLineChars="200"/>
        <w:rPr>
          <w:rFonts w:ascii="宋体" w:hAnsi="宋体"/>
          <w:szCs w:val="21"/>
        </w:rPr>
      </w:pPr>
      <w:r>
        <w:rPr>
          <w:rFonts w:hint="eastAsia" w:ascii="宋体" w:hAnsi="宋体"/>
          <w:szCs w:val="21"/>
        </w:rPr>
        <w:t>俞建：确认是“棉纸”还是“绵纸”。</w:t>
      </w:r>
    </w:p>
    <w:p w14:paraId="467E557B">
      <w:pPr>
        <w:spacing w:line="400" w:lineRule="exact"/>
        <w:jc w:val="left"/>
        <w:rPr>
          <w:rFonts w:ascii="仿宋" w:hAnsi="仿宋" w:eastAsia="仿宋"/>
          <w:b/>
          <w:bCs/>
          <w:sz w:val="24"/>
          <w:szCs w:val="24"/>
        </w:rPr>
      </w:pPr>
      <w:r>
        <w:rPr>
          <w:rFonts w:hint="eastAsia" w:ascii="仿宋" w:hAnsi="仿宋" w:eastAsia="仿宋"/>
          <w:b/>
          <w:bCs/>
          <w:sz w:val="24"/>
          <w:szCs w:val="24"/>
        </w:rPr>
        <w:t>3.项目组决议</w:t>
      </w:r>
    </w:p>
    <w:p w14:paraId="5882B59E">
      <w:pPr>
        <w:spacing w:line="400" w:lineRule="exact"/>
        <w:ind w:firstLine="420" w:firstLineChars="200"/>
        <w:rPr>
          <w:rFonts w:ascii="宋体" w:hAnsi="宋体"/>
          <w:szCs w:val="21"/>
        </w:rPr>
      </w:pPr>
      <w:r>
        <w:rPr>
          <w:rFonts w:hint="eastAsia" w:ascii="宋体" w:hAnsi="宋体"/>
          <w:szCs w:val="21"/>
        </w:rPr>
        <w:t>决议：（1）艾条分为清艾条和药艾条，实按灸一般采用特制的</w:t>
      </w:r>
      <w:r>
        <w:rPr>
          <w:rFonts w:ascii="宋体" w:hAnsi="宋体"/>
          <w:szCs w:val="21"/>
        </w:rPr>
        <w:t>药艾条</w:t>
      </w:r>
      <w:r>
        <w:rPr>
          <w:rFonts w:hint="eastAsia" w:ascii="宋体" w:hAnsi="宋体"/>
          <w:szCs w:val="21"/>
        </w:rPr>
        <w:t>，含有药材，且直径也比普通艾条大，雷火灸艾条因药物比例较高可能需特制模具压制</w:t>
      </w:r>
      <w:r>
        <w:rPr>
          <w:rFonts w:ascii="宋体" w:hAnsi="宋体"/>
          <w:szCs w:val="21"/>
        </w:rPr>
        <w:t>。</w:t>
      </w:r>
      <w:r>
        <w:rPr>
          <w:rFonts w:hint="eastAsia" w:ascii="宋体" w:hAnsi="宋体"/>
          <w:szCs w:val="21"/>
        </w:rPr>
        <w:t>（2）“纱布”听取专家意见，改为</w:t>
      </w:r>
      <w:r>
        <w:rPr>
          <w:rFonts w:ascii="宋体" w:hAnsi="宋体"/>
          <w:szCs w:val="21"/>
        </w:rPr>
        <w:t>“无菌纱布”</w:t>
      </w:r>
      <w:r>
        <w:rPr>
          <w:rFonts w:hint="eastAsia" w:ascii="宋体" w:hAnsi="宋体"/>
          <w:szCs w:val="21"/>
        </w:rPr>
        <w:t>。（3）参考“</w:t>
      </w:r>
      <w:r>
        <w:fldChar w:fldCharType="begin"/>
      </w:r>
      <w:r>
        <w:instrText xml:space="preserve"> HYPERLINK "https://std.samr.gov.cn/gb/search/gbDetailed?id=D1E86BE73AD9430EE05397BE0A0A206B" \t "https://std.samr.gov.cn/search/_blank" </w:instrText>
      </w:r>
      <w:r>
        <w:fldChar w:fldCharType="separate"/>
      </w:r>
      <w:r>
        <w:rPr>
          <w:rFonts w:hint="eastAsia" w:ascii="宋体" w:hAnsi="宋体"/>
          <w:szCs w:val="21"/>
        </w:rPr>
        <w:t>GB/T 40975-2021  清艾条</w:t>
      </w:r>
      <w:r>
        <w:rPr>
          <w:rFonts w:hint="eastAsia" w:ascii="宋体" w:hAnsi="宋体"/>
          <w:szCs w:val="21"/>
        </w:rPr>
        <w:fldChar w:fldCharType="end"/>
      </w:r>
      <w:r>
        <w:rPr>
          <w:rFonts w:hint="eastAsia" w:ascii="宋体" w:hAnsi="宋体"/>
          <w:szCs w:val="21"/>
        </w:rPr>
        <w:t>”</w:t>
      </w:r>
    </w:p>
    <w:p w14:paraId="5E32A311">
      <w:pPr>
        <w:spacing w:line="400" w:lineRule="exact"/>
        <w:ind w:firstLine="420" w:firstLineChars="200"/>
        <w:rPr>
          <w:rFonts w:ascii="宋体" w:hAnsi="宋体"/>
          <w:szCs w:val="21"/>
        </w:rPr>
      </w:pPr>
      <w:r>
        <w:rPr>
          <w:rFonts w:hint="eastAsia" w:ascii="宋体" w:hAnsi="宋体"/>
          <w:szCs w:val="21"/>
        </w:rPr>
        <w:t>最终修改后的版本：</w:t>
      </w:r>
    </w:p>
    <w:p w14:paraId="1D497C5B">
      <w:pPr>
        <w:spacing w:line="400" w:lineRule="exact"/>
        <w:ind w:firstLine="420" w:firstLineChars="200"/>
        <w:rPr>
          <w:rFonts w:ascii="宋体" w:hAnsi="宋体"/>
          <w:szCs w:val="21"/>
        </w:rPr>
      </w:pPr>
      <w:r>
        <w:rPr>
          <w:rFonts w:ascii="宋体" w:hAnsi="宋体"/>
          <w:szCs w:val="21"/>
        </w:rPr>
        <w:t>选定施灸部位，以特制药艾条点燃一端。在穴位处铺设约5～10层棉纸</w:t>
      </w:r>
      <w:r>
        <w:rPr>
          <w:rFonts w:hint="eastAsia" w:ascii="宋体" w:hAnsi="宋体"/>
          <w:szCs w:val="21"/>
        </w:rPr>
        <w:t>、棉布</w:t>
      </w:r>
      <w:r>
        <w:rPr>
          <w:rFonts w:ascii="宋体" w:hAnsi="宋体"/>
          <w:szCs w:val="21"/>
        </w:rPr>
        <w:t>或</w:t>
      </w:r>
      <w:r>
        <w:rPr>
          <w:rFonts w:ascii="宋体" w:hAnsi="宋体"/>
          <w:color w:val="auto"/>
          <w:szCs w:val="21"/>
        </w:rPr>
        <w:t>纱布</w:t>
      </w:r>
      <w:r>
        <w:rPr>
          <w:rFonts w:ascii="宋体" w:hAnsi="宋体"/>
          <w:szCs w:val="21"/>
        </w:rPr>
        <w:t>，以隔热防烫。术者以执笔状手持艾条，将燃着端对准施灸部位，隔着铺设物紧按在穴位上，停留约1s～2s，使药气与热力透达深部，患儿局部有明显温热感即提起艾条，稍停后再按。如操作中艾火熄灭，可重新点燃或以预先点燃的备用艾条迅速接替施灸，如此反复。每次每穴按灸约3～7次，移去艾条和铺设物，见患儿施灸部位皮肤出现温热和红晕现象为度。每日或隔日1次。</w:t>
      </w:r>
    </w:p>
    <w:p w14:paraId="7D8262B0">
      <w:pPr>
        <w:spacing w:line="400" w:lineRule="exact"/>
        <w:jc w:val="left"/>
        <w:rPr>
          <w:rFonts w:ascii="仿宋" w:hAnsi="仿宋" w:eastAsia="仿宋"/>
          <w:b/>
          <w:bCs/>
          <w:sz w:val="24"/>
          <w:szCs w:val="24"/>
        </w:rPr>
      </w:pPr>
      <w:r>
        <w:rPr>
          <w:rFonts w:hint="eastAsia" w:ascii="仿宋" w:hAnsi="仿宋" w:eastAsia="仿宋"/>
          <w:b/>
          <w:bCs/>
          <w:sz w:val="24"/>
          <w:szCs w:val="24"/>
        </w:rPr>
        <w:t>（三）条目3：艾灸术后护理</w:t>
      </w:r>
    </w:p>
    <w:p w14:paraId="4F94E238">
      <w:pPr>
        <w:spacing w:line="400" w:lineRule="exact"/>
        <w:jc w:val="left"/>
        <w:rPr>
          <w:rFonts w:ascii="仿宋" w:hAnsi="仿宋" w:eastAsia="仿宋"/>
          <w:b/>
          <w:bCs/>
          <w:sz w:val="24"/>
          <w:szCs w:val="24"/>
        </w:rPr>
      </w:pPr>
      <w:r>
        <w:rPr>
          <w:rFonts w:hint="eastAsia" w:ascii="仿宋" w:hAnsi="仿宋" w:eastAsia="仿宋"/>
          <w:b/>
          <w:bCs/>
          <w:sz w:val="24"/>
          <w:szCs w:val="24"/>
        </w:rPr>
        <w:t>1.征求意见函原文</w:t>
      </w:r>
    </w:p>
    <w:p w14:paraId="0A0A6478">
      <w:pPr>
        <w:spacing w:line="400" w:lineRule="exact"/>
        <w:ind w:firstLine="420" w:firstLineChars="200"/>
        <w:rPr>
          <w:rFonts w:ascii="宋体" w:hAnsi="宋体"/>
          <w:szCs w:val="21"/>
        </w:rPr>
      </w:pPr>
      <w:r>
        <w:rPr>
          <w:rFonts w:hint="eastAsia" w:ascii="宋体" w:hAnsi="宋体"/>
          <w:szCs w:val="21"/>
        </w:rPr>
        <w:t>（1）</w:t>
      </w:r>
      <w:r>
        <w:rPr>
          <w:rFonts w:ascii="宋体" w:hAnsi="宋体"/>
          <w:szCs w:val="21"/>
        </w:rPr>
        <w:t>国家标准原文：</w:t>
      </w:r>
    </w:p>
    <w:p w14:paraId="4D24AA9A">
      <w:pPr>
        <w:spacing w:line="400" w:lineRule="exact"/>
        <w:ind w:firstLine="420" w:firstLineChars="200"/>
        <w:rPr>
          <w:rFonts w:ascii="宋体" w:hAnsi="宋体"/>
          <w:szCs w:val="21"/>
        </w:rPr>
      </w:pPr>
      <w:r>
        <w:rPr>
          <w:rFonts w:ascii="宋体" w:hAnsi="宋体"/>
          <w:szCs w:val="21"/>
        </w:rPr>
        <w:t>施灸后，皮肤多有红晕灼热感，不需处理，可自行消失。若施灸部位局部发生水肿或水泡，水泡直径小于1 cm时，避免擦破，可任其自然吸收；如水泡直径在1 cm以上且泡液较多时，可用消毒毫针刺破水泡，放出泡液，或用一次性注射器抽出水液，消毒后用无菌纱布包裹；若不慎导致灸疮，严重者应以消炎药膏或玉红膏涂覆，或请外科医师协助处理。</w:t>
      </w:r>
    </w:p>
    <w:p w14:paraId="33D5AB37">
      <w:pPr>
        <w:spacing w:line="400" w:lineRule="exact"/>
        <w:ind w:firstLine="420" w:firstLineChars="200"/>
        <w:rPr>
          <w:rFonts w:ascii="宋体" w:hAnsi="宋体"/>
          <w:szCs w:val="21"/>
        </w:rPr>
      </w:pPr>
      <w:r>
        <w:rPr>
          <w:rFonts w:hint="eastAsia" w:ascii="宋体" w:hAnsi="宋体"/>
          <w:szCs w:val="21"/>
        </w:rPr>
        <w:t>（2）</w:t>
      </w:r>
      <w:r>
        <w:rPr>
          <w:rFonts w:ascii="宋体" w:hAnsi="宋体"/>
          <w:szCs w:val="21"/>
        </w:rPr>
        <w:t>项目组意见</w:t>
      </w:r>
      <w:r>
        <w:rPr>
          <w:rFonts w:hint="eastAsia" w:ascii="宋体" w:hAnsi="宋体"/>
          <w:szCs w:val="21"/>
        </w:rPr>
        <w:t>：</w:t>
      </w:r>
    </w:p>
    <w:p w14:paraId="157CF170">
      <w:pPr>
        <w:spacing w:line="400" w:lineRule="exact"/>
        <w:ind w:firstLine="420" w:firstLineChars="200"/>
        <w:rPr>
          <w:rFonts w:ascii="宋体" w:hAnsi="宋体"/>
          <w:szCs w:val="21"/>
        </w:rPr>
      </w:pPr>
      <w:r>
        <w:rPr>
          <w:rFonts w:ascii="宋体" w:hAnsi="宋体"/>
          <w:szCs w:val="21"/>
        </w:rPr>
        <w:t>施灸后，皮肤多有红晕灼热感，不需处理，可自行消失。应避免造成患儿皮肤损伤，若施灸部位局部发生水肿或水泡，水泡直径小于1 cm时，避免擦破，可任其自然吸收；如水泡直径在1 cm以上且泡液较多时，建议请外科医师协助处理。</w:t>
      </w:r>
    </w:p>
    <w:p w14:paraId="5C3DEB50">
      <w:pPr>
        <w:spacing w:line="400" w:lineRule="exact"/>
        <w:jc w:val="left"/>
        <w:rPr>
          <w:rFonts w:ascii="仿宋" w:hAnsi="仿宋" w:eastAsia="仿宋"/>
          <w:b/>
          <w:bCs/>
          <w:sz w:val="24"/>
          <w:szCs w:val="24"/>
        </w:rPr>
      </w:pPr>
      <w:r>
        <w:rPr>
          <w:rFonts w:ascii="仿宋" w:hAnsi="仿宋" w:eastAsia="仿宋"/>
          <w:b/>
          <w:bCs/>
          <w:sz w:val="24"/>
          <w:szCs w:val="24"/>
        </w:rPr>
        <w:t>2.专家论证意见</w:t>
      </w:r>
    </w:p>
    <w:p w14:paraId="20404B32">
      <w:pPr>
        <w:spacing w:line="400" w:lineRule="exact"/>
        <w:ind w:firstLine="420" w:firstLineChars="200"/>
        <w:rPr>
          <w:rFonts w:ascii="宋体" w:hAnsi="宋体"/>
          <w:szCs w:val="21"/>
        </w:rPr>
      </w:pPr>
      <w:r>
        <w:rPr>
          <w:rFonts w:ascii="宋体" w:hAnsi="宋体"/>
          <w:szCs w:val="21"/>
        </w:rPr>
        <w:t>（1）专家论证结果</w:t>
      </w:r>
    </w:p>
    <w:p w14:paraId="675F2F2B">
      <w:pPr>
        <w:spacing w:line="400" w:lineRule="exact"/>
        <w:ind w:firstLine="420" w:firstLineChars="200"/>
        <w:rPr>
          <w:rFonts w:ascii="宋体" w:hAnsi="宋体"/>
          <w:szCs w:val="21"/>
        </w:rPr>
      </w:pPr>
      <w:r>
        <w:rPr>
          <w:rFonts w:ascii="宋体" w:hAnsi="宋体"/>
          <w:szCs w:val="21"/>
        </w:rPr>
        <w:t>全体13位专家一致同意（2分/须选），支持率100%。</w:t>
      </w:r>
    </w:p>
    <w:p w14:paraId="5D8BF369">
      <w:pPr>
        <w:spacing w:line="400" w:lineRule="exact"/>
        <w:ind w:firstLine="420" w:firstLineChars="200"/>
        <w:rPr>
          <w:rFonts w:ascii="宋体" w:hAnsi="宋体"/>
          <w:szCs w:val="21"/>
        </w:rPr>
      </w:pPr>
      <w:r>
        <w:rPr>
          <w:rFonts w:ascii="宋体" w:hAnsi="宋体"/>
          <w:szCs w:val="21"/>
        </w:rPr>
        <w:t>（2）主要修改建议</w:t>
      </w:r>
    </w:p>
    <w:p w14:paraId="352E76A6">
      <w:pPr>
        <w:spacing w:line="400" w:lineRule="exact"/>
        <w:ind w:firstLine="420" w:firstLineChars="200"/>
        <w:rPr>
          <w:rFonts w:ascii="宋体" w:hAnsi="宋体"/>
          <w:szCs w:val="21"/>
        </w:rPr>
      </w:pPr>
      <w:r>
        <w:rPr>
          <w:rFonts w:hint="eastAsia" w:ascii="宋体" w:hAnsi="宋体"/>
          <w:szCs w:val="21"/>
        </w:rPr>
        <w:t>无具体修改意见。</w:t>
      </w:r>
    </w:p>
    <w:p w14:paraId="418A2400">
      <w:pPr>
        <w:spacing w:line="400" w:lineRule="exact"/>
        <w:jc w:val="left"/>
        <w:rPr>
          <w:rFonts w:ascii="仿宋" w:hAnsi="仿宋" w:eastAsia="仿宋"/>
          <w:b/>
          <w:bCs/>
          <w:sz w:val="24"/>
          <w:szCs w:val="24"/>
        </w:rPr>
      </w:pPr>
      <w:r>
        <w:rPr>
          <w:rFonts w:hint="eastAsia" w:ascii="仿宋" w:hAnsi="仿宋" w:eastAsia="仿宋"/>
          <w:b/>
          <w:bCs/>
          <w:sz w:val="24"/>
          <w:szCs w:val="24"/>
        </w:rPr>
        <w:t>3.项目组决议</w:t>
      </w:r>
    </w:p>
    <w:p w14:paraId="0394E869">
      <w:pPr>
        <w:spacing w:line="400" w:lineRule="exact"/>
        <w:ind w:firstLine="420" w:firstLineChars="200"/>
        <w:rPr>
          <w:rFonts w:ascii="宋体" w:hAnsi="宋体"/>
          <w:szCs w:val="21"/>
        </w:rPr>
      </w:pPr>
      <w:r>
        <w:rPr>
          <w:rFonts w:ascii="宋体" w:hAnsi="宋体"/>
          <w:szCs w:val="21"/>
        </w:rPr>
        <w:t>全票通过，采纳项目组意见。</w:t>
      </w:r>
    </w:p>
    <w:p w14:paraId="15124A36">
      <w:pPr>
        <w:spacing w:line="400" w:lineRule="exact"/>
        <w:jc w:val="left"/>
        <w:rPr>
          <w:rFonts w:ascii="仿宋" w:hAnsi="仿宋" w:eastAsia="仿宋"/>
          <w:b/>
          <w:bCs/>
          <w:sz w:val="24"/>
          <w:szCs w:val="24"/>
        </w:rPr>
      </w:pPr>
      <w:r>
        <w:rPr>
          <w:rFonts w:hint="eastAsia" w:ascii="仿宋" w:hAnsi="仿宋" w:eastAsia="仿宋"/>
          <w:b/>
          <w:bCs/>
          <w:sz w:val="24"/>
          <w:szCs w:val="24"/>
        </w:rPr>
        <w:t>（四）条目4：弹法（弹叩针柄法）定义和技术要点</w:t>
      </w:r>
    </w:p>
    <w:p w14:paraId="05138ED2">
      <w:pPr>
        <w:spacing w:line="400" w:lineRule="exact"/>
        <w:jc w:val="left"/>
        <w:rPr>
          <w:rFonts w:ascii="仿宋" w:hAnsi="仿宋" w:eastAsia="仿宋"/>
          <w:b/>
          <w:bCs/>
          <w:sz w:val="24"/>
          <w:szCs w:val="24"/>
        </w:rPr>
      </w:pPr>
      <w:r>
        <w:rPr>
          <w:rFonts w:hint="eastAsia" w:ascii="仿宋" w:hAnsi="仿宋" w:eastAsia="仿宋"/>
          <w:b/>
          <w:bCs/>
          <w:sz w:val="24"/>
          <w:szCs w:val="24"/>
        </w:rPr>
        <w:t>1.征求意见函原文</w:t>
      </w:r>
    </w:p>
    <w:p w14:paraId="7D8D5C00">
      <w:pPr>
        <w:spacing w:line="400" w:lineRule="exact"/>
        <w:ind w:firstLine="420" w:firstLineChars="200"/>
        <w:rPr>
          <w:rFonts w:ascii="宋体" w:hAnsi="宋体"/>
          <w:szCs w:val="21"/>
        </w:rPr>
      </w:pPr>
      <w:r>
        <w:rPr>
          <w:rFonts w:hint="eastAsia" w:ascii="宋体" w:hAnsi="宋体"/>
          <w:szCs w:val="21"/>
        </w:rPr>
        <w:t>（1）</w:t>
      </w:r>
      <w:r>
        <w:rPr>
          <w:rFonts w:ascii="宋体" w:hAnsi="宋体"/>
          <w:szCs w:val="21"/>
        </w:rPr>
        <w:t>国家标准原文：</w:t>
      </w:r>
    </w:p>
    <w:p w14:paraId="3ABDA84D">
      <w:pPr>
        <w:spacing w:line="400" w:lineRule="exact"/>
        <w:ind w:firstLine="420" w:firstLineChars="200"/>
        <w:rPr>
          <w:rFonts w:ascii="宋体" w:hAnsi="宋体"/>
          <w:szCs w:val="21"/>
        </w:rPr>
      </w:pPr>
      <w:r>
        <w:rPr>
          <w:rFonts w:ascii="宋体" w:hAnsi="宋体"/>
          <w:szCs w:val="21"/>
        </w:rPr>
        <w:t>弹法（弹叩针柄法）</w:t>
      </w:r>
    </w:p>
    <w:p w14:paraId="245A0A6B">
      <w:pPr>
        <w:spacing w:line="400" w:lineRule="exact"/>
        <w:ind w:firstLine="420" w:firstLineChars="200"/>
        <w:rPr>
          <w:rFonts w:ascii="宋体" w:hAnsi="宋体"/>
          <w:szCs w:val="21"/>
        </w:rPr>
      </w:pPr>
      <w:r>
        <w:rPr>
          <w:rFonts w:ascii="宋体" w:hAnsi="宋体"/>
          <w:szCs w:val="21"/>
        </w:rPr>
        <w:t>医师拇指与示指相交，对准刺入穴内的针柄尾部轻轻弹叩，使针体发生微微震颤，也可用示指一指对准针柄弹震，使针体振动。</w:t>
      </w:r>
    </w:p>
    <w:p w14:paraId="654D888D">
      <w:pPr>
        <w:spacing w:line="400" w:lineRule="exact"/>
        <w:ind w:firstLine="420" w:firstLineChars="200"/>
        <w:rPr>
          <w:rFonts w:ascii="宋体" w:hAnsi="宋体"/>
          <w:szCs w:val="21"/>
        </w:rPr>
      </w:pPr>
      <w:r>
        <w:rPr>
          <w:rFonts w:ascii="宋体" w:hAnsi="宋体"/>
          <w:szCs w:val="21"/>
        </w:rPr>
        <w:t>技术要点：弹不可过猛，以免引起弯针、滞针。弹不可过频，以免产生相反作用，反使经气速去。弹法应在留针期轻轻弹叩，一般7～10次。</w:t>
      </w:r>
    </w:p>
    <w:p w14:paraId="35200966">
      <w:pPr>
        <w:spacing w:line="400" w:lineRule="exact"/>
        <w:ind w:firstLine="420" w:firstLineChars="200"/>
        <w:rPr>
          <w:rFonts w:ascii="宋体" w:hAnsi="宋体"/>
          <w:szCs w:val="21"/>
        </w:rPr>
      </w:pPr>
      <w:r>
        <w:rPr>
          <w:rFonts w:hint="eastAsia" w:ascii="宋体" w:hAnsi="宋体"/>
          <w:szCs w:val="21"/>
        </w:rPr>
        <w:t>（2）</w:t>
      </w:r>
      <w:r>
        <w:rPr>
          <w:rFonts w:ascii="宋体" w:hAnsi="宋体"/>
          <w:szCs w:val="21"/>
        </w:rPr>
        <w:t>项目组意见</w:t>
      </w:r>
      <w:r>
        <w:rPr>
          <w:rFonts w:hint="eastAsia" w:ascii="宋体" w:hAnsi="宋体"/>
          <w:szCs w:val="21"/>
        </w:rPr>
        <w:t>：</w:t>
      </w:r>
    </w:p>
    <w:p w14:paraId="5B831815">
      <w:pPr>
        <w:spacing w:line="400" w:lineRule="exact"/>
        <w:ind w:firstLine="420" w:firstLineChars="200"/>
        <w:rPr>
          <w:rFonts w:ascii="宋体" w:hAnsi="宋体"/>
          <w:szCs w:val="21"/>
        </w:rPr>
      </w:pPr>
      <w:r>
        <w:rPr>
          <w:rFonts w:ascii="宋体" w:hAnsi="宋体"/>
          <w:szCs w:val="21"/>
        </w:rPr>
        <w:t>弹法（弹叩针柄法）</w:t>
      </w:r>
    </w:p>
    <w:p w14:paraId="5EBB82C8">
      <w:pPr>
        <w:spacing w:line="400" w:lineRule="exact"/>
        <w:ind w:firstLine="420" w:firstLineChars="200"/>
        <w:rPr>
          <w:rFonts w:ascii="宋体" w:hAnsi="宋体"/>
          <w:szCs w:val="21"/>
        </w:rPr>
      </w:pPr>
      <w:r>
        <w:rPr>
          <w:rFonts w:ascii="宋体" w:hAnsi="宋体"/>
          <w:szCs w:val="21"/>
        </w:rPr>
        <w:t>医师以拇指与示指（或中指）交互，用指甲轻轻弹击刺入穴位的针柄尾部，使针体产生微微震颤，以调节经气。</w:t>
      </w:r>
    </w:p>
    <w:p w14:paraId="1FD4F8A3">
      <w:pPr>
        <w:spacing w:line="400" w:lineRule="exact"/>
        <w:ind w:firstLine="420" w:firstLineChars="200"/>
        <w:rPr>
          <w:rFonts w:ascii="宋体" w:hAnsi="宋体"/>
          <w:szCs w:val="21"/>
        </w:rPr>
      </w:pPr>
      <w:r>
        <w:rPr>
          <w:rFonts w:ascii="宋体" w:hAnsi="宋体"/>
          <w:szCs w:val="21"/>
        </w:rPr>
        <w:t>技术要点：动作不可过猛过频，一般在留针期间弹叩约7～10次。10岁以下儿童可不用弹法。</w:t>
      </w:r>
    </w:p>
    <w:p w14:paraId="2CCFA811">
      <w:pPr>
        <w:spacing w:line="400" w:lineRule="exact"/>
        <w:jc w:val="left"/>
        <w:rPr>
          <w:rFonts w:ascii="仿宋" w:hAnsi="仿宋" w:eastAsia="仿宋"/>
          <w:b/>
          <w:bCs/>
          <w:sz w:val="24"/>
          <w:szCs w:val="24"/>
        </w:rPr>
      </w:pPr>
      <w:r>
        <w:rPr>
          <w:rFonts w:ascii="仿宋" w:hAnsi="仿宋" w:eastAsia="仿宋"/>
          <w:b/>
          <w:bCs/>
          <w:sz w:val="24"/>
          <w:szCs w:val="24"/>
        </w:rPr>
        <w:t>2.专家论证意见</w:t>
      </w:r>
    </w:p>
    <w:p w14:paraId="47E2BE2C">
      <w:pPr>
        <w:spacing w:line="400" w:lineRule="exact"/>
        <w:ind w:firstLine="420" w:firstLineChars="200"/>
        <w:rPr>
          <w:rFonts w:ascii="宋体" w:hAnsi="宋体"/>
          <w:szCs w:val="21"/>
        </w:rPr>
      </w:pPr>
      <w:r>
        <w:rPr>
          <w:rFonts w:ascii="宋体" w:hAnsi="宋体"/>
          <w:szCs w:val="21"/>
        </w:rPr>
        <w:t>（1）专家论证结果</w:t>
      </w:r>
    </w:p>
    <w:p w14:paraId="78501B35">
      <w:pPr>
        <w:spacing w:line="400" w:lineRule="exact"/>
        <w:ind w:firstLine="420" w:firstLineChars="200"/>
        <w:rPr>
          <w:rFonts w:ascii="宋体" w:hAnsi="宋体"/>
          <w:szCs w:val="21"/>
        </w:rPr>
      </w:pPr>
      <w:r>
        <w:rPr>
          <w:rFonts w:ascii="宋体" w:hAnsi="宋体"/>
          <w:szCs w:val="21"/>
        </w:rPr>
        <w:t>全体13位专家一致同意（2分/须选），支持率100%。</w:t>
      </w:r>
    </w:p>
    <w:p w14:paraId="25CA22EF">
      <w:pPr>
        <w:spacing w:line="400" w:lineRule="exact"/>
        <w:ind w:firstLine="420" w:firstLineChars="200"/>
        <w:rPr>
          <w:rFonts w:ascii="宋体" w:hAnsi="宋体"/>
          <w:szCs w:val="21"/>
        </w:rPr>
      </w:pPr>
      <w:r>
        <w:rPr>
          <w:rFonts w:ascii="宋体" w:hAnsi="宋体"/>
          <w:szCs w:val="21"/>
        </w:rPr>
        <w:t>（2）主要修改建议</w:t>
      </w:r>
    </w:p>
    <w:p w14:paraId="229B94C0">
      <w:pPr>
        <w:spacing w:line="400" w:lineRule="exact"/>
        <w:ind w:firstLine="420" w:firstLineChars="200"/>
        <w:rPr>
          <w:rFonts w:ascii="宋体" w:hAnsi="宋体"/>
          <w:szCs w:val="21"/>
        </w:rPr>
      </w:pPr>
      <w:r>
        <w:rPr>
          <w:rFonts w:hint="eastAsia" w:ascii="宋体" w:hAnsi="宋体"/>
          <w:szCs w:val="21"/>
        </w:rPr>
        <w:t>无具体修改意见。</w:t>
      </w:r>
    </w:p>
    <w:p w14:paraId="18E98B4E">
      <w:pPr>
        <w:spacing w:line="400" w:lineRule="exact"/>
        <w:jc w:val="left"/>
        <w:rPr>
          <w:rFonts w:ascii="仿宋" w:hAnsi="仿宋" w:eastAsia="仿宋"/>
          <w:b/>
          <w:bCs/>
          <w:sz w:val="24"/>
          <w:szCs w:val="24"/>
        </w:rPr>
      </w:pPr>
      <w:r>
        <w:rPr>
          <w:rFonts w:hint="eastAsia" w:ascii="仿宋" w:hAnsi="仿宋" w:eastAsia="仿宋"/>
          <w:b/>
          <w:bCs/>
          <w:sz w:val="24"/>
          <w:szCs w:val="24"/>
        </w:rPr>
        <w:t>3.项目组决议</w:t>
      </w:r>
    </w:p>
    <w:p w14:paraId="36562EBC">
      <w:pPr>
        <w:spacing w:line="400" w:lineRule="exact"/>
        <w:ind w:firstLine="420" w:firstLineChars="200"/>
        <w:rPr>
          <w:rFonts w:ascii="宋体" w:hAnsi="宋体"/>
          <w:szCs w:val="21"/>
        </w:rPr>
      </w:pPr>
      <w:r>
        <w:rPr>
          <w:rFonts w:ascii="宋体" w:hAnsi="宋体"/>
          <w:szCs w:val="21"/>
        </w:rPr>
        <w:t>全票通过，采纳项目组意见。</w:t>
      </w:r>
    </w:p>
    <w:p w14:paraId="4D574A54">
      <w:pPr>
        <w:spacing w:line="400" w:lineRule="exact"/>
        <w:jc w:val="left"/>
        <w:rPr>
          <w:rFonts w:ascii="仿宋" w:hAnsi="仿宋" w:eastAsia="仿宋"/>
          <w:b/>
          <w:bCs/>
          <w:sz w:val="24"/>
          <w:szCs w:val="24"/>
        </w:rPr>
      </w:pPr>
      <w:r>
        <w:rPr>
          <w:rFonts w:hint="eastAsia" w:ascii="仿宋" w:hAnsi="仿宋" w:eastAsia="仿宋"/>
          <w:b/>
          <w:bCs/>
          <w:sz w:val="24"/>
          <w:szCs w:val="24"/>
        </w:rPr>
        <w:t>四、开放性问题专家决议</w:t>
      </w:r>
    </w:p>
    <w:p w14:paraId="74F43D0A">
      <w:pPr>
        <w:spacing w:line="400" w:lineRule="exact"/>
        <w:jc w:val="left"/>
        <w:rPr>
          <w:rFonts w:ascii="仿宋" w:hAnsi="仿宋" w:eastAsia="仿宋"/>
          <w:b/>
          <w:bCs/>
          <w:sz w:val="24"/>
          <w:szCs w:val="24"/>
        </w:rPr>
      </w:pPr>
      <w:r>
        <w:rPr>
          <w:rFonts w:hint="eastAsia" w:ascii="仿宋" w:hAnsi="仿宋" w:eastAsia="仿宋"/>
          <w:b/>
          <w:bCs/>
          <w:sz w:val="24"/>
          <w:szCs w:val="24"/>
        </w:rPr>
        <w:t>（一）问题1：表述规范性问题</w:t>
      </w:r>
    </w:p>
    <w:p w14:paraId="41616B0C">
      <w:pPr>
        <w:spacing w:line="400" w:lineRule="exact"/>
        <w:jc w:val="left"/>
        <w:rPr>
          <w:rFonts w:ascii="仿宋" w:hAnsi="仿宋" w:eastAsia="仿宋"/>
          <w:b/>
          <w:bCs/>
          <w:sz w:val="24"/>
          <w:szCs w:val="24"/>
        </w:rPr>
      </w:pPr>
      <w:r>
        <w:rPr>
          <w:rFonts w:hint="eastAsia" w:ascii="仿宋" w:hAnsi="仿宋" w:eastAsia="仿宋"/>
          <w:b/>
          <w:bCs/>
          <w:sz w:val="24"/>
          <w:szCs w:val="24"/>
        </w:rPr>
        <w:t>1.征求意见函原文</w:t>
      </w:r>
    </w:p>
    <w:p w14:paraId="4B4EBB82">
      <w:pPr>
        <w:spacing w:line="400" w:lineRule="exact"/>
        <w:jc w:val="left"/>
        <w:rPr>
          <w:rFonts w:ascii="仿宋" w:hAnsi="仿宋" w:eastAsia="仿宋"/>
          <w:sz w:val="24"/>
          <w:szCs w:val="24"/>
        </w:rPr>
      </w:pPr>
      <w:r>
        <w:rPr>
          <w:rFonts w:hint="eastAsia" w:ascii="仿宋" w:hAnsi="仿宋" w:eastAsia="仿宋"/>
          <w:sz w:val="24"/>
          <w:szCs w:val="24"/>
        </w:rPr>
        <w:t>（1）问卷调查专家意见</w:t>
      </w:r>
    </w:p>
    <w:p w14:paraId="737B7E22">
      <w:pPr>
        <w:spacing w:line="400" w:lineRule="exact"/>
        <w:ind w:firstLine="480" w:firstLineChars="200"/>
        <w:jc w:val="left"/>
        <w:rPr>
          <w:rFonts w:ascii="仿宋" w:hAnsi="仿宋" w:eastAsia="仿宋"/>
          <w:sz w:val="24"/>
          <w:szCs w:val="24"/>
        </w:rPr>
      </w:pPr>
      <w:r>
        <w:rPr>
          <w:rFonts w:hint="eastAsia" w:ascii="仿宋" w:hAnsi="仿宋" w:eastAsia="仿宋"/>
          <w:sz w:val="24"/>
          <w:szCs w:val="24"/>
        </w:rPr>
        <w:t>中成药最好用药典中有载者，如“玉红膏”是否可改为“如意金黄散”？</w:t>
      </w:r>
    </w:p>
    <w:p w14:paraId="635FEF34">
      <w:pPr>
        <w:spacing w:line="400" w:lineRule="exact"/>
        <w:jc w:val="left"/>
        <w:rPr>
          <w:rFonts w:ascii="仿宋" w:hAnsi="仿宋" w:eastAsia="仿宋"/>
          <w:sz w:val="24"/>
          <w:szCs w:val="24"/>
        </w:rPr>
      </w:pPr>
      <w:r>
        <w:rPr>
          <w:rFonts w:hint="eastAsia" w:ascii="仿宋" w:hAnsi="仿宋" w:eastAsia="仿宋"/>
          <w:sz w:val="24"/>
          <w:szCs w:val="24"/>
        </w:rPr>
        <w:t>（2）项目组意见</w:t>
      </w:r>
    </w:p>
    <w:p w14:paraId="0263E7E2">
      <w:pPr>
        <w:spacing w:line="400" w:lineRule="exact"/>
        <w:ind w:firstLine="480" w:firstLineChars="200"/>
        <w:jc w:val="left"/>
        <w:rPr>
          <w:rFonts w:ascii="仿宋" w:hAnsi="仿宋" w:eastAsia="仿宋"/>
          <w:sz w:val="24"/>
          <w:szCs w:val="24"/>
        </w:rPr>
      </w:pPr>
      <w:r>
        <w:rPr>
          <w:rFonts w:hint="eastAsia" w:ascii="仿宋" w:hAnsi="仿宋" w:eastAsia="仿宋"/>
          <w:sz w:val="24"/>
          <w:szCs w:val="24"/>
        </w:rPr>
        <w:t>“玉红膏”不可改为“如意金黄散”，如意金黄散消肿散结、清热燥湿，主要用于：红肿热痛初期，阳证实证，不适用于灸疮。由于此部分已修改为“如水泡直径在1 cm以上且泡液较多时，建议请外科医师协助处理。”所以已无玉红膏相关内容。</w:t>
      </w:r>
    </w:p>
    <w:p w14:paraId="3A09F038">
      <w:pPr>
        <w:spacing w:line="400" w:lineRule="exact"/>
        <w:jc w:val="left"/>
        <w:rPr>
          <w:rFonts w:ascii="仿宋" w:hAnsi="仿宋" w:eastAsia="仿宋"/>
          <w:b/>
          <w:bCs/>
          <w:sz w:val="24"/>
          <w:szCs w:val="24"/>
        </w:rPr>
      </w:pPr>
      <w:r>
        <w:rPr>
          <w:rFonts w:hint="eastAsia" w:ascii="仿宋" w:hAnsi="仿宋" w:eastAsia="仿宋"/>
          <w:b/>
          <w:bCs/>
          <w:sz w:val="24"/>
          <w:szCs w:val="24"/>
        </w:rPr>
        <w:t>2.专家论证意见</w:t>
      </w:r>
    </w:p>
    <w:p w14:paraId="3FB8B4A6">
      <w:pPr>
        <w:spacing w:line="400" w:lineRule="exact"/>
        <w:jc w:val="left"/>
        <w:rPr>
          <w:rFonts w:ascii="仿宋" w:hAnsi="仿宋" w:eastAsia="仿宋"/>
          <w:sz w:val="24"/>
          <w:szCs w:val="24"/>
        </w:rPr>
      </w:pPr>
      <w:r>
        <w:rPr>
          <w:rFonts w:hint="eastAsia" w:ascii="仿宋" w:hAnsi="仿宋" w:eastAsia="仿宋"/>
          <w:sz w:val="24"/>
          <w:szCs w:val="24"/>
        </w:rPr>
        <w:t>（1）专家论证结果</w:t>
      </w:r>
    </w:p>
    <w:p w14:paraId="144A7208">
      <w:pPr>
        <w:spacing w:line="400" w:lineRule="exact"/>
        <w:ind w:firstLine="480" w:firstLineChars="200"/>
        <w:jc w:val="left"/>
        <w:rPr>
          <w:rFonts w:ascii="仿宋" w:hAnsi="仿宋" w:eastAsia="仿宋"/>
          <w:sz w:val="24"/>
          <w:szCs w:val="24"/>
        </w:rPr>
      </w:pPr>
      <w:r>
        <w:rPr>
          <w:rFonts w:hint="eastAsia" w:ascii="仿宋" w:hAnsi="仿宋" w:eastAsia="仿宋"/>
          <w:sz w:val="24"/>
          <w:szCs w:val="24"/>
        </w:rPr>
        <w:t>全体13位专家一致同意（2分/须选），支持率100%。</w:t>
      </w:r>
    </w:p>
    <w:p w14:paraId="5294047E">
      <w:pPr>
        <w:spacing w:line="400" w:lineRule="exact"/>
        <w:jc w:val="left"/>
        <w:rPr>
          <w:rFonts w:ascii="仿宋" w:hAnsi="仿宋" w:eastAsia="仿宋"/>
          <w:sz w:val="24"/>
          <w:szCs w:val="24"/>
        </w:rPr>
      </w:pPr>
      <w:r>
        <w:rPr>
          <w:rFonts w:hint="eastAsia" w:ascii="仿宋" w:hAnsi="仿宋" w:eastAsia="仿宋"/>
          <w:sz w:val="24"/>
          <w:szCs w:val="24"/>
        </w:rPr>
        <w:t>（2）主要讨论意见</w:t>
      </w:r>
    </w:p>
    <w:p w14:paraId="70731A3A">
      <w:pPr>
        <w:spacing w:line="400" w:lineRule="exact"/>
        <w:ind w:firstLine="480" w:firstLineChars="200"/>
        <w:jc w:val="left"/>
        <w:rPr>
          <w:rFonts w:ascii="仿宋" w:hAnsi="仿宋" w:eastAsia="仿宋"/>
          <w:sz w:val="24"/>
          <w:szCs w:val="24"/>
        </w:rPr>
      </w:pPr>
      <w:r>
        <w:rPr>
          <w:rFonts w:hint="eastAsia" w:ascii="仿宋" w:hAnsi="仿宋" w:eastAsia="仿宋"/>
          <w:sz w:val="24"/>
          <w:szCs w:val="24"/>
        </w:rPr>
        <w:t>无特殊讨论意见。</w:t>
      </w:r>
    </w:p>
    <w:p w14:paraId="5CB2D424">
      <w:pPr>
        <w:spacing w:line="400" w:lineRule="exact"/>
        <w:jc w:val="left"/>
        <w:rPr>
          <w:rFonts w:ascii="仿宋" w:hAnsi="仿宋" w:eastAsia="仿宋"/>
          <w:b/>
          <w:bCs/>
          <w:sz w:val="24"/>
          <w:szCs w:val="24"/>
        </w:rPr>
      </w:pPr>
      <w:r>
        <w:rPr>
          <w:rFonts w:hint="eastAsia" w:ascii="仿宋" w:hAnsi="仿宋" w:eastAsia="仿宋"/>
          <w:b/>
          <w:bCs/>
          <w:sz w:val="24"/>
          <w:szCs w:val="24"/>
        </w:rPr>
        <w:t>3.项目组决议</w:t>
      </w:r>
    </w:p>
    <w:p w14:paraId="675BBE39">
      <w:pPr>
        <w:spacing w:line="400" w:lineRule="exact"/>
        <w:ind w:firstLine="420"/>
        <w:jc w:val="left"/>
        <w:rPr>
          <w:rFonts w:ascii="仿宋" w:hAnsi="仿宋" w:eastAsia="仿宋"/>
          <w:sz w:val="24"/>
          <w:szCs w:val="24"/>
        </w:rPr>
      </w:pPr>
      <w:r>
        <w:rPr>
          <w:rFonts w:hint="eastAsia" w:ascii="仿宋" w:hAnsi="仿宋" w:eastAsia="仿宋"/>
          <w:sz w:val="24"/>
          <w:szCs w:val="24"/>
        </w:rPr>
        <w:t>维持项目组意见，结合专家论证结果，维持现有内容。</w:t>
      </w:r>
    </w:p>
    <w:p w14:paraId="28035F09">
      <w:pPr>
        <w:spacing w:line="400" w:lineRule="exact"/>
        <w:jc w:val="left"/>
        <w:rPr>
          <w:rFonts w:ascii="仿宋" w:hAnsi="仿宋" w:eastAsia="仿宋"/>
          <w:b/>
          <w:bCs/>
          <w:sz w:val="24"/>
          <w:szCs w:val="24"/>
        </w:rPr>
      </w:pPr>
      <w:r>
        <w:rPr>
          <w:rFonts w:hint="eastAsia" w:ascii="仿宋" w:hAnsi="仿宋" w:eastAsia="仿宋"/>
          <w:b/>
          <w:bCs/>
          <w:sz w:val="24"/>
          <w:szCs w:val="24"/>
        </w:rPr>
        <w:t>（二）问题2：建议新增内容——新增三棱针尺寸</w:t>
      </w:r>
    </w:p>
    <w:p w14:paraId="2F6409DC">
      <w:pPr>
        <w:spacing w:line="400" w:lineRule="exact"/>
        <w:jc w:val="left"/>
        <w:rPr>
          <w:rFonts w:ascii="仿宋" w:hAnsi="仿宋" w:eastAsia="仿宋"/>
          <w:b/>
          <w:bCs/>
          <w:sz w:val="24"/>
          <w:szCs w:val="24"/>
        </w:rPr>
      </w:pPr>
      <w:r>
        <w:rPr>
          <w:rFonts w:hint="eastAsia" w:ascii="仿宋" w:hAnsi="仿宋" w:eastAsia="仿宋"/>
          <w:b/>
          <w:bCs/>
          <w:sz w:val="24"/>
          <w:szCs w:val="24"/>
        </w:rPr>
        <w:t>1.征求意见函原文</w:t>
      </w:r>
    </w:p>
    <w:p w14:paraId="5607F833">
      <w:pPr>
        <w:spacing w:line="400" w:lineRule="exact"/>
        <w:jc w:val="left"/>
        <w:rPr>
          <w:rFonts w:ascii="仿宋" w:hAnsi="仿宋" w:eastAsia="仿宋"/>
          <w:sz w:val="24"/>
          <w:szCs w:val="24"/>
        </w:rPr>
      </w:pPr>
      <w:r>
        <w:rPr>
          <w:rFonts w:hint="eastAsia" w:ascii="仿宋" w:hAnsi="仿宋" w:eastAsia="仿宋"/>
          <w:sz w:val="24"/>
          <w:szCs w:val="24"/>
        </w:rPr>
        <w:t>（1）问卷调查专家意见</w:t>
      </w:r>
    </w:p>
    <w:p w14:paraId="6569DA67">
      <w:pPr>
        <w:spacing w:line="400" w:lineRule="exact"/>
        <w:ind w:firstLine="480" w:firstLineChars="200"/>
        <w:jc w:val="left"/>
        <w:rPr>
          <w:rFonts w:ascii="仿宋" w:hAnsi="仿宋" w:eastAsia="仿宋"/>
          <w:sz w:val="24"/>
          <w:szCs w:val="24"/>
        </w:rPr>
      </w:pPr>
      <w:r>
        <w:rPr>
          <w:rFonts w:hint="eastAsia" w:ascii="仿宋" w:hAnsi="仿宋" w:eastAsia="仿宋"/>
          <w:sz w:val="24"/>
          <w:szCs w:val="24"/>
        </w:rPr>
        <w:t>“不同规格的三棱针。”“最好在”附录”中增加相关内容，并核准“小号三棱针”的名称和规格。</w:t>
      </w:r>
    </w:p>
    <w:p w14:paraId="15FE54AE">
      <w:pPr>
        <w:spacing w:line="400" w:lineRule="exact"/>
        <w:jc w:val="left"/>
        <w:rPr>
          <w:rFonts w:ascii="仿宋" w:hAnsi="仿宋" w:eastAsia="仿宋"/>
          <w:sz w:val="24"/>
          <w:szCs w:val="24"/>
        </w:rPr>
      </w:pPr>
      <w:r>
        <w:rPr>
          <w:rFonts w:hint="eastAsia" w:ascii="仿宋" w:hAnsi="仿宋" w:eastAsia="仿宋"/>
          <w:sz w:val="24"/>
          <w:szCs w:val="24"/>
        </w:rPr>
        <w:t>（2）项目组意见</w:t>
      </w:r>
    </w:p>
    <w:p w14:paraId="154AEAB5">
      <w:pPr>
        <w:spacing w:line="400" w:lineRule="exact"/>
        <w:ind w:firstLine="480" w:firstLineChars="200"/>
        <w:jc w:val="left"/>
        <w:rPr>
          <w:rFonts w:ascii="仿宋" w:hAnsi="仿宋" w:eastAsia="仿宋"/>
          <w:sz w:val="24"/>
          <w:szCs w:val="24"/>
        </w:rPr>
      </w:pPr>
      <w:r>
        <w:rPr>
          <w:rFonts w:hint="eastAsia" w:ascii="仿宋" w:hAnsi="仿宋" w:eastAsia="仿宋"/>
          <w:sz w:val="24"/>
          <w:szCs w:val="24"/>
        </w:rPr>
        <w:t>附录增加三棱针直径规格：大号：Ф2.6 mm；小号：Ф1.6 mm（各国家标准、行业标准包括地方标准中未规定各个型号三棱针尺寸，此型号参考“药智数据”上市医疗器械规格）。</w:t>
      </w:r>
    </w:p>
    <w:p w14:paraId="1D73F8B3">
      <w:pPr>
        <w:spacing w:line="400" w:lineRule="exact"/>
        <w:jc w:val="left"/>
        <w:rPr>
          <w:rFonts w:ascii="仿宋" w:hAnsi="仿宋" w:eastAsia="仿宋"/>
          <w:b/>
          <w:bCs/>
          <w:sz w:val="24"/>
          <w:szCs w:val="24"/>
        </w:rPr>
      </w:pPr>
      <w:r>
        <w:rPr>
          <w:rFonts w:hint="eastAsia" w:ascii="仿宋" w:hAnsi="仿宋" w:eastAsia="仿宋"/>
          <w:b/>
          <w:bCs/>
          <w:sz w:val="24"/>
          <w:szCs w:val="24"/>
        </w:rPr>
        <w:t>2.专家论证意见</w:t>
      </w:r>
    </w:p>
    <w:p w14:paraId="74A4DC69">
      <w:pPr>
        <w:spacing w:line="400" w:lineRule="exact"/>
        <w:jc w:val="left"/>
        <w:rPr>
          <w:rFonts w:ascii="仿宋" w:hAnsi="仿宋" w:eastAsia="仿宋"/>
          <w:sz w:val="24"/>
          <w:szCs w:val="24"/>
        </w:rPr>
      </w:pPr>
      <w:r>
        <w:rPr>
          <w:rFonts w:hint="eastAsia" w:ascii="仿宋" w:hAnsi="仿宋" w:eastAsia="仿宋"/>
          <w:sz w:val="24"/>
          <w:szCs w:val="24"/>
        </w:rPr>
        <w:t>（1）专家论证结果</w:t>
      </w:r>
    </w:p>
    <w:p w14:paraId="7C9534DF">
      <w:pPr>
        <w:spacing w:line="400" w:lineRule="exact"/>
        <w:ind w:firstLine="480" w:firstLineChars="200"/>
        <w:jc w:val="left"/>
        <w:rPr>
          <w:rFonts w:ascii="仿宋" w:hAnsi="仿宋" w:eastAsia="仿宋"/>
          <w:sz w:val="24"/>
          <w:szCs w:val="24"/>
        </w:rPr>
      </w:pPr>
      <w:r>
        <w:rPr>
          <w:rFonts w:hint="eastAsia" w:ascii="仿宋" w:hAnsi="仿宋" w:eastAsia="仿宋"/>
          <w:sz w:val="24"/>
          <w:szCs w:val="24"/>
        </w:rPr>
        <w:t>全体13位专家一致同意（2分/须选），支持率100%。</w:t>
      </w:r>
    </w:p>
    <w:p w14:paraId="3ECE0781">
      <w:pPr>
        <w:spacing w:line="400" w:lineRule="exact"/>
        <w:jc w:val="left"/>
        <w:rPr>
          <w:rFonts w:ascii="仿宋" w:hAnsi="仿宋" w:eastAsia="仿宋"/>
          <w:sz w:val="24"/>
          <w:szCs w:val="24"/>
        </w:rPr>
      </w:pPr>
      <w:r>
        <w:rPr>
          <w:rFonts w:hint="eastAsia" w:ascii="仿宋" w:hAnsi="仿宋" w:eastAsia="仿宋"/>
          <w:sz w:val="24"/>
          <w:szCs w:val="24"/>
        </w:rPr>
        <w:t>（2）主要讨论意见</w:t>
      </w:r>
    </w:p>
    <w:p w14:paraId="76ED5763">
      <w:pPr>
        <w:spacing w:line="400" w:lineRule="exact"/>
        <w:ind w:firstLine="480" w:firstLineChars="200"/>
        <w:jc w:val="left"/>
        <w:rPr>
          <w:rFonts w:ascii="仿宋" w:hAnsi="仿宋" w:eastAsia="仿宋"/>
          <w:sz w:val="24"/>
          <w:szCs w:val="24"/>
        </w:rPr>
      </w:pPr>
      <w:r>
        <w:rPr>
          <w:rFonts w:hint="eastAsia" w:ascii="仿宋" w:hAnsi="仿宋" w:eastAsia="仿宋"/>
          <w:sz w:val="24"/>
          <w:szCs w:val="24"/>
        </w:rPr>
        <w:t>无特殊讨论意见。</w:t>
      </w:r>
    </w:p>
    <w:p w14:paraId="1C4B1F82">
      <w:pPr>
        <w:spacing w:line="400" w:lineRule="exact"/>
        <w:jc w:val="left"/>
        <w:rPr>
          <w:rFonts w:ascii="仿宋" w:hAnsi="仿宋" w:eastAsia="仿宋"/>
          <w:b/>
          <w:bCs/>
          <w:sz w:val="24"/>
          <w:szCs w:val="24"/>
        </w:rPr>
      </w:pPr>
      <w:r>
        <w:rPr>
          <w:rFonts w:hint="eastAsia" w:ascii="仿宋" w:hAnsi="仿宋" w:eastAsia="仿宋"/>
          <w:b/>
          <w:bCs/>
          <w:sz w:val="24"/>
          <w:szCs w:val="24"/>
        </w:rPr>
        <w:t>3.项目组决议</w:t>
      </w:r>
    </w:p>
    <w:p w14:paraId="295AB6B9">
      <w:pPr>
        <w:spacing w:line="400" w:lineRule="exact"/>
        <w:ind w:firstLine="420"/>
        <w:jc w:val="left"/>
        <w:rPr>
          <w:rFonts w:ascii="仿宋" w:hAnsi="仿宋" w:eastAsia="仿宋"/>
          <w:sz w:val="24"/>
          <w:szCs w:val="24"/>
        </w:rPr>
      </w:pPr>
      <w:r>
        <w:rPr>
          <w:rFonts w:hint="eastAsia" w:ascii="仿宋" w:hAnsi="仿宋" w:eastAsia="仿宋"/>
          <w:sz w:val="24"/>
          <w:szCs w:val="24"/>
        </w:rPr>
        <w:t>维持项目组意见，结合专家论证结果，维持现有内容。</w:t>
      </w:r>
    </w:p>
    <w:p w14:paraId="328856F4">
      <w:pPr>
        <w:spacing w:line="400" w:lineRule="exact"/>
        <w:jc w:val="left"/>
        <w:rPr>
          <w:rFonts w:ascii="仿宋" w:hAnsi="仿宋" w:eastAsia="仿宋"/>
          <w:b/>
          <w:bCs/>
          <w:sz w:val="24"/>
          <w:szCs w:val="24"/>
        </w:rPr>
      </w:pPr>
      <w:r>
        <w:rPr>
          <w:rFonts w:hint="eastAsia" w:ascii="仿宋" w:hAnsi="仿宋" w:eastAsia="仿宋"/>
          <w:b/>
          <w:bCs/>
          <w:sz w:val="24"/>
          <w:szCs w:val="24"/>
        </w:rPr>
        <w:t>（三）问题3：建议新增内容——建议加入现代器具相关的灸法</w:t>
      </w:r>
    </w:p>
    <w:p w14:paraId="688D80A5">
      <w:pPr>
        <w:spacing w:line="400" w:lineRule="exact"/>
        <w:jc w:val="left"/>
        <w:rPr>
          <w:rFonts w:ascii="仿宋" w:hAnsi="仿宋" w:eastAsia="仿宋"/>
          <w:b/>
          <w:bCs/>
          <w:sz w:val="24"/>
          <w:szCs w:val="24"/>
        </w:rPr>
      </w:pPr>
      <w:r>
        <w:rPr>
          <w:rFonts w:hint="eastAsia" w:ascii="仿宋" w:hAnsi="仿宋" w:eastAsia="仿宋"/>
          <w:b/>
          <w:bCs/>
          <w:sz w:val="24"/>
          <w:szCs w:val="24"/>
        </w:rPr>
        <w:t>1.征求意见函原文</w:t>
      </w:r>
    </w:p>
    <w:p w14:paraId="212BFA66">
      <w:pPr>
        <w:spacing w:line="400" w:lineRule="exact"/>
        <w:jc w:val="left"/>
        <w:rPr>
          <w:rFonts w:ascii="仿宋" w:hAnsi="仿宋" w:eastAsia="仿宋" w:cs="仿宋"/>
          <w:sz w:val="24"/>
          <w:szCs w:val="24"/>
        </w:rPr>
      </w:pPr>
      <w:r>
        <w:rPr>
          <w:rFonts w:hint="eastAsia" w:ascii="仿宋" w:hAnsi="仿宋" w:eastAsia="仿宋"/>
          <w:sz w:val="24"/>
          <w:szCs w:val="24"/>
        </w:rPr>
        <w:t>（</w:t>
      </w:r>
      <w:r>
        <w:rPr>
          <w:rFonts w:hint="eastAsia" w:ascii="仿宋" w:hAnsi="仿宋" w:eastAsia="仿宋" w:cs="仿宋"/>
          <w:sz w:val="24"/>
          <w:szCs w:val="24"/>
        </w:rPr>
        <w:t>1）问卷调查专家意见</w:t>
      </w:r>
    </w:p>
    <w:p w14:paraId="2C48C39C">
      <w:pPr>
        <w:spacing w:line="40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建议加入现代器具相关的灸法，甚至可以替代一些老式的方法；关注酒等特殊辅料在幼龄儿童的使用。</w:t>
      </w:r>
    </w:p>
    <w:p w14:paraId="135059FF">
      <w:pPr>
        <w:spacing w:line="400" w:lineRule="exact"/>
        <w:jc w:val="left"/>
        <w:rPr>
          <w:rFonts w:ascii="仿宋" w:hAnsi="仿宋" w:eastAsia="仿宋" w:cs="仿宋"/>
          <w:sz w:val="24"/>
          <w:szCs w:val="24"/>
        </w:rPr>
      </w:pPr>
      <w:r>
        <w:rPr>
          <w:rFonts w:hint="eastAsia" w:ascii="仿宋" w:hAnsi="仿宋" w:eastAsia="仿宋" w:cs="仿宋"/>
          <w:sz w:val="24"/>
          <w:szCs w:val="24"/>
        </w:rPr>
        <w:t>（2）项目组意见</w:t>
      </w:r>
    </w:p>
    <w:p w14:paraId="5EA0AADC">
      <w:pPr>
        <w:spacing w:line="40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艾灸仪：通常由主机、灸材固定装置和自动控制装置组成。通过实时监测的温度反馈给驱动电动机，自动调节灸材与施灸部位的距离以对施灸温度进行控制。通过灸材燃烧对人体产生温热作用施灸于人体穴位，用于疾病的预防与治疗。（来源：医疗器械分类目录---20中医器械--20-02 中医治疗设备）。</w:t>
      </w:r>
    </w:p>
    <w:p w14:paraId="09D7F865">
      <w:pPr>
        <w:spacing w:line="400" w:lineRule="exact"/>
        <w:jc w:val="left"/>
        <w:rPr>
          <w:rFonts w:ascii="仿宋" w:hAnsi="仿宋" w:eastAsia="仿宋" w:cs="仿宋"/>
          <w:b/>
          <w:bCs/>
          <w:sz w:val="24"/>
          <w:szCs w:val="24"/>
        </w:rPr>
      </w:pPr>
      <w:r>
        <w:rPr>
          <w:rFonts w:hint="eastAsia" w:ascii="仿宋" w:hAnsi="仿宋" w:eastAsia="仿宋" w:cs="仿宋"/>
          <w:b/>
          <w:bCs/>
          <w:sz w:val="24"/>
          <w:szCs w:val="24"/>
        </w:rPr>
        <w:t>2.专家论证意见</w:t>
      </w:r>
    </w:p>
    <w:p w14:paraId="67516B5D">
      <w:pPr>
        <w:spacing w:line="400" w:lineRule="exact"/>
        <w:jc w:val="left"/>
        <w:rPr>
          <w:rFonts w:ascii="仿宋" w:hAnsi="仿宋" w:eastAsia="仿宋" w:cs="仿宋"/>
          <w:sz w:val="24"/>
          <w:szCs w:val="24"/>
        </w:rPr>
      </w:pPr>
      <w:r>
        <w:rPr>
          <w:rFonts w:hint="eastAsia" w:ascii="仿宋" w:hAnsi="仿宋" w:eastAsia="仿宋" w:cs="仿宋"/>
          <w:sz w:val="24"/>
          <w:szCs w:val="24"/>
        </w:rPr>
        <w:t>（1）专家论证结果</w:t>
      </w:r>
    </w:p>
    <w:p w14:paraId="6B1B42B4">
      <w:pPr>
        <w:spacing w:line="40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全体13位专家一致同意（2分/须选），支持率100%。</w:t>
      </w:r>
    </w:p>
    <w:p w14:paraId="41881E64">
      <w:pPr>
        <w:spacing w:line="400" w:lineRule="exact"/>
        <w:jc w:val="left"/>
        <w:rPr>
          <w:rFonts w:ascii="仿宋" w:hAnsi="仿宋" w:eastAsia="仿宋" w:cs="仿宋"/>
          <w:sz w:val="24"/>
          <w:szCs w:val="24"/>
        </w:rPr>
      </w:pPr>
      <w:r>
        <w:rPr>
          <w:rFonts w:hint="eastAsia" w:ascii="仿宋" w:hAnsi="仿宋" w:eastAsia="仿宋" w:cs="仿宋"/>
          <w:sz w:val="24"/>
          <w:szCs w:val="24"/>
        </w:rPr>
        <w:t>（2）主要讨论意见</w:t>
      </w:r>
    </w:p>
    <w:p w14:paraId="185EFBAA">
      <w:pPr>
        <w:spacing w:line="40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无特殊讨论意见。</w:t>
      </w:r>
    </w:p>
    <w:p w14:paraId="11DC215B">
      <w:pPr>
        <w:spacing w:line="400" w:lineRule="exact"/>
        <w:jc w:val="left"/>
        <w:rPr>
          <w:rFonts w:ascii="仿宋" w:hAnsi="仿宋" w:eastAsia="仿宋"/>
          <w:b/>
          <w:bCs/>
          <w:sz w:val="24"/>
          <w:szCs w:val="24"/>
        </w:rPr>
      </w:pPr>
      <w:r>
        <w:rPr>
          <w:rFonts w:hint="eastAsia" w:ascii="仿宋" w:hAnsi="仿宋" w:eastAsia="仿宋"/>
          <w:b/>
          <w:bCs/>
          <w:sz w:val="24"/>
          <w:szCs w:val="24"/>
        </w:rPr>
        <w:t>3.项目组决议</w:t>
      </w:r>
    </w:p>
    <w:p w14:paraId="6056A48B">
      <w:pPr>
        <w:spacing w:line="400" w:lineRule="exact"/>
        <w:ind w:firstLine="420"/>
        <w:jc w:val="left"/>
        <w:rPr>
          <w:rFonts w:ascii="仿宋" w:hAnsi="仿宋" w:eastAsia="仿宋"/>
          <w:sz w:val="24"/>
          <w:szCs w:val="24"/>
        </w:rPr>
      </w:pPr>
      <w:r>
        <w:rPr>
          <w:rFonts w:hint="eastAsia" w:ascii="仿宋" w:hAnsi="仿宋" w:eastAsia="仿宋"/>
          <w:sz w:val="24"/>
          <w:szCs w:val="24"/>
        </w:rPr>
        <w:t>维持项目组意见，结合专家论证结果，维持现有内容。</w:t>
      </w:r>
    </w:p>
    <w:p w14:paraId="6FD01916">
      <w:pPr>
        <w:spacing w:line="400" w:lineRule="exact"/>
        <w:jc w:val="left"/>
        <w:rPr>
          <w:rFonts w:ascii="仿宋" w:hAnsi="仿宋" w:eastAsia="仿宋" w:cs="仿宋"/>
          <w:b/>
          <w:bCs/>
          <w:sz w:val="24"/>
          <w:szCs w:val="24"/>
        </w:rPr>
      </w:pPr>
      <w:r>
        <w:rPr>
          <w:rFonts w:hint="eastAsia" w:ascii="仿宋" w:hAnsi="仿宋" w:eastAsia="仿宋" w:cs="仿宋"/>
          <w:b/>
          <w:bCs/>
          <w:sz w:val="24"/>
          <w:szCs w:val="24"/>
        </w:rPr>
        <w:t>（四）问题4：英文翻译相关建议</w:t>
      </w:r>
    </w:p>
    <w:p w14:paraId="339B0209">
      <w:pPr>
        <w:spacing w:line="400" w:lineRule="exact"/>
        <w:jc w:val="left"/>
        <w:rPr>
          <w:rFonts w:ascii="仿宋" w:hAnsi="仿宋" w:eastAsia="仿宋" w:cs="仿宋"/>
          <w:b/>
          <w:bCs/>
          <w:sz w:val="24"/>
          <w:szCs w:val="24"/>
        </w:rPr>
      </w:pPr>
      <w:r>
        <w:rPr>
          <w:rFonts w:hint="eastAsia" w:ascii="仿宋" w:hAnsi="仿宋" w:eastAsia="仿宋" w:cs="仿宋"/>
          <w:b/>
          <w:bCs/>
          <w:sz w:val="24"/>
          <w:szCs w:val="24"/>
        </w:rPr>
        <w:t>1.征求意见函原文</w:t>
      </w:r>
    </w:p>
    <w:p w14:paraId="676B1ED2">
      <w:pPr>
        <w:spacing w:line="400" w:lineRule="exact"/>
        <w:jc w:val="left"/>
        <w:rPr>
          <w:rFonts w:ascii="仿宋" w:hAnsi="仿宋" w:eastAsia="仿宋" w:cs="仿宋"/>
          <w:sz w:val="24"/>
          <w:szCs w:val="24"/>
        </w:rPr>
      </w:pPr>
      <w:r>
        <w:rPr>
          <w:rFonts w:hint="eastAsia" w:ascii="仿宋" w:hAnsi="仿宋" w:eastAsia="仿宋" w:cs="仿宋"/>
          <w:sz w:val="24"/>
          <w:szCs w:val="24"/>
        </w:rPr>
        <w:t>（1）问卷调查专家意见</w:t>
      </w:r>
    </w:p>
    <w:p w14:paraId="445CB9F8">
      <w:pPr>
        <w:spacing w:line="40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——标准标题改为：International standardized techniques and manipulations of Chinese medicine Pediatrics Part 3：Acupuncture and Moxibustion for Children</w:t>
      </w:r>
    </w:p>
    <w:p w14:paraId="03CF3CAE">
      <w:pPr>
        <w:spacing w:line="400" w:lineRule="exact"/>
        <w:jc w:val="left"/>
        <w:rPr>
          <w:rFonts w:ascii="仿宋" w:hAnsi="仿宋" w:eastAsia="仿宋" w:cs="仿宋"/>
          <w:sz w:val="24"/>
          <w:szCs w:val="24"/>
        </w:rPr>
      </w:pPr>
      <w:r>
        <w:rPr>
          <w:rFonts w:hint="eastAsia" w:ascii="仿宋" w:hAnsi="仿宋" w:eastAsia="仿宋" w:cs="仿宋"/>
          <w:sz w:val="24"/>
          <w:szCs w:val="24"/>
        </w:rPr>
        <w:t>（2）项目组意见</w:t>
      </w:r>
    </w:p>
    <w:p w14:paraId="45930068">
      <w:pPr>
        <w:spacing w:line="40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建议采纳上述译名，但需经专业审校以确保准确性与学术规范性。</w:t>
      </w:r>
    </w:p>
    <w:p w14:paraId="2BC01DF4">
      <w:pPr>
        <w:spacing w:line="400" w:lineRule="exact"/>
        <w:jc w:val="left"/>
        <w:rPr>
          <w:rFonts w:ascii="仿宋" w:hAnsi="仿宋" w:eastAsia="仿宋" w:cs="仿宋"/>
          <w:b/>
          <w:bCs/>
          <w:sz w:val="24"/>
          <w:szCs w:val="24"/>
        </w:rPr>
      </w:pPr>
      <w:r>
        <w:rPr>
          <w:rFonts w:hint="eastAsia" w:ascii="仿宋" w:hAnsi="仿宋" w:eastAsia="仿宋" w:cs="仿宋"/>
          <w:b/>
          <w:bCs/>
          <w:sz w:val="24"/>
          <w:szCs w:val="24"/>
        </w:rPr>
        <w:t>2.专家论证意见</w:t>
      </w:r>
    </w:p>
    <w:p w14:paraId="59D2D5A6">
      <w:pPr>
        <w:spacing w:line="400" w:lineRule="exact"/>
        <w:jc w:val="left"/>
        <w:rPr>
          <w:rFonts w:ascii="仿宋" w:hAnsi="仿宋" w:eastAsia="仿宋" w:cs="仿宋"/>
          <w:sz w:val="24"/>
          <w:szCs w:val="24"/>
        </w:rPr>
      </w:pPr>
      <w:r>
        <w:rPr>
          <w:rFonts w:hint="eastAsia" w:ascii="仿宋" w:hAnsi="仿宋" w:eastAsia="仿宋" w:cs="仿宋"/>
          <w:sz w:val="24"/>
          <w:szCs w:val="24"/>
        </w:rPr>
        <w:t>（1）专家论证结果</w:t>
      </w:r>
    </w:p>
    <w:p w14:paraId="1731D1FF">
      <w:pPr>
        <w:spacing w:line="40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全体12位专家一致同意（2分/须选），支持率92.31%。</w:t>
      </w:r>
    </w:p>
    <w:p w14:paraId="388D9C87">
      <w:pPr>
        <w:spacing w:line="400" w:lineRule="exact"/>
        <w:jc w:val="left"/>
        <w:rPr>
          <w:rFonts w:ascii="仿宋" w:hAnsi="仿宋" w:eastAsia="仿宋" w:cs="仿宋"/>
          <w:sz w:val="24"/>
          <w:szCs w:val="24"/>
        </w:rPr>
      </w:pPr>
      <w:r>
        <w:rPr>
          <w:rFonts w:hint="eastAsia" w:ascii="仿宋" w:hAnsi="仿宋" w:eastAsia="仿宋" w:cs="仿宋"/>
          <w:sz w:val="24"/>
          <w:szCs w:val="24"/>
        </w:rPr>
        <w:t>（2）主要讨论意见</w:t>
      </w:r>
    </w:p>
    <w:p w14:paraId="47332146">
      <w:pPr>
        <w:spacing w:line="40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王丽丽：International Standardized Manipulations of Chinese Medicine 或 International Standardized Procedures of Chinese Medicine。</w:t>
      </w:r>
    </w:p>
    <w:p w14:paraId="06BFE8F6">
      <w:pPr>
        <w:spacing w:line="400" w:lineRule="exact"/>
        <w:jc w:val="left"/>
        <w:rPr>
          <w:rFonts w:ascii="仿宋" w:hAnsi="仿宋" w:eastAsia="仿宋" w:cs="仿宋"/>
          <w:b/>
          <w:bCs/>
          <w:sz w:val="24"/>
          <w:szCs w:val="24"/>
        </w:rPr>
      </w:pPr>
      <w:r>
        <w:rPr>
          <w:rFonts w:hint="eastAsia" w:ascii="仿宋" w:hAnsi="仿宋" w:eastAsia="仿宋" w:cs="仿宋"/>
          <w:b/>
          <w:bCs/>
          <w:sz w:val="24"/>
          <w:szCs w:val="24"/>
        </w:rPr>
        <w:t>3.项目组决议</w:t>
      </w:r>
    </w:p>
    <w:p w14:paraId="38E1A431">
      <w:pPr>
        <w:spacing w:line="400" w:lineRule="exact"/>
        <w:ind w:firstLine="480" w:firstLineChars="200"/>
        <w:rPr>
          <w:rFonts w:ascii="仿宋" w:hAnsi="仿宋" w:eastAsia="仿宋" w:cs="仿宋"/>
          <w:szCs w:val="21"/>
        </w:rPr>
      </w:pPr>
      <w:r>
        <w:rPr>
          <w:rFonts w:hint="eastAsia" w:ascii="仿宋" w:hAnsi="仿宋" w:eastAsia="仿宋" w:cs="仿宋"/>
          <w:sz w:val="24"/>
          <w:szCs w:val="24"/>
        </w:rPr>
        <w:t>结合问卷调查专家与论证会专家意见，采纳建议并优化。标题英文名称采用《世界中医药学会联合会国际组织标准立项通知》名称。英文译稿须由世界中医药学会联合会国际标准部审核。</w:t>
      </w:r>
    </w:p>
    <w:p w14:paraId="46DA42BD">
      <w:pPr>
        <w:spacing w:line="400" w:lineRule="exact"/>
        <w:jc w:val="left"/>
        <w:rPr>
          <w:rFonts w:ascii="仿宋" w:hAnsi="仿宋" w:eastAsia="仿宋" w:cs="仿宋"/>
          <w:b/>
          <w:bCs/>
          <w:sz w:val="24"/>
          <w:szCs w:val="24"/>
        </w:rPr>
      </w:pPr>
      <w:r>
        <w:rPr>
          <w:rFonts w:hint="eastAsia" w:ascii="仿宋" w:hAnsi="仿宋" w:eastAsia="仿宋" w:cs="仿宋"/>
          <w:b/>
          <w:bCs/>
          <w:sz w:val="24"/>
          <w:szCs w:val="24"/>
        </w:rPr>
        <w:t>（五）问题5：英文翻译相关建议——增加多语言术语对照表</w:t>
      </w:r>
    </w:p>
    <w:p w14:paraId="06CC5124">
      <w:pPr>
        <w:spacing w:line="400" w:lineRule="exact"/>
        <w:jc w:val="left"/>
        <w:rPr>
          <w:rFonts w:ascii="仿宋" w:hAnsi="仿宋" w:eastAsia="仿宋" w:cs="仿宋"/>
          <w:b/>
          <w:bCs/>
          <w:sz w:val="24"/>
          <w:szCs w:val="24"/>
        </w:rPr>
      </w:pPr>
      <w:r>
        <w:rPr>
          <w:rFonts w:hint="eastAsia" w:ascii="仿宋" w:hAnsi="仿宋" w:eastAsia="仿宋" w:cs="仿宋"/>
          <w:b/>
          <w:bCs/>
          <w:sz w:val="24"/>
          <w:szCs w:val="24"/>
        </w:rPr>
        <w:t>1.征求意见函原文</w:t>
      </w:r>
    </w:p>
    <w:p w14:paraId="6A1752B0">
      <w:pPr>
        <w:spacing w:line="400" w:lineRule="exact"/>
        <w:jc w:val="left"/>
        <w:rPr>
          <w:rFonts w:ascii="仿宋" w:hAnsi="仿宋" w:eastAsia="仿宋" w:cs="仿宋"/>
          <w:sz w:val="24"/>
          <w:szCs w:val="24"/>
        </w:rPr>
      </w:pPr>
      <w:r>
        <w:rPr>
          <w:rFonts w:hint="eastAsia" w:ascii="仿宋" w:hAnsi="仿宋" w:eastAsia="仿宋" w:cs="仿宋"/>
          <w:sz w:val="24"/>
          <w:szCs w:val="24"/>
        </w:rPr>
        <w:t>（1）问卷调查专家意见</w:t>
      </w:r>
    </w:p>
    <w:p w14:paraId="1BE3B0E0">
      <w:pPr>
        <w:spacing w:line="40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建议在术语部分增加多语言对照表（如英文），便于国际推广。</w:t>
      </w:r>
    </w:p>
    <w:p w14:paraId="0BE4622B">
      <w:pPr>
        <w:spacing w:line="400" w:lineRule="exact"/>
        <w:jc w:val="left"/>
        <w:rPr>
          <w:rFonts w:ascii="仿宋" w:hAnsi="仿宋" w:eastAsia="仿宋" w:cs="仿宋"/>
          <w:sz w:val="24"/>
          <w:szCs w:val="24"/>
        </w:rPr>
      </w:pPr>
      <w:r>
        <w:rPr>
          <w:rFonts w:hint="eastAsia" w:ascii="仿宋" w:hAnsi="仿宋" w:eastAsia="仿宋" w:cs="仿宋"/>
          <w:sz w:val="24"/>
          <w:szCs w:val="24"/>
        </w:rPr>
        <w:t>（2）项目组意见</w:t>
      </w:r>
    </w:p>
    <w:p w14:paraId="478DF218">
      <w:pPr>
        <w:spacing w:line="40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本标准定义部分已含中英对照，且征求意见阶段将提供全文英文译稿，足以满足国际读者理解需求，可不再另行增设独立对照表。</w:t>
      </w:r>
    </w:p>
    <w:p w14:paraId="13A521A1">
      <w:pPr>
        <w:spacing w:line="400" w:lineRule="exact"/>
        <w:jc w:val="left"/>
        <w:rPr>
          <w:rFonts w:ascii="仿宋" w:hAnsi="仿宋" w:eastAsia="仿宋" w:cs="仿宋"/>
          <w:b/>
          <w:bCs/>
          <w:sz w:val="24"/>
          <w:szCs w:val="24"/>
        </w:rPr>
      </w:pPr>
      <w:r>
        <w:rPr>
          <w:rFonts w:hint="eastAsia" w:ascii="仿宋" w:hAnsi="仿宋" w:eastAsia="仿宋" w:cs="仿宋"/>
          <w:b/>
          <w:bCs/>
          <w:sz w:val="24"/>
          <w:szCs w:val="24"/>
        </w:rPr>
        <w:t>2.专家论证意见</w:t>
      </w:r>
    </w:p>
    <w:p w14:paraId="1D4EF38F">
      <w:pPr>
        <w:spacing w:line="400" w:lineRule="exact"/>
        <w:jc w:val="left"/>
        <w:rPr>
          <w:rFonts w:ascii="仿宋" w:hAnsi="仿宋" w:eastAsia="仿宋" w:cs="仿宋"/>
          <w:sz w:val="24"/>
          <w:szCs w:val="24"/>
        </w:rPr>
      </w:pPr>
      <w:r>
        <w:rPr>
          <w:rFonts w:hint="eastAsia" w:ascii="仿宋" w:hAnsi="仿宋" w:eastAsia="仿宋" w:cs="仿宋"/>
          <w:sz w:val="24"/>
          <w:szCs w:val="24"/>
        </w:rPr>
        <w:t>（1）专家论证结果</w:t>
      </w:r>
    </w:p>
    <w:p w14:paraId="127E91A7">
      <w:pPr>
        <w:spacing w:line="40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全体13位专家一致同意（2分/须选），支持率100%。</w:t>
      </w:r>
    </w:p>
    <w:p w14:paraId="6120E1CB">
      <w:pPr>
        <w:spacing w:line="400" w:lineRule="exact"/>
        <w:jc w:val="left"/>
        <w:rPr>
          <w:rFonts w:ascii="仿宋" w:hAnsi="仿宋" w:eastAsia="仿宋" w:cs="仿宋"/>
          <w:sz w:val="24"/>
          <w:szCs w:val="24"/>
        </w:rPr>
      </w:pPr>
      <w:r>
        <w:rPr>
          <w:rFonts w:hint="eastAsia" w:ascii="仿宋" w:hAnsi="仿宋" w:eastAsia="仿宋" w:cs="仿宋"/>
          <w:sz w:val="24"/>
          <w:szCs w:val="24"/>
        </w:rPr>
        <w:t>（2）主要讨论意见</w:t>
      </w:r>
    </w:p>
    <w:p w14:paraId="3F6C4440">
      <w:pPr>
        <w:spacing w:line="40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无特殊讨论意见。</w:t>
      </w:r>
    </w:p>
    <w:p w14:paraId="28F4FE57">
      <w:pPr>
        <w:spacing w:line="400" w:lineRule="exact"/>
        <w:jc w:val="left"/>
        <w:rPr>
          <w:rFonts w:ascii="仿宋" w:hAnsi="仿宋" w:eastAsia="仿宋" w:cs="仿宋"/>
          <w:b/>
          <w:bCs/>
          <w:sz w:val="24"/>
          <w:szCs w:val="24"/>
        </w:rPr>
      </w:pPr>
      <w:r>
        <w:rPr>
          <w:rFonts w:hint="eastAsia" w:ascii="仿宋" w:hAnsi="仿宋" w:eastAsia="仿宋" w:cs="仿宋"/>
          <w:b/>
          <w:bCs/>
          <w:sz w:val="24"/>
          <w:szCs w:val="24"/>
        </w:rPr>
        <w:t>3.项目组决议</w:t>
      </w:r>
    </w:p>
    <w:p w14:paraId="1DED342F">
      <w:pPr>
        <w:spacing w:line="40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不增设独立对照表。后期提供全文英文译稿，并确保术语定义部分双语对照的准确性。</w:t>
      </w:r>
    </w:p>
    <w:p w14:paraId="74F0C1D6">
      <w:pPr>
        <w:spacing w:line="400" w:lineRule="exact"/>
        <w:jc w:val="left"/>
        <w:rPr>
          <w:rFonts w:ascii="仿宋" w:hAnsi="仿宋" w:eastAsia="仿宋" w:cs="仿宋"/>
          <w:b/>
          <w:bCs/>
          <w:sz w:val="24"/>
          <w:szCs w:val="24"/>
        </w:rPr>
      </w:pPr>
      <w:r>
        <w:rPr>
          <w:rFonts w:hint="eastAsia" w:ascii="仿宋" w:hAnsi="仿宋" w:eastAsia="仿宋" w:cs="仿宋"/>
          <w:b/>
          <w:bCs/>
          <w:sz w:val="24"/>
          <w:szCs w:val="24"/>
        </w:rPr>
        <w:t>五、对全文的综合性修改意见</w:t>
      </w:r>
    </w:p>
    <w:p w14:paraId="7CD72606">
      <w:pPr>
        <w:spacing w:line="40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除上述条目共性问题外，专家在论证会及征求意见函中提出以下综合性意见。</w:t>
      </w:r>
    </w:p>
    <w:p w14:paraId="140169F5">
      <w:pPr>
        <w:spacing w:line="400" w:lineRule="exact"/>
        <w:jc w:val="left"/>
        <w:rPr>
          <w:rFonts w:ascii="仿宋" w:hAnsi="仿宋" w:eastAsia="仿宋" w:cs="仿宋"/>
          <w:b/>
          <w:bCs/>
          <w:sz w:val="24"/>
          <w:szCs w:val="24"/>
        </w:rPr>
      </w:pPr>
      <w:r>
        <w:rPr>
          <w:rFonts w:hint="eastAsia" w:ascii="仿宋" w:hAnsi="仿宋" w:eastAsia="仿宋" w:cs="仿宋"/>
          <w:b/>
          <w:bCs/>
          <w:sz w:val="24"/>
          <w:szCs w:val="24"/>
        </w:rPr>
        <w:t>1.术语与表述统一化</w:t>
      </w:r>
    </w:p>
    <w:p w14:paraId="775CF1EB">
      <w:pPr>
        <w:spacing w:line="400" w:lineRule="exact"/>
        <w:jc w:val="left"/>
        <w:rPr>
          <w:rFonts w:ascii="仿宋" w:hAnsi="仿宋" w:eastAsia="仿宋" w:cs="仿宋"/>
          <w:sz w:val="24"/>
          <w:szCs w:val="24"/>
        </w:rPr>
      </w:pPr>
      <w:r>
        <w:rPr>
          <w:rFonts w:hint="eastAsia" w:ascii="仿宋" w:hAnsi="仿宋" w:eastAsia="仿宋" w:cs="仿宋"/>
          <w:sz w:val="24"/>
          <w:szCs w:val="24"/>
        </w:rPr>
        <w:t>（1）专家讨论意见</w:t>
      </w:r>
    </w:p>
    <w:p w14:paraId="6F8D3F99">
      <w:pPr>
        <w:spacing w:line="400" w:lineRule="exact"/>
        <w:ind w:firstLine="420"/>
        <w:jc w:val="left"/>
        <w:rPr>
          <w:rFonts w:ascii="仿宋" w:hAnsi="仿宋" w:eastAsia="仿宋" w:cs="仿宋"/>
          <w:sz w:val="24"/>
          <w:szCs w:val="24"/>
        </w:rPr>
      </w:pPr>
      <w:r>
        <w:rPr>
          <w:rFonts w:hint="eastAsia" w:ascii="仿宋" w:hAnsi="仿宋" w:eastAsia="仿宋" w:cs="仿宋"/>
          <w:sz w:val="24"/>
          <w:szCs w:val="24"/>
        </w:rPr>
        <w:t>史正刚教授提出需与同期其他转化项目统一“医师/医生/操作者”等术语，并建议标准中统一其中的时间单位书写方式，可以统一为英文，如“min”“h”；马融教授、丁樱教授、王丽丽主任提出年龄表述不使用“幼儿、婴儿”等本土化词汇，改用国际通用数值（如“1岁以上”）。</w:t>
      </w:r>
    </w:p>
    <w:p w14:paraId="72C335B6">
      <w:pPr>
        <w:spacing w:line="400" w:lineRule="exact"/>
        <w:jc w:val="left"/>
        <w:rPr>
          <w:rFonts w:ascii="仿宋" w:hAnsi="仿宋" w:eastAsia="仿宋" w:cs="仿宋"/>
          <w:sz w:val="24"/>
          <w:szCs w:val="24"/>
        </w:rPr>
      </w:pPr>
      <w:r>
        <w:rPr>
          <w:rFonts w:hint="eastAsia" w:ascii="仿宋" w:hAnsi="仿宋" w:eastAsia="仿宋" w:cs="仿宋"/>
          <w:sz w:val="24"/>
          <w:szCs w:val="24"/>
        </w:rPr>
        <w:t>（2）项目组决议</w:t>
      </w:r>
    </w:p>
    <w:p w14:paraId="32934863">
      <w:pPr>
        <w:spacing w:line="400" w:lineRule="exact"/>
        <w:ind w:firstLine="420"/>
        <w:jc w:val="left"/>
        <w:rPr>
          <w:rFonts w:ascii="仿宋" w:hAnsi="仿宋" w:eastAsia="仿宋" w:cs="仿宋"/>
          <w:sz w:val="24"/>
          <w:szCs w:val="24"/>
        </w:rPr>
      </w:pPr>
      <w:r>
        <w:rPr>
          <w:rFonts w:hint="eastAsia" w:ascii="仿宋" w:hAnsi="仿宋" w:eastAsia="仿宋" w:cs="仿宋"/>
          <w:sz w:val="24"/>
          <w:szCs w:val="24"/>
        </w:rPr>
        <w:t>采纳专家建议，全文统审，项目组将召开五项目协调会统一处理，协调同期儿科国际标准转化项目的术语一致性。</w:t>
      </w:r>
    </w:p>
    <w:p w14:paraId="1E455E66">
      <w:pPr>
        <w:spacing w:line="400" w:lineRule="exact"/>
        <w:jc w:val="left"/>
        <w:rPr>
          <w:rFonts w:ascii="仿宋" w:hAnsi="仿宋" w:eastAsia="仿宋" w:cs="仿宋"/>
          <w:b/>
          <w:bCs/>
          <w:sz w:val="24"/>
          <w:szCs w:val="24"/>
        </w:rPr>
      </w:pPr>
      <w:r>
        <w:rPr>
          <w:rFonts w:hint="eastAsia" w:ascii="仿宋" w:hAnsi="仿宋" w:eastAsia="仿宋" w:cs="仿宋"/>
          <w:b/>
          <w:bCs/>
          <w:sz w:val="24"/>
          <w:szCs w:val="24"/>
        </w:rPr>
        <w:t>2.标准行文精简</w:t>
      </w:r>
    </w:p>
    <w:p w14:paraId="0BD72501">
      <w:pPr>
        <w:spacing w:line="400" w:lineRule="exact"/>
        <w:jc w:val="left"/>
        <w:rPr>
          <w:rFonts w:ascii="仿宋" w:hAnsi="仿宋" w:eastAsia="仿宋" w:cs="仿宋"/>
          <w:sz w:val="24"/>
          <w:szCs w:val="24"/>
        </w:rPr>
      </w:pPr>
      <w:r>
        <w:rPr>
          <w:rFonts w:hint="eastAsia" w:ascii="仿宋" w:hAnsi="仿宋" w:eastAsia="仿宋" w:cs="仿宋"/>
          <w:sz w:val="24"/>
          <w:szCs w:val="24"/>
        </w:rPr>
        <w:t>（1）专家讨论意见</w:t>
      </w:r>
    </w:p>
    <w:p w14:paraId="5B6706AA">
      <w:pPr>
        <w:spacing w:line="40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熊磊、戴启刚提出，标准应“要言不繁”，在保证操作性前提下精简表述。</w:t>
      </w:r>
    </w:p>
    <w:p w14:paraId="2ED5CA48">
      <w:pPr>
        <w:spacing w:line="400" w:lineRule="exact"/>
        <w:jc w:val="left"/>
        <w:rPr>
          <w:rFonts w:ascii="仿宋" w:hAnsi="仿宋" w:eastAsia="仿宋" w:cs="仿宋"/>
          <w:sz w:val="24"/>
          <w:szCs w:val="24"/>
        </w:rPr>
      </w:pPr>
      <w:r>
        <w:rPr>
          <w:rFonts w:hint="eastAsia" w:ascii="仿宋" w:hAnsi="仿宋" w:eastAsia="仿宋" w:cs="仿宋"/>
          <w:sz w:val="24"/>
          <w:szCs w:val="24"/>
        </w:rPr>
        <w:t>（2）项目组决议</w:t>
      </w:r>
    </w:p>
    <w:p w14:paraId="212CFFDA">
      <w:pPr>
        <w:spacing w:line="40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项目组对全文进行审查核对，删除重复性描述，保证细化操作的前提下尽量精简。</w:t>
      </w:r>
    </w:p>
    <w:p w14:paraId="6AA10A31">
      <w:pPr>
        <w:spacing w:line="400" w:lineRule="exact"/>
        <w:jc w:val="left"/>
        <w:rPr>
          <w:rFonts w:ascii="仿宋" w:hAnsi="仿宋" w:eastAsia="仿宋" w:cs="仿宋"/>
          <w:b/>
          <w:bCs/>
          <w:sz w:val="24"/>
          <w:szCs w:val="24"/>
        </w:rPr>
      </w:pPr>
      <w:r>
        <w:rPr>
          <w:rFonts w:hint="eastAsia" w:ascii="仿宋" w:hAnsi="仿宋" w:eastAsia="仿宋" w:cs="仿宋"/>
          <w:b/>
          <w:bCs/>
          <w:sz w:val="24"/>
          <w:szCs w:val="24"/>
        </w:rPr>
        <w:t>3.专家信息表优化</w:t>
      </w:r>
    </w:p>
    <w:p w14:paraId="37904E24">
      <w:pPr>
        <w:spacing w:line="400" w:lineRule="exact"/>
        <w:jc w:val="left"/>
        <w:rPr>
          <w:rFonts w:ascii="仿宋" w:hAnsi="仿宋" w:eastAsia="仿宋" w:cs="仿宋"/>
          <w:sz w:val="24"/>
          <w:szCs w:val="24"/>
        </w:rPr>
      </w:pPr>
      <w:r>
        <w:rPr>
          <w:rFonts w:hint="eastAsia" w:ascii="仿宋" w:hAnsi="仿宋" w:eastAsia="仿宋" w:cs="仿宋"/>
          <w:sz w:val="24"/>
          <w:szCs w:val="24"/>
        </w:rPr>
        <w:t>（1）专家讨论意见</w:t>
      </w:r>
    </w:p>
    <w:p w14:paraId="30606D43">
      <w:pPr>
        <w:spacing w:line="40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马融教授提出区分“学历/学位”表述，明确学历与学位的区别；建议统一职称，如以临床工作为主的专家职称仅填写主任医师、副主任医师等；如以基础研究为主的专家则以教授、副教授论。</w:t>
      </w:r>
    </w:p>
    <w:p w14:paraId="157C5EB9">
      <w:pPr>
        <w:spacing w:line="400" w:lineRule="exact"/>
        <w:jc w:val="left"/>
        <w:rPr>
          <w:rFonts w:ascii="仿宋" w:hAnsi="仿宋" w:eastAsia="仿宋" w:cs="仿宋"/>
          <w:sz w:val="24"/>
          <w:szCs w:val="24"/>
        </w:rPr>
      </w:pPr>
      <w:r>
        <w:rPr>
          <w:rFonts w:hint="eastAsia" w:ascii="仿宋" w:hAnsi="仿宋" w:eastAsia="仿宋" w:cs="仿宋"/>
          <w:sz w:val="24"/>
          <w:szCs w:val="24"/>
        </w:rPr>
        <w:t>（2）项目组决议</w:t>
      </w:r>
    </w:p>
    <w:p w14:paraId="4A56F705">
      <w:pPr>
        <w:spacing w:line="40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修正《专家信息表》模板，规范职称填写标准，职称统计仅为国内专家，国内专家“职称”按“初级、中级、副高级、正高级”分类统计，不再区分医师/教师系列；国外专家职称保留原始表述，单独分类统计。</w:t>
      </w:r>
    </w:p>
    <w:p w14:paraId="1A30C5C4">
      <w:pPr>
        <w:spacing w:line="400" w:lineRule="exact"/>
        <w:jc w:val="left"/>
        <w:rPr>
          <w:rFonts w:ascii="仿宋" w:hAnsi="仿宋" w:eastAsia="仿宋"/>
          <w:b/>
          <w:bCs/>
          <w:sz w:val="24"/>
          <w:szCs w:val="24"/>
        </w:rPr>
      </w:pPr>
      <w:r>
        <w:rPr>
          <w:rFonts w:hint="eastAsia" w:ascii="仿宋" w:hAnsi="仿宋" w:eastAsia="仿宋"/>
          <w:b/>
          <w:bCs/>
          <w:sz w:val="24"/>
          <w:szCs w:val="24"/>
        </w:rPr>
        <w:t>六、安全性问题专项总结</w:t>
      </w:r>
    </w:p>
    <w:p w14:paraId="63D8B8DB">
      <w:pPr>
        <w:spacing w:line="400" w:lineRule="exact"/>
        <w:ind w:firstLine="480" w:firstLineChars="200"/>
        <w:jc w:val="left"/>
        <w:rPr>
          <w:rFonts w:ascii="仿宋" w:hAnsi="仿宋" w:eastAsia="仿宋"/>
          <w:sz w:val="24"/>
          <w:szCs w:val="24"/>
        </w:rPr>
      </w:pPr>
      <w:r>
        <w:rPr>
          <w:rFonts w:hint="eastAsia" w:ascii="仿宋" w:hAnsi="仿宋" w:eastAsia="仿宋"/>
          <w:sz w:val="24"/>
          <w:szCs w:val="24"/>
        </w:rPr>
        <w:t>本次会议中，安全性既是专家论证的核心关切，也是国际标准转化必须坚守的底线。符合当地法律法规被专家组视为操作安全的前提条件，并非独立于技术之外的行政要求。专家组对标准草案进行了系统性安全审查，虞坚尔教授、王有鹏教授、王丽丽主任特别强调，不符合法规的操作即使技术正确也不安全，可能导致法律责任、执业资格丧失等风险。因此，会议全票通过在标准显著位置增加法规限制声明，确立“安全性以合规性为基础”的国际标准实施原则。</w:t>
      </w:r>
    </w:p>
    <w:p w14:paraId="3762E639">
      <w:pPr>
        <w:spacing w:line="400" w:lineRule="exact"/>
        <w:ind w:firstLine="480" w:firstLineChars="200"/>
        <w:jc w:val="left"/>
        <w:rPr>
          <w:rFonts w:ascii="仿宋" w:hAnsi="仿宋" w:eastAsia="仿宋"/>
          <w:sz w:val="24"/>
          <w:szCs w:val="24"/>
        </w:rPr>
      </w:pPr>
      <w:r>
        <w:rPr>
          <w:rFonts w:hint="eastAsia" w:ascii="仿宋" w:hAnsi="仿宋" w:eastAsia="仿宋"/>
          <w:sz w:val="24"/>
          <w:szCs w:val="24"/>
        </w:rPr>
        <w:t>项目组承诺：上述所有安全性决议将在标准修订中优先落实，确保本标准成为全球中医儿科针灸疗法的安全操作规范。</w:t>
      </w:r>
    </w:p>
    <w:p w14:paraId="6545520C">
      <w:pPr>
        <w:spacing w:line="400" w:lineRule="exact"/>
        <w:jc w:val="left"/>
        <w:rPr>
          <w:rFonts w:ascii="仿宋" w:hAnsi="仿宋" w:eastAsia="仿宋"/>
          <w:b/>
          <w:bCs/>
          <w:sz w:val="24"/>
          <w:szCs w:val="24"/>
        </w:rPr>
      </w:pPr>
      <w:r>
        <w:rPr>
          <w:rFonts w:hint="eastAsia" w:ascii="仿宋" w:hAnsi="仿宋" w:eastAsia="仿宋"/>
          <w:b/>
          <w:bCs/>
          <w:sz w:val="24"/>
          <w:szCs w:val="24"/>
        </w:rPr>
        <w:t>七、后续工作安排</w:t>
      </w:r>
    </w:p>
    <w:p w14:paraId="16264CB9">
      <w:pPr>
        <w:spacing w:line="400" w:lineRule="exact"/>
        <w:jc w:val="left"/>
        <w:rPr>
          <w:rFonts w:ascii="仿宋" w:hAnsi="仿宋" w:eastAsia="仿宋"/>
          <w:sz w:val="24"/>
          <w:szCs w:val="24"/>
        </w:rPr>
      </w:pPr>
      <w:r>
        <w:rPr>
          <w:rFonts w:hint="eastAsia" w:ascii="仿宋" w:hAnsi="仿宋" w:eastAsia="仿宋"/>
          <w:sz w:val="24"/>
          <w:szCs w:val="24"/>
        </w:rPr>
        <w:t>（1）联合协调：2025年12月15日前召开同期转化项目协调会，统一共性术语问题。</w:t>
      </w:r>
    </w:p>
    <w:p w14:paraId="4037EFFE">
      <w:pPr>
        <w:spacing w:line="400" w:lineRule="exact"/>
        <w:jc w:val="left"/>
        <w:rPr>
          <w:rFonts w:ascii="仿宋" w:hAnsi="仿宋" w:eastAsia="仿宋"/>
          <w:sz w:val="24"/>
          <w:szCs w:val="24"/>
        </w:rPr>
      </w:pPr>
      <w:r>
        <w:rPr>
          <w:rFonts w:hint="eastAsia" w:ascii="仿宋" w:hAnsi="仿宋" w:eastAsia="仿宋"/>
          <w:sz w:val="24"/>
          <w:szCs w:val="24"/>
        </w:rPr>
        <w:t>（2）文件修订：项目组将于2025年12月22日前完成标准草案修订，形成标准草案（初稿）。</w:t>
      </w:r>
    </w:p>
    <w:p w14:paraId="1410D516">
      <w:pPr>
        <w:spacing w:line="400" w:lineRule="exact"/>
        <w:jc w:val="left"/>
        <w:rPr>
          <w:rFonts w:ascii="仿宋" w:hAnsi="仿宋" w:eastAsia="仿宋"/>
          <w:sz w:val="24"/>
          <w:szCs w:val="24"/>
        </w:rPr>
      </w:pPr>
      <w:r>
        <w:rPr>
          <w:rFonts w:hint="eastAsia" w:ascii="仿宋" w:hAnsi="仿宋" w:eastAsia="仿宋"/>
          <w:sz w:val="24"/>
          <w:szCs w:val="24"/>
        </w:rPr>
        <w:t>（3）对照表总结：文件修订时同步完成《标准修订对照表》，逐条标注修改内容及理由。</w:t>
      </w:r>
    </w:p>
    <w:p w14:paraId="03935E71">
      <w:pPr>
        <w:spacing w:line="400" w:lineRule="exact"/>
        <w:jc w:val="left"/>
        <w:rPr>
          <w:rFonts w:ascii="仿宋" w:hAnsi="仿宋" w:eastAsia="仿宋"/>
          <w:sz w:val="24"/>
          <w:szCs w:val="24"/>
        </w:rPr>
      </w:pPr>
      <w:r>
        <w:rPr>
          <w:rFonts w:hint="eastAsia" w:ascii="仿宋" w:hAnsi="仿宋" w:eastAsia="仿宋"/>
          <w:sz w:val="24"/>
          <w:szCs w:val="24"/>
        </w:rPr>
        <w:t>（4）编制说明撰写：项目组将于2025年12月25日前完成《编制说明》撰写，详细说明本标准编制过程，并附文件。</w:t>
      </w:r>
    </w:p>
    <w:p w14:paraId="7AAED022">
      <w:pPr>
        <w:spacing w:line="400" w:lineRule="exact"/>
        <w:jc w:val="left"/>
        <w:rPr>
          <w:rFonts w:ascii="仿宋" w:hAnsi="仿宋" w:eastAsia="仿宋"/>
          <w:sz w:val="24"/>
          <w:szCs w:val="24"/>
        </w:rPr>
      </w:pPr>
      <w:r>
        <w:rPr>
          <w:rFonts w:hint="eastAsia" w:ascii="仿宋" w:hAnsi="仿宋" w:eastAsia="仿宋"/>
          <w:sz w:val="24"/>
          <w:szCs w:val="24"/>
        </w:rPr>
        <w:t>（5）材料上报：2025年12月31日前将《标准草案》《编制说明》《标准修订对照表》一并提交世界中联国际标准部。</w:t>
      </w:r>
    </w:p>
    <w:p w14:paraId="3E3EFAE5">
      <w:pPr>
        <w:spacing w:line="400" w:lineRule="exact"/>
        <w:jc w:val="left"/>
        <w:rPr>
          <w:rFonts w:ascii="仿宋" w:hAnsi="仿宋" w:eastAsia="仿宋"/>
          <w:b/>
          <w:bCs/>
          <w:sz w:val="24"/>
          <w:szCs w:val="24"/>
        </w:rPr>
      </w:pPr>
      <w:r>
        <w:rPr>
          <w:rFonts w:hint="eastAsia" w:ascii="仿宋" w:hAnsi="仿宋" w:eastAsia="仿宋"/>
          <w:b/>
          <w:bCs/>
          <w:sz w:val="24"/>
          <w:szCs w:val="24"/>
        </w:rPr>
        <w:t>八、声明</w:t>
      </w:r>
    </w:p>
    <w:p w14:paraId="218D233A">
      <w:pPr>
        <w:spacing w:line="400" w:lineRule="exact"/>
        <w:ind w:firstLine="480" w:firstLineChars="200"/>
        <w:jc w:val="left"/>
        <w:rPr>
          <w:rFonts w:ascii="仿宋" w:hAnsi="仿宋" w:eastAsia="仿宋"/>
          <w:sz w:val="24"/>
          <w:szCs w:val="24"/>
        </w:rPr>
      </w:pPr>
      <w:r>
        <w:rPr>
          <w:rFonts w:hint="eastAsia" w:ascii="仿宋" w:hAnsi="仿宋" w:eastAsia="仿宋"/>
          <w:sz w:val="24"/>
          <w:szCs w:val="24"/>
        </w:rPr>
        <w:t>本文件全面记录了2025年12月3日专家论证会技术决议，所有修改意见均基于专家评分及文字反馈，无遗漏、无篡改。项目组对参会专家的专业贡献表示衷心感谢，并承诺严格执行会议决议，高质量完成国际标准转化任务。</w:t>
      </w:r>
    </w:p>
    <w:p w14:paraId="7C2B1927">
      <w:pPr>
        <w:tabs>
          <w:tab w:val="left" w:pos="647"/>
        </w:tabs>
        <w:spacing w:line="400" w:lineRule="exact"/>
        <w:ind w:firstLine="480" w:firstLineChars="200"/>
        <w:jc w:val="left"/>
        <w:rPr>
          <w:rFonts w:ascii="仿宋" w:hAnsi="仿宋" w:eastAsia="仿宋"/>
          <w:sz w:val="24"/>
          <w:szCs w:val="24"/>
        </w:rPr>
      </w:pPr>
      <w:r>
        <w:rPr>
          <w:rFonts w:hint="eastAsia" w:ascii="仿宋" w:hAnsi="仿宋" w:eastAsia="仿宋"/>
          <w:sz w:val="24"/>
          <w:szCs w:val="24"/>
        </w:rPr>
        <w:tab/>
      </w:r>
      <w:r>
        <w:rPr>
          <w:rFonts w:hint="eastAsia" w:ascii="仿宋" w:hAnsi="仿宋" w:eastAsia="仿宋"/>
          <w:sz w:val="24"/>
          <w:szCs w:val="24"/>
        </w:rPr>
        <w:t>《国际中医技术操作规范 儿科 第3部分：小儿针灸疗法》项目工作组</w:t>
      </w:r>
    </w:p>
    <w:p w14:paraId="66FC641A">
      <w:pPr>
        <w:spacing w:line="400" w:lineRule="exact"/>
        <w:ind w:firstLine="420" w:firstLineChars="200"/>
        <w:rPr>
          <w:rFonts w:ascii="仿宋" w:hAnsi="仿宋" w:eastAsia="仿宋" w:cs="仿宋"/>
          <w:szCs w:val="21"/>
        </w:rPr>
      </w:pPr>
      <w:r>
        <w:rPr>
          <w:rFonts w:hint="eastAsia" w:ascii="仿宋" w:hAnsi="仿宋" w:eastAsia="仿宋" w:cs="仿宋"/>
          <w:szCs w:val="21"/>
        </w:rPr>
        <w:br w:type="page"/>
      </w:r>
    </w:p>
    <w:p w14:paraId="7A13FB13">
      <w:pPr>
        <w:rPr>
          <w:rFonts w:ascii="仿宋" w:hAnsi="仿宋" w:eastAsia="仿宋"/>
          <w:b/>
          <w:sz w:val="36"/>
          <w:szCs w:val="36"/>
        </w:rPr>
      </w:pPr>
      <w:r>
        <w:rPr>
          <w:rFonts w:hint="eastAsia" w:ascii="仿宋" w:hAnsi="仿宋" w:eastAsia="仿宋"/>
          <w:b/>
          <w:sz w:val="36"/>
          <w:szCs w:val="36"/>
        </w:rPr>
        <w:t>附件</w:t>
      </w:r>
      <w:r>
        <w:rPr>
          <w:rFonts w:ascii="仿宋" w:hAnsi="仿宋" w:eastAsia="仿宋"/>
          <w:b/>
          <w:sz w:val="36"/>
          <w:szCs w:val="36"/>
        </w:rPr>
        <w:t>3</w:t>
      </w:r>
    </w:p>
    <w:p w14:paraId="295859BB">
      <w:pPr>
        <w:keepNext/>
        <w:keepLines/>
        <w:spacing w:after="312" w:afterLines="100"/>
        <w:jc w:val="center"/>
        <w:outlineLvl w:val="0"/>
        <w:rPr>
          <w:rFonts w:ascii="仿宋" w:hAnsi="仿宋" w:eastAsia="仿宋"/>
          <w:b/>
          <w:bCs/>
          <w:sz w:val="36"/>
          <w:szCs w:val="36"/>
        </w:rPr>
      </w:pPr>
      <w:bookmarkStart w:id="26" w:name="_Toc469601984"/>
      <w:bookmarkStart w:id="27" w:name="_Toc32719"/>
      <w:r>
        <w:rPr>
          <w:rFonts w:hint="eastAsia" w:ascii="仿宋" w:hAnsi="仿宋" w:eastAsia="仿宋"/>
          <w:b/>
          <w:bCs/>
          <w:sz w:val="36"/>
          <w:szCs w:val="36"/>
        </w:rPr>
        <w:t>专家</w:t>
      </w:r>
      <w:r>
        <w:rPr>
          <w:rFonts w:ascii="仿宋" w:hAnsi="仿宋" w:eastAsia="仿宋"/>
          <w:b/>
          <w:bCs/>
          <w:sz w:val="36"/>
          <w:szCs w:val="36"/>
        </w:rPr>
        <w:t>指导组审核总结</w:t>
      </w:r>
      <w:bookmarkEnd w:id="26"/>
      <w:bookmarkEnd w:id="27"/>
    </w:p>
    <w:p w14:paraId="1974371D">
      <w:pPr>
        <w:spacing w:line="400" w:lineRule="exact"/>
        <w:ind w:firstLine="480" w:firstLineChars="200"/>
        <w:rPr>
          <w:rFonts w:ascii="仿宋" w:hAnsi="仿宋" w:eastAsia="仿宋"/>
          <w:sz w:val="24"/>
          <w:szCs w:val="24"/>
        </w:rPr>
      </w:pPr>
      <w:r>
        <w:rPr>
          <w:rFonts w:hint="eastAsia" w:ascii="仿宋" w:hAnsi="仿宋" w:eastAsia="仿宋"/>
          <w:sz w:val="24"/>
          <w:szCs w:val="24"/>
        </w:rPr>
        <w:t>《国际中医技术操作规范 儿科 第3部分：小儿针灸疗法》项目按照世界中医药学会联合会国际组织标准制定程序要求，在完成专家问卷调查和专家论证会论证工作后，形成了专家指导组审核稿及配套编制说明等材料，并提交专家指导组进行审核。</w:t>
      </w:r>
    </w:p>
    <w:p w14:paraId="35F76A4E">
      <w:pPr>
        <w:spacing w:line="400" w:lineRule="exact"/>
        <w:ind w:firstLine="480" w:firstLineChars="200"/>
        <w:rPr>
          <w:rFonts w:ascii="仿宋" w:hAnsi="仿宋" w:eastAsia="仿宋"/>
          <w:sz w:val="24"/>
          <w:szCs w:val="24"/>
        </w:rPr>
      </w:pPr>
      <w:r>
        <w:rPr>
          <w:rFonts w:hint="eastAsia" w:ascii="仿宋" w:hAnsi="仿宋" w:eastAsia="仿宋"/>
          <w:sz w:val="24"/>
          <w:szCs w:val="24"/>
        </w:rPr>
        <w:t>本项目专家指导组组长丁樱教授为国医大师、中国民族医药学会儿科分会会长，马融、熊磊教授为岐黄学者、中华中医药学会儿科分会第6</w:t>
      </w:r>
      <w:r>
        <w:rPr>
          <w:rFonts w:hint="eastAsia" w:ascii="仿宋" w:hAnsi="仿宋" w:eastAsia="仿宋" w:cs="仿宋"/>
          <w:sz w:val="24"/>
          <w:szCs w:val="24"/>
        </w:rPr>
        <w:t>～</w:t>
      </w:r>
      <w:r>
        <w:rPr>
          <w:rFonts w:hint="eastAsia" w:ascii="仿宋" w:hAnsi="仿宋" w:eastAsia="仿宋"/>
          <w:sz w:val="24"/>
          <w:szCs w:val="24"/>
        </w:rPr>
        <w:t>9届主任委员，俞建教授为中国中西医结合学会儿科分会主任委员，其他多数专家均为现任世界中医药学会儿科专业委员会副会长或中华中医药学会儿科分会副主任委员。项目工作组在规定时间内，向专家指导组成员发送了标准草案、标准修改对照表、编制说明等文件，请专家围绕标准定位、技术边界、条文表述及国际适用性等方面提出审核意见。专家以书面形式对标准提出了意见。</w:t>
      </w:r>
    </w:p>
    <w:p w14:paraId="69B12F35">
      <w:pPr>
        <w:spacing w:line="400" w:lineRule="exact"/>
        <w:jc w:val="center"/>
        <w:rPr>
          <w:rFonts w:ascii="仿宋" w:hAnsi="仿宋" w:eastAsia="仿宋" w:cs="Calibri"/>
          <w:b/>
          <w:szCs w:val="21"/>
        </w:rPr>
      </w:pPr>
      <w:r>
        <w:rPr>
          <w:rFonts w:hint="eastAsia" w:ascii="仿宋" w:hAnsi="仿宋" w:eastAsia="仿宋" w:cs="Calibri"/>
          <w:b/>
          <w:szCs w:val="21"/>
        </w:rPr>
        <w:t>《国际中医技术操作规范 儿科 第3部分：小儿针灸疗法》专家指导组审核征求意见情况表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4111"/>
        <w:gridCol w:w="1576"/>
        <w:gridCol w:w="1807"/>
      </w:tblGrid>
      <w:tr w14:paraId="4324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tcPr>
          <w:p w14:paraId="001FDAA2">
            <w:pPr>
              <w:spacing w:line="400" w:lineRule="exact"/>
              <w:jc w:val="center"/>
              <w:rPr>
                <w:rFonts w:ascii="仿宋" w:hAnsi="仿宋" w:eastAsia="仿宋" w:cs="Calibri"/>
                <w:szCs w:val="21"/>
              </w:rPr>
            </w:pPr>
            <w:r>
              <w:rPr>
                <w:rFonts w:ascii="仿宋" w:hAnsi="仿宋" w:eastAsia="仿宋" w:cs="Calibri"/>
                <w:szCs w:val="21"/>
              </w:rPr>
              <w:t>序号</w:t>
            </w:r>
          </w:p>
        </w:tc>
        <w:tc>
          <w:tcPr>
            <w:tcW w:w="4111" w:type="dxa"/>
          </w:tcPr>
          <w:p w14:paraId="5D7AB94D">
            <w:pPr>
              <w:spacing w:line="400" w:lineRule="exact"/>
              <w:jc w:val="center"/>
              <w:rPr>
                <w:rFonts w:ascii="仿宋" w:hAnsi="仿宋" w:eastAsia="仿宋" w:cs="Calibri"/>
                <w:szCs w:val="21"/>
              </w:rPr>
            </w:pPr>
            <w:r>
              <w:rPr>
                <w:rFonts w:ascii="仿宋" w:hAnsi="仿宋" w:eastAsia="仿宋" w:cs="Calibri"/>
                <w:szCs w:val="21"/>
              </w:rPr>
              <w:t>征求单位</w:t>
            </w:r>
          </w:p>
        </w:tc>
        <w:tc>
          <w:tcPr>
            <w:tcW w:w="1576" w:type="dxa"/>
          </w:tcPr>
          <w:p w14:paraId="6F6CEBD3">
            <w:pPr>
              <w:spacing w:line="400" w:lineRule="exact"/>
              <w:jc w:val="center"/>
              <w:rPr>
                <w:rFonts w:ascii="仿宋" w:hAnsi="仿宋" w:eastAsia="仿宋" w:cs="Calibri"/>
                <w:szCs w:val="21"/>
              </w:rPr>
            </w:pPr>
            <w:r>
              <w:rPr>
                <w:rFonts w:ascii="仿宋" w:hAnsi="仿宋" w:eastAsia="仿宋" w:cs="Calibri"/>
                <w:szCs w:val="21"/>
              </w:rPr>
              <w:t>专</w:t>
            </w:r>
            <w:r>
              <w:rPr>
                <w:rFonts w:hint="eastAsia" w:ascii="仿宋" w:hAnsi="仿宋" w:eastAsia="仿宋" w:cs="Calibri"/>
                <w:szCs w:val="21"/>
              </w:rPr>
              <w:t xml:space="preserve">  </w:t>
            </w:r>
            <w:r>
              <w:rPr>
                <w:rFonts w:ascii="仿宋" w:hAnsi="仿宋" w:eastAsia="仿宋" w:cs="Calibri"/>
                <w:szCs w:val="21"/>
              </w:rPr>
              <w:t>家</w:t>
            </w:r>
          </w:p>
        </w:tc>
        <w:tc>
          <w:tcPr>
            <w:tcW w:w="1807" w:type="dxa"/>
          </w:tcPr>
          <w:p w14:paraId="4753E61C">
            <w:pPr>
              <w:spacing w:line="400" w:lineRule="exact"/>
              <w:jc w:val="center"/>
              <w:rPr>
                <w:rFonts w:ascii="仿宋" w:hAnsi="仿宋" w:eastAsia="仿宋" w:cs="Calibri"/>
                <w:szCs w:val="21"/>
              </w:rPr>
            </w:pPr>
            <w:r>
              <w:rPr>
                <w:rFonts w:ascii="仿宋" w:hAnsi="仿宋" w:eastAsia="仿宋" w:cs="Calibri"/>
                <w:szCs w:val="21"/>
              </w:rPr>
              <w:t>是否回复意见</w:t>
            </w:r>
          </w:p>
        </w:tc>
      </w:tr>
      <w:tr w14:paraId="78AB1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tcPr>
          <w:p w14:paraId="23F31AD2">
            <w:pPr>
              <w:spacing w:line="400" w:lineRule="exact"/>
              <w:jc w:val="center"/>
              <w:rPr>
                <w:rFonts w:ascii="仿宋" w:hAnsi="仿宋" w:eastAsia="仿宋" w:cs="Calibri"/>
                <w:szCs w:val="21"/>
              </w:rPr>
            </w:pPr>
            <w:r>
              <w:rPr>
                <w:rFonts w:hint="eastAsia" w:ascii="仿宋" w:hAnsi="仿宋" w:eastAsia="仿宋" w:cs="Calibri"/>
                <w:szCs w:val="21"/>
              </w:rPr>
              <w:t>1</w:t>
            </w:r>
          </w:p>
        </w:tc>
        <w:tc>
          <w:tcPr>
            <w:tcW w:w="4111" w:type="dxa"/>
          </w:tcPr>
          <w:p w14:paraId="321B4B86">
            <w:pPr>
              <w:spacing w:line="400" w:lineRule="exact"/>
              <w:jc w:val="left"/>
              <w:rPr>
                <w:rFonts w:ascii="仿宋" w:hAnsi="仿宋" w:eastAsia="仿宋" w:cs="Calibri"/>
                <w:szCs w:val="21"/>
              </w:rPr>
            </w:pPr>
            <w:r>
              <w:rPr>
                <w:rFonts w:hint="eastAsia" w:ascii="仿宋" w:hAnsi="仿宋" w:eastAsia="仿宋" w:cs="Calibri"/>
                <w:szCs w:val="21"/>
              </w:rPr>
              <w:t>河南中医药大学第一附属医院儿科医院</w:t>
            </w:r>
          </w:p>
        </w:tc>
        <w:tc>
          <w:tcPr>
            <w:tcW w:w="1576" w:type="dxa"/>
          </w:tcPr>
          <w:p w14:paraId="77933463">
            <w:pPr>
              <w:spacing w:line="400" w:lineRule="exact"/>
              <w:jc w:val="center"/>
              <w:rPr>
                <w:rFonts w:ascii="仿宋" w:hAnsi="仿宋" w:eastAsia="仿宋" w:cs="Calibri"/>
                <w:szCs w:val="21"/>
              </w:rPr>
            </w:pPr>
            <w:r>
              <w:rPr>
                <w:rFonts w:hint="eastAsia" w:ascii="仿宋" w:hAnsi="仿宋" w:eastAsia="仿宋" w:cs="Calibri"/>
                <w:szCs w:val="21"/>
              </w:rPr>
              <w:t>丁  樱</w:t>
            </w:r>
          </w:p>
        </w:tc>
        <w:tc>
          <w:tcPr>
            <w:tcW w:w="1807" w:type="dxa"/>
          </w:tcPr>
          <w:p w14:paraId="4FAE86FC">
            <w:pPr>
              <w:spacing w:line="400" w:lineRule="exact"/>
              <w:jc w:val="center"/>
              <w:rPr>
                <w:rFonts w:ascii="仿宋" w:hAnsi="仿宋" w:eastAsia="仿宋" w:cs="Calibri"/>
                <w:szCs w:val="21"/>
              </w:rPr>
            </w:pPr>
            <w:r>
              <w:rPr>
                <w:rFonts w:ascii="仿宋" w:hAnsi="仿宋" w:eastAsia="仿宋" w:cs="Calibri"/>
                <w:szCs w:val="21"/>
              </w:rPr>
              <w:t>回复</w:t>
            </w:r>
          </w:p>
        </w:tc>
      </w:tr>
      <w:tr w14:paraId="7785D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tcPr>
          <w:p w14:paraId="1A07CEA2">
            <w:pPr>
              <w:spacing w:line="400" w:lineRule="exact"/>
              <w:jc w:val="center"/>
              <w:rPr>
                <w:rFonts w:ascii="仿宋" w:hAnsi="仿宋" w:eastAsia="仿宋" w:cs="Calibri"/>
                <w:szCs w:val="21"/>
              </w:rPr>
            </w:pPr>
            <w:r>
              <w:rPr>
                <w:rFonts w:hint="eastAsia" w:ascii="仿宋" w:hAnsi="仿宋" w:eastAsia="仿宋" w:cs="Calibri"/>
                <w:szCs w:val="21"/>
              </w:rPr>
              <w:t>2</w:t>
            </w:r>
          </w:p>
        </w:tc>
        <w:tc>
          <w:tcPr>
            <w:tcW w:w="4111" w:type="dxa"/>
          </w:tcPr>
          <w:p w14:paraId="0BFF3602">
            <w:pPr>
              <w:spacing w:line="400" w:lineRule="exact"/>
              <w:jc w:val="left"/>
              <w:rPr>
                <w:rFonts w:ascii="仿宋" w:hAnsi="仿宋" w:eastAsia="仿宋" w:cs="Calibri"/>
                <w:szCs w:val="21"/>
              </w:rPr>
            </w:pPr>
            <w:r>
              <w:rPr>
                <w:rFonts w:hint="eastAsia" w:ascii="仿宋" w:hAnsi="仿宋" w:eastAsia="仿宋" w:cs="Calibri"/>
                <w:szCs w:val="21"/>
              </w:rPr>
              <w:t>深圳市儿童医院</w:t>
            </w:r>
          </w:p>
        </w:tc>
        <w:tc>
          <w:tcPr>
            <w:tcW w:w="1576" w:type="dxa"/>
          </w:tcPr>
          <w:p w14:paraId="5EFF2415">
            <w:pPr>
              <w:spacing w:line="400" w:lineRule="exact"/>
              <w:jc w:val="center"/>
              <w:rPr>
                <w:rFonts w:ascii="仿宋" w:hAnsi="仿宋" w:eastAsia="仿宋" w:cs="Calibri"/>
                <w:szCs w:val="21"/>
              </w:rPr>
            </w:pPr>
            <w:r>
              <w:rPr>
                <w:rFonts w:hint="eastAsia" w:ascii="仿宋" w:hAnsi="仿宋" w:eastAsia="仿宋" w:cs="Calibri"/>
                <w:szCs w:val="21"/>
              </w:rPr>
              <w:t>万力生</w:t>
            </w:r>
          </w:p>
        </w:tc>
        <w:tc>
          <w:tcPr>
            <w:tcW w:w="1807" w:type="dxa"/>
          </w:tcPr>
          <w:p w14:paraId="08648694">
            <w:pPr>
              <w:spacing w:line="400" w:lineRule="exact"/>
              <w:jc w:val="center"/>
              <w:rPr>
                <w:rFonts w:ascii="仿宋" w:hAnsi="仿宋" w:eastAsia="仿宋" w:cs="Calibri"/>
                <w:szCs w:val="21"/>
              </w:rPr>
            </w:pPr>
            <w:r>
              <w:rPr>
                <w:rFonts w:ascii="仿宋" w:hAnsi="仿宋" w:eastAsia="仿宋" w:cs="Calibri"/>
                <w:szCs w:val="21"/>
              </w:rPr>
              <w:t>回复</w:t>
            </w:r>
          </w:p>
        </w:tc>
      </w:tr>
      <w:tr w14:paraId="33E92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tcPr>
          <w:p w14:paraId="770E964D">
            <w:pPr>
              <w:spacing w:line="400" w:lineRule="exact"/>
              <w:jc w:val="center"/>
              <w:rPr>
                <w:rFonts w:ascii="仿宋" w:hAnsi="仿宋" w:eastAsia="仿宋" w:cs="Calibri"/>
                <w:szCs w:val="21"/>
              </w:rPr>
            </w:pPr>
            <w:r>
              <w:rPr>
                <w:rFonts w:hint="eastAsia" w:ascii="仿宋" w:hAnsi="仿宋" w:eastAsia="仿宋" w:cs="Calibri"/>
                <w:szCs w:val="21"/>
              </w:rPr>
              <w:t>3</w:t>
            </w:r>
          </w:p>
        </w:tc>
        <w:tc>
          <w:tcPr>
            <w:tcW w:w="4111" w:type="dxa"/>
          </w:tcPr>
          <w:p w14:paraId="7C6F43FA">
            <w:pPr>
              <w:spacing w:line="400" w:lineRule="exact"/>
              <w:jc w:val="left"/>
              <w:rPr>
                <w:rFonts w:ascii="仿宋" w:hAnsi="仿宋" w:eastAsia="仿宋" w:cs="Calibri"/>
                <w:szCs w:val="21"/>
              </w:rPr>
            </w:pPr>
            <w:r>
              <w:rPr>
                <w:rFonts w:hint="eastAsia" w:ascii="仿宋" w:hAnsi="仿宋" w:eastAsia="仿宋" w:cs="Calibri"/>
                <w:szCs w:val="21"/>
              </w:rPr>
              <w:t>天津中医药大学第一附属医院</w:t>
            </w:r>
          </w:p>
        </w:tc>
        <w:tc>
          <w:tcPr>
            <w:tcW w:w="1576" w:type="dxa"/>
          </w:tcPr>
          <w:p w14:paraId="7C5AD527">
            <w:pPr>
              <w:spacing w:line="400" w:lineRule="exact"/>
              <w:jc w:val="center"/>
              <w:rPr>
                <w:rFonts w:ascii="仿宋" w:hAnsi="仿宋" w:eastAsia="仿宋" w:cs="Calibri"/>
                <w:szCs w:val="21"/>
              </w:rPr>
            </w:pPr>
            <w:r>
              <w:rPr>
                <w:rFonts w:hint="eastAsia" w:ascii="仿宋" w:hAnsi="仿宋" w:eastAsia="仿宋" w:cs="Calibri"/>
                <w:szCs w:val="21"/>
              </w:rPr>
              <w:t>马  融</w:t>
            </w:r>
          </w:p>
        </w:tc>
        <w:tc>
          <w:tcPr>
            <w:tcW w:w="1807" w:type="dxa"/>
          </w:tcPr>
          <w:p w14:paraId="191E0D70">
            <w:pPr>
              <w:spacing w:line="400" w:lineRule="exact"/>
              <w:jc w:val="center"/>
              <w:rPr>
                <w:rFonts w:ascii="仿宋" w:hAnsi="仿宋" w:eastAsia="仿宋" w:cs="Calibri"/>
                <w:szCs w:val="21"/>
              </w:rPr>
            </w:pPr>
            <w:r>
              <w:rPr>
                <w:rFonts w:ascii="仿宋" w:hAnsi="仿宋" w:eastAsia="仿宋" w:cs="Calibri"/>
                <w:szCs w:val="21"/>
              </w:rPr>
              <w:t>回复</w:t>
            </w:r>
          </w:p>
        </w:tc>
      </w:tr>
      <w:tr w14:paraId="68100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tcPr>
          <w:p w14:paraId="359611E7">
            <w:pPr>
              <w:spacing w:line="400" w:lineRule="exact"/>
              <w:jc w:val="center"/>
              <w:rPr>
                <w:rFonts w:ascii="仿宋" w:hAnsi="仿宋" w:eastAsia="仿宋" w:cs="Calibri"/>
                <w:szCs w:val="21"/>
              </w:rPr>
            </w:pPr>
            <w:r>
              <w:rPr>
                <w:rFonts w:hint="eastAsia" w:ascii="仿宋" w:hAnsi="仿宋" w:eastAsia="仿宋" w:cs="Calibri"/>
                <w:szCs w:val="21"/>
              </w:rPr>
              <w:t>4</w:t>
            </w:r>
          </w:p>
        </w:tc>
        <w:tc>
          <w:tcPr>
            <w:tcW w:w="4111" w:type="dxa"/>
          </w:tcPr>
          <w:p w14:paraId="203EC70A">
            <w:pPr>
              <w:spacing w:line="400" w:lineRule="exact"/>
              <w:jc w:val="left"/>
              <w:rPr>
                <w:rFonts w:ascii="仿宋" w:hAnsi="仿宋" w:eastAsia="仿宋" w:cs="Calibri"/>
                <w:szCs w:val="21"/>
              </w:rPr>
            </w:pPr>
            <w:r>
              <w:rPr>
                <w:rFonts w:hint="eastAsia" w:ascii="仿宋" w:hAnsi="仿宋" w:eastAsia="仿宋" w:cs="Calibri"/>
                <w:szCs w:val="21"/>
              </w:rPr>
              <w:t>黑龙江中医药大学附属第二医院</w:t>
            </w:r>
          </w:p>
        </w:tc>
        <w:tc>
          <w:tcPr>
            <w:tcW w:w="1576" w:type="dxa"/>
          </w:tcPr>
          <w:p w14:paraId="584E869F">
            <w:pPr>
              <w:spacing w:line="400" w:lineRule="exact"/>
              <w:jc w:val="center"/>
              <w:rPr>
                <w:rFonts w:ascii="仿宋" w:hAnsi="仿宋" w:eastAsia="仿宋" w:cs="Calibri"/>
                <w:szCs w:val="21"/>
              </w:rPr>
            </w:pPr>
            <w:r>
              <w:rPr>
                <w:rFonts w:hint="eastAsia" w:ascii="仿宋" w:hAnsi="仿宋" w:eastAsia="仿宋" w:cs="Calibri"/>
                <w:szCs w:val="21"/>
              </w:rPr>
              <w:t>王有鹏</w:t>
            </w:r>
          </w:p>
        </w:tc>
        <w:tc>
          <w:tcPr>
            <w:tcW w:w="1807" w:type="dxa"/>
          </w:tcPr>
          <w:p w14:paraId="2D5B6E65">
            <w:pPr>
              <w:spacing w:line="400" w:lineRule="exact"/>
              <w:jc w:val="center"/>
              <w:rPr>
                <w:rFonts w:ascii="仿宋" w:hAnsi="仿宋" w:eastAsia="仿宋" w:cs="Calibri"/>
                <w:szCs w:val="21"/>
              </w:rPr>
            </w:pPr>
            <w:r>
              <w:rPr>
                <w:rFonts w:ascii="仿宋" w:hAnsi="仿宋" w:eastAsia="仿宋" w:cs="Calibri"/>
                <w:szCs w:val="21"/>
              </w:rPr>
              <w:t>回复</w:t>
            </w:r>
          </w:p>
        </w:tc>
      </w:tr>
      <w:tr w14:paraId="1DCD3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tcPr>
          <w:p w14:paraId="65E81E3A">
            <w:pPr>
              <w:spacing w:line="400" w:lineRule="exact"/>
              <w:jc w:val="center"/>
              <w:rPr>
                <w:rFonts w:ascii="仿宋" w:hAnsi="仿宋" w:eastAsia="仿宋" w:cs="Calibri"/>
                <w:szCs w:val="21"/>
              </w:rPr>
            </w:pPr>
            <w:r>
              <w:rPr>
                <w:rFonts w:hint="eastAsia" w:ascii="仿宋" w:hAnsi="仿宋" w:eastAsia="仿宋" w:cs="Calibri"/>
                <w:szCs w:val="21"/>
              </w:rPr>
              <w:t>5</w:t>
            </w:r>
          </w:p>
        </w:tc>
        <w:tc>
          <w:tcPr>
            <w:tcW w:w="4111" w:type="dxa"/>
          </w:tcPr>
          <w:p w14:paraId="195FCCA6">
            <w:pPr>
              <w:spacing w:line="400" w:lineRule="exact"/>
              <w:jc w:val="left"/>
              <w:rPr>
                <w:rFonts w:ascii="仿宋" w:hAnsi="仿宋" w:eastAsia="仿宋" w:cs="Calibri"/>
                <w:szCs w:val="21"/>
              </w:rPr>
            </w:pPr>
            <w:r>
              <w:rPr>
                <w:rFonts w:hint="eastAsia" w:ascii="仿宋" w:hAnsi="仿宋" w:eastAsia="仿宋" w:cs="Calibri"/>
                <w:szCs w:val="21"/>
              </w:rPr>
              <w:t>世界中医药学会联合会国际标准部</w:t>
            </w:r>
          </w:p>
        </w:tc>
        <w:tc>
          <w:tcPr>
            <w:tcW w:w="1576" w:type="dxa"/>
          </w:tcPr>
          <w:p w14:paraId="209824BA">
            <w:pPr>
              <w:spacing w:line="400" w:lineRule="exact"/>
              <w:jc w:val="center"/>
              <w:rPr>
                <w:rFonts w:ascii="仿宋" w:hAnsi="仿宋" w:eastAsia="仿宋" w:cs="Calibri"/>
                <w:szCs w:val="21"/>
              </w:rPr>
            </w:pPr>
            <w:r>
              <w:rPr>
                <w:rFonts w:hint="eastAsia" w:ascii="仿宋" w:hAnsi="仿宋" w:eastAsia="仿宋" w:cs="Calibri"/>
                <w:szCs w:val="21"/>
              </w:rPr>
              <w:t>王丽丽</w:t>
            </w:r>
          </w:p>
        </w:tc>
        <w:tc>
          <w:tcPr>
            <w:tcW w:w="1807" w:type="dxa"/>
          </w:tcPr>
          <w:p w14:paraId="35FA4AC1">
            <w:pPr>
              <w:spacing w:line="400" w:lineRule="exact"/>
              <w:jc w:val="center"/>
              <w:rPr>
                <w:rFonts w:ascii="仿宋" w:hAnsi="仿宋" w:eastAsia="仿宋" w:cs="Calibri"/>
                <w:szCs w:val="21"/>
              </w:rPr>
            </w:pPr>
            <w:r>
              <w:rPr>
                <w:rFonts w:ascii="仿宋" w:hAnsi="仿宋" w:eastAsia="仿宋" w:cs="Calibri"/>
                <w:szCs w:val="21"/>
              </w:rPr>
              <w:t>回复</w:t>
            </w:r>
          </w:p>
        </w:tc>
      </w:tr>
      <w:tr w14:paraId="69017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tcPr>
          <w:p w14:paraId="465EDE94">
            <w:pPr>
              <w:spacing w:line="400" w:lineRule="exact"/>
              <w:jc w:val="center"/>
              <w:rPr>
                <w:rFonts w:ascii="仿宋" w:hAnsi="仿宋" w:eastAsia="仿宋" w:cs="Calibri"/>
                <w:szCs w:val="21"/>
              </w:rPr>
            </w:pPr>
            <w:r>
              <w:rPr>
                <w:rFonts w:hint="eastAsia" w:ascii="仿宋" w:hAnsi="仿宋" w:eastAsia="仿宋" w:cs="Calibri"/>
                <w:szCs w:val="21"/>
              </w:rPr>
              <w:t>6</w:t>
            </w:r>
          </w:p>
        </w:tc>
        <w:tc>
          <w:tcPr>
            <w:tcW w:w="4111" w:type="dxa"/>
          </w:tcPr>
          <w:p w14:paraId="237D8555">
            <w:pPr>
              <w:spacing w:line="400" w:lineRule="exact"/>
              <w:jc w:val="left"/>
              <w:rPr>
                <w:rFonts w:ascii="仿宋" w:hAnsi="仿宋" w:eastAsia="仿宋" w:cs="Calibri"/>
                <w:szCs w:val="21"/>
              </w:rPr>
            </w:pPr>
            <w:r>
              <w:rPr>
                <w:rFonts w:hint="eastAsia" w:ascii="仿宋" w:hAnsi="仿宋" w:eastAsia="仿宋" w:cs="Calibri"/>
                <w:szCs w:val="21"/>
              </w:rPr>
              <w:t>北京中医药大学东方医院</w:t>
            </w:r>
          </w:p>
        </w:tc>
        <w:tc>
          <w:tcPr>
            <w:tcW w:w="1576" w:type="dxa"/>
          </w:tcPr>
          <w:p w14:paraId="72A50A6A">
            <w:pPr>
              <w:spacing w:line="400" w:lineRule="exact"/>
              <w:jc w:val="center"/>
              <w:rPr>
                <w:rFonts w:ascii="仿宋" w:hAnsi="仿宋" w:eastAsia="仿宋" w:cs="Calibri"/>
                <w:szCs w:val="21"/>
              </w:rPr>
            </w:pPr>
            <w:r>
              <w:rPr>
                <w:rFonts w:ascii="仿宋" w:hAnsi="仿宋" w:eastAsia="仿宋" w:cs="Calibri"/>
                <w:szCs w:val="21"/>
              </w:rPr>
              <w:t>王素梅</w:t>
            </w:r>
          </w:p>
        </w:tc>
        <w:tc>
          <w:tcPr>
            <w:tcW w:w="1807" w:type="dxa"/>
          </w:tcPr>
          <w:p w14:paraId="03671A9F">
            <w:pPr>
              <w:spacing w:line="400" w:lineRule="exact"/>
              <w:jc w:val="center"/>
              <w:rPr>
                <w:rFonts w:ascii="仿宋" w:hAnsi="仿宋" w:eastAsia="仿宋" w:cs="Calibri"/>
                <w:szCs w:val="21"/>
              </w:rPr>
            </w:pPr>
            <w:r>
              <w:rPr>
                <w:rFonts w:ascii="仿宋" w:hAnsi="仿宋" w:eastAsia="仿宋" w:cs="Calibri"/>
                <w:szCs w:val="21"/>
              </w:rPr>
              <w:t>回复</w:t>
            </w:r>
          </w:p>
        </w:tc>
      </w:tr>
      <w:tr w14:paraId="3AB4A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tcPr>
          <w:p w14:paraId="3048E952">
            <w:pPr>
              <w:spacing w:line="400" w:lineRule="exact"/>
              <w:jc w:val="center"/>
              <w:rPr>
                <w:rFonts w:ascii="仿宋" w:hAnsi="仿宋" w:eastAsia="仿宋" w:cs="Calibri"/>
                <w:szCs w:val="21"/>
              </w:rPr>
            </w:pPr>
            <w:r>
              <w:rPr>
                <w:rFonts w:hint="eastAsia" w:ascii="仿宋" w:hAnsi="仿宋" w:eastAsia="仿宋" w:cs="Calibri"/>
                <w:szCs w:val="21"/>
              </w:rPr>
              <w:t>7</w:t>
            </w:r>
          </w:p>
        </w:tc>
        <w:tc>
          <w:tcPr>
            <w:tcW w:w="4111" w:type="dxa"/>
          </w:tcPr>
          <w:p w14:paraId="4C99AE52">
            <w:pPr>
              <w:spacing w:line="400" w:lineRule="exact"/>
              <w:jc w:val="left"/>
              <w:rPr>
                <w:rFonts w:ascii="仿宋" w:hAnsi="仿宋" w:eastAsia="仿宋" w:cs="Calibri"/>
                <w:szCs w:val="21"/>
              </w:rPr>
            </w:pPr>
            <w:r>
              <w:rPr>
                <w:rFonts w:hint="eastAsia" w:ascii="仿宋" w:hAnsi="仿宋" w:eastAsia="仿宋" w:cs="Calibri"/>
                <w:szCs w:val="21"/>
              </w:rPr>
              <w:t>甘肃中医药大学</w:t>
            </w:r>
          </w:p>
        </w:tc>
        <w:tc>
          <w:tcPr>
            <w:tcW w:w="1576" w:type="dxa"/>
          </w:tcPr>
          <w:p w14:paraId="4848C704">
            <w:pPr>
              <w:spacing w:line="400" w:lineRule="exact"/>
              <w:jc w:val="center"/>
              <w:rPr>
                <w:rFonts w:ascii="仿宋" w:hAnsi="仿宋" w:eastAsia="仿宋" w:cs="Calibri"/>
                <w:szCs w:val="21"/>
              </w:rPr>
            </w:pPr>
            <w:r>
              <w:rPr>
                <w:rFonts w:hint="eastAsia" w:ascii="仿宋" w:hAnsi="仿宋" w:eastAsia="仿宋" w:cs="Calibri"/>
                <w:szCs w:val="21"/>
              </w:rPr>
              <w:t>史正刚</w:t>
            </w:r>
          </w:p>
        </w:tc>
        <w:tc>
          <w:tcPr>
            <w:tcW w:w="1807" w:type="dxa"/>
          </w:tcPr>
          <w:p w14:paraId="535B2D16">
            <w:pPr>
              <w:spacing w:line="400" w:lineRule="exact"/>
              <w:jc w:val="center"/>
              <w:rPr>
                <w:rFonts w:ascii="仿宋" w:hAnsi="仿宋" w:eastAsia="仿宋" w:cs="Calibri"/>
                <w:szCs w:val="21"/>
              </w:rPr>
            </w:pPr>
            <w:r>
              <w:rPr>
                <w:rFonts w:ascii="仿宋" w:hAnsi="仿宋" w:eastAsia="仿宋" w:cs="Calibri"/>
                <w:szCs w:val="21"/>
              </w:rPr>
              <w:t>回复</w:t>
            </w:r>
          </w:p>
        </w:tc>
      </w:tr>
      <w:tr w14:paraId="15C62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tcPr>
          <w:p w14:paraId="369AB272">
            <w:pPr>
              <w:spacing w:line="400" w:lineRule="exact"/>
              <w:jc w:val="center"/>
              <w:rPr>
                <w:rFonts w:ascii="仿宋" w:hAnsi="仿宋" w:eastAsia="仿宋" w:cs="Calibri"/>
                <w:szCs w:val="21"/>
              </w:rPr>
            </w:pPr>
            <w:r>
              <w:rPr>
                <w:rFonts w:hint="eastAsia" w:ascii="仿宋" w:hAnsi="仿宋" w:eastAsia="仿宋" w:cs="Calibri"/>
                <w:szCs w:val="21"/>
              </w:rPr>
              <w:t>8</w:t>
            </w:r>
          </w:p>
        </w:tc>
        <w:tc>
          <w:tcPr>
            <w:tcW w:w="4111" w:type="dxa"/>
          </w:tcPr>
          <w:p w14:paraId="54611065">
            <w:pPr>
              <w:spacing w:line="400" w:lineRule="exact"/>
              <w:jc w:val="left"/>
              <w:rPr>
                <w:rFonts w:ascii="仿宋" w:hAnsi="仿宋" w:eastAsia="仿宋" w:cs="Calibri"/>
                <w:szCs w:val="21"/>
              </w:rPr>
            </w:pPr>
            <w:r>
              <w:rPr>
                <w:rFonts w:hint="eastAsia" w:ascii="仿宋" w:hAnsi="仿宋" w:eastAsia="仿宋" w:cs="Calibri"/>
                <w:szCs w:val="21"/>
              </w:rPr>
              <w:t>湖北中医药大学</w:t>
            </w:r>
          </w:p>
        </w:tc>
        <w:tc>
          <w:tcPr>
            <w:tcW w:w="1576" w:type="dxa"/>
          </w:tcPr>
          <w:p w14:paraId="180EE7D6">
            <w:pPr>
              <w:spacing w:line="400" w:lineRule="exact"/>
              <w:jc w:val="center"/>
              <w:rPr>
                <w:rFonts w:ascii="仿宋" w:hAnsi="仿宋" w:eastAsia="仿宋" w:cs="Calibri"/>
                <w:szCs w:val="21"/>
              </w:rPr>
            </w:pPr>
            <w:r>
              <w:rPr>
                <w:rFonts w:hint="eastAsia" w:ascii="仿宋" w:hAnsi="仿宋" w:eastAsia="仿宋" w:cs="Calibri"/>
                <w:szCs w:val="21"/>
              </w:rPr>
              <w:t>刘建忠</w:t>
            </w:r>
          </w:p>
        </w:tc>
        <w:tc>
          <w:tcPr>
            <w:tcW w:w="1807" w:type="dxa"/>
          </w:tcPr>
          <w:p w14:paraId="41A2DCC9">
            <w:pPr>
              <w:spacing w:line="400" w:lineRule="exact"/>
              <w:jc w:val="center"/>
              <w:rPr>
                <w:rFonts w:ascii="仿宋" w:hAnsi="仿宋" w:eastAsia="仿宋" w:cs="Calibri"/>
                <w:szCs w:val="21"/>
              </w:rPr>
            </w:pPr>
            <w:r>
              <w:rPr>
                <w:rFonts w:ascii="仿宋" w:hAnsi="仿宋" w:eastAsia="仿宋" w:cs="Calibri"/>
                <w:szCs w:val="21"/>
              </w:rPr>
              <w:t>回复</w:t>
            </w:r>
          </w:p>
        </w:tc>
      </w:tr>
      <w:tr w14:paraId="4BCBC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tcPr>
          <w:p w14:paraId="3257DA0B">
            <w:pPr>
              <w:spacing w:line="400" w:lineRule="exact"/>
              <w:jc w:val="center"/>
              <w:rPr>
                <w:rFonts w:ascii="仿宋" w:hAnsi="仿宋" w:eastAsia="仿宋" w:cs="Calibri"/>
                <w:szCs w:val="21"/>
              </w:rPr>
            </w:pPr>
            <w:r>
              <w:rPr>
                <w:rFonts w:hint="eastAsia" w:ascii="仿宋" w:hAnsi="仿宋" w:eastAsia="仿宋" w:cs="Calibri"/>
                <w:szCs w:val="21"/>
              </w:rPr>
              <w:t>9</w:t>
            </w:r>
          </w:p>
        </w:tc>
        <w:tc>
          <w:tcPr>
            <w:tcW w:w="4111" w:type="dxa"/>
          </w:tcPr>
          <w:p w14:paraId="4580CAF8">
            <w:pPr>
              <w:spacing w:line="400" w:lineRule="exact"/>
              <w:jc w:val="left"/>
              <w:rPr>
                <w:rFonts w:ascii="仿宋" w:hAnsi="仿宋" w:eastAsia="仿宋" w:cs="Calibri"/>
                <w:szCs w:val="21"/>
              </w:rPr>
            </w:pPr>
            <w:r>
              <w:rPr>
                <w:rFonts w:hint="eastAsia" w:ascii="仿宋" w:hAnsi="仿宋" w:eastAsia="仿宋" w:cs="Calibri"/>
                <w:szCs w:val="21"/>
              </w:rPr>
              <w:t>上海中医药大学</w:t>
            </w:r>
          </w:p>
        </w:tc>
        <w:tc>
          <w:tcPr>
            <w:tcW w:w="1576" w:type="dxa"/>
          </w:tcPr>
          <w:p w14:paraId="69003242">
            <w:pPr>
              <w:spacing w:line="400" w:lineRule="exact"/>
              <w:jc w:val="center"/>
              <w:rPr>
                <w:rFonts w:ascii="仿宋" w:hAnsi="仿宋" w:eastAsia="仿宋" w:cs="Calibri"/>
                <w:szCs w:val="21"/>
              </w:rPr>
            </w:pPr>
            <w:r>
              <w:rPr>
                <w:rFonts w:hint="eastAsia" w:ascii="仿宋" w:hAnsi="仿宋" w:eastAsia="仿宋" w:cs="Calibri"/>
                <w:szCs w:val="21"/>
              </w:rPr>
              <w:t>虞坚尔</w:t>
            </w:r>
          </w:p>
        </w:tc>
        <w:tc>
          <w:tcPr>
            <w:tcW w:w="1807" w:type="dxa"/>
          </w:tcPr>
          <w:p w14:paraId="34A2EBEF">
            <w:pPr>
              <w:spacing w:line="400" w:lineRule="exact"/>
              <w:jc w:val="center"/>
              <w:rPr>
                <w:rFonts w:ascii="仿宋" w:hAnsi="仿宋" w:eastAsia="仿宋" w:cs="Calibri"/>
                <w:szCs w:val="21"/>
              </w:rPr>
            </w:pPr>
            <w:r>
              <w:rPr>
                <w:rFonts w:ascii="仿宋" w:hAnsi="仿宋" w:eastAsia="仿宋" w:cs="Calibri"/>
                <w:szCs w:val="21"/>
              </w:rPr>
              <w:t>回复</w:t>
            </w:r>
          </w:p>
        </w:tc>
      </w:tr>
      <w:tr w14:paraId="2904D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tcPr>
          <w:p w14:paraId="65E92E6A">
            <w:pPr>
              <w:spacing w:line="400" w:lineRule="exact"/>
              <w:jc w:val="center"/>
              <w:rPr>
                <w:rFonts w:ascii="仿宋" w:hAnsi="仿宋" w:eastAsia="仿宋" w:cs="Calibri"/>
                <w:szCs w:val="21"/>
              </w:rPr>
            </w:pPr>
            <w:r>
              <w:rPr>
                <w:rFonts w:hint="eastAsia" w:ascii="仿宋" w:hAnsi="仿宋" w:eastAsia="仿宋" w:cs="Calibri"/>
                <w:szCs w:val="21"/>
              </w:rPr>
              <w:t>10</w:t>
            </w:r>
          </w:p>
        </w:tc>
        <w:tc>
          <w:tcPr>
            <w:tcW w:w="4111" w:type="dxa"/>
          </w:tcPr>
          <w:p w14:paraId="1F127D8A">
            <w:pPr>
              <w:spacing w:line="400" w:lineRule="exact"/>
              <w:jc w:val="left"/>
              <w:rPr>
                <w:rFonts w:ascii="仿宋" w:hAnsi="仿宋" w:eastAsia="仿宋" w:cs="Calibri"/>
                <w:szCs w:val="21"/>
              </w:rPr>
            </w:pPr>
            <w:r>
              <w:rPr>
                <w:rFonts w:hint="eastAsia" w:ascii="仿宋" w:hAnsi="仿宋" w:eastAsia="仿宋" w:cs="Calibri"/>
                <w:szCs w:val="21"/>
              </w:rPr>
              <w:t>云南中医药大学</w:t>
            </w:r>
          </w:p>
        </w:tc>
        <w:tc>
          <w:tcPr>
            <w:tcW w:w="1576" w:type="dxa"/>
          </w:tcPr>
          <w:p w14:paraId="2C723259">
            <w:pPr>
              <w:spacing w:line="400" w:lineRule="exact"/>
              <w:jc w:val="center"/>
              <w:rPr>
                <w:rFonts w:ascii="仿宋" w:hAnsi="仿宋" w:eastAsia="仿宋" w:cs="Calibri"/>
                <w:szCs w:val="21"/>
              </w:rPr>
            </w:pPr>
            <w:r>
              <w:rPr>
                <w:rFonts w:hint="eastAsia" w:ascii="仿宋" w:hAnsi="仿宋" w:eastAsia="仿宋" w:cs="Calibri"/>
                <w:szCs w:val="21"/>
              </w:rPr>
              <w:t>熊  磊</w:t>
            </w:r>
          </w:p>
        </w:tc>
        <w:tc>
          <w:tcPr>
            <w:tcW w:w="1807" w:type="dxa"/>
          </w:tcPr>
          <w:p w14:paraId="430267B3">
            <w:pPr>
              <w:spacing w:line="400" w:lineRule="exact"/>
              <w:jc w:val="center"/>
              <w:rPr>
                <w:rFonts w:ascii="仿宋" w:hAnsi="仿宋" w:eastAsia="仿宋" w:cs="Calibri"/>
                <w:szCs w:val="21"/>
              </w:rPr>
            </w:pPr>
            <w:r>
              <w:rPr>
                <w:rFonts w:ascii="仿宋" w:hAnsi="仿宋" w:eastAsia="仿宋" w:cs="Calibri"/>
                <w:szCs w:val="21"/>
              </w:rPr>
              <w:t>回复</w:t>
            </w:r>
          </w:p>
        </w:tc>
      </w:tr>
      <w:tr w14:paraId="19614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tcPr>
          <w:p w14:paraId="43D714EC">
            <w:pPr>
              <w:spacing w:line="400" w:lineRule="exact"/>
              <w:jc w:val="center"/>
              <w:rPr>
                <w:rFonts w:ascii="仿宋" w:hAnsi="仿宋" w:eastAsia="仿宋" w:cs="Calibri"/>
                <w:szCs w:val="21"/>
              </w:rPr>
            </w:pPr>
            <w:r>
              <w:rPr>
                <w:rFonts w:hint="eastAsia" w:ascii="仿宋" w:hAnsi="仿宋" w:eastAsia="仿宋" w:cs="Calibri"/>
                <w:szCs w:val="21"/>
              </w:rPr>
              <w:t>11</w:t>
            </w:r>
          </w:p>
        </w:tc>
        <w:tc>
          <w:tcPr>
            <w:tcW w:w="4111" w:type="dxa"/>
          </w:tcPr>
          <w:p w14:paraId="74701898">
            <w:pPr>
              <w:spacing w:line="400" w:lineRule="exact"/>
              <w:jc w:val="left"/>
              <w:rPr>
                <w:rFonts w:ascii="仿宋" w:hAnsi="仿宋" w:eastAsia="仿宋" w:cs="Calibri"/>
                <w:szCs w:val="21"/>
              </w:rPr>
            </w:pPr>
            <w:r>
              <w:rPr>
                <w:rFonts w:hint="eastAsia" w:ascii="仿宋" w:hAnsi="仿宋" w:eastAsia="仿宋" w:cs="Calibri"/>
                <w:szCs w:val="21"/>
              </w:rPr>
              <w:t>山东中医药大学附属医院</w:t>
            </w:r>
          </w:p>
        </w:tc>
        <w:tc>
          <w:tcPr>
            <w:tcW w:w="1576" w:type="dxa"/>
          </w:tcPr>
          <w:p w14:paraId="742E5C50">
            <w:pPr>
              <w:spacing w:line="400" w:lineRule="exact"/>
              <w:jc w:val="center"/>
              <w:rPr>
                <w:rFonts w:ascii="仿宋" w:hAnsi="仿宋" w:eastAsia="仿宋" w:cs="Calibri"/>
                <w:szCs w:val="21"/>
              </w:rPr>
            </w:pPr>
            <w:r>
              <w:rPr>
                <w:rFonts w:hint="eastAsia" w:ascii="仿宋" w:hAnsi="仿宋" w:eastAsia="仿宋" w:cs="Calibri"/>
                <w:szCs w:val="21"/>
              </w:rPr>
              <w:t>张葆青</w:t>
            </w:r>
          </w:p>
        </w:tc>
        <w:tc>
          <w:tcPr>
            <w:tcW w:w="1807" w:type="dxa"/>
          </w:tcPr>
          <w:p w14:paraId="7A04E0B2">
            <w:pPr>
              <w:spacing w:line="400" w:lineRule="exact"/>
              <w:jc w:val="center"/>
              <w:rPr>
                <w:rFonts w:ascii="仿宋" w:hAnsi="仿宋" w:eastAsia="仿宋" w:cs="Calibri"/>
                <w:szCs w:val="21"/>
              </w:rPr>
            </w:pPr>
            <w:r>
              <w:rPr>
                <w:rFonts w:ascii="仿宋" w:hAnsi="仿宋" w:eastAsia="仿宋" w:cs="Calibri"/>
                <w:szCs w:val="21"/>
              </w:rPr>
              <w:t>回复</w:t>
            </w:r>
          </w:p>
        </w:tc>
      </w:tr>
      <w:tr w14:paraId="19550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tcPr>
          <w:p w14:paraId="587A6C88">
            <w:pPr>
              <w:spacing w:line="400" w:lineRule="exact"/>
              <w:jc w:val="center"/>
              <w:rPr>
                <w:rFonts w:ascii="仿宋" w:hAnsi="仿宋" w:eastAsia="仿宋" w:cs="Calibri"/>
                <w:szCs w:val="21"/>
              </w:rPr>
            </w:pPr>
            <w:r>
              <w:rPr>
                <w:rFonts w:hint="eastAsia" w:ascii="仿宋" w:hAnsi="仿宋" w:eastAsia="仿宋" w:cs="Calibri"/>
                <w:szCs w:val="21"/>
              </w:rPr>
              <w:t>12</w:t>
            </w:r>
          </w:p>
        </w:tc>
        <w:tc>
          <w:tcPr>
            <w:tcW w:w="4111" w:type="dxa"/>
          </w:tcPr>
          <w:p w14:paraId="42EC0BCA">
            <w:pPr>
              <w:spacing w:line="400" w:lineRule="exact"/>
              <w:jc w:val="left"/>
              <w:rPr>
                <w:rFonts w:ascii="仿宋" w:hAnsi="仿宋" w:eastAsia="仿宋" w:cs="Calibri"/>
                <w:szCs w:val="21"/>
              </w:rPr>
            </w:pPr>
            <w:r>
              <w:rPr>
                <w:rFonts w:hint="eastAsia" w:ascii="仿宋" w:hAnsi="仿宋" w:eastAsia="仿宋" w:cs="Calibri"/>
                <w:szCs w:val="21"/>
              </w:rPr>
              <w:t>复旦大学儿科医院</w:t>
            </w:r>
          </w:p>
        </w:tc>
        <w:tc>
          <w:tcPr>
            <w:tcW w:w="1576" w:type="dxa"/>
          </w:tcPr>
          <w:p w14:paraId="0C42E389">
            <w:pPr>
              <w:spacing w:line="400" w:lineRule="exact"/>
              <w:jc w:val="center"/>
              <w:rPr>
                <w:rFonts w:ascii="仿宋" w:hAnsi="仿宋" w:eastAsia="仿宋" w:cs="Calibri"/>
                <w:szCs w:val="21"/>
              </w:rPr>
            </w:pPr>
            <w:r>
              <w:rPr>
                <w:rFonts w:hint="eastAsia" w:ascii="仿宋" w:hAnsi="仿宋" w:eastAsia="仿宋" w:cs="Calibri"/>
                <w:szCs w:val="21"/>
              </w:rPr>
              <w:t>俞  建</w:t>
            </w:r>
          </w:p>
        </w:tc>
        <w:tc>
          <w:tcPr>
            <w:tcW w:w="1807" w:type="dxa"/>
          </w:tcPr>
          <w:p w14:paraId="431B41B5">
            <w:pPr>
              <w:spacing w:line="400" w:lineRule="exact"/>
              <w:jc w:val="center"/>
              <w:rPr>
                <w:rFonts w:ascii="仿宋" w:hAnsi="仿宋" w:eastAsia="仿宋" w:cs="Calibri"/>
                <w:szCs w:val="21"/>
              </w:rPr>
            </w:pPr>
            <w:r>
              <w:rPr>
                <w:rFonts w:ascii="仿宋" w:hAnsi="仿宋" w:eastAsia="仿宋" w:cs="Calibri"/>
                <w:szCs w:val="21"/>
              </w:rPr>
              <w:t>回复</w:t>
            </w:r>
          </w:p>
        </w:tc>
      </w:tr>
      <w:tr w14:paraId="44BA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tcPr>
          <w:p w14:paraId="2B4568CD">
            <w:pPr>
              <w:spacing w:line="400" w:lineRule="exact"/>
              <w:jc w:val="center"/>
              <w:rPr>
                <w:rFonts w:ascii="仿宋" w:hAnsi="仿宋" w:eastAsia="仿宋" w:cs="Calibri"/>
                <w:szCs w:val="21"/>
              </w:rPr>
            </w:pPr>
            <w:r>
              <w:rPr>
                <w:rFonts w:hint="eastAsia" w:ascii="仿宋" w:hAnsi="仿宋" w:eastAsia="仿宋" w:cs="Calibri"/>
                <w:szCs w:val="21"/>
              </w:rPr>
              <w:t>13</w:t>
            </w:r>
          </w:p>
        </w:tc>
        <w:tc>
          <w:tcPr>
            <w:tcW w:w="4111" w:type="dxa"/>
          </w:tcPr>
          <w:p w14:paraId="4F902678">
            <w:pPr>
              <w:spacing w:line="400" w:lineRule="exact"/>
              <w:jc w:val="left"/>
              <w:rPr>
                <w:rFonts w:ascii="仿宋" w:hAnsi="仿宋" w:eastAsia="仿宋" w:cs="Calibri"/>
                <w:szCs w:val="21"/>
              </w:rPr>
            </w:pPr>
            <w:r>
              <w:rPr>
                <w:rFonts w:hint="eastAsia" w:ascii="仿宋" w:hAnsi="仿宋" w:eastAsia="仿宋" w:cs="Calibri"/>
                <w:szCs w:val="21"/>
              </w:rPr>
              <w:t>南京中医药大学附属医院</w:t>
            </w:r>
          </w:p>
        </w:tc>
        <w:tc>
          <w:tcPr>
            <w:tcW w:w="1576" w:type="dxa"/>
          </w:tcPr>
          <w:p w14:paraId="3A579961">
            <w:pPr>
              <w:spacing w:line="400" w:lineRule="exact"/>
              <w:jc w:val="center"/>
              <w:rPr>
                <w:rFonts w:ascii="仿宋" w:hAnsi="仿宋" w:eastAsia="仿宋" w:cs="Calibri"/>
                <w:szCs w:val="21"/>
              </w:rPr>
            </w:pPr>
            <w:r>
              <w:rPr>
                <w:rFonts w:hint="eastAsia" w:ascii="仿宋" w:hAnsi="仿宋" w:eastAsia="仿宋" w:cs="Calibri"/>
                <w:szCs w:val="21"/>
              </w:rPr>
              <w:t>戴启刚</w:t>
            </w:r>
          </w:p>
        </w:tc>
        <w:tc>
          <w:tcPr>
            <w:tcW w:w="1807" w:type="dxa"/>
          </w:tcPr>
          <w:p w14:paraId="2A954B38">
            <w:pPr>
              <w:spacing w:line="400" w:lineRule="exact"/>
              <w:jc w:val="center"/>
              <w:rPr>
                <w:rFonts w:ascii="仿宋" w:hAnsi="仿宋" w:eastAsia="仿宋" w:cs="Calibri"/>
                <w:szCs w:val="21"/>
              </w:rPr>
            </w:pPr>
            <w:r>
              <w:rPr>
                <w:rFonts w:hint="eastAsia" w:ascii="仿宋" w:hAnsi="仿宋" w:eastAsia="仿宋" w:cs="Calibri"/>
                <w:szCs w:val="21"/>
              </w:rPr>
              <w:t>回复</w:t>
            </w:r>
          </w:p>
        </w:tc>
      </w:tr>
    </w:tbl>
    <w:p w14:paraId="0A0CE634">
      <w:pPr>
        <w:spacing w:line="400" w:lineRule="exact"/>
        <w:ind w:firstLine="480" w:firstLineChars="200"/>
        <w:rPr>
          <w:rFonts w:ascii="仿宋" w:hAnsi="仿宋" w:eastAsia="仿宋"/>
          <w:sz w:val="24"/>
          <w:szCs w:val="24"/>
        </w:rPr>
      </w:pPr>
      <w:r>
        <w:rPr>
          <w:rFonts w:hint="eastAsia" w:ascii="仿宋" w:hAnsi="仿宋" w:eastAsia="仿宋"/>
          <w:sz w:val="24"/>
          <w:szCs w:val="24"/>
        </w:rPr>
        <w:t>专家提出的意见主要集中在以下方面：一是个别条文表述的规范性和一致性；二是部分技术条款在国际应用中的安全性提示；三是标准适用边界和推荐性属性的进一步明确。</w:t>
      </w:r>
    </w:p>
    <w:p w14:paraId="320B9991">
      <w:pPr>
        <w:spacing w:line="400" w:lineRule="exact"/>
        <w:ind w:firstLine="480" w:firstLineChars="200"/>
        <w:rPr>
          <w:rFonts w:ascii="仿宋" w:hAnsi="仿宋" w:eastAsia="仿宋"/>
          <w:sz w:val="24"/>
          <w:szCs w:val="24"/>
        </w:rPr>
      </w:pPr>
      <w:r>
        <w:rPr>
          <w:rFonts w:hint="eastAsia" w:ascii="仿宋" w:hAnsi="仿宋" w:eastAsia="仿宋"/>
          <w:sz w:val="24"/>
          <w:szCs w:val="24"/>
        </w:rPr>
        <w:t>项目工作组对专家指导组反馈的全部意见进行了分析讨论，在此基础上进一步完成了草案修订工作。</w:t>
      </w:r>
    </w:p>
    <w:p w14:paraId="0A7A82DC">
      <w:pPr>
        <w:spacing w:line="400" w:lineRule="exact"/>
        <w:ind w:firstLine="480" w:firstLineChars="200"/>
        <w:jc w:val="right"/>
        <w:rPr>
          <w:rFonts w:ascii="仿宋" w:hAnsi="仿宋" w:eastAsia="仿宋"/>
          <w:sz w:val="24"/>
          <w:szCs w:val="24"/>
        </w:rPr>
      </w:pPr>
      <w:r>
        <w:rPr>
          <w:rFonts w:hint="eastAsia" w:ascii="仿宋" w:hAnsi="仿宋" w:eastAsia="仿宋"/>
          <w:sz w:val="24"/>
          <w:szCs w:val="24"/>
        </w:rPr>
        <w:t>《国际中医技术操作规范 儿科 第3部分：小儿针灸疗法》项目工作组</w:t>
      </w:r>
    </w:p>
    <w:p w14:paraId="2C8D67F1">
      <w:pPr>
        <w:spacing w:line="400" w:lineRule="exact"/>
        <w:ind w:right="-58"/>
        <w:jc w:val="right"/>
        <w:rPr>
          <w:rFonts w:hint="eastAsia" w:ascii="仿宋" w:hAnsi="仿宋" w:eastAsia="仿宋"/>
          <w:sz w:val="24"/>
          <w:szCs w:val="24"/>
        </w:rPr>
      </w:pPr>
      <w:r>
        <w:rPr>
          <w:rFonts w:ascii="仿宋" w:hAnsi="仿宋" w:eastAsia="仿宋"/>
          <w:sz w:val="24"/>
          <w:szCs w:val="24"/>
        </w:rPr>
        <w:t>20</w:t>
      </w:r>
      <w:r>
        <w:rPr>
          <w:rFonts w:hint="eastAsia" w:ascii="仿宋" w:hAnsi="仿宋" w:eastAsia="仿宋"/>
          <w:sz w:val="24"/>
          <w:szCs w:val="24"/>
        </w:rPr>
        <w:t>25年12月22日</w:t>
      </w:r>
    </w:p>
    <w:p w14:paraId="0D3472A5">
      <w:pPr>
        <w:rPr>
          <w:rFonts w:hint="default" w:ascii="Cambria" w:hAnsi="Cambria" w:eastAsia="宋体" w:cs="Cambria"/>
          <w:color w:val="000000"/>
          <w:kern w:val="0"/>
          <w:sz w:val="36"/>
          <w:szCs w:val="36"/>
          <w:highlight w:val="none"/>
          <w:lang w:val="en-US" w:eastAsia="zh-CN" w:bidi="ar"/>
        </w:rPr>
      </w:pPr>
      <w:r>
        <w:rPr>
          <w:rFonts w:hint="default" w:ascii="Cambria" w:hAnsi="Cambria" w:eastAsia="宋体" w:cs="Cambria"/>
          <w:color w:val="000000"/>
          <w:kern w:val="0"/>
          <w:sz w:val="36"/>
          <w:szCs w:val="36"/>
          <w:highlight w:val="none"/>
          <w:lang w:val="en-US" w:eastAsia="zh-CN" w:bidi="ar"/>
        </w:rPr>
        <w:br w:type="page"/>
      </w:r>
    </w:p>
    <w:p w14:paraId="7046249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Cambria" w:hAnsi="Cambria" w:cs="Cambria"/>
          <w:sz w:val="36"/>
          <w:szCs w:val="36"/>
          <w:highlight w:val="none"/>
        </w:rPr>
      </w:pPr>
      <w:bookmarkStart w:id="39" w:name="_GoBack"/>
      <w:bookmarkEnd w:id="39"/>
      <w:r>
        <w:rPr>
          <w:rFonts w:hint="default" w:ascii="Cambria" w:hAnsi="Cambria" w:eastAsia="宋体" w:cs="Cambria"/>
          <w:color w:val="000000"/>
          <w:kern w:val="0"/>
          <w:sz w:val="36"/>
          <w:szCs w:val="36"/>
          <w:highlight w:val="none"/>
          <w:lang w:val="en-US" w:eastAsia="zh-CN" w:bidi="ar"/>
        </w:rPr>
        <w:t>World Federation of Chinese Medicine Societies</w:t>
      </w:r>
    </w:p>
    <w:p w14:paraId="72B1DC4C">
      <w:pPr>
        <w:widowControl/>
        <w:spacing w:before="0" w:beforeLines="0" w:line="23" w:lineRule="atLeast"/>
        <w:jc w:val="center"/>
        <w:rPr>
          <w:rFonts w:hint="default" w:ascii="Cambria" w:hAnsi="Cambria" w:eastAsia="黑体" w:cs="Cambria"/>
          <w:color w:val="0C1F0E"/>
          <w:sz w:val="36"/>
          <w:szCs w:val="36"/>
        </w:rPr>
      </w:pPr>
      <w:r>
        <w:rPr>
          <w:rFonts w:hint="default" w:ascii="Cambria" w:hAnsi="Cambria" w:eastAsia="宋体" w:cs="Cambria"/>
          <w:color w:val="000000"/>
          <w:kern w:val="0"/>
          <w:sz w:val="36"/>
          <w:szCs w:val="36"/>
          <w:highlight w:val="none"/>
          <w:lang w:val="en-US" w:eastAsia="zh-CN" w:bidi="ar"/>
        </w:rPr>
        <w:t>International Standard</w:t>
      </w:r>
    </w:p>
    <w:p w14:paraId="13BC073B">
      <w:pPr>
        <w:spacing w:before="157" w:beforeLines="50" w:line="276" w:lineRule="auto"/>
        <w:jc w:val="center"/>
        <w:rPr>
          <w:rFonts w:hint="default" w:ascii="Cambria" w:hAnsi="Cambria" w:eastAsia="黑体" w:cs="Cambria"/>
          <w:color w:val="0C1F0E"/>
          <w:sz w:val="36"/>
          <w:szCs w:val="36"/>
        </w:rPr>
      </w:pPr>
      <w:r>
        <w:rPr>
          <w:rFonts w:hint="default" w:ascii="Cambria" w:hAnsi="Cambria" w:eastAsia="黑体" w:cs="Cambria"/>
          <w:color w:val="0C1F0E"/>
          <w:sz w:val="36"/>
          <w:szCs w:val="36"/>
        </w:rPr>
        <w:t xml:space="preserve">International standardized manipulations </w:t>
      </w:r>
    </w:p>
    <w:p w14:paraId="4143C980">
      <w:pPr>
        <w:spacing w:line="276" w:lineRule="auto"/>
        <w:jc w:val="center"/>
        <w:rPr>
          <w:rFonts w:hint="default" w:ascii="Cambria" w:hAnsi="Cambria" w:eastAsia="黑体" w:cs="Cambria"/>
          <w:color w:val="0C1F0E"/>
          <w:sz w:val="36"/>
          <w:szCs w:val="36"/>
        </w:rPr>
      </w:pPr>
      <w:r>
        <w:rPr>
          <w:rFonts w:hint="default" w:ascii="Cambria" w:hAnsi="Cambria" w:eastAsia="黑体" w:cs="Cambria"/>
          <w:color w:val="0C1F0E"/>
          <w:sz w:val="36"/>
          <w:szCs w:val="36"/>
        </w:rPr>
        <w:t xml:space="preserve">of Chinese medicine Pediatrics </w:t>
      </w:r>
    </w:p>
    <w:p w14:paraId="1495C546">
      <w:pPr>
        <w:spacing w:line="276" w:lineRule="auto"/>
        <w:jc w:val="center"/>
        <w:rPr>
          <w:rFonts w:hint="default" w:ascii="Cambria" w:hAnsi="Cambria" w:eastAsia="黑体" w:cs="Cambria"/>
          <w:sz w:val="36"/>
          <w:szCs w:val="36"/>
        </w:rPr>
      </w:pPr>
      <w:r>
        <w:rPr>
          <w:rFonts w:hint="default" w:ascii="Cambria" w:hAnsi="Cambria" w:eastAsia="黑体" w:cs="Cambria"/>
          <w:color w:val="0C1F0E"/>
          <w:sz w:val="36"/>
          <w:szCs w:val="36"/>
        </w:rPr>
        <w:t xml:space="preserve">Part 3：Acupuncture and Moxibustion </w:t>
      </w:r>
    </w:p>
    <w:p w14:paraId="3E034015">
      <w:pPr>
        <w:adjustRightInd w:val="0"/>
        <w:spacing w:line="276" w:lineRule="auto"/>
        <w:jc w:val="center"/>
        <w:rPr>
          <w:rFonts w:hint="default" w:ascii="Cambria" w:hAnsi="Cambria" w:cs="Cambria"/>
          <w:b/>
          <w:sz w:val="44"/>
          <w:szCs w:val="44"/>
        </w:rPr>
      </w:pPr>
    </w:p>
    <w:p w14:paraId="3757F742">
      <w:pPr>
        <w:adjustRightInd w:val="0"/>
        <w:spacing w:line="276" w:lineRule="auto"/>
        <w:jc w:val="center"/>
        <w:rPr>
          <w:rFonts w:hint="default" w:ascii="Cambria" w:hAnsi="Cambria" w:cs="Cambria"/>
          <w:sz w:val="28"/>
          <w:szCs w:val="28"/>
        </w:rPr>
      </w:pPr>
      <w:r>
        <w:rPr>
          <w:rFonts w:hint="default" w:ascii="Cambria" w:hAnsi="Cambria" w:eastAsia="汉仪中黑简" w:cs="Cambria"/>
          <w:sz w:val="36"/>
          <w:szCs w:val="20"/>
        </w:rPr>
        <w:t>Formulation Explanations</w:t>
      </w:r>
    </w:p>
    <w:p w14:paraId="703D14B0">
      <w:pPr>
        <w:adjustRightInd w:val="0"/>
        <w:spacing w:line="276" w:lineRule="auto"/>
        <w:jc w:val="center"/>
        <w:rPr>
          <w:rFonts w:hint="default" w:ascii="Cambria" w:hAnsi="Cambria" w:cs="Cambria"/>
          <w:sz w:val="28"/>
          <w:szCs w:val="28"/>
        </w:rPr>
      </w:pPr>
    </w:p>
    <w:p w14:paraId="098E4C15">
      <w:pPr>
        <w:adjustRightInd w:val="0"/>
        <w:spacing w:line="276" w:lineRule="auto"/>
        <w:jc w:val="center"/>
        <w:rPr>
          <w:rFonts w:hint="default" w:ascii="Cambria" w:hAnsi="Cambria" w:cs="Cambria"/>
          <w:sz w:val="28"/>
          <w:szCs w:val="28"/>
        </w:rPr>
      </w:pPr>
    </w:p>
    <w:p w14:paraId="2973457D">
      <w:pPr>
        <w:widowControl/>
        <w:spacing w:line="276" w:lineRule="auto"/>
        <w:jc w:val="left"/>
        <w:rPr>
          <w:rFonts w:hint="default" w:ascii="Cambria" w:hAnsi="Cambria" w:cs="Cambria"/>
          <w:sz w:val="48"/>
          <w:szCs w:val="48"/>
        </w:rPr>
      </w:pPr>
    </w:p>
    <w:p w14:paraId="599A6D4D">
      <w:pPr>
        <w:widowControl/>
        <w:spacing w:line="276" w:lineRule="auto"/>
        <w:jc w:val="left"/>
        <w:rPr>
          <w:rFonts w:hint="default" w:ascii="Cambria" w:hAnsi="Cambria" w:cs="Cambria"/>
          <w:sz w:val="48"/>
          <w:szCs w:val="48"/>
        </w:rPr>
      </w:pPr>
    </w:p>
    <w:p w14:paraId="1606E9A7">
      <w:pPr>
        <w:widowControl/>
        <w:spacing w:line="276" w:lineRule="auto"/>
        <w:jc w:val="left"/>
        <w:rPr>
          <w:rFonts w:hint="default" w:ascii="Cambria" w:hAnsi="Cambria" w:cs="Cambria"/>
          <w:sz w:val="48"/>
          <w:szCs w:val="48"/>
        </w:rPr>
      </w:pPr>
    </w:p>
    <w:p w14:paraId="0D7D305C">
      <w:pPr>
        <w:widowControl/>
        <w:spacing w:line="276" w:lineRule="auto"/>
        <w:jc w:val="left"/>
        <w:rPr>
          <w:rFonts w:hint="default" w:ascii="Cambria" w:hAnsi="Cambria" w:cs="Cambria"/>
          <w:sz w:val="48"/>
          <w:szCs w:val="48"/>
        </w:rPr>
      </w:pPr>
    </w:p>
    <w:p w14:paraId="0EDEB9D8">
      <w:pPr>
        <w:widowControl/>
        <w:spacing w:line="276" w:lineRule="auto"/>
        <w:jc w:val="left"/>
        <w:rPr>
          <w:rFonts w:hint="default" w:ascii="Cambria" w:hAnsi="Cambria" w:cs="Cambria"/>
          <w:sz w:val="48"/>
          <w:szCs w:val="48"/>
        </w:rPr>
      </w:pPr>
    </w:p>
    <w:p w14:paraId="03C7FB48">
      <w:pPr>
        <w:widowControl/>
        <w:spacing w:line="276" w:lineRule="auto"/>
        <w:jc w:val="left"/>
        <w:rPr>
          <w:rFonts w:hint="default" w:ascii="Cambria" w:hAnsi="Cambria" w:cs="Cambria"/>
          <w:sz w:val="48"/>
          <w:szCs w:val="48"/>
        </w:rPr>
      </w:pPr>
    </w:p>
    <w:p w14:paraId="3A784097">
      <w:pPr>
        <w:widowControl/>
        <w:spacing w:line="276" w:lineRule="auto"/>
        <w:jc w:val="left"/>
        <w:rPr>
          <w:rFonts w:hint="default" w:ascii="Cambria" w:hAnsi="Cambria" w:cs="Cambria"/>
          <w:sz w:val="48"/>
          <w:szCs w:val="48"/>
        </w:rPr>
      </w:pPr>
    </w:p>
    <w:p w14:paraId="508AAC7A">
      <w:pPr>
        <w:adjustRightInd w:val="0"/>
        <w:spacing w:line="276" w:lineRule="auto"/>
        <w:jc w:val="center"/>
        <w:rPr>
          <w:rFonts w:hint="default" w:ascii="Cambria" w:hAnsi="Cambria" w:eastAsia="仿宋" w:cs="Cambria"/>
          <w:sz w:val="32"/>
          <w:szCs w:val="32"/>
        </w:rPr>
        <w:sectPr>
          <w:footerReference r:id="rId5" w:type="default"/>
          <w:pgSz w:w="11906" w:h="16838"/>
          <w:pgMar w:top="1440" w:right="1803" w:bottom="1803" w:left="1440" w:header="851" w:footer="992" w:gutter="0"/>
          <w:cols w:space="720" w:num="1"/>
          <w:docGrid w:type="lines" w:linePitch="312" w:charSpace="0"/>
        </w:sectPr>
      </w:pPr>
      <w:r>
        <w:rPr>
          <w:rFonts w:hint="default" w:ascii="Cambria" w:hAnsi="Cambria" w:eastAsia="仿宋" w:cs="Cambria"/>
          <w:sz w:val="32"/>
          <w:szCs w:val="32"/>
        </w:rPr>
        <w:t>5 December 2025</w:t>
      </w:r>
    </w:p>
    <w:p w14:paraId="2B4F2D7F">
      <w:pPr>
        <w:rPr>
          <w:rFonts w:hint="default" w:ascii="Cambria" w:hAnsi="Cambria" w:cs="Cambria"/>
        </w:rPr>
      </w:pPr>
    </w:p>
    <w:sdt>
      <w:sdtPr>
        <w:rPr>
          <w:rFonts w:hint="default" w:ascii="Cambria" w:hAnsi="Cambria" w:eastAsia="宋体" w:cs="Cambria"/>
          <w:kern w:val="2"/>
          <w:sz w:val="21"/>
          <w:szCs w:val="22"/>
          <w:lang w:val="en-US" w:eastAsia="zh-CN" w:bidi="ar-SA"/>
        </w:rPr>
        <w:id w:val="147452934"/>
        <w15:color w:val="DBDBDB"/>
        <w:docPartObj>
          <w:docPartGallery w:val="Table of Contents"/>
          <w:docPartUnique/>
        </w:docPartObj>
      </w:sdtPr>
      <w:sdtEndPr>
        <w:rPr>
          <w:rFonts w:hint="default" w:ascii="Cambria" w:hAnsi="Cambria" w:eastAsia="宋体" w:cs="Cambria"/>
          <w:kern w:val="2"/>
          <w:sz w:val="21"/>
          <w:szCs w:val="22"/>
          <w:lang w:val="en-US" w:eastAsia="zh-CN" w:bidi="ar-SA"/>
        </w:rPr>
      </w:sdtEndPr>
      <w:sdtContent>
        <w:p w14:paraId="6BC74C32">
          <w:pPr>
            <w:adjustRightInd w:val="0"/>
            <w:spacing w:before="312" w:beforeLines="100" w:after="312" w:afterLines="100" w:line="276" w:lineRule="auto"/>
            <w:jc w:val="center"/>
            <w:rPr>
              <w:rFonts w:hint="default" w:ascii="Cambria" w:hAnsi="Cambria" w:cs="Cambria"/>
              <w:b/>
              <w:sz w:val="36"/>
              <w:szCs w:val="36"/>
            </w:rPr>
          </w:pPr>
          <w:r>
            <w:rPr>
              <w:rFonts w:hint="default" w:ascii="Cambria" w:hAnsi="Cambria" w:cs="Cambria"/>
              <w:b/>
              <w:sz w:val="36"/>
              <w:szCs w:val="36"/>
            </w:rPr>
            <w:t>Contents</w:t>
          </w:r>
        </w:p>
        <w:p w14:paraId="2947A2E9">
          <w:pPr>
            <w:pStyle w:val="9"/>
            <w:tabs>
              <w:tab w:val="right" w:leader="dot" w:pos="8300"/>
            </w:tabs>
            <w:rPr>
              <w:rFonts w:hint="default" w:ascii="Cambria" w:hAnsi="Cambria" w:cs="Cambria"/>
            </w:rPr>
          </w:pPr>
          <w:r>
            <w:rPr>
              <w:rFonts w:hint="default" w:ascii="Cambria" w:hAnsi="Cambria" w:cs="Cambria"/>
            </w:rPr>
            <w:fldChar w:fldCharType="begin"/>
          </w:r>
          <w:r>
            <w:rPr>
              <w:rFonts w:hint="default" w:ascii="Cambria" w:hAnsi="Cambria" w:cs="Cambria"/>
            </w:rPr>
            <w:instrText xml:space="preserve">TOC \o "1-1" \h \u </w:instrText>
          </w:r>
          <w:r>
            <w:rPr>
              <w:rFonts w:hint="default" w:ascii="Cambria" w:hAnsi="Cambria" w:cs="Cambria"/>
            </w:rPr>
            <w:fldChar w:fldCharType="separate"/>
          </w:r>
          <w:r>
            <w:rPr>
              <w:rFonts w:hint="default" w:ascii="Cambria" w:hAnsi="Cambria" w:cs="Cambria"/>
            </w:rPr>
            <w:fldChar w:fldCharType="begin"/>
          </w:r>
          <w:r>
            <w:rPr>
              <w:rFonts w:hint="default" w:ascii="Cambria" w:hAnsi="Cambria" w:cs="Cambria"/>
            </w:rPr>
            <w:instrText xml:space="preserve"> HYPERLINK \l _Toc13368 </w:instrText>
          </w:r>
          <w:r>
            <w:rPr>
              <w:rFonts w:hint="default" w:ascii="Cambria" w:hAnsi="Cambria" w:cs="Cambria"/>
            </w:rPr>
            <w:fldChar w:fldCharType="separate"/>
          </w:r>
          <w:r>
            <w:rPr>
              <w:rFonts w:hint="default" w:ascii="Cambria" w:hAnsi="Cambria" w:eastAsia="黑体" w:cs="Cambria"/>
              <w:bCs/>
              <w:szCs w:val="24"/>
              <w:lang w:eastAsia="zh-CN"/>
            </w:rPr>
            <w:t>I</w:t>
          </w:r>
          <w:r>
            <w:rPr>
              <w:rFonts w:hint="default" w:ascii="Cambria" w:hAnsi="Cambria" w:eastAsia="黑体" w:cs="Cambria"/>
              <w:bCs/>
              <w:szCs w:val="24"/>
            </w:rPr>
            <w:t xml:space="preserve"> Work overview</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_Toc13368 \h </w:instrText>
          </w:r>
          <w:r>
            <w:rPr>
              <w:rFonts w:hint="default" w:ascii="Cambria" w:hAnsi="Cambria" w:cs="Cambria"/>
            </w:rPr>
            <w:fldChar w:fldCharType="separate"/>
          </w:r>
          <w:r>
            <w:rPr>
              <w:rFonts w:hint="default" w:ascii="Cambria" w:hAnsi="Cambria" w:cs="Cambria"/>
            </w:rPr>
            <w:t>1</w:t>
          </w:r>
          <w:r>
            <w:rPr>
              <w:rFonts w:hint="default" w:ascii="Cambria" w:hAnsi="Cambria" w:cs="Cambria"/>
            </w:rPr>
            <w:fldChar w:fldCharType="end"/>
          </w:r>
          <w:r>
            <w:rPr>
              <w:rFonts w:hint="default" w:ascii="Cambria" w:hAnsi="Cambria" w:cs="Cambria"/>
            </w:rPr>
            <w:fldChar w:fldCharType="end"/>
          </w:r>
        </w:p>
        <w:p w14:paraId="2DED405E">
          <w:pPr>
            <w:pStyle w:val="9"/>
            <w:tabs>
              <w:tab w:val="right" w:leader="dot" w:pos="8300"/>
            </w:tabs>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_Toc31937 </w:instrText>
          </w:r>
          <w:r>
            <w:rPr>
              <w:rFonts w:hint="default" w:ascii="Cambria" w:hAnsi="Cambria" w:cs="Cambria"/>
            </w:rPr>
            <w:fldChar w:fldCharType="separate"/>
          </w:r>
          <w:r>
            <w:rPr>
              <w:rFonts w:hint="default" w:ascii="Cambria" w:hAnsi="Cambria" w:eastAsia="黑体" w:cs="Cambria"/>
              <w:bCs/>
              <w:szCs w:val="24"/>
              <w:lang w:eastAsia="zh-CN"/>
            </w:rPr>
            <w:t>I</w:t>
          </w:r>
          <w:r>
            <w:rPr>
              <w:rFonts w:hint="default" w:ascii="Cambria" w:hAnsi="Cambria" w:eastAsia="黑体" w:cs="Cambria"/>
              <w:bCs/>
              <w:szCs w:val="24"/>
              <w:lang w:val="en-US" w:eastAsia="zh-CN"/>
            </w:rPr>
            <w:t>I</w:t>
          </w:r>
          <w:r>
            <w:rPr>
              <w:rFonts w:hint="default" w:ascii="Cambria" w:hAnsi="Cambria" w:eastAsia="黑体" w:cs="Cambria"/>
              <w:bCs/>
              <w:szCs w:val="24"/>
            </w:rPr>
            <w:t xml:space="preserve"> Principles for standard formulation and basis for determining the main contents</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_Toc31937 \h </w:instrText>
          </w:r>
          <w:r>
            <w:rPr>
              <w:rFonts w:hint="default" w:ascii="Cambria" w:hAnsi="Cambria" w:cs="Cambria"/>
            </w:rPr>
            <w:fldChar w:fldCharType="separate"/>
          </w:r>
          <w:r>
            <w:rPr>
              <w:rFonts w:hint="default" w:ascii="Cambria" w:hAnsi="Cambria" w:cs="Cambria"/>
            </w:rPr>
            <w:t>13</w:t>
          </w:r>
          <w:r>
            <w:rPr>
              <w:rFonts w:hint="default" w:ascii="Cambria" w:hAnsi="Cambria" w:cs="Cambria"/>
            </w:rPr>
            <w:fldChar w:fldCharType="end"/>
          </w:r>
          <w:r>
            <w:rPr>
              <w:rFonts w:hint="default" w:ascii="Cambria" w:hAnsi="Cambria" w:cs="Cambria"/>
            </w:rPr>
            <w:fldChar w:fldCharType="end"/>
          </w:r>
        </w:p>
        <w:p w14:paraId="1BBE1D66">
          <w:pPr>
            <w:pStyle w:val="9"/>
            <w:tabs>
              <w:tab w:val="right" w:leader="dot" w:pos="8300"/>
            </w:tabs>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_Toc11766 </w:instrText>
          </w:r>
          <w:r>
            <w:rPr>
              <w:rFonts w:hint="default" w:ascii="Cambria" w:hAnsi="Cambria" w:cs="Cambria"/>
            </w:rPr>
            <w:fldChar w:fldCharType="separate"/>
          </w:r>
          <w:r>
            <w:rPr>
              <w:rFonts w:hint="default" w:ascii="Cambria" w:hAnsi="Cambria" w:eastAsia="黑体" w:cs="Cambria"/>
              <w:bCs/>
              <w:szCs w:val="24"/>
              <w:lang w:eastAsia="zh-CN"/>
            </w:rPr>
            <w:t>I</w:t>
          </w:r>
          <w:r>
            <w:rPr>
              <w:rFonts w:hint="default" w:ascii="Cambria" w:hAnsi="Cambria" w:eastAsia="黑体" w:cs="Cambria"/>
              <w:bCs/>
              <w:szCs w:val="24"/>
              <w:lang w:val="en-US" w:eastAsia="zh-CN"/>
            </w:rPr>
            <w:t>II</w:t>
          </w:r>
          <w:r>
            <w:rPr>
              <w:rFonts w:hint="default" w:ascii="Cambria" w:hAnsi="Cambria" w:eastAsia="黑体" w:cs="Cambria"/>
              <w:bCs/>
              <w:szCs w:val="24"/>
            </w:rPr>
            <w:t xml:space="preserve"> Relationship with relevant laws, regulations and standards</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_Toc11766 \h </w:instrText>
          </w:r>
          <w:r>
            <w:rPr>
              <w:rFonts w:hint="default" w:ascii="Cambria" w:hAnsi="Cambria" w:cs="Cambria"/>
            </w:rPr>
            <w:fldChar w:fldCharType="separate"/>
          </w:r>
          <w:r>
            <w:rPr>
              <w:rFonts w:hint="default" w:ascii="Cambria" w:hAnsi="Cambria" w:cs="Cambria"/>
            </w:rPr>
            <w:t>17</w:t>
          </w:r>
          <w:r>
            <w:rPr>
              <w:rFonts w:hint="default" w:ascii="Cambria" w:hAnsi="Cambria" w:cs="Cambria"/>
            </w:rPr>
            <w:fldChar w:fldCharType="end"/>
          </w:r>
          <w:r>
            <w:rPr>
              <w:rFonts w:hint="default" w:ascii="Cambria" w:hAnsi="Cambria" w:cs="Cambria"/>
            </w:rPr>
            <w:fldChar w:fldCharType="end"/>
          </w:r>
        </w:p>
        <w:p w14:paraId="01592F2E">
          <w:pPr>
            <w:pStyle w:val="9"/>
            <w:tabs>
              <w:tab w:val="right" w:leader="dot" w:pos="8300"/>
            </w:tabs>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_Toc24155 </w:instrText>
          </w:r>
          <w:r>
            <w:rPr>
              <w:rFonts w:hint="default" w:ascii="Cambria" w:hAnsi="Cambria" w:cs="Cambria"/>
            </w:rPr>
            <w:fldChar w:fldCharType="separate"/>
          </w:r>
          <w:r>
            <w:rPr>
              <w:rFonts w:hint="default" w:ascii="Cambria" w:hAnsi="Cambria" w:eastAsia="黑体" w:cs="Cambria"/>
              <w:bCs/>
              <w:szCs w:val="24"/>
              <w:lang w:eastAsia="zh-CN"/>
            </w:rPr>
            <w:t>I</w:t>
          </w:r>
          <w:r>
            <w:rPr>
              <w:rFonts w:hint="default" w:ascii="Cambria" w:hAnsi="Cambria" w:eastAsia="黑体" w:cs="Cambria"/>
              <w:bCs/>
              <w:szCs w:val="24"/>
              <w:lang w:val="en-US" w:eastAsia="zh-CN"/>
            </w:rPr>
            <w:t>V</w:t>
          </w:r>
          <w:r>
            <w:rPr>
              <w:rFonts w:hint="default" w:ascii="Cambria" w:hAnsi="Cambria" w:eastAsia="黑体" w:cs="Cambria"/>
              <w:bCs/>
              <w:szCs w:val="24"/>
            </w:rPr>
            <w:t xml:space="preserve"> Process and basis for handling major comments</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_Toc24155 \h </w:instrText>
          </w:r>
          <w:r>
            <w:rPr>
              <w:rFonts w:hint="default" w:ascii="Cambria" w:hAnsi="Cambria" w:cs="Cambria"/>
            </w:rPr>
            <w:fldChar w:fldCharType="separate"/>
          </w:r>
          <w:r>
            <w:rPr>
              <w:rFonts w:hint="default" w:ascii="Cambria" w:hAnsi="Cambria" w:cs="Cambria"/>
            </w:rPr>
            <w:t>20</w:t>
          </w:r>
          <w:r>
            <w:rPr>
              <w:rFonts w:hint="default" w:ascii="Cambria" w:hAnsi="Cambria" w:cs="Cambria"/>
            </w:rPr>
            <w:fldChar w:fldCharType="end"/>
          </w:r>
          <w:r>
            <w:rPr>
              <w:rFonts w:hint="default" w:ascii="Cambria" w:hAnsi="Cambria" w:cs="Cambria"/>
            </w:rPr>
            <w:fldChar w:fldCharType="end"/>
          </w:r>
        </w:p>
        <w:p w14:paraId="77A70C69">
          <w:pPr>
            <w:pStyle w:val="9"/>
            <w:tabs>
              <w:tab w:val="right" w:leader="dot" w:pos="8300"/>
            </w:tabs>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_Toc5071 </w:instrText>
          </w:r>
          <w:r>
            <w:rPr>
              <w:rFonts w:hint="default" w:ascii="Cambria" w:hAnsi="Cambria" w:cs="Cambria"/>
            </w:rPr>
            <w:fldChar w:fldCharType="separate"/>
          </w:r>
          <w:r>
            <w:rPr>
              <w:rFonts w:hint="default" w:ascii="Cambria" w:hAnsi="Cambria" w:eastAsia="黑体" w:cs="Cambria"/>
              <w:bCs/>
              <w:szCs w:val="24"/>
              <w:lang w:eastAsia="zh-CN"/>
            </w:rPr>
            <w:t>V</w:t>
          </w:r>
          <w:r>
            <w:rPr>
              <w:rFonts w:hint="default" w:ascii="Cambria" w:hAnsi="Cambria" w:eastAsia="黑体" w:cs="Cambria"/>
              <w:bCs/>
              <w:szCs w:val="24"/>
            </w:rPr>
            <w:t xml:space="preserve"> Recommendations on adoption as an international organization standard</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_Toc5071 \h </w:instrText>
          </w:r>
          <w:r>
            <w:rPr>
              <w:rFonts w:hint="default" w:ascii="Cambria" w:hAnsi="Cambria" w:cs="Cambria"/>
            </w:rPr>
            <w:fldChar w:fldCharType="separate"/>
          </w:r>
          <w:r>
            <w:rPr>
              <w:rFonts w:hint="default" w:ascii="Cambria" w:hAnsi="Cambria" w:cs="Cambria"/>
            </w:rPr>
            <w:t>25</w:t>
          </w:r>
          <w:r>
            <w:rPr>
              <w:rFonts w:hint="default" w:ascii="Cambria" w:hAnsi="Cambria" w:cs="Cambria"/>
            </w:rPr>
            <w:fldChar w:fldCharType="end"/>
          </w:r>
          <w:r>
            <w:rPr>
              <w:rFonts w:hint="default" w:ascii="Cambria" w:hAnsi="Cambria" w:cs="Cambria"/>
            </w:rPr>
            <w:fldChar w:fldCharType="end"/>
          </w:r>
        </w:p>
        <w:p w14:paraId="588219EC">
          <w:pPr>
            <w:pStyle w:val="9"/>
            <w:tabs>
              <w:tab w:val="right" w:leader="dot" w:pos="8300"/>
            </w:tabs>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_Toc10111 </w:instrText>
          </w:r>
          <w:r>
            <w:rPr>
              <w:rFonts w:hint="default" w:ascii="Cambria" w:hAnsi="Cambria" w:cs="Cambria"/>
            </w:rPr>
            <w:fldChar w:fldCharType="separate"/>
          </w:r>
          <w:r>
            <w:rPr>
              <w:rFonts w:hint="default" w:ascii="Cambria" w:hAnsi="Cambria" w:eastAsia="黑体" w:cs="Cambria"/>
              <w:bCs/>
              <w:szCs w:val="24"/>
              <w:lang w:eastAsia="zh-CN"/>
            </w:rPr>
            <w:t>V</w:t>
          </w:r>
          <w:r>
            <w:rPr>
              <w:rFonts w:hint="default" w:ascii="Cambria" w:hAnsi="Cambria" w:eastAsia="黑体" w:cs="Cambria"/>
              <w:bCs/>
              <w:szCs w:val="24"/>
              <w:lang w:val="en-US" w:eastAsia="zh-CN"/>
            </w:rPr>
            <w:t>I</w:t>
          </w:r>
          <w:r>
            <w:rPr>
              <w:rFonts w:hint="default" w:ascii="Cambria" w:hAnsi="Cambria" w:eastAsia="黑体" w:cs="Cambria"/>
              <w:bCs/>
              <w:szCs w:val="24"/>
            </w:rPr>
            <w:t xml:space="preserve"> Requirements and proposed measures for implementation of the standard</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_Toc10111 \h </w:instrText>
          </w:r>
          <w:r>
            <w:rPr>
              <w:rFonts w:hint="default" w:ascii="Cambria" w:hAnsi="Cambria" w:cs="Cambria"/>
            </w:rPr>
            <w:fldChar w:fldCharType="separate"/>
          </w:r>
          <w:r>
            <w:rPr>
              <w:rFonts w:hint="default" w:ascii="Cambria" w:hAnsi="Cambria" w:cs="Cambria"/>
            </w:rPr>
            <w:t>25</w:t>
          </w:r>
          <w:r>
            <w:rPr>
              <w:rFonts w:hint="default" w:ascii="Cambria" w:hAnsi="Cambria" w:cs="Cambria"/>
            </w:rPr>
            <w:fldChar w:fldCharType="end"/>
          </w:r>
          <w:r>
            <w:rPr>
              <w:rFonts w:hint="default" w:ascii="Cambria" w:hAnsi="Cambria" w:cs="Cambria"/>
            </w:rPr>
            <w:fldChar w:fldCharType="end"/>
          </w:r>
        </w:p>
        <w:p w14:paraId="1AF411F6">
          <w:pPr>
            <w:pStyle w:val="9"/>
            <w:tabs>
              <w:tab w:val="right" w:leader="dot" w:pos="8300"/>
            </w:tabs>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_Toc30842 </w:instrText>
          </w:r>
          <w:r>
            <w:rPr>
              <w:rFonts w:hint="default" w:ascii="Cambria" w:hAnsi="Cambria" w:cs="Cambria"/>
            </w:rPr>
            <w:fldChar w:fldCharType="separate"/>
          </w:r>
          <w:r>
            <w:rPr>
              <w:rFonts w:hint="default" w:ascii="Cambria" w:hAnsi="Cambria" w:eastAsia="黑体" w:cs="Cambria"/>
              <w:bCs/>
              <w:szCs w:val="24"/>
              <w:lang w:eastAsia="zh-CN"/>
            </w:rPr>
            <w:t>V</w:t>
          </w:r>
          <w:r>
            <w:rPr>
              <w:rFonts w:hint="default" w:ascii="Cambria" w:hAnsi="Cambria" w:eastAsia="黑体" w:cs="Cambria"/>
              <w:bCs/>
              <w:szCs w:val="24"/>
              <w:lang w:val="en-US" w:eastAsia="zh-CN"/>
            </w:rPr>
            <w:t>II</w:t>
          </w:r>
          <w:r>
            <w:rPr>
              <w:rFonts w:hint="default" w:ascii="Cambria" w:hAnsi="Cambria" w:eastAsia="黑体" w:cs="Cambria"/>
              <w:bCs/>
              <w:szCs w:val="24"/>
            </w:rPr>
            <w:t xml:space="preserve"> Facilitating and impeding factors in application</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_Toc30842 \h </w:instrText>
          </w:r>
          <w:r>
            <w:rPr>
              <w:rFonts w:hint="default" w:ascii="Cambria" w:hAnsi="Cambria" w:cs="Cambria"/>
            </w:rPr>
            <w:fldChar w:fldCharType="separate"/>
          </w:r>
          <w:r>
            <w:rPr>
              <w:rFonts w:hint="default" w:ascii="Cambria" w:hAnsi="Cambria" w:cs="Cambria"/>
            </w:rPr>
            <w:t>26</w:t>
          </w:r>
          <w:r>
            <w:rPr>
              <w:rFonts w:hint="default" w:ascii="Cambria" w:hAnsi="Cambria" w:cs="Cambria"/>
            </w:rPr>
            <w:fldChar w:fldCharType="end"/>
          </w:r>
          <w:r>
            <w:rPr>
              <w:rFonts w:hint="default" w:ascii="Cambria" w:hAnsi="Cambria" w:cs="Cambria"/>
            </w:rPr>
            <w:fldChar w:fldCharType="end"/>
          </w:r>
        </w:p>
        <w:p w14:paraId="706BF408">
          <w:pPr>
            <w:pStyle w:val="9"/>
            <w:tabs>
              <w:tab w:val="right" w:leader="dot" w:pos="8300"/>
            </w:tabs>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_Toc10455 </w:instrText>
          </w:r>
          <w:r>
            <w:rPr>
              <w:rFonts w:hint="default" w:ascii="Cambria" w:hAnsi="Cambria" w:cs="Cambria"/>
            </w:rPr>
            <w:fldChar w:fldCharType="separate"/>
          </w:r>
          <w:r>
            <w:rPr>
              <w:rFonts w:hint="default" w:ascii="Cambria" w:hAnsi="Cambria" w:eastAsia="黑体" w:cs="Cambria"/>
              <w:bCs/>
              <w:szCs w:val="24"/>
              <w:lang w:eastAsia="zh-CN"/>
            </w:rPr>
            <w:t>V</w:t>
          </w:r>
          <w:r>
            <w:rPr>
              <w:rFonts w:hint="default" w:ascii="Cambria" w:hAnsi="Cambria" w:eastAsia="黑体" w:cs="Cambria"/>
              <w:bCs/>
              <w:szCs w:val="24"/>
              <w:lang w:val="en-US" w:eastAsia="zh-CN"/>
            </w:rPr>
            <w:t>III</w:t>
          </w:r>
          <w:r>
            <w:rPr>
              <w:rFonts w:hint="default" w:ascii="Cambria" w:hAnsi="Cambria" w:eastAsia="黑体" w:cs="Cambria"/>
              <w:bCs/>
              <w:szCs w:val="24"/>
            </w:rPr>
            <w:t xml:space="preserve"> Other matters requiring explanation</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_Toc10455 \h </w:instrText>
          </w:r>
          <w:r>
            <w:rPr>
              <w:rFonts w:hint="default" w:ascii="Cambria" w:hAnsi="Cambria" w:cs="Cambria"/>
            </w:rPr>
            <w:fldChar w:fldCharType="separate"/>
          </w:r>
          <w:r>
            <w:rPr>
              <w:rFonts w:hint="default" w:ascii="Cambria" w:hAnsi="Cambria" w:cs="Cambria"/>
            </w:rPr>
            <w:t>26</w:t>
          </w:r>
          <w:r>
            <w:rPr>
              <w:rFonts w:hint="default" w:ascii="Cambria" w:hAnsi="Cambria" w:cs="Cambria"/>
            </w:rPr>
            <w:fldChar w:fldCharType="end"/>
          </w:r>
          <w:r>
            <w:rPr>
              <w:rFonts w:hint="default" w:ascii="Cambria" w:hAnsi="Cambria" w:cs="Cambria"/>
            </w:rPr>
            <w:fldChar w:fldCharType="end"/>
          </w:r>
        </w:p>
        <w:p w14:paraId="68F808EA">
          <w:pPr>
            <w:pStyle w:val="9"/>
            <w:tabs>
              <w:tab w:val="right" w:leader="dot" w:pos="8300"/>
            </w:tabs>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_Toc6020 </w:instrText>
          </w:r>
          <w:r>
            <w:rPr>
              <w:rFonts w:hint="default" w:ascii="Cambria" w:hAnsi="Cambria" w:cs="Cambria"/>
            </w:rPr>
            <w:fldChar w:fldCharType="separate"/>
          </w:r>
          <w:r>
            <w:rPr>
              <w:rFonts w:hint="default" w:ascii="Cambria" w:hAnsi="Cambria" w:eastAsia="宋体" w:cs="Cambria"/>
              <w:kern w:val="2"/>
              <w:szCs w:val="36"/>
            </w:rPr>
            <w:t>Attachment 1 Report on the Expert Questionnaire Survey</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_Toc6020 \h </w:instrText>
          </w:r>
          <w:r>
            <w:rPr>
              <w:rFonts w:hint="default" w:ascii="Cambria" w:hAnsi="Cambria" w:cs="Cambria"/>
            </w:rPr>
            <w:fldChar w:fldCharType="separate"/>
          </w:r>
          <w:r>
            <w:rPr>
              <w:rFonts w:hint="default" w:ascii="Cambria" w:hAnsi="Cambria" w:cs="Cambria"/>
            </w:rPr>
            <w:t>28</w:t>
          </w:r>
          <w:r>
            <w:rPr>
              <w:rFonts w:hint="default" w:ascii="Cambria" w:hAnsi="Cambria" w:cs="Cambria"/>
            </w:rPr>
            <w:fldChar w:fldCharType="end"/>
          </w:r>
          <w:r>
            <w:rPr>
              <w:rFonts w:hint="default" w:ascii="Cambria" w:hAnsi="Cambria" w:cs="Cambria"/>
            </w:rPr>
            <w:fldChar w:fldCharType="end"/>
          </w:r>
        </w:p>
        <w:p w14:paraId="494D1B11">
          <w:pPr>
            <w:pStyle w:val="9"/>
            <w:tabs>
              <w:tab w:val="right" w:leader="dot" w:pos="8300"/>
            </w:tabs>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_Toc20256 </w:instrText>
          </w:r>
          <w:r>
            <w:rPr>
              <w:rFonts w:hint="default" w:ascii="Cambria" w:hAnsi="Cambria" w:cs="Cambria"/>
            </w:rPr>
            <w:fldChar w:fldCharType="separate"/>
          </w:r>
          <w:r>
            <w:rPr>
              <w:rFonts w:hint="default" w:ascii="Cambria" w:hAnsi="Cambria" w:eastAsia="宋体" w:cs="Cambria"/>
              <w:bCs w:val="0"/>
              <w:szCs w:val="36"/>
            </w:rPr>
            <w:t>Attachment 2 Minutes of the Expert Consultation Meeting</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_Toc20256 \h </w:instrText>
          </w:r>
          <w:r>
            <w:rPr>
              <w:rFonts w:hint="default" w:ascii="Cambria" w:hAnsi="Cambria" w:cs="Cambria"/>
            </w:rPr>
            <w:fldChar w:fldCharType="separate"/>
          </w:r>
          <w:r>
            <w:rPr>
              <w:rFonts w:hint="default" w:ascii="Cambria" w:hAnsi="Cambria" w:cs="Cambria"/>
            </w:rPr>
            <w:t>72</w:t>
          </w:r>
          <w:r>
            <w:rPr>
              <w:rFonts w:hint="default" w:ascii="Cambria" w:hAnsi="Cambria" w:cs="Cambria"/>
            </w:rPr>
            <w:fldChar w:fldCharType="end"/>
          </w:r>
          <w:r>
            <w:rPr>
              <w:rFonts w:hint="default" w:ascii="Cambria" w:hAnsi="Cambria" w:cs="Cambria"/>
            </w:rPr>
            <w:fldChar w:fldCharType="end"/>
          </w:r>
        </w:p>
        <w:p w14:paraId="55141F13">
          <w:pPr>
            <w:pStyle w:val="9"/>
            <w:tabs>
              <w:tab w:val="right" w:leader="dot" w:pos="8300"/>
            </w:tabs>
            <w:rPr>
              <w:rFonts w:hint="default" w:ascii="Cambria" w:hAnsi="Cambria" w:cs="Cambria"/>
            </w:rPr>
          </w:pPr>
          <w:r>
            <w:rPr>
              <w:rFonts w:hint="default" w:ascii="Cambria" w:hAnsi="Cambria" w:cs="Cambria"/>
            </w:rPr>
            <w:fldChar w:fldCharType="begin"/>
          </w:r>
          <w:r>
            <w:rPr>
              <w:rFonts w:hint="default" w:ascii="Cambria" w:hAnsi="Cambria" w:cs="Cambria"/>
            </w:rPr>
            <w:instrText xml:space="preserve"> HYPERLINK \l _Toc21650 </w:instrText>
          </w:r>
          <w:r>
            <w:rPr>
              <w:rFonts w:hint="default" w:ascii="Cambria" w:hAnsi="Cambria" w:cs="Cambria"/>
            </w:rPr>
            <w:fldChar w:fldCharType="separate"/>
          </w:r>
          <w:r>
            <w:rPr>
              <w:rFonts w:hint="default" w:ascii="Cambria" w:hAnsi="Cambria" w:eastAsia="宋体" w:cs="Cambria"/>
              <w:szCs w:val="36"/>
            </w:rPr>
            <w:t>Attachment 3 Summary of review by the expert advisory group</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_Toc21650 \h </w:instrText>
          </w:r>
          <w:r>
            <w:rPr>
              <w:rFonts w:hint="default" w:ascii="Cambria" w:hAnsi="Cambria" w:cs="Cambria"/>
            </w:rPr>
            <w:fldChar w:fldCharType="separate"/>
          </w:r>
          <w:r>
            <w:rPr>
              <w:rFonts w:hint="default" w:ascii="Cambria" w:hAnsi="Cambria" w:cs="Cambria"/>
            </w:rPr>
            <w:t>82</w:t>
          </w:r>
          <w:r>
            <w:rPr>
              <w:rFonts w:hint="default" w:ascii="Cambria" w:hAnsi="Cambria" w:cs="Cambria"/>
            </w:rPr>
            <w:fldChar w:fldCharType="end"/>
          </w:r>
          <w:r>
            <w:rPr>
              <w:rFonts w:hint="default" w:ascii="Cambria" w:hAnsi="Cambria" w:cs="Cambria"/>
            </w:rPr>
            <w:fldChar w:fldCharType="end"/>
          </w:r>
        </w:p>
        <w:p w14:paraId="6B901729">
          <w:pPr>
            <w:rPr>
              <w:rFonts w:hint="default" w:ascii="Cambria" w:hAnsi="Cambria" w:cs="Cambria"/>
            </w:rPr>
          </w:pPr>
          <w:r>
            <w:rPr>
              <w:rFonts w:hint="default" w:ascii="Cambria" w:hAnsi="Cambria" w:cs="Cambria"/>
            </w:rPr>
            <w:fldChar w:fldCharType="end"/>
          </w:r>
        </w:p>
      </w:sdtContent>
    </w:sdt>
    <w:p w14:paraId="53D36D68">
      <w:pPr>
        <w:rPr>
          <w:rFonts w:hint="default" w:ascii="Cambria" w:hAnsi="Cambria" w:cs="Cambria"/>
        </w:rPr>
      </w:pPr>
    </w:p>
    <w:p w14:paraId="36C08661">
      <w:pPr>
        <w:spacing w:line="276" w:lineRule="auto"/>
        <w:rPr>
          <w:rFonts w:hint="default" w:ascii="Cambria" w:hAnsi="Cambria" w:cs="Cambria"/>
        </w:rPr>
      </w:pPr>
    </w:p>
    <w:p w14:paraId="054E7624">
      <w:pPr>
        <w:spacing w:after="93" w:afterLines="30" w:line="276" w:lineRule="auto"/>
        <w:jc w:val="center"/>
        <w:rPr>
          <w:rFonts w:hint="default" w:ascii="Cambria" w:hAnsi="Cambria" w:cs="Cambria"/>
          <w:b/>
          <w:bCs/>
          <w:kern w:val="0"/>
          <w:sz w:val="36"/>
          <w:szCs w:val="36"/>
        </w:rPr>
        <w:sectPr>
          <w:footerReference r:id="rId6" w:type="default"/>
          <w:pgSz w:w="11906" w:h="16838"/>
          <w:pgMar w:top="1440" w:right="1803" w:bottom="1440" w:left="1803" w:header="851" w:footer="992" w:gutter="0"/>
          <w:cols w:space="425" w:num="1"/>
          <w:docGrid w:type="lines" w:linePitch="312" w:charSpace="0"/>
        </w:sectPr>
      </w:pPr>
    </w:p>
    <w:p w14:paraId="6C9435B6">
      <w:pPr>
        <w:spacing w:before="313" w:beforeLines="100" w:after="313" w:afterLines="100" w:line="276" w:lineRule="auto"/>
        <w:jc w:val="center"/>
        <w:rPr>
          <w:rFonts w:hint="default" w:ascii="Cambria" w:hAnsi="Cambria" w:eastAsia="黑体" w:cs="Cambria"/>
          <w:b w:val="0"/>
          <w:bCs w:val="0"/>
          <w:kern w:val="2"/>
          <w:sz w:val="32"/>
          <w:szCs w:val="32"/>
        </w:rPr>
      </w:pPr>
      <w:r>
        <w:rPr>
          <w:rFonts w:hint="default" w:ascii="Cambria" w:hAnsi="Cambria" w:eastAsia="黑体" w:cs="Cambria"/>
          <w:b w:val="0"/>
          <w:bCs w:val="0"/>
          <w:kern w:val="2"/>
          <w:sz w:val="32"/>
          <w:szCs w:val="32"/>
        </w:rPr>
        <w:t>International Standardized Manipulations of Chinese Medicine Pediatrics — Part 3: Acupuncture and Moxibustion</w:t>
      </w:r>
    </w:p>
    <w:p w14:paraId="5AAD1524">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The project “International Standardized Manipulations of Chinese Medicine Pediatrics — Part 3: Acupuncture and Moxibustion” was officially approved in September 2025 as a WFCMS international standard development and revision project, and was undertaken by the Affiliated Hospital of Nanjing University of Chinese Medicine. In April 2025, the World Federation of Chinese Medicine Societies (WFCMS) initiated the conversion of the Chinese national standard on pediatric acupuncture and moxibustion into an international organization standard. By the end of April 2025, a project working group for pediatric acupuncture and moxibustion had been established, with members from China (including Taiwan, China), Singapore, Australia, Viet Nam, Canada and Malaysia.</w:t>
      </w:r>
      <w:r>
        <w:rPr>
          <w:rFonts w:hint="default" w:ascii="Cambria" w:hAnsi="Cambria" w:eastAsia="仿宋" w:cs="Cambria"/>
          <w:sz w:val="21"/>
          <w:szCs w:val="21"/>
          <w:lang w:val="en-US" w:eastAsia="zh-CN"/>
        </w:rPr>
        <w:t xml:space="preserve"> </w:t>
      </w:r>
      <w:r>
        <w:rPr>
          <w:rFonts w:hint="default" w:ascii="Cambria" w:hAnsi="Cambria" w:eastAsia="仿宋" w:cs="Cambria"/>
          <w:sz w:val="21"/>
          <w:szCs w:val="21"/>
        </w:rPr>
        <w:t xml:space="preserve">In accordance with the unified requirements, the working group carried out literature research, expert questionnaire surveys and </w:t>
      </w:r>
      <w:r>
        <w:rPr>
          <w:rFonts w:hint="default" w:ascii="Cambria" w:hAnsi="Cambria" w:eastAsia="仿宋" w:cs="Cambria"/>
          <w:sz w:val="21"/>
          <w:szCs w:val="21"/>
          <w:lang w:eastAsia="zh-CN"/>
        </w:rPr>
        <w:t>expert consultation meeting</w:t>
      </w:r>
      <w:r>
        <w:rPr>
          <w:rFonts w:hint="default" w:ascii="Cambria" w:hAnsi="Cambria" w:eastAsia="仿宋" w:cs="Cambria"/>
          <w:sz w:val="21"/>
          <w:szCs w:val="21"/>
        </w:rPr>
        <w:t xml:space="preserve">s. On the basis of repeated systematic analyses and studies, and in accordance with the drafting rules for WFCMS international standardization documents, the drafting-stage work was completed and a steering-group review draft was formed. The draft includes the following parts: scope, normative references, terms and definitions, operating procedures and requirements for pediatric filiform needle acupuncture, pediatric three-edge needle therapy, Si Feng (EX-UE 10) pricking therapy and pediatric moxibustion therapy, precautions and contraindications, annexes and references. After review and approval by the </w:t>
      </w:r>
      <w:r>
        <w:rPr>
          <w:rFonts w:hint="default" w:ascii="Cambria" w:hAnsi="Cambria" w:eastAsia="仿宋" w:cs="Cambria"/>
          <w:sz w:val="21"/>
          <w:szCs w:val="21"/>
          <w:lang w:eastAsia="zh-CN"/>
        </w:rPr>
        <w:t>expert advisory group</w:t>
      </w:r>
      <w:r>
        <w:rPr>
          <w:rFonts w:hint="default" w:ascii="Cambria" w:hAnsi="Cambria" w:eastAsia="仿宋" w:cs="Cambria"/>
          <w:sz w:val="21"/>
          <w:szCs w:val="21"/>
        </w:rPr>
        <w:t>, the review draft was submitted to the WFCMS International Standardization Department in December 2025 for formal review.</w:t>
      </w:r>
    </w:p>
    <w:p w14:paraId="05632471">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The formulation of this standard is explained below.</w:t>
      </w:r>
    </w:p>
    <w:p w14:paraId="637258DB">
      <w:pPr>
        <w:pStyle w:val="2"/>
        <w:keepNext/>
        <w:keepLines/>
        <w:spacing w:before="312" w:beforeLines="100" w:after="312" w:afterLines="100" w:line="276" w:lineRule="auto"/>
        <w:outlineLvl w:val="0"/>
        <w:rPr>
          <w:rFonts w:hint="default" w:ascii="Cambria" w:hAnsi="Cambria" w:eastAsia="黑体" w:cs="Cambria"/>
          <w:b/>
          <w:bCs/>
          <w:color w:val="auto"/>
          <w:sz w:val="24"/>
          <w:szCs w:val="24"/>
        </w:rPr>
      </w:pPr>
      <w:bookmarkStart w:id="28" w:name="_Toc13368"/>
      <w:r>
        <w:rPr>
          <w:rFonts w:hint="default" w:ascii="Cambria" w:hAnsi="Cambria" w:eastAsia="黑体" w:cs="Cambria"/>
          <w:b/>
          <w:bCs/>
          <w:color w:val="auto"/>
          <w:sz w:val="24"/>
          <w:szCs w:val="24"/>
          <w:lang w:eastAsia="zh-CN"/>
        </w:rPr>
        <w:t>I</w:t>
      </w:r>
      <w:r>
        <w:rPr>
          <w:rFonts w:hint="default" w:ascii="Cambria" w:hAnsi="Cambria" w:eastAsia="黑体" w:cs="Cambria"/>
          <w:b/>
          <w:bCs/>
          <w:color w:val="auto"/>
          <w:sz w:val="24"/>
          <w:szCs w:val="24"/>
        </w:rPr>
        <w:t xml:space="preserve"> Work overview</w:t>
      </w:r>
      <w:bookmarkEnd w:id="28"/>
    </w:p>
    <w:p w14:paraId="312C4D0D">
      <w:pPr>
        <w:spacing w:line="276" w:lineRule="auto"/>
        <w:ind w:firstLine="0"/>
        <w:rPr>
          <w:rFonts w:hint="default" w:ascii="Cambria" w:hAnsi="Cambria" w:eastAsia="仿宋" w:cs="Cambria"/>
          <w:b/>
          <w:bCs/>
          <w:sz w:val="21"/>
          <w:szCs w:val="21"/>
        </w:rPr>
      </w:pPr>
      <w:r>
        <w:rPr>
          <w:rFonts w:hint="default" w:ascii="Cambria" w:hAnsi="Cambria" w:eastAsia="仿宋" w:cs="Cambria"/>
          <w:b/>
          <w:bCs/>
          <w:sz w:val="21"/>
          <w:szCs w:val="21"/>
        </w:rPr>
        <w:t>1.1 Task source</w:t>
      </w:r>
    </w:p>
    <w:p w14:paraId="1E7A9B5B">
      <w:pPr>
        <w:spacing w:line="276" w:lineRule="auto"/>
        <w:ind w:firstLine="420"/>
        <w:rPr>
          <w:rFonts w:hint="default" w:ascii="Cambria" w:hAnsi="Cambria" w:eastAsia="仿宋" w:cs="Cambria"/>
          <w:sz w:val="21"/>
          <w:szCs w:val="21"/>
        </w:rPr>
      </w:pPr>
      <w:r>
        <w:rPr>
          <w:rFonts w:hint="default" w:ascii="Cambria" w:hAnsi="Cambria" w:eastAsia="仿宋" w:cs="Cambria"/>
          <w:sz w:val="21"/>
          <w:szCs w:val="21"/>
        </w:rPr>
        <w:t>In November 2021, the Standardization Administration of China issued “Specification for operation technologies of traditional Chinese medicine — Pediatrics — Part 3: Pediatric acupuncture and moxibustion” (GB/Z 40893.3-2021) as a guiding technical document. The purpose of that standard was to further standardize the operating procedures and requirements for pediatric acupuncture and moxibustion, clarify precautions and contraindications, provide safe and standardized operating guidance for pediatric TCM practitioners worldwide, and promote the standardization and international application of pediatric TCM clinical techniques.</w:t>
      </w:r>
    </w:p>
    <w:p w14:paraId="65A02A6E">
      <w:pPr>
        <w:spacing w:line="276" w:lineRule="auto"/>
        <w:ind w:firstLine="420"/>
        <w:rPr>
          <w:rFonts w:hint="default" w:ascii="Cambria" w:hAnsi="Cambria" w:eastAsia="仿宋" w:cs="Cambria"/>
          <w:sz w:val="21"/>
          <w:szCs w:val="21"/>
        </w:rPr>
      </w:pPr>
      <w:r>
        <w:rPr>
          <w:rFonts w:hint="default" w:ascii="Cambria" w:hAnsi="Cambria" w:eastAsia="仿宋" w:cs="Cambria"/>
          <w:sz w:val="21"/>
          <w:szCs w:val="21"/>
        </w:rPr>
        <w:t xml:space="preserve">In April 2025, WFCMS planned to convert this national standard into an international organization standard. In accordance with SCM 1.1-2021 “Directives for Standardization — Part 1: Development, Revision and Publication of Standards”, and under the guidance of the WFCMS International Standardization Department and the </w:t>
      </w:r>
      <w:r>
        <w:rPr>
          <w:rFonts w:hint="default" w:ascii="Cambria" w:hAnsi="Cambria" w:eastAsia="仿宋" w:cs="Cambria"/>
          <w:sz w:val="21"/>
          <w:szCs w:val="21"/>
          <w:lang w:eastAsia="zh-CN"/>
        </w:rPr>
        <w:t>expert advisory group</w:t>
      </w:r>
      <w:r>
        <w:rPr>
          <w:rFonts w:hint="default" w:ascii="Cambria" w:hAnsi="Cambria" w:eastAsia="仿宋" w:cs="Cambria"/>
          <w:sz w:val="21"/>
          <w:szCs w:val="21"/>
        </w:rPr>
        <w:t>, the project working group for “International Standardized Manipulations of Chinese Medicine Pediatrics — Part 3: Acupuncture and Moxibustion” was established at the end of April 2025. The working group included members from six countries and regions: China (including Taiwan, China), Singapore, Australia, Viet Nam, Canada and Malaysia. In September 2025, the project was officially approved as a WFCMS international standard development and revision project. The undertaking and drafting organization is the Affiliated Hospital of Nanjing University of Chinese Medicine, with Professor Zhao Xia as the project leader. The project was scheduled for completion by the end of 2025.</w:t>
      </w:r>
    </w:p>
    <w:p w14:paraId="732DFA88">
      <w:pPr>
        <w:spacing w:line="276" w:lineRule="auto"/>
        <w:ind w:firstLine="420"/>
        <w:rPr>
          <w:rFonts w:hint="default" w:ascii="Cambria" w:hAnsi="Cambria" w:eastAsia="仿宋" w:cs="Cambria"/>
          <w:sz w:val="21"/>
          <w:szCs w:val="21"/>
        </w:rPr>
      </w:pPr>
      <w:r>
        <w:rPr>
          <w:rFonts w:hint="default" w:ascii="Cambria" w:hAnsi="Cambria" w:eastAsia="仿宋" w:cs="Cambria"/>
          <w:sz w:val="21"/>
          <w:szCs w:val="21"/>
        </w:rPr>
        <w:t>The conversion work was guided, managed and supervised by WFCMS. Technical guidance was provided by a number of domestic experts in traditional Chinese medicine and integrated Chinese and Western pediatric medicine, and project execution was supervised by the WFCMS International Standardization Department, ensuring that the standard development complied with relevant WFCMS management rules for international standard development and revision.</w:t>
      </w:r>
    </w:p>
    <w:p w14:paraId="0A7A3B2C">
      <w:pPr>
        <w:spacing w:line="276" w:lineRule="auto"/>
        <w:ind w:firstLine="0"/>
        <w:rPr>
          <w:rFonts w:hint="default" w:ascii="Cambria" w:hAnsi="Cambria" w:eastAsia="仿宋" w:cs="Cambria"/>
          <w:b/>
          <w:bCs/>
          <w:sz w:val="21"/>
          <w:szCs w:val="21"/>
        </w:rPr>
      </w:pPr>
      <w:r>
        <w:rPr>
          <w:rFonts w:hint="default" w:ascii="Cambria" w:hAnsi="Cambria" w:eastAsia="仿宋" w:cs="Cambria"/>
          <w:b/>
          <w:bCs/>
          <w:sz w:val="21"/>
          <w:szCs w:val="21"/>
        </w:rPr>
        <w:t>1.2 Drafting organizations</w:t>
      </w:r>
    </w:p>
    <w:p w14:paraId="4C8F5F3A">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Main drafting organization: Affiliated Hospital of Nanjing University of Chinese Medicine.</w:t>
      </w:r>
    </w:p>
    <w:p w14:paraId="185A3B9E">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Participating drafting organizations: Singapore College of Traditional Chinese Medicine, Universiti Tunku Abdul Rahman (Malaysia), Endeavour College of Natural Health (Australia), Pacific Rim College of Traditional Chinese Medicine (Canada), and Xiamen Chang Gung Hospital.</w:t>
      </w:r>
    </w:p>
    <w:p w14:paraId="2243E24C">
      <w:pPr>
        <w:spacing w:line="276" w:lineRule="auto"/>
        <w:ind w:firstLine="0"/>
        <w:rPr>
          <w:rFonts w:hint="default" w:ascii="Cambria" w:hAnsi="Cambria" w:eastAsia="仿宋" w:cs="Cambria"/>
          <w:b/>
          <w:bCs/>
          <w:sz w:val="21"/>
          <w:szCs w:val="21"/>
        </w:rPr>
      </w:pPr>
      <w:r>
        <w:rPr>
          <w:rFonts w:hint="default" w:ascii="Cambria" w:hAnsi="Cambria" w:eastAsia="仿宋" w:cs="Cambria"/>
          <w:b/>
          <w:bCs/>
          <w:sz w:val="21"/>
          <w:szCs w:val="21"/>
        </w:rPr>
        <w:t>1.3 Experts involved in standard drafting</w:t>
      </w:r>
    </w:p>
    <w:p w14:paraId="1C627C27">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 xml:space="preserve">This standard was prepared under the guidance of the pediatric </w:t>
      </w:r>
      <w:r>
        <w:rPr>
          <w:rFonts w:hint="default" w:ascii="Cambria" w:hAnsi="Cambria" w:eastAsia="仿宋" w:cs="Cambria"/>
          <w:sz w:val="21"/>
          <w:szCs w:val="21"/>
          <w:lang w:eastAsia="zh-CN"/>
        </w:rPr>
        <w:t>expert advisory group</w:t>
      </w:r>
      <w:r>
        <w:rPr>
          <w:rFonts w:hint="default" w:ascii="Cambria" w:hAnsi="Cambria" w:eastAsia="仿宋" w:cs="Cambria"/>
          <w:sz w:val="21"/>
          <w:szCs w:val="21"/>
        </w:rPr>
        <w:t>. According to their participation, the personnel involved were divided into chief drafters, participating drafters (members of the project working group) and consulting/demonstration experts. The relevant personnel and their work are summarized below.</w:t>
      </w:r>
    </w:p>
    <w:p w14:paraId="0BC9AA78">
      <w:pPr>
        <w:spacing w:line="276" w:lineRule="auto"/>
        <w:rPr>
          <w:rFonts w:hint="default" w:ascii="Cambria" w:hAnsi="Cambria" w:eastAsia="仿宋" w:cs="Cambria"/>
          <w:b/>
          <w:sz w:val="21"/>
          <w:szCs w:val="21"/>
        </w:rPr>
      </w:pPr>
      <w:r>
        <w:rPr>
          <w:rFonts w:hint="default" w:ascii="Cambria" w:hAnsi="Cambria" w:eastAsia="仿宋" w:cs="Cambria"/>
          <w:b/>
          <w:sz w:val="21"/>
          <w:szCs w:val="21"/>
        </w:rPr>
        <w:t>1.3.1 Principal drafters</w:t>
      </w:r>
    </w:p>
    <w:tbl>
      <w:tblPr>
        <w:tblStyle w:val="12"/>
        <w:tblW w:w="9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851"/>
        <w:gridCol w:w="1275"/>
        <w:gridCol w:w="2156"/>
        <w:gridCol w:w="3983"/>
      </w:tblGrid>
      <w:tr w14:paraId="225D5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vAlign w:val="center"/>
          </w:tcPr>
          <w:p w14:paraId="668B25D9">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Name</w:t>
            </w:r>
          </w:p>
        </w:tc>
        <w:tc>
          <w:tcPr>
            <w:tcW w:w="851" w:type="dxa"/>
            <w:vAlign w:val="center"/>
          </w:tcPr>
          <w:p w14:paraId="3C3EA3EC">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Degree</w:t>
            </w:r>
          </w:p>
        </w:tc>
        <w:tc>
          <w:tcPr>
            <w:tcW w:w="1275" w:type="dxa"/>
            <w:vAlign w:val="center"/>
          </w:tcPr>
          <w:p w14:paraId="66315FE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Professional title</w:t>
            </w:r>
          </w:p>
        </w:tc>
        <w:tc>
          <w:tcPr>
            <w:tcW w:w="2156" w:type="dxa"/>
            <w:vAlign w:val="center"/>
          </w:tcPr>
          <w:p w14:paraId="7869038C">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Institution</w:t>
            </w:r>
          </w:p>
        </w:tc>
        <w:tc>
          <w:tcPr>
            <w:tcW w:w="3983" w:type="dxa"/>
            <w:vAlign w:val="center"/>
          </w:tcPr>
          <w:p w14:paraId="2223305A">
            <w:pPr>
              <w:spacing w:line="276" w:lineRule="auto"/>
              <w:ind w:right="0" w:rightChars="0"/>
              <w:jc w:val="left"/>
              <w:rPr>
                <w:rFonts w:hint="default" w:ascii="Cambria" w:hAnsi="Cambria" w:eastAsia="仿宋" w:cs="Cambria"/>
                <w:szCs w:val="21"/>
              </w:rPr>
            </w:pPr>
            <w:r>
              <w:rPr>
                <w:rFonts w:hint="default" w:ascii="Cambria" w:hAnsi="Cambria" w:eastAsia="仿宋" w:cs="Cambria"/>
                <w:b w:val="0"/>
                <w:sz w:val="21"/>
                <w:szCs w:val="21"/>
                <w:lang w:val="en-US" w:eastAsia="zh-CN"/>
              </w:rPr>
              <w:t>Responsibilities</w:t>
            </w:r>
          </w:p>
        </w:tc>
      </w:tr>
      <w:tr w14:paraId="65638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vAlign w:val="center"/>
          </w:tcPr>
          <w:p w14:paraId="56E1F67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Zhao Xia</w:t>
            </w:r>
          </w:p>
        </w:tc>
        <w:tc>
          <w:tcPr>
            <w:tcW w:w="851" w:type="dxa"/>
            <w:vAlign w:val="center"/>
          </w:tcPr>
          <w:p w14:paraId="3B011D6A">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75" w:type="dxa"/>
            <w:vAlign w:val="center"/>
          </w:tcPr>
          <w:p w14:paraId="3FB5CAC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TCM Physician and doctoral supervisor</w:t>
            </w:r>
          </w:p>
        </w:tc>
        <w:tc>
          <w:tcPr>
            <w:tcW w:w="2156" w:type="dxa"/>
            <w:vAlign w:val="center"/>
          </w:tcPr>
          <w:p w14:paraId="4BEB38A8">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Affiliated Hospital of Nanjing University of Chinese Medicine</w:t>
            </w:r>
          </w:p>
        </w:tc>
        <w:tc>
          <w:tcPr>
            <w:tcW w:w="3983" w:type="dxa"/>
            <w:vAlign w:val="center"/>
          </w:tcPr>
          <w:p w14:paraId="6E6852E3">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Led the development of International Standardized Manipulations of Chinese Medicine Pediatrics — Part 3: Acupuncture and Moxibustion; participated in drafting and revising the draft; and organized the project application, implementation and summary.</w:t>
            </w:r>
          </w:p>
        </w:tc>
      </w:tr>
      <w:tr w14:paraId="15262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shd w:val="clear" w:color="auto" w:fill="auto"/>
            <w:vAlign w:val="center"/>
          </w:tcPr>
          <w:p w14:paraId="343B4A54">
            <w:pPr>
              <w:spacing w:line="276" w:lineRule="auto"/>
              <w:jc w:val="left"/>
              <w:rPr>
                <w:rFonts w:hint="default" w:ascii="Cambria" w:hAnsi="Cambria" w:eastAsia="仿宋" w:cs="Cambria"/>
                <w:kern w:val="2"/>
                <w:sz w:val="21"/>
                <w:szCs w:val="21"/>
                <w:lang w:val="en-US" w:eastAsia="zh-CN" w:bidi="ar-SA"/>
              </w:rPr>
            </w:pPr>
            <w:r>
              <w:rPr>
                <w:rFonts w:hint="default" w:ascii="Cambria" w:hAnsi="Cambria" w:eastAsia="仿宋" w:cs="Cambria"/>
                <w:b w:val="0"/>
                <w:sz w:val="21"/>
                <w:szCs w:val="21"/>
                <w:lang w:val="en-US" w:eastAsia="zh-CN"/>
              </w:rPr>
              <w:t>Shan Yiwen</w:t>
            </w:r>
          </w:p>
        </w:tc>
        <w:tc>
          <w:tcPr>
            <w:tcW w:w="851" w:type="dxa"/>
            <w:shd w:val="clear" w:color="auto" w:fill="auto"/>
            <w:vAlign w:val="center"/>
          </w:tcPr>
          <w:p w14:paraId="2D332882">
            <w:pPr>
              <w:spacing w:line="276" w:lineRule="auto"/>
              <w:jc w:val="left"/>
              <w:rPr>
                <w:rFonts w:hint="default" w:ascii="Cambria" w:hAnsi="Cambria" w:eastAsia="仿宋" w:cs="Cambria"/>
                <w:kern w:val="2"/>
                <w:sz w:val="21"/>
                <w:szCs w:val="21"/>
                <w:lang w:val="en-US" w:eastAsia="zh-CN" w:bidi="ar-SA"/>
              </w:rPr>
            </w:pPr>
            <w:r>
              <w:rPr>
                <w:rFonts w:hint="default" w:ascii="Cambria" w:hAnsi="Cambria" w:eastAsia="仿宋" w:cs="Cambria"/>
                <w:b w:val="0"/>
                <w:sz w:val="21"/>
                <w:szCs w:val="21"/>
                <w:lang w:val="en-US" w:eastAsia="zh-CN"/>
              </w:rPr>
              <w:t>Doctoral degree</w:t>
            </w:r>
          </w:p>
        </w:tc>
        <w:tc>
          <w:tcPr>
            <w:tcW w:w="1275" w:type="dxa"/>
            <w:shd w:val="clear" w:color="auto" w:fill="auto"/>
            <w:vAlign w:val="center"/>
          </w:tcPr>
          <w:p w14:paraId="67852A29">
            <w:pPr>
              <w:spacing w:line="276" w:lineRule="auto"/>
              <w:jc w:val="left"/>
              <w:rPr>
                <w:rFonts w:hint="default" w:ascii="Cambria" w:hAnsi="Cambria" w:eastAsia="仿宋" w:cs="Cambria"/>
                <w:kern w:val="0"/>
                <w:sz w:val="21"/>
                <w:szCs w:val="21"/>
                <w:lang w:val="en-US" w:eastAsia="zh-CN" w:bidi="ar-SA"/>
              </w:rPr>
            </w:pPr>
            <w:r>
              <w:rPr>
                <w:rFonts w:hint="default" w:ascii="Cambria" w:hAnsi="Cambria" w:eastAsia="仿宋" w:cs="Cambria"/>
                <w:b w:val="0"/>
                <w:sz w:val="21"/>
                <w:szCs w:val="21"/>
                <w:lang w:val="en-US" w:eastAsia="zh-CN"/>
              </w:rPr>
              <w:t>Lecturer</w:t>
            </w:r>
          </w:p>
        </w:tc>
        <w:tc>
          <w:tcPr>
            <w:tcW w:w="2156" w:type="dxa"/>
            <w:shd w:val="clear" w:color="auto" w:fill="auto"/>
            <w:vAlign w:val="center"/>
          </w:tcPr>
          <w:p w14:paraId="58B92305">
            <w:pPr>
              <w:spacing w:line="276" w:lineRule="auto"/>
              <w:jc w:val="left"/>
              <w:rPr>
                <w:rFonts w:hint="default" w:ascii="Cambria" w:hAnsi="Cambria" w:eastAsia="仿宋" w:cs="Cambria"/>
                <w:kern w:val="2"/>
                <w:sz w:val="21"/>
                <w:szCs w:val="21"/>
                <w:lang w:val="en-US" w:eastAsia="zh-CN" w:bidi="ar-SA"/>
              </w:rPr>
            </w:pPr>
            <w:r>
              <w:rPr>
                <w:rFonts w:hint="default" w:ascii="Cambria" w:hAnsi="Cambria" w:eastAsia="仿宋" w:cs="Cambria"/>
                <w:b w:val="0"/>
                <w:sz w:val="21"/>
                <w:szCs w:val="21"/>
                <w:lang w:val="en-US" w:eastAsia="zh-CN"/>
              </w:rPr>
              <w:t>Nanjing University of Chinese Medicine</w:t>
            </w:r>
          </w:p>
        </w:tc>
        <w:tc>
          <w:tcPr>
            <w:tcW w:w="3983" w:type="dxa"/>
            <w:shd w:val="clear" w:color="auto" w:fill="auto"/>
            <w:vAlign w:val="center"/>
          </w:tcPr>
          <w:p w14:paraId="2A5310CF">
            <w:pPr>
              <w:spacing w:line="276" w:lineRule="auto"/>
              <w:jc w:val="left"/>
              <w:rPr>
                <w:rFonts w:hint="default" w:ascii="Cambria" w:hAnsi="Cambria" w:eastAsia="仿宋" w:cs="Cambria"/>
                <w:kern w:val="2"/>
                <w:sz w:val="21"/>
                <w:szCs w:val="21"/>
                <w:lang w:val="en-US" w:eastAsia="zh-CN" w:bidi="ar-SA"/>
              </w:rPr>
            </w:pPr>
            <w:r>
              <w:rPr>
                <w:rFonts w:hint="default" w:ascii="Cambria" w:hAnsi="Cambria" w:eastAsia="仿宋" w:cs="Cambria"/>
                <w:b w:val="0"/>
                <w:sz w:val="21"/>
                <w:szCs w:val="21"/>
                <w:lang w:val="en-US" w:eastAsia="zh-CN"/>
              </w:rPr>
              <w:t>Participated in literature research; participated in drafting and revising International Standardized Manipulations of Chinese Medicine Pediatrics — Part 3: Acupuncture and Moxibustion; drafted the explanatory notes; and participated in working discussions.</w:t>
            </w:r>
          </w:p>
        </w:tc>
      </w:tr>
      <w:tr w14:paraId="650F1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984" w:type="dxa"/>
            <w:shd w:val="clear" w:color="auto" w:fill="auto"/>
            <w:vAlign w:val="center"/>
          </w:tcPr>
          <w:p w14:paraId="033517F0">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Ni Guangxia</w:t>
            </w:r>
          </w:p>
        </w:tc>
        <w:tc>
          <w:tcPr>
            <w:tcW w:w="851" w:type="dxa"/>
            <w:vAlign w:val="center"/>
          </w:tcPr>
          <w:p w14:paraId="70F6D12A">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75" w:type="dxa"/>
            <w:vAlign w:val="center"/>
          </w:tcPr>
          <w:p w14:paraId="059A9AA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TCM Physician and doctoral supervisor</w:t>
            </w:r>
          </w:p>
        </w:tc>
        <w:tc>
          <w:tcPr>
            <w:tcW w:w="2156" w:type="dxa"/>
            <w:shd w:val="clear" w:color="auto" w:fill="auto"/>
            <w:vAlign w:val="center"/>
          </w:tcPr>
          <w:p w14:paraId="19ED0DF5">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Nanjing University of Chinese Medicine</w:t>
            </w:r>
          </w:p>
        </w:tc>
        <w:tc>
          <w:tcPr>
            <w:tcW w:w="3983" w:type="dxa"/>
            <w:vAlign w:val="center"/>
          </w:tcPr>
          <w:p w14:paraId="6A66B1C3">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revising International Standardized Manipulations of Chinese Medicine Pediatrics — Part 3: Acupuncture and Moxibustion and in working discussions.</w:t>
            </w:r>
          </w:p>
        </w:tc>
      </w:tr>
      <w:tr w14:paraId="11F6F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984" w:type="dxa"/>
            <w:shd w:val="clear" w:color="auto" w:fill="auto"/>
            <w:vAlign w:val="center"/>
          </w:tcPr>
          <w:p w14:paraId="2E42FAE4">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Chen Xiuzhen</w:t>
            </w:r>
          </w:p>
        </w:tc>
        <w:tc>
          <w:tcPr>
            <w:tcW w:w="851" w:type="dxa"/>
            <w:vAlign w:val="center"/>
          </w:tcPr>
          <w:p w14:paraId="1AF09298">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Master’s degree</w:t>
            </w:r>
          </w:p>
        </w:tc>
        <w:tc>
          <w:tcPr>
            <w:tcW w:w="1275" w:type="dxa"/>
            <w:vAlign w:val="center"/>
          </w:tcPr>
          <w:p w14:paraId="72A2DBD0">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Chief TCM Physician</w:t>
            </w:r>
          </w:p>
        </w:tc>
        <w:tc>
          <w:tcPr>
            <w:tcW w:w="2156" w:type="dxa"/>
            <w:shd w:val="clear" w:color="auto" w:fill="auto"/>
            <w:vAlign w:val="center"/>
          </w:tcPr>
          <w:p w14:paraId="5617A7CB">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Affiliated Hospital of Nanjing University of Chinese Medicine</w:t>
            </w:r>
          </w:p>
        </w:tc>
        <w:tc>
          <w:tcPr>
            <w:tcW w:w="3983" w:type="dxa"/>
            <w:vAlign w:val="center"/>
          </w:tcPr>
          <w:p w14:paraId="5BFF0842">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revising International Standardized Manipulations of Chinese Medicine Pediatrics — Part 3: Acupuncture and Moxibustion and in working discussions.</w:t>
            </w:r>
          </w:p>
        </w:tc>
      </w:tr>
    </w:tbl>
    <w:p w14:paraId="7540734C">
      <w:pPr>
        <w:spacing w:line="276" w:lineRule="auto"/>
        <w:rPr>
          <w:rFonts w:hint="default" w:ascii="Cambria" w:hAnsi="Cambria" w:eastAsia="仿宋" w:cs="Cambria"/>
          <w:b/>
          <w:sz w:val="21"/>
          <w:szCs w:val="21"/>
        </w:rPr>
      </w:pPr>
      <w:r>
        <w:rPr>
          <w:rFonts w:hint="default" w:ascii="Cambria" w:hAnsi="Cambria" w:eastAsia="仿宋" w:cs="Cambria"/>
          <w:b/>
          <w:sz w:val="21"/>
          <w:szCs w:val="21"/>
        </w:rPr>
        <w:t>1.3.2 Participating drafters</w:t>
      </w:r>
    </w:p>
    <w:tbl>
      <w:tblPr>
        <w:tblStyle w:val="12"/>
        <w:tblW w:w="9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15"/>
        <w:gridCol w:w="1263"/>
        <w:gridCol w:w="2160"/>
        <w:gridCol w:w="3985"/>
      </w:tblGrid>
      <w:tr w14:paraId="2B2FA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vAlign w:val="center"/>
          </w:tcPr>
          <w:p w14:paraId="24D17894">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Name</w:t>
            </w:r>
          </w:p>
        </w:tc>
        <w:tc>
          <w:tcPr>
            <w:tcW w:w="815" w:type="dxa"/>
            <w:vAlign w:val="center"/>
          </w:tcPr>
          <w:p w14:paraId="344B3973">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Degree</w:t>
            </w:r>
          </w:p>
        </w:tc>
        <w:tc>
          <w:tcPr>
            <w:tcW w:w="1263" w:type="dxa"/>
            <w:vAlign w:val="center"/>
          </w:tcPr>
          <w:p w14:paraId="1D68F921">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Professional title</w:t>
            </w:r>
          </w:p>
        </w:tc>
        <w:tc>
          <w:tcPr>
            <w:tcW w:w="2160" w:type="dxa"/>
            <w:vAlign w:val="center"/>
          </w:tcPr>
          <w:p w14:paraId="22AE9010">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Institution</w:t>
            </w:r>
          </w:p>
        </w:tc>
        <w:tc>
          <w:tcPr>
            <w:tcW w:w="3985" w:type="dxa"/>
            <w:vAlign w:val="center"/>
          </w:tcPr>
          <w:p w14:paraId="77413D86">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Responsibilities</w:t>
            </w:r>
          </w:p>
        </w:tc>
      </w:tr>
      <w:tr w14:paraId="5B0ED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vAlign w:val="center"/>
          </w:tcPr>
          <w:p w14:paraId="2195BEC9">
            <w:pPr>
              <w:autoSpaceDN/>
              <w:adjustRightInd/>
              <w:spacing w:line="276" w:lineRule="auto"/>
              <w:jc w:val="left"/>
              <w:rPr>
                <w:rFonts w:hint="default" w:ascii="Cambria" w:hAnsi="Cambria" w:eastAsia="仿宋" w:cs="Cambria"/>
                <w:szCs w:val="21"/>
                <w:highlight w:val="yellow"/>
              </w:rPr>
            </w:pPr>
            <w:r>
              <w:rPr>
                <w:rFonts w:hint="default" w:ascii="Cambria" w:hAnsi="Cambria" w:eastAsia="仿宋" w:cs="Cambria"/>
                <w:b w:val="0"/>
                <w:sz w:val="21"/>
                <w:szCs w:val="21"/>
                <w:lang w:val="en-US" w:eastAsia="zh-CN"/>
              </w:rPr>
              <w:t>Wu Jiasheng</w:t>
            </w:r>
          </w:p>
        </w:tc>
        <w:tc>
          <w:tcPr>
            <w:tcW w:w="815" w:type="dxa"/>
            <w:vAlign w:val="center"/>
          </w:tcPr>
          <w:p w14:paraId="62BFC8C0">
            <w:pPr>
              <w:spacing w:line="276" w:lineRule="auto"/>
              <w:jc w:val="left"/>
              <w:rPr>
                <w:rFonts w:hint="default" w:ascii="Cambria" w:hAnsi="Cambria" w:eastAsia="仿宋" w:cs="Cambria"/>
                <w:color w:val="FF0000"/>
                <w:szCs w:val="21"/>
                <w:highlight w:val="yellow"/>
              </w:rPr>
            </w:pPr>
            <w:r>
              <w:rPr>
                <w:rFonts w:hint="default" w:ascii="Cambria" w:hAnsi="Cambria" w:eastAsia="仿宋" w:cs="Cambria"/>
                <w:b w:val="0"/>
                <w:sz w:val="21"/>
                <w:szCs w:val="21"/>
                <w:lang w:val="en-US" w:eastAsia="zh-CN"/>
              </w:rPr>
              <w:t>Doctoral degree</w:t>
            </w:r>
          </w:p>
        </w:tc>
        <w:tc>
          <w:tcPr>
            <w:tcW w:w="1263" w:type="dxa"/>
            <w:vAlign w:val="center"/>
          </w:tcPr>
          <w:p w14:paraId="3883732A">
            <w:pPr>
              <w:autoSpaceDN/>
              <w:adjustRightInd/>
              <w:spacing w:line="276" w:lineRule="auto"/>
              <w:jc w:val="left"/>
              <w:rPr>
                <w:rFonts w:hint="default" w:ascii="Cambria" w:hAnsi="Cambria" w:eastAsia="仿宋" w:cs="Cambria"/>
                <w:szCs w:val="21"/>
                <w:highlight w:val="yellow"/>
              </w:rPr>
            </w:pPr>
            <w:r>
              <w:rPr>
                <w:rFonts w:hint="default" w:ascii="Cambria" w:hAnsi="Cambria" w:eastAsia="仿宋" w:cs="Cambria"/>
                <w:b w:val="0"/>
                <w:sz w:val="21"/>
                <w:szCs w:val="21"/>
                <w:lang w:val="en-US" w:eastAsia="zh-CN"/>
              </w:rPr>
              <w:t>TCM Physician</w:t>
            </w:r>
          </w:p>
        </w:tc>
        <w:tc>
          <w:tcPr>
            <w:tcW w:w="2160" w:type="dxa"/>
            <w:vAlign w:val="center"/>
          </w:tcPr>
          <w:p w14:paraId="2FC07E1C">
            <w:pPr>
              <w:autoSpaceDN/>
              <w:adjustRightInd/>
              <w:spacing w:line="276" w:lineRule="auto"/>
              <w:jc w:val="left"/>
              <w:rPr>
                <w:rFonts w:hint="default" w:ascii="Cambria" w:hAnsi="Cambria" w:eastAsia="仿宋" w:cs="Cambria"/>
                <w:szCs w:val="21"/>
                <w:highlight w:val="yellow"/>
              </w:rPr>
            </w:pPr>
            <w:r>
              <w:rPr>
                <w:rFonts w:hint="default" w:ascii="Cambria" w:hAnsi="Cambria" w:eastAsia="仿宋" w:cs="Cambria"/>
                <w:b w:val="0"/>
                <w:sz w:val="21"/>
                <w:szCs w:val="21"/>
                <w:lang w:val="en-US" w:eastAsia="zh-CN"/>
              </w:rPr>
              <w:t>Singapore College of Traditional Chinese Medicine</w:t>
            </w:r>
          </w:p>
        </w:tc>
        <w:tc>
          <w:tcPr>
            <w:tcW w:w="3985" w:type="dxa"/>
            <w:vAlign w:val="center"/>
          </w:tcPr>
          <w:p w14:paraId="01E8B96D">
            <w:pPr>
              <w:spacing w:line="276" w:lineRule="auto"/>
              <w:rPr>
                <w:rFonts w:hint="default" w:ascii="Cambria" w:hAnsi="Cambria" w:eastAsia="仿宋" w:cs="Cambria"/>
                <w:szCs w:val="21"/>
                <w:highlight w:val="yellow"/>
              </w:rPr>
            </w:pPr>
            <w:r>
              <w:rPr>
                <w:rFonts w:hint="default" w:ascii="Cambria" w:hAnsi="Cambria" w:eastAsia="仿宋" w:cs="Cambria"/>
                <w:b w:val="0"/>
                <w:sz w:val="21"/>
                <w:szCs w:val="21"/>
                <w:lang w:val="en-US" w:eastAsia="zh-CN"/>
              </w:rPr>
              <w:t>Participated in drafting and revising International Standardized Manipulations of Chinese Medicine Pediatrics — Part 3: Acupuncture and Moxibustion and in working discussions.</w:t>
            </w:r>
          </w:p>
        </w:tc>
      </w:tr>
      <w:tr w14:paraId="141C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vAlign w:val="center"/>
          </w:tcPr>
          <w:p w14:paraId="20919ABD">
            <w:pPr>
              <w:autoSpaceDN/>
              <w:adjustRightInd/>
              <w:spacing w:line="276" w:lineRule="auto"/>
              <w:jc w:val="left"/>
              <w:rPr>
                <w:rFonts w:hint="default" w:ascii="Cambria" w:hAnsi="Cambria" w:eastAsia="仿宋" w:cs="Cambria"/>
                <w:szCs w:val="21"/>
                <w:highlight w:val="yellow"/>
              </w:rPr>
            </w:pPr>
            <w:r>
              <w:rPr>
                <w:rFonts w:hint="default" w:ascii="Cambria" w:hAnsi="Cambria" w:eastAsia="仿宋" w:cs="Cambria"/>
                <w:b w:val="0"/>
                <w:sz w:val="21"/>
                <w:szCs w:val="21"/>
                <w:lang w:val="en-US" w:eastAsia="zh-CN"/>
              </w:rPr>
              <w:t>Qiao Mulin</w:t>
            </w:r>
          </w:p>
        </w:tc>
        <w:tc>
          <w:tcPr>
            <w:tcW w:w="815" w:type="dxa"/>
            <w:vAlign w:val="center"/>
          </w:tcPr>
          <w:p w14:paraId="3BBFCD62">
            <w:pPr>
              <w:spacing w:line="276" w:lineRule="auto"/>
              <w:jc w:val="left"/>
              <w:rPr>
                <w:rFonts w:hint="default" w:ascii="Cambria" w:hAnsi="Cambria" w:eastAsia="仿宋" w:cs="Cambria"/>
                <w:color w:val="FF0000"/>
                <w:szCs w:val="21"/>
                <w:highlight w:val="yellow"/>
              </w:rPr>
            </w:pPr>
            <w:r>
              <w:rPr>
                <w:rFonts w:hint="default" w:ascii="Cambria" w:hAnsi="Cambria" w:eastAsia="仿宋" w:cs="Cambria"/>
                <w:b w:val="0"/>
                <w:sz w:val="21"/>
                <w:szCs w:val="21"/>
                <w:lang w:val="en-US" w:eastAsia="zh-CN"/>
              </w:rPr>
              <w:t>Master’s degree</w:t>
            </w:r>
          </w:p>
        </w:tc>
        <w:tc>
          <w:tcPr>
            <w:tcW w:w="1263" w:type="dxa"/>
            <w:vAlign w:val="center"/>
          </w:tcPr>
          <w:p w14:paraId="57B8423C">
            <w:pPr>
              <w:autoSpaceDN/>
              <w:adjustRightInd/>
              <w:spacing w:line="276" w:lineRule="auto"/>
              <w:jc w:val="left"/>
              <w:rPr>
                <w:rFonts w:hint="default" w:ascii="Cambria" w:hAnsi="Cambria" w:eastAsia="仿宋" w:cs="Cambria"/>
                <w:szCs w:val="21"/>
                <w:highlight w:val="yellow"/>
              </w:rPr>
            </w:pPr>
            <w:r>
              <w:rPr>
                <w:rFonts w:hint="default" w:ascii="Cambria" w:hAnsi="Cambria" w:eastAsia="仿宋" w:cs="Cambria"/>
                <w:b w:val="0"/>
                <w:sz w:val="21"/>
                <w:szCs w:val="21"/>
                <w:lang w:val="en-US" w:eastAsia="zh-CN"/>
              </w:rPr>
              <w:t>Professor</w:t>
            </w:r>
          </w:p>
        </w:tc>
        <w:tc>
          <w:tcPr>
            <w:tcW w:w="2160" w:type="dxa"/>
            <w:vAlign w:val="center"/>
          </w:tcPr>
          <w:p w14:paraId="1706F1F8">
            <w:pPr>
              <w:autoSpaceDN/>
              <w:adjustRightInd/>
              <w:spacing w:line="276" w:lineRule="auto"/>
              <w:jc w:val="left"/>
              <w:rPr>
                <w:rFonts w:hint="default" w:ascii="Cambria" w:hAnsi="Cambria" w:eastAsia="仿宋" w:cs="Cambria"/>
                <w:szCs w:val="21"/>
                <w:highlight w:val="yellow"/>
              </w:rPr>
            </w:pPr>
            <w:r>
              <w:rPr>
                <w:rFonts w:hint="default" w:ascii="Cambria" w:hAnsi="Cambria" w:eastAsia="仿宋" w:cs="Cambria"/>
                <w:b w:val="0"/>
                <w:sz w:val="21"/>
                <w:szCs w:val="21"/>
                <w:lang w:val="en-US" w:eastAsia="zh-CN"/>
              </w:rPr>
              <w:t>Endeavour College of Natural Health, Australia</w:t>
            </w:r>
          </w:p>
        </w:tc>
        <w:tc>
          <w:tcPr>
            <w:tcW w:w="3985" w:type="dxa"/>
            <w:vAlign w:val="center"/>
          </w:tcPr>
          <w:p w14:paraId="0EAF4902">
            <w:pPr>
              <w:spacing w:line="276" w:lineRule="auto"/>
              <w:rPr>
                <w:rFonts w:hint="default" w:ascii="Cambria" w:hAnsi="Cambria" w:eastAsia="仿宋" w:cs="Cambria"/>
                <w:szCs w:val="21"/>
                <w:highlight w:val="yellow"/>
              </w:rPr>
            </w:pPr>
            <w:r>
              <w:rPr>
                <w:rFonts w:hint="default" w:ascii="Cambria" w:hAnsi="Cambria" w:eastAsia="仿宋" w:cs="Cambria"/>
                <w:b w:val="0"/>
                <w:sz w:val="21"/>
                <w:szCs w:val="21"/>
                <w:lang w:val="en-US" w:eastAsia="zh-CN"/>
              </w:rPr>
              <w:t>Participated in drafting and revising International Standardized Manipulations of Chinese Medicine Pediatrics — Part 3: Acupuncture and Moxibustion and in working discussions.</w:t>
            </w:r>
          </w:p>
        </w:tc>
      </w:tr>
      <w:tr w14:paraId="35CA1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vAlign w:val="center"/>
          </w:tcPr>
          <w:p w14:paraId="0A69B11D">
            <w:pPr>
              <w:autoSpaceDN/>
              <w:adjustRightInd/>
              <w:spacing w:line="276" w:lineRule="auto"/>
              <w:jc w:val="left"/>
              <w:rPr>
                <w:rFonts w:hint="default" w:ascii="Cambria" w:hAnsi="Cambria" w:eastAsia="仿宋" w:cs="Cambria"/>
                <w:color w:val="000000"/>
                <w:szCs w:val="21"/>
                <w:highlight w:val="yellow"/>
              </w:rPr>
            </w:pPr>
            <w:r>
              <w:rPr>
                <w:rFonts w:hint="default" w:ascii="Cambria" w:hAnsi="Cambria" w:eastAsia="仿宋" w:cs="Cambria"/>
                <w:b w:val="0"/>
                <w:sz w:val="21"/>
                <w:szCs w:val="21"/>
                <w:lang w:val="en-US" w:eastAsia="zh-CN"/>
              </w:rPr>
              <w:t>Ruan Hongming</w:t>
            </w:r>
          </w:p>
        </w:tc>
        <w:tc>
          <w:tcPr>
            <w:tcW w:w="815" w:type="dxa"/>
            <w:vAlign w:val="center"/>
          </w:tcPr>
          <w:p w14:paraId="3FD7D6F6">
            <w:pPr>
              <w:spacing w:line="276" w:lineRule="auto"/>
              <w:jc w:val="left"/>
              <w:rPr>
                <w:rFonts w:hint="default" w:ascii="Cambria" w:hAnsi="Cambria" w:eastAsia="仿宋" w:cs="Cambria"/>
                <w:color w:val="000000"/>
                <w:szCs w:val="21"/>
                <w:highlight w:val="yellow"/>
              </w:rPr>
            </w:pPr>
            <w:r>
              <w:rPr>
                <w:rFonts w:hint="default" w:ascii="Cambria" w:hAnsi="Cambria" w:eastAsia="仿宋" w:cs="Cambria"/>
                <w:b w:val="0"/>
                <w:sz w:val="21"/>
                <w:szCs w:val="21"/>
                <w:lang w:val="en-US" w:eastAsia="zh-CN"/>
              </w:rPr>
              <w:t>Doctoral degree</w:t>
            </w:r>
          </w:p>
        </w:tc>
        <w:tc>
          <w:tcPr>
            <w:tcW w:w="1263" w:type="dxa"/>
            <w:vAlign w:val="center"/>
          </w:tcPr>
          <w:p w14:paraId="5D3320E4">
            <w:pPr>
              <w:autoSpaceDN/>
              <w:adjustRightInd/>
              <w:spacing w:line="276" w:lineRule="auto"/>
              <w:jc w:val="left"/>
              <w:rPr>
                <w:rFonts w:hint="default" w:ascii="Cambria" w:hAnsi="Cambria" w:eastAsia="仿宋" w:cs="Cambria"/>
                <w:szCs w:val="21"/>
                <w:highlight w:val="yellow"/>
              </w:rPr>
            </w:pPr>
            <w:r>
              <w:rPr>
                <w:rFonts w:hint="default" w:ascii="Cambria" w:hAnsi="Cambria" w:eastAsia="仿宋" w:cs="Cambria"/>
                <w:b w:val="0"/>
                <w:sz w:val="21"/>
                <w:szCs w:val="21"/>
                <w:lang w:val="en-US" w:eastAsia="zh-CN"/>
              </w:rPr>
              <w:t>Attending Physician</w:t>
            </w:r>
          </w:p>
        </w:tc>
        <w:tc>
          <w:tcPr>
            <w:tcW w:w="2160" w:type="dxa"/>
            <w:vAlign w:val="center"/>
          </w:tcPr>
          <w:p w14:paraId="6DE81BFF">
            <w:pPr>
              <w:autoSpaceDN/>
              <w:adjustRightInd/>
              <w:spacing w:line="276" w:lineRule="auto"/>
              <w:jc w:val="left"/>
              <w:rPr>
                <w:rFonts w:hint="default" w:ascii="Cambria" w:hAnsi="Cambria" w:eastAsia="仿宋" w:cs="Cambria"/>
                <w:szCs w:val="21"/>
                <w:highlight w:val="yellow"/>
              </w:rPr>
            </w:pPr>
            <w:r>
              <w:rPr>
                <w:rFonts w:hint="default" w:ascii="Cambria" w:hAnsi="Cambria" w:eastAsia="仿宋" w:cs="Cambria"/>
                <w:b w:val="0"/>
                <w:sz w:val="21"/>
                <w:szCs w:val="21"/>
                <w:lang w:val="en-US" w:eastAsia="zh-CN"/>
              </w:rPr>
              <w:t>Vietnam National Children’s Hospital</w:t>
            </w:r>
          </w:p>
        </w:tc>
        <w:tc>
          <w:tcPr>
            <w:tcW w:w="3985" w:type="dxa"/>
            <w:vAlign w:val="center"/>
          </w:tcPr>
          <w:p w14:paraId="329863DE">
            <w:pPr>
              <w:spacing w:line="276" w:lineRule="auto"/>
              <w:rPr>
                <w:rFonts w:hint="default" w:ascii="Cambria" w:hAnsi="Cambria" w:eastAsia="仿宋" w:cs="Cambria"/>
                <w:szCs w:val="21"/>
                <w:highlight w:val="yellow"/>
              </w:rPr>
            </w:pPr>
            <w:r>
              <w:rPr>
                <w:rFonts w:hint="default" w:ascii="Cambria" w:hAnsi="Cambria" w:eastAsia="仿宋" w:cs="Cambria"/>
                <w:b w:val="0"/>
                <w:sz w:val="21"/>
                <w:szCs w:val="21"/>
                <w:lang w:val="en-US" w:eastAsia="zh-CN"/>
              </w:rPr>
              <w:t>Participated in drafting and revising International Standardized Manipulations of Chinese Medicine Pediatrics — Part 3: Acupuncture and Moxibustion and in working discussions.</w:t>
            </w:r>
          </w:p>
        </w:tc>
      </w:tr>
      <w:tr w14:paraId="7F5E1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vAlign w:val="center"/>
          </w:tcPr>
          <w:p w14:paraId="0D17B3D5">
            <w:pPr>
              <w:autoSpaceDN/>
              <w:adjustRightInd/>
              <w:spacing w:line="276" w:lineRule="auto"/>
              <w:jc w:val="left"/>
              <w:rPr>
                <w:rFonts w:hint="default" w:ascii="Cambria" w:hAnsi="Cambria" w:eastAsia="仿宋" w:cs="Cambria"/>
                <w:szCs w:val="21"/>
                <w:highlight w:val="yellow"/>
              </w:rPr>
            </w:pPr>
            <w:r>
              <w:rPr>
                <w:rFonts w:hint="default" w:ascii="Cambria" w:hAnsi="Cambria" w:eastAsia="仿宋" w:cs="Cambria"/>
                <w:b w:val="0"/>
                <w:sz w:val="21"/>
                <w:szCs w:val="21"/>
                <w:lang w:val="en-US" w:eastAsia="zh-CN"/>
              </w:rPr>
              <w:t>Chen Xiaoyan</w:t>
            </w:r>
          </w:p>
        </w:tc>
        <w:tc>
          <w:tcPr>
            <w:tcW w:w="815" w:type="dxa"/>
            <w:vAlign w:val="center"/>
          </w:tcPr>
          <w:p w14:paraId="723125EE">
            <w:pPr>
              <w:spacing w:line="276" w:lineRule="auto"/>
              <w:jc w:val="left"/>
              <w:rPr>
                <w:rFonts w:hint="default" w:ascii="Cambria" w:hAnsi="Cambria" w:eastAsia="仿宋" w:cs="Cambria"/>
                <w:color w:val="000000"/>
                <w:szCs w:val="21"/>
                <w:highlight w:val="yellow"/>
              </w:rPr>
            </w:pPr>
            <w:r>
              <w:rPr>
                <w:rFonts w:hint="default" w:ascii="Cambria" w:hAnsi="Cambria" w:eastAsia="仿宋" w:cs="Cambria"/>
                <w:b w:val="0"/>
                <w:sz w:val="21"/>
                <w:szCs w:val="21"/>
                <w:lang w:val="en-US" w:eastAsia="zh-CN"/>
              </w:rPr>
              <w:t>Master’s degree</w:t>
            </w:r>
          </w:p>
        </w:tc>
        <w:tc>
          <w:tcPr>
            <w:tcW w:w="1263" w:type="dxa"/>
            <w:vAlign w:val="center"/>
          </w:tcPr>
          <w:p w14:paraId="0ABBF033">
            <w:pPr>
              <w:autoSpaceDN/>
              <w:adjustRightInd/>
              <w:spacing w:line="276" w:lineRule="auto"/>
              <w:jc w:val="left"/>
              <w:rPr>
                <w:rFonts w:hint="default" w:ascii="Cambria" w:hAnsi="Cambria" w:eastAsia="仿宋" w:cs="Cambria"/>
                <w:szCs w:val="21"/>
                <w:highlight w:val="yellow"/>
              </w:rPr>
            </w:pPr>
            <w:r>
              <w:rPr>
                <w:rFonts w:hint="default" w:ascii="Cambria" w:hAnsi="Cambria" w:eastAsia="仿宋" w:cs="Cambria"/>
                <w:b w:val="0"/>
                <w:sz w:val="21"/>
                <w:szCs w:val="21"/>
                <w:lang w:val="en-US" w:eastAsia="zh-CN"/>
              </w:rPr>
              <w:t>Associate Chief Physician</w:t>
            </w:r>
          </w:p>
        </w:tc>
        <w:tc>
          <w:tcPr>
            <w:tcW w:w="2160" w:type="dxa"/>
            <w:vAlign w:val="center"/>
          </w:tcPr>
          <w:p w14:paraId="70903682">
            <w:pPr>
              <w:autoSpaceDN/>
              <w:adjustRightInd/>
              <w:spacing w:line="276" w:lineRule="auto"/>
              <w:jc w:val="left"/>
              <w:rPr>
                <w:rFonts w:hint="default" w:ascii="Cambria" w:hAnsi="Cambria" w:eastAsia="仿宋" w:cs="Cambria"/>
                <w:szCs w:val="21"/>
                <w:highlight w:val="yellow"/>
              </w:rPr>
            </w:pPr>
            <w:r>
              <w:rPr>
                <w:rFonts w:hint="default" w:ascii="Cambria" w:hAnsi="Cambria" w:eastAsia="仿宋" w:cs="Cambria"/>
                <w:b w:val="0"/>
                <w:sz w:val="21"/>
                <w:szCs w:val="21"/>
                <w:lang w:val="en-US" w:eastAsia="zh-CN"/>
              </w:rPr>
              <w:t>Pacific College of Traditional Chinese Medicine, Canada</w:t>
            </w:r>
          </w:p>
        </w:tc>
        <w:tc>
          <w:tcPr>
            <w:tcW w:w="3985" w:type="dxa"/>
            <w:vAlign w:val="center"/>
          </w:tcPr>
          <w:p w14:paraId="289F26D6">
            <w:pPr>
              <w:spacing w:line="276" w:lineRule="auto"/>
              <w:rPr>
                <w:rFonts w:hint="default" w:ascii="Cambria" w:hAnsi="Cambria" w:eastAsia="仿宋" w:cs="Cambria"/>
                <w:szCs w:val="21"/>
                <w:highlight w:val="yellow"/>
              </w:rPr>
            </w:pPr>
            <w:r>
              <w:rPr>
                <w:rFonts w:hint="default" w:ascii="Cambria" w:hAnsi="Cambria" w:eastAsia="仿宋" w:cs="Cambria"/>
                <w:b w:val="0"/>
                <w:sz w:val="21"/>
                <w:szCs w:val="21"/>
                <w:lang w:val="en-US" w:eastAsia="zh-CN"/>
              </w:rPr>
              <w:t>Participated in drafting and revising International Standardized Manipulations of Chinese Medicine Pediatrics — Part 3: Acupuncture and Moxibustion and in working discussions.</w:t>
            </w:r>
          </w:p>
        </w:tc>
      </w:tr>
      <w:tr w14:paraId="37BD5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vAlign w:val="center"/>
          </w:tcPr>
          <w:p w14:paraId="7E61D4AC">
            <w:pPr>
              <w:autoSpaceDN/>
              <w:adjustRightInd/>
              <w:spacing w:line="276" w:lineRule="auto"/>
              <w:jc w:val="left"/>
              <w:rPr>
                <w:rFonts w:hint="default" w:ascii="Cambria" w:hAnsi="Cambria" w:eastAsia="仿宋" w:cs="Cambria"/>
                <w:szCs w:val="21"/>
                <w:highlight w:val="yellow"/>
              </w:rPr>
            </w:pPr>
            <w:r>
              <w:rPr>
                <w:rFonts w:hint="default" w:ascii="Cambria" w:hAnsi="Cambria" w:eastAsia="仿宋" w:cs="Cambria"/>
                <w:b w:val="0"/>
                <w:sz w:val="21"/>
                <w:szCs w:val="21"/>
                <w:lang w:val="en-US" w:eastAsia="zh-CN"/>
              </w:rPr>
              <w:t>Zheng Xiufen</w:t>
            </w:r>
          </w:p>
        </w:tc>
        <w:tc>
          <w:tcPr>
            <w:tcW w:w="815" w:type="dxa"/>
            <w:vAlign w:val="center"/>
          </w:tcPr>
          <w:p w14:paraId="6B575B95">
            <w:pPr>
              <w:spacing w:line="276" w:lineRule="auto"/>
              <w:jc w:val="left"/>
              <w:rPr>
                <w:rFonts w:hint="default" w:ascii="Cambria" w:hAnsi="Cambria" w:eastAsia="仿宋" w:cs="Cambria"/>
                <w:szCs w:val="21"/>
                <w:highlight w:val="yellow"/>
              </w:rPr>
            </w:pPr>
            <w:r>
              <w:rPr>
                <w:rFonts w:hint="default" w:ascii="Cambria" w:hAnsi="Cambria" w:eastAsia="仿宋" w:cs="Cambria"/>
                <w:b w:val="0"/>
                <w:sz w:val="21"/>
                <w:szCs w:val="21"/>
                <w:lang w:val="en-US" w:eastAsia="zh-CN"/>
              </w:rPr>
              <w:t>Doctoral degree</w:t>
            </w:r>
          </w:p>
        </w:tc>
        <w:tc>
          <w:tcPr>
            <w:tcW w:w="1263" w:type="dxa"/>
            <w:vAlign w:val="center"/>
          </w:tcPr>
          <w:p w14:paraId="1B325FDB">
            <w:pPr>
              <w:autoSpaceDN/>
              <w:adjustRightInd/>
              <w:spacing w:line="276" w:lineRule="auto"/>
              <w:jc w:val="left"/>
              <w:rPr>
                <w:rFonts w:hint="default" w:ascii="Cambria" w:hAnsi="Cambria" w:eastAsia="仿宋" w:cs="Cambria"/>
                <w:szCs w:val="21"/>
                <w:highlight w:val="yellow"/>
              </w:rPr>
            </w:pPr>
            <w:r>
              <w:rPr>
                <w:rFonts w:hint="default" w:ascii="Cambria" w:hAnsi="Cambria" w:eastAsia="仿宋" w:cs="Cambria"/>
                <w:b w:val="0"/>
                <w:sz w:val="21"/>
                <w:szCs w:val="21"/>
                <w:lang w:val="en-US" w:eastAsia="zh-CN"/>
              </w:rPr>
              <w:t>Associate Professor and doctoral supervisor</w:t>
            </w:r>
          </w:p>
        </w:tc>
        <w:tc>
          <w:tcPr>
            <w:tcW w:w="2160" w:type="dxa"/>
            <w:vAlign w:val="center"/>
          </w:tcPr>
          <w:p w14:paraId="3C5EB87E">
            <w:pPr>
              <w:autoSpaceDN/>
              <w:adjustRightInd/>
              <w:spacing w:line="276" w:lineRule="auto"/>
              <w:jc w:val="left"/>
              <w:rPr>
                <w:rFonts w:hint="default" w:ascii="Cambria" w:hAnsi="Cambria" w:eastAsia="仿宋" w:cs="Cambria"/>
                <w:szCs w:val="21"/>
                <w:highlight w:val="yellow"/>
              </w:rPr>
            </w:pPr>
            <w:r>
              <w:rPr>
                <w:rFonts w:hint="default" w:ascii="Cambria" w:hAnsi="Cambria" w:eastAsia="仿宋" w:cs="Cambria"/>
                <w:b w:val="0"/>
                <w:sz w:val="21"/>
                <w:szCs w:val="21"/>
                <w:lang w:val="en-US" w:eastAsia="zh-CN"/>
              </w:rPr>
              <w:t>Universiti Tunku Abdul Rahman, Malaysia</w:t>
            </w:r>
          </w:p>
        </w:tc>
        <w:tc>
          <w:tcPr>
            <w:tcW w:w="3985" w:type="dxa"/>
            <w:vAlign w:val="center"/>
          </w:tcPr>
          <w:p w14:paraId="0146F1E2">
            <w:pPr>
              <w:spacing w:line="276" w:lineRule="auto"/>
              <w:rPr>
                <w:rFonts w:hint="default" w:ascii="Cambria" w:hAnsi="Cambria" w:eastAsia="仿宋" w:cs="Cambria"/>
                <w:szCs w:val="21"/>
                <w:highlight w:val="yellow"/>
              </w:rPr>
            </w:pPr>
            <w:r>
              <w:rPr>
                <w:rFonts w:hint="default" w:ascii="Cambria" w:hAnsi="Cambria" w:eastAsia="仿宋" w:cs="Cambria"/>
                <w:b w:val="0"/>
                <w:sz w:val="21"/>
                <w:szCs w:val="21"/>
                <w:lang w:val="en-US" w:eastAsia="zh-CN"/>
              </w:rPr>
              <w:t>Participated in drafting and revising International Standardized Manipulations of Chinese Medicine Pediatrics — Part 3: Acupuncture and Moxibustion and in working discussions.</w:t>
            </w:r>
          </w:p>
        </w:tc>
      </w:tr>
      <w:tr w14:paraId="16EE8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vAlign w:val="center"/>
          </w:tcPr>
          <w:p w14:paraId="7FCFF2A8">
            <w:pPr>
              <w:autoSpaceDN/>
              <w:adjustRightInd/>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Cai Chenghan</w:t>
            </w:r>
          </w:p>
        </w:tc>
        <w:tc>
          <w:tcPr>
            <w:tcW w:w="815" w:type="dxa"/>
            <w:vAlign w:val="center"/>
          </w:tcPr>
          <w:p w14:paraId="1B9BBB1B">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Master’s degree</w:t>
            </w:r>
          </w:p>
        </w:tc>
        <w:tc>
          <w:tcPr>
            <w:tcW w:w="1263" w:type="dxa"/>
            <w:vAlign w:val="center"/>
          </w:tcPr>
          <w:p w14:paraId="47CBDBAE">
            <w:pPr>
              <w:autoSpaceDN/>
              <w:adjustRightInd/>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Resident Physician</w:t>
            </w:r>
          </w:p>
        </w:tc>
        <w:tc>
          <w:tcPr>
            <w:tcW w:w="2160" w:type="dxa"/>
            <w:vAlign w:val="center"/>
          </w:tcPr>
          <w:p w14:paraId="1362CB2A">
            <w:pPr>
              <w:autoSpaceDN/>
              <w:adjustRightInd/>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Xiamen Chang Gung Hospital</w:t>
            </w:r>
          </w:p>
        </w:tc>
        <w:tc>
          <w:tcPr>
            <w:tcW w:w="3985" w:type="dxa"/>
            <w:vAlign w:val="center"/>
          </w:tcPr>
          <w:p w14:paraId="6C48EC05">
            <w:pPr>
              <w:spacing w:line="276" w:lineRule="auto"/>
              <w:rPr>
                <w:rFonts w:hint="default" w:ascii="Cambria" w:hAnsi="Cambria" w:eastAsia="仿宋" w:cs="Cambria"/>
                <w:szCs w:val="21"/>
              </w:rPr>
            </w:pPr>
            <w:r>
              <w:rPr>
                <w:rFonts w:hint="default" w:ascii="Cambria" w:hAnsi="Cambria" w:eastAsia="仿宋" w:cs="Cambria"/>
                <w:b w:val="0"/>
                <w:sz w:val="21"/>
                <w:szCs w:val="21"/>
                <w:lang w:val="en-US" w:eastAsia="zh-CN"/>
              </w:rPr>
              <w:t>Participated in drafting and revising International Standardized Manipulations of Chinese Medicine Pediatrics — Part 3: Acupuncture and Moxibustion and in working discussions.</w:t>
            </w:r>
          </w:p>
        </w:tc>
      </w:tr>
    </w:tbl>
    <w:p w14:paraId="607F5E2F">
      <w:pPr>
        <w:spacing w:line="276" w:lineRule="auto"/>
        <w:rPr>
          <w:rFonts w:hint="default" w:ascii="Cambria" w:hAnsi="Cambria" w:eastAsia="仿宋" w:cs="Cambria"/>
          <w:b/>
          <w:sz w:val="21"/>
          <w:szCs w:val="21"/>
        </w:rPr>
      </w:pPr>
      <w:r>
        <w:rPr>
          <w:rFonts w:hint="default" w:ascii="Cambria" w:hAnsi="Cambria" w:eastAsia="仿宋" w:cs="Cambria"/>
          <w:b/>
          <w:sz w:val="21"/>
          <w:szCs w:val="21"/>
        </w:rPr>
        <w:t>1.3.3 Consulting experts</w:t>
      </w:r>
    </w:p>
    <w:tbl>
      <w:tblPr>
        <w:tblStyle w:val="12"/>
        <w:tblW w:w="92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2"/>
        <w:gridCol w:w="787"/>
        <w:gridCol w:w="1281"/>
        <w:gridCol w:w="3949"/>
        <w:gridCol w:w="2225"/>
      </w:tblGrid>
      <w:tr w14:paraId="26015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25843235">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Name</w:t>
            </w:r>
          </w:p>
        </w:tc>
        <w:tc>
          <w:tcPr>
            <w:tcW w:w="787" w:type="dxa"/>
            <w:vAlign w:val="center"/>
          </w:tcPr>
          <w:p w14:paraId="27827E88">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Degree</w:t>
            </w:r>
          </w:p>
        </w:tc>
        <w:tc>
          <w:tcPr>
            <w:tcW w:w="1281" w:type="dxa"/>
            <w:vAlign w:val="center"/>
          </w:tcPr>
          <w:p w14:paraId="66DAB163">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Professional title</w:t>
            </w:r>
          </w:p>
        </w:tc>
        <w:tc>
          <w:tcPr>
            <w:tcW w:w="3949" w:type="dxa"/>
            <w:vAlign w:val="center"/>
          </w:tcPr>
          <w:p w14:paraId="5DCD343E">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Institution</w:t>
            </w:r>
          </w:p>
        </w:tc>
        <w:tc>
          <w:tcPr>
            <w:tcW w:w="2225" w:type="dxa"/>
            <w:vAlign w:val="center"/>
          </w:tcPr>
          <w:p w14:paraId="390C6914">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Responsibilities</w:t>
            </w:r>
          </w:p>
        </w:tc>
      </w:tr>
      <w:tr w14:paraId="1AAA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50B0BF04">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Liu Ying</w:t>
            </w:r>
          </w:p>
        </w:tc>
        <w:tc>
          <w:tcPr>
            <w:tcW w:w="787" w:type="dxa"/>
            <w:vAlign w:val="center"/>
          </w:tcPr>
          <w:p w14:paraId="0D03F81A">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170AFA5C">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Associate Professor, Chief Physician and doctoral supervisor</w:t>
            </w:r>
          </w:p>
        </w:tc>
        <w:tc>
          <w:tcPr>
            <w:tcW w:w="3949" w:type="dxa"/>
            <w:vAlign w:val="center"/>
          </w:tcPr>
          <w:p w14:paraId="35AFD784">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Affiliated Hospital of Jiangxi University of Chinese Medicine</w:t>
            </w:r>
          </w:p>
        </w:tc>
        <w:tc>
          <w:tcPr>
            <w:tcW w:w="2225" w:type="dxa"/>
            <w:vAlign w:val="center"/>
          </w:tcPr>
          <w:p w14:paraId="5692CAB3">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7C55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599FD72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Xiong Lei</w:t>
            </w:r>
          </w:p>
        </w:tc>
        <w:tc>
          <w:tcPr>
            <w:tcW w:w="787" w:type="dxa"/>
            <w:vAlign w:val="center"/>
          </w:tcPr>
          <w:p w14:paraId="6B240D59">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Master’s degree</w:t>
            </w:r>
          </w:p>
        </w:tc>
        <w:tc>
          <w:tcPr>
            <w:tcW w:w="1281" w:type="dxa"/>
            <w:vAlign w:val="center"/>
          </w:tcPr>
          <w:p w14:paraId="5C9A21E4">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and doctoral supervisor</w:t>
            </w:r>
          </w:p>
        </w:tc>
        <w:tc>
          <w:tcPr>
            <w:tcW w:w="3949" w:type="dxa"/>
            <w:vAlign w:val="center"/>
          </w:tcPr>
          <w:p w14:paraId="27DBDDC4">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First Affiliated Hospital of Yunnan University of Chinese Medicine</w:t>
            </w:r>
          </w:p>
        </w:tc>
        <w:tc>
          <w:tcPr>
            <w:tcW w:w="2225" w:type="dxa"/>
            <w:vAlign w:val="center"/>
          </w:tcPr>
          <w:p w14:paraId="749C5F71">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4D290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27759747">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Chen Xiaoyan</w:t>
            </w:r>
          </w:p>
        </w:tc>
        <w:tc>
          <w:tcPr>
            <w:tcW w:w="787" w:type="dxa"/>
            <w:vAlign w:val="center"/>
          </w:tcPr>
          <w:p w14:paraId="4A49755B">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Master’s degree</w:t>
            </w:r>
          </w:p>
        </w:tc>
        <w:tc>
          <w:tcPr>
            <w:tcW w:w="1281" w:type="dxa"/>
            <w:vAlign w:val="center"/>
          </w:tcPr>
          <w:p w14:paraId="2A0F1D62">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Associate Chief Physician</w:t>
            </w:r>
          </w:p>
        </w:tc>
        <w:tc>
          <w:tcPr>
            <w:tcW w:w="3949" w:type="dxa"/>
            <w:vAlign w:val="center"/>
          </w:tcPr>
          <w:p w14:paraId="0C6BCC61">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Pacific College of Traditional Chinese Medicine, Canada</w:t>
            </w:r>
          </w:p>
        </w:tc>
        <w:tc>
          <w:tcPr>
            <w:tcW w:w="2225" w:type="dxa"/>
            <w:vAlign w:val="center"/>
          </w:tcPr>
          <w:p w14:paraId="43604FC2">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72190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10D7AA35">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Chen Xiuzhen</w:t>
            </w:r>
          </w:p>
        </w:tc>
        <w:tc>
          <w:tcPr>
            <w:tcW w:w="787" w:type="dxa"/>
            <w:vAlign w:val="center"/>
          </w:tcPr>
          <w:p w14:paraId="14BB1B1A">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Master’s degree</w:t>
            </w:r>
          </w:p>
        </w:tc>
        <w:tc>
          <w:tcPr>
            <w:tcW w:w="1281" w:type="dxa"/>
            <w:vAlign w:val="center"/>
          </w:tcPr>
          <w:p w14:paraId="3E2F11D6">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Chief TCM Physician</w:t>
            </w:r>
          </w:p>
        </w:tc>
        <w:tc>
          <w:tcPr>
            <w:tcW w:w="3949" w:type="dxa"/>
            <w:vAlign w:val="center"/>
          </w:tcPr>
          <w:p w14:paraId="7A92C3D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Affiliated Hospital of Nanjing University of Chinese Medicine</w:t>
            </w:r>
          </w:p>
        </w:tc>
        <w:tc>
          <w:tcPr>
            <w:tcW w:w="2225" w:type="dxa"/>
            <w:vAlign w:val="center"/>
          </w:tcPr>
          <w:p w14:paraId="4B07758B">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6F358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6CFFB0B0">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Zhao Qiong</w:t>
            </w:r>
          </w:p>
        </w:tc>
        <w:tc>
          <w:tcPr>
            <w:tcW w:w="787" w:type="dxa"/>
            <w:vAlign w:val="center"/>
          </w:tcPr>
          <w:p w14:paraId="4BBFBA61">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2B30C648">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Chief Physician, Researcher and doctoral supervisor</w:t>
            </w:r>
          </w:p>
        </w:tc>
        <w:tc>
          <w:tcPr>
            <w:tcW w:w="3949" w:type="dxa"/>
            <w:vAlign w:val="center"/>
          </w:tcPr>
          <w:p w14:paraId="12EF9FF3">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Affiliated Hospital of Chengdu University of Traditional Chinese Medicine</w:t>
            </w:r>
          </w:p>
        </w:tc>
        <w:tc>
          <w:tcPr>
            <w:tcW w:w="2225" w:type="dxa"/>
            <w:vAlign w:val="center"/>
          </w:tcPr>
          <w:p w14:paraId="48E692B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44035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68D032A8">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Wu Jiasheng</w:t>
            </w:r>
          </w:p>
        </w:tc>
        <w:tc>
          <w:tcPr>
            <w:tcW w:w="787" w:type="dxa"/>
            <w:vAlign w:val="center"/>
          </w:tcPr>
          <w:p w14:paraId="49E9E803">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7D53A47B">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TCM Physician</w:t>
            </w:r>
          </w:p>
        </w:tc>
        <w:tc>
          <w:tcPr>
            <w:tcW w:w="3949" w:type="dxa"/>
            <w:vAlign w:val="center"/>
          </w:tcPr>
          <w:p w14:paraId="0DA7A457">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Singapore Chinese Physicians’ Association</w:t>
            </w:r>
          </w:p>
        </w:tc>
        <w:tc>
          <w:tcPr>
            <w:tcW w:w="2225" w:type="dxa"/>
            <w:vAlign w:val="center"/>
          </w:tcPr>
          <w:p w14:paraId="42CFE403">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68DC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22AFFDB8">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Ni Guangxia</w:t>
            </w:r>
          </w:p>
        </w:tc>
        <w:tc>
          <w:tcPr>
            <w:tcW w:w="787" w:type="dxa"/>
            <w:vAlign w:val="center"/>
          </w:tcPr>
          <w:p w14:paraId="1DFA9ACF">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10F3D9B0">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3949" w:type="dxa"/>
            <w:vAlign w:val="center"/>
          </w:tcPr>
          <w:p w14:paraId="306B9DE2">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Nanjing University of Chinese Medicine</w:t>
            </w:r>
          </w:p>
        </w:tc>
        <w:tc>
          <w:tcPr>
            <w:tcW w:w="2225" w:type="dxa"/>
            <w:vAlign w:val="center"/>
          </w:tcPr>
          <w:p w14:paraId="4B4B371B">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246EA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1BB932BC">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Wang Junhong</w:t>
            </w:r>
          </w:p>
        </w:tc>
        <w:tc>
          <w:tcPr>
            <w:tcW w:w="787" w:type="dxa"/>
            <w:vAlign w:val="center"/>
          </w:tcPr>
          <w:p w14:paraId="3B508E92">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5D3DEAE0">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3949" w:type="dxa"/>
            <w:vAlign w:val="center"/>
          </w:tcPr>
          <w:p w14:paraId="149F16A8">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Dongzhimen Hospital, Beijing University of Chinese Medicine</w:t>
            </w:r>
          </w:p>
        </w:tc>
        <w:tc>
          <w:tcPr>
            <w:tcW w:w="2225" w:type="dxa"/>
            <w:vAlign w:val="center"/>
          </w:tcPr>
          <w:p w14:paraId="57F500A8">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0BFC8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36620C44">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Chen Renshou</w:t>
            </w:r>
          </w:p>
        </w:tc>
        <w:tc>
          <w:tcPr>
            <w:tcW w:w="787" w:type="dxa"/>
            <w:vAlign w:val="center"/>
          </w:tcPr>
          <w:p w14:paraId="229E3DC6">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538C0EE7">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and doctoral supervisor</w:t>
            </w:r>
          </w:p>
        </w:tc>
        <w:tc>
          <w:tcPr>
            <w:tcW w:w="3949" w:type="dxa"/>
            <w:vAlign w:val="center"/>
          </w:tcPr>
          <w:p w14:paraId="68680A86">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Institute of Chinese Medical Literature, Nanjing University of Chinese Medicine</w:t>
            </w:r>
          </w:p>
        </w:tc>
        <w:tc>
          <w:tcPr>
            <w:tcW w:w="2225" w:type="dxa"/>
            <w:vAlign w:val="center"/>
          </w:tcPr>
          <w:p w14:paraId="19DB9EC3">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25754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2C7B2123">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Wan Lisheng</w:t>
            </w:r>
          </w:p>
        </w:tc>
        <w:tc>
          <w:tcPr>
            <w:tcW w:w="787" w:type="dxa"/>
            <w:vAlign w:val="center"/>
          </w:tcPr>
          <w:p w14:paraId="1D83D437">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385CAF4C">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3949" w:type="dxa"/>
            <w:vAlign w:val="center"/>
          </w:tcPr>
          <w:p w14:paraId="263C56D7">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Shenzhen Children’s Hospital</w:t>
            </w:r>
          </w:p>
        </w:tc>
        <w:tc>
          <w:tcPr>
            <w:tcW w:w="2225" w:type="dxa"/>
            <w:vAlign w:val="center"/>
          </w:tcPr>
          <w:p w14:paraId="0BC78142">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73927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104370B2">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Zheng Xiufen</w:t>
            </w:r>
          </w:p>
        </w:tc>
        <w:tc>
          <w:tcPr>
            <w:tcW w:w="787" w:type="dxa"/>
            <w:vAlign w:val="center"/>
          </w:tcPr>
          <w:p w14:paraId="395C0230">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70568480">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Associate Professor and doctoral supervisor</w:t>
            </w:r>
          </w:p>
        </w:tc>
        <w:tc>
          <w:tcPr>
            <w:tcW w:w="3949" w:type="dxa"/>
            <w:vAlign w:val="center"/>
          </w:tcPr>
          <w:p w14:paraId="45A25D6A">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Universiti Tunku Abdul Rahman, Malaysia</w:t>
            </w:r>
          </w:p>
        </w:tc>
        <w:tc>
          <w:tcPr>
            <w:tcW w:w="2225" w:type="dxa"/>
            <w:vAlign w:val="center"/>
          </w:tcPr>
          <w:p w14:paraId="061C2E22">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78339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6D8C6CA4">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Ruan Hongming</w:t>
            </w:r>
          </w:p>
        </w:tc>
        <w:tc>
          <w:tcPr>
            <w:tcW w:w="787" w:type="dxa"/>
            <w:vAlign w:val="center"/>
          </w:tcPr>
          <w:p w14:paraId="78A8D098">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1555F3A9">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Attending Physician and master’s supervisor</w:t>
            </w:r>
          </w:p>
        </w:tc>
        <w:tc>
          <w:tcPr>
            <w:tcW w:w="3949" w:type="dxa"/>
            <w:vAlign w:val="center"/>
          </w:tcPr>
          <w:p w14:paraId="77CFA3C1">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Vietnam National Children’s Hospital</w:t>
            </w:r>
          </w:p>
        </w:tc>
        <w:tc>
          <w:tcPr>
            <w:tcW w:w="2225" w:type="dxa"/>
            <w:vAlign w:val="center"/>
          </w:tcPr>
          <w:p w14:paraId="5BE40E90">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0AC32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419C77CF">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Yang Yan</w:t>
            </w:r>
          </w:p>
        </w:tc>
        <w:tc>
          <w:tcPr>
            <w:tcW w:w="787" w:type="dxa"/>
            <w:vAlign w:val="center"/>
          </w:tcPr>
          <w:p w14:paraId="4832D285">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353BE3DF">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3949" w:type="dxa"/>
            <w:vAlign w:val="center"/>
          </w:tcPr>
          <w:p w14:paraId="33D26C14">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Beijing Children’s Hospital, Capital Medical University</w:t>
            </w:r>
          </w:p>
        </w:tc>
        <w:tc>
          <w:tcPr>
            <w:tcW w:w="2225" w:type="dxa"/>
            <w:vAlign w:val="center"/>
          </w:tcPr>
          <w:p w14:paraId="5CA05BE9">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1487E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6A44573C">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Cai Chenghan</w:t>
            </w:r>
          </w:p>
        </w:tc>
        <w:tc>
          <w:tcPr>
            <w:tcW w:w="787" w:type="dxa"/>
            <w:vAlign w:val="center"/>
          </w:tcPr>
          <w:p w14:paraId="4887E2D6">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Master’s degree</w:t>
            </w:r>
          </w:p>
        </w:tc>
        <w:tc>
          <w:tcPr>
            <w:tcW w:w="1281" w:type="dxa"/>
            <w:vAlign w:val="center"/>
          </w:tcPr>
          <w:p w14:paraId="178F9C0A">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Resident Physician</w:t>
            </w:r>
          </w:p>
        </w:tc>
        <w:tc>
          <w:tcPr>
            <w:tcW w:w="3949" w:type="dxa"/>
            <w:vAlign w:val="center"/>
          </w:tcPr>
          <w:p w14:paraId="76C1B0E0">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Xiamen Chang Gung Hospital</w:t>
            </w:r>
          </w:p>
        </w:tc>
        <w:tc>
          <w:tcPr>
            <w:tcW w:w="2225" w:type="dxa"/>
            <w:vAlign w:val="center"/>
          </w:tcPr>
          <w:p w14:paraId="603C40B3">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58DD1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42A15ADE">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Cui Xia</w:t>
            </w:r>
          </w:p>
        </w:tc>
        <w:tc>
          <w:tcPr>
            <w:tcW w:w="787" w:type="dxa"/>
            <w:vAlign w:val="center"/>
          </w:tcPr>
          <w:p w14:paraId="4DA2A730">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3F0F621A">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3949" w:type="dxa"/>
            <w:vAlign w:val="center"/>
          </w:tcPr>
          <w:p w14:paraId="5752B76B">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Third Affiliated Hospital of Beijing University of Chinese Medicine</w:t>
            </w:r>
          </w:p>
        </w:tc>
        <w:tc>
          <w:tcPr>
            <w:tcW w:w="2225" w:type="dxa"/>
            <w:shd w:val="clear" w:color="auto" w:fill="auto"/>
            <w:vAlign w:val="center"/>
          </w:tcPr>
          <w:p w14:paraId="5755D2D8">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326E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55DB22E2">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Zhai Wensheng</w:t>
            </w:r>
          </w:p>
        </w:tc>
        <w:tc>
          <w:tcPr>
            <w:tcW w:w="787" w:type="dxa"/>
            <w:vAlign w:val="center"/>
          </w:tcPr>
          <w:p w14:paraId="23A5E8A0">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271E79F3">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3949" w:type="dxa"/>
            <w:vAlign w:val="center"/>
          </w:tcPr>
          <w:p w14:paraId="435073D6">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First Affiliated Hospital of Henan University of Chinese Medicine</w:t>
            </w:r>
          </w:p>
        </w:tc>
        <w:tc>
          <w:tcPr>
            <w:tcW w:w="2225" w:type="dxa"/>
            <w:shd w:val="clear" w:color="auto" w:fill="auto"/>
            <w:vAlign w:val="center"/>
          </w:tcPr>
          <w:p w14:paraId="39EF1170">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2D647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2747DBFA">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Han Xinmin</w:t>
            </w:r>
          </w:p>
        </w:tc>
        <w:tc>
          <w:tcPr>
            <w:tcW w:w="787" w:type="dxa"/>
            <w:vAlign w:val="center"/>
          </w:tcPr>
          <w:p w14:paraId="133D3BB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2267E6B2">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3949" w:type="dxa"/>
            <w:vAlign w:val="center"/>
          </w:tcPr>
          <w:p w14:paraId="40322AE6">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Affiliated Hospital of Nanjing University of Chinese Medicine</w:t>
            </w:r>
          </w:p>
        </w:tc>
        <w:tc>
          <w:tcPr>
            <w:tcW w:w="2225" w:type="dxa"/>
            <w:shd w:val="clear" w:color="auto" w:fill="auto"/>
            <w:vAlign w:val="center"/>
          </w:tcPr>
          <w:p w14:paraId="62BDC001">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63728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6776DD27">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He Li</w:t>
            </w:r>
          </w:p>
        </w:tc>
        <w:tc>
          <w:tcPr>
            <w:tcW w:w="787" w:type="dxa"/>
            <w:vAlign w:val="center"/>
          </w:tcPr>
          <w:p w14:paraId="14F2D55B">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38585011">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Chief Physician and doctoral supervisor</w:t>
            </w:r>
          </w:p>
        </w:tc>
        <w:tc>
          <w:tcPr>
            <w:tcW w:w="3949" w:type="dxa"/>
            <w:vAlign w:val="center"/>
          </w:tcPr>
          <w:p w14:paraId="68430CC1">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Shanghai Children’s Hospital</w:t>
            </w:r>
          </w:p>
        </w:tc>
        <w:tc>
          <w:tcPr>
            <w:tcW w:w="2225" w:type="dxa"/>
            <w:shd w:val="clear" w:color="auto" w:fill="auto"/>
            <w:vAlign w:val="center"/>
          </w:tcPr>
          <w:p w14:paraId="1972F087">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53A6B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1EAAA296">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Rong Ping</w:t>
            </w:r>
          </w:p>
        </w:tc>
        <w:tc>
          <w:tcPr>
            <w:tcW w:w="787" w:type="dxa"/>
            <w:vAlign w:val="center"/>
          </w:tcPr>
          <w:p w14:paraId="6F1A964A">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4ECC656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Chief Physician and doctoral supervisor</w:t>
            </w:r>
          </w:p>
        </w:tc>
        <w:tc>
          <w:tcPr>
            <w:tcW w:w="3949" w:type="dxa"/>
            <w:vAlign w:val="center"/>
          </w:tcPr>
          <w:p w14:paraId="38967896">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First Teaching Hospital of Tianjin University of Traditional Chinese Medicine</w:t>
            </w:r>
          </w:p>
        </w:tc>
        <w:tc>
          <w:tcPr>
            <w:tcW w:w="2225" w:type="dxa"/>
            <w:shd w:val="clear" w:color="auto" w:fill="auto"/>
            <w:vAlign w:val="center"/>
          </w:tcPr>
          <w:p w14:paraId="35871F67">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18A1B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51ECAF03">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Sun Liping</w:t>
            </w:r>
          </w:p>
        </w:tc>
        <w:tc>
          <w:tcPr>
            <w:tcW w:w="787" w:type="dxa"/>
            <w:vAlign w:val="center"/>
          </w:tcPr>
          <w:p w14:paraId="39644E4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498C6BF3">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3949" w:type="dxa"/>
            <w:vAlign w:val="center"/>
          </w:tcPr>
          <w:p w14:paraId="3746A0CA">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Affiliated Hospital of Changchun University of Chinese Medicine</w:t>
            </w:r>
          </w:p>
        </w:tc>
        <w:tc>
          <w:tcPr>
            <w:tcW w:w="2225" w:type="dxa"/>
            <w:shd w:val="clear" w:color="auto" w:fill="auto"/>
            <w:vAlign w:val="center"/>
          </w:tcPr>
          <w:p w14:paraId="5D2383AA">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30D20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119D98B8">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Sun Xiangjuan</w:t>
            </w:r>
          </w:p>
        </w:tc>
        <w:tc>
          <w:tcPr>
            <w:tcW w:w="787" w:type="dxa"/>
            <w:vAlign w:val="center"/>
          </w:tcPr>
          <w:p w14:paraId="1FF6D0B9">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4DFA9879">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Chief Physician and master’s supervisor</w:t>
            </w:r>
          </w:p>
        </w:tc>
        <w:tc>
          <w:tcPr>
            <w:tcW w:w="3949" w:type="dxa"/>
            <w:vAlign w:val="center"/>
          </w:tcPr>
          <w:p w14:paraId="0163ADF2">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Affiliated Hospital of Chengdu University of Traditional Chinese Medicine</w:t>
            </w:r>
          </w:p>
        </w:tc>
        <w:tc>
          <w:tcPr>
            <w:tcW w:w="2225" w:type="dxa"/>
            <w:shd w:val="clear" w:color="auto" w:fill="auto"/>
            <w:vAlign w:val="center"/>
          </w:tcPr>
          <w:p w14:paraId="7B32A1E3">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7BC4B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5B809A76">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Wang Shouchuan</w:t>
            </w:r>
          </w:p>
        </w:tc>
        <w:tc>
          <w:tcPr>
            <w:tcW w:w="787" w:type="dxa"/>
            <w:vAlign w:val="center"/>
          </w:tcPr>
          <w:p w14:paraId="5FCFEB5B">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Master’s degree</w:t>
            </w:r>
          </w:p>
        </w:tc>
        <w:tc>
          <w:tcPr>
            <w:tcW w:w="1281" w:type="dxa"/>
            <w:vAlign w:val="center"/>
          </w:tcPr>
          <w:p w14:paraId="56059E97">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and doctoral supervisor</w:t>
            </w:r>
          </w:p>
        </w:tc>
        <w:tc>
          <w:tcPr>
            <w:tcW w:w="3949" w:type="dxa"/>
            <w:vAlign w:val="center"/>
          </w:tcPr>
          <w:p w14:paraId="6C508B6E">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Affiliated Hospital of Nanjing University of Chinese Medicine</w:t>
            </w:r>
          </w:p>
        </w:tc>
        <w:tc>
          <w:tcPr>
            <w:tcW w:w="2225" w:type="dxa"/>
            <w:shd w:val="clear" w:color="auto" w:fill="auto"/>
            <w:vAlign w:val="center"/>
          </w:tcPr>
          <w:p w14:paraId="70B4CF3E">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7D56D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06F4ED0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Wang Mengqing</w:t>
            </w:r>
          </w:p>
        </w:tc>
        <w:tc>
          <w:tcPr>
            <w:tcW w:w="787" w:type="dxa"/>
            <w:vAlign w:val="center"/>
          </w:tcPr>
          <w:p w14:paraId="74883C2F">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0C727BFB">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3949" w:type="dxa"/>
            <w:vAlign w:val="center"/>
          </w:tcPr>
          <w:p w14:paraId="27D8B4F5">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First Affiliated Hospital of Hunan University of Chinese Medicine</w:t>
            </w:r>
          </w:p>
        </w:tc>
        <w:tc>
          <w:tcPr>
            <w:tcW w:w="2225" w:type="dxa"/>
            <w:shd w:val="clear" w:color="auto" w:fill="auto"/>
            <w:vAlign w:val="center"/>
          </w:tcPr>
          <w:p w14:paraId="6C753F75">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2EDAB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0E0B274E">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Wang Mingming</w:t>
            </w:r>
          </w:p>
        </w:tc>
        <w:tc>
          <w:tcPr>
            <w:tcW w:w="787" w:type="dxa"/>
            <w:vAlign w:val="center"/>
          </w:tcPr>
          <w:p w14:paraId="23070855">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0CB2CC27">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and master’s supervisor</w:t>
            </w:r>
          </w:p>
        </w:tc>
        <w:tc>
          <w:tcPr>
            <w:tcW w:w="3949" w:type="dxa"/>
            <w:vAlign w:val="center"/>
          </w:tcPr>
          <w:p w14:paraId="341878A6">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Affiliated Hospital of Nanjing University of Chinese Medicine</w:t>
            </w:r>
          </w:p>
        </w:tc>
        <w:tc>
          <w:tcPr>
            <w:tcW w:w="2225" w:type="dxa"/>
            <w:shd w:val="clear" w:color="auto" w:fill="auto"/>
            <w:vAlign w:val="center"/>
          </w:tcPr>
          <w:p w14:paraId="60D58150">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33305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3ED0AD04">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Wang Youpeng</w:t>
            </w:r>
          </w:p>
        </w:tc>
        <w:tc>
          <w:tcPr>
            <w:tcW w:w="787" w:type="dxa"/>
            <w:vAlign w:val="center"/>
          </w:tcPr>
          <w:p w14:paraId="77702287">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7ADB1F81">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3949" w:type="dxa"/>
            <w:vAlign w:val="center"/>
          </w:tcPr>
          <w:p w14:paraId="2890374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Second Affiliated Hospital of Heilongjiang University of Chinese Medicine</w:t>
            </w:r>
          </w:p>
        </w:tc>
        <w:tc>
          <w:tcPr>
            <w:tcW w:w="2225" w:type="dxa"/>
            <w:shd w:val="clear" w:color="auto" w:fill="auto"/>
            <w:vAlign w:val="center"/>
          </w:tcPr>
          <w:p w14:paraId="1EA6A3E5">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5128A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3560EF7C">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Xu Weiying</w:t>
            </w:r>
          </w:p>
        </w:tc>
        <w:tc>
          <w:tcPr>
            <w:tcW w:w="787" w:type="dxa"/>
            <w:vAlign w:val="center"/>
          </w:tcPr>
          <w:p w14:paraId="7536F1B6">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69D8A11A">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and Chief Physician</w:t>
            </w:r>
          </w:p>
        </w:tc>
        <w:tc>
          <w:tcPr>
            <w:tcW w:w="3949" w:type="dxa"/>
            <w:vAlign w:val="center"/>
          </w:tcPr>
          <w:p w14:paraId="43C4333C">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Faculty of Chinese Medicine, Macau University of Science and Technology</w:t>
            </w:r>
          </w:p>
        </w:tc>
        <w:tc>
          <w:tcPr>
            <w:tcW w:w="2225" w:type="dxa"/>
            <w:shd w:val="clear" w:color="auto" w:fill="auto"/>
            <w:vAlign w:val="center"/>
          </w:tcPr>
          <w:p w14:paraId="53E89BFA">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0ED42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393A64BF">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Yang Jinghua</w:t>
            </w:r>
          </w:p>
        </w:tc>
        <w:tc>
          <w:tcPr>
            <w:tcW w:w="787" w:type="dxa"/>
            <w:vAlign w:val="center"/>
          </w:tcPr>
          <w:p w14:paraId="0CD1CE65">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7BBB3FA5">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Chief Physician and doctoral supervisor</w:t>
            </w:r>
          </w:p>
        </w:tc>
        <w:tc>
          <w:tcPr>
            <w:tcW w:w="3949" w:type="dxa"/>
            <w:vAlign w:val="center"/>
          </w:tcPr>
          <w:p w14:paraId="4950D0C2">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Second Clinical Medical College of Guangzhou University of Chinese Medicine (Guangdong Provincial Hospital of Chinese Medicine)</w:t>
            </w:r>
          </w:p>
        </w:tc>
        <w:tc>
          <w:tcPr>
            <w:tcW w:w="2225" w:type="dxa"/>
            <w:vAlign w:val="center"/>
          </w:tcPr>
          <w:p w14:paraId="105902AA">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36FD4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2B0B0815">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Zhang Jun</w:t>
            </w:r>
          </w:p>
        </w:tc>
        <w:tc>
          <w:tcPr>
            <w:tcW w:w="787" w:type="dxa"/>
            <w:vAlign w:val="center"/>
          </w:tcPr>
          <w:p w14:paraId="6CCCE752">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Master’s degree</w:t>
            </w:r>
          </w:p>
        </w:tc>
        <w:tc>
          <w:tcPr>
            <w:tcW w:w="1281" w:type="dxa"/>
            <w:vAlign w:val="center"/>
          </w:tcPr>
          <w:p w14:paraId="52D1F71F">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3949" w:type="dxa"/>
            <w:vAlign w:val="center"/>
          </w:tcPr>
          <w:p w14:paraId="6ECE9F40">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Affiliated Hospital of Liaoning University of Traditional Chinese Medicine</w:t>
            </w:r>
          </w:p>
        </w:tc>
        <w:tc>
          <w:tcPr>
            <w:tcW w:w="2225" w:type="dxa"/>
            <w:vAlign w:val="center"/>
          </w:tcPr>
          <w:p w14:paraId="1C5890F9">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19F8F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11DD5E76">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Zhang Yating</w:t>
            </w:r>
          </w:p>
        </w:tc>
        <w:tc>
          <w:tcPr>
            <w:tcW w:w="787" w:type="dxa"/>
            <w:vAlign w:val="center"/>
          </w:tcPr>
          <w:p w14:paraId="023860A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2EA82076">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Associate Chief Physician</w:t>
            </w:r>
          </w:p>
        </w:tc>
        <w:tc>
          <w:tcPr>
            <w:tcW w:w="3949" w:type="dxa"/>
            <w:vAlign w:val="center"/>
          </w:tcPr>
          <w:p w14:paraId="1B986597">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Xiamen Chang Gung Hospital</w:t>
            </w:r>
          </w:p>
        </w:tc>
        <w:tc>
          <w:tcPr>
            <w:tcW w:w="2225" w:type="dxa"/>
            <w:vAlign w:val="center"/>
          </w:tcPr>
          <w:p w14:paraId="347041D0">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13CB2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3643D922">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Qiao Mulin</w:t>
            </w:r>
          </w:p>
        </w:tc>
        <w:tc>
          <w:tcPr>
            <w:tcW w:w="787" w:type="dxa"/>
            <w:vAlign w:val="center"/>
          </w:tcPr>
          <w:p w14:paraId="56290A95">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Master’s degree</w:t>
            </w:r>
          </w:p>
        </w:tc>
        <w:tc>
          <w:tcPr>
            <w:tcW w:w="1281" w:type="dxa"/>
            <w:vAlign w:val="center"/>
          </w:tcPr>
          <w:p w14:paraId="6E405F0C">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w:t>
            </w:r>
          </w:p>
        </w:tc>
        <w:tc>
          <w:tcPr>
            <w:tcW w:w="3949" w:type="dxa"/>
            <w:vAlign w:val="center"/>
          </w:tcPr>
          <w:p w14:paraId="0EC5758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Endeavour College of Natural Health, Australia, and other institutions</w:t>
            </w:r>
          </w:p>
        </w:tc>
        <w:tc>
          <w:tcPr>
            <w:tcW w:w="2225" w:type="dxa"/>
            <w:vAlign w:val="center"/>
          </w:tcPr>
          <w:p w14:paraId="1F3EEC00">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71E10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208D3209">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Hu Siyuan</w:t>
            </w:r>
          </w:p>
        </w:tc>
        <w:tc>
          <w:tcPr>
            <w:tcW w:w="787" w:type="dxa"/>
            <w:vAlign w:val="center"/>
          </w:tcPr>
          <w:p w14:paraId="64B2590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74FEC17A">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3949" w:type="dxa"/>
            <w:vAlign w:val="center"/>
          </w:tcPr>
          <w:p w14:paraId="51A5F57E">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First Teaching Hospital of Tianjin University of Traditional Chinese Medicine</w:t>
            </w:r>
          </w:p>
        </w:tc>
        <w:tc>
          <w:tcPr>
            <w:tcW w:w="2225" w:type="dxa"/>
            <w:shd w:val="clear" w:color="auto" w:fill="auto"/>
            <w:vAlign w:val="center"/>
          </w:tcPr>
          <w:p w14:paraId="56CA5FAB">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092A5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2518B3A6">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Qin Yanhong</w:t>
            </w:r>
          </w:p>
        </w:tc>
        <w:tc>
          <w:tcPr>
            <w:tcW w:w="787" w:type="dxa"/>
            <w:vAlign w:val="center"/>
          </w:tcPr>
          <w:p w14:paraId="439C61EC">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Master’s degree</w:t>
            </w:r>
          </w:p>
        </w:tc>
        <w:tc>
          <w:tcPr>
            <w:tcW w:w="1281" w:type="dxa"/>
            <w:vAlign w:val="center"/>
          </w:tcPr>
          <w:p w14:paraId="150FE6AE">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3949" w:type="dxa"/>
            <w:vAlign w:val="center"/>
          </w:tcPr>
          <w:p w14:paraId="2C5681A5">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Affiliated Hospital of Shanxi University of Chinese Medicine</w:t>
            </w:r>
          </w:p>
        </w:tc>
        <w:tc>
          <w:tcPr>
            <w:tcW w:w="2225" w:type="dxa"/>
            <w:shd w:val="clear" w:color="auto" w:fill="auto"/>
            <w:vAlign w:val="center"/>
          </w:tcPr>
          <w:p w14:paraId="1C4D6968">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4C4B6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7C4332A1">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Li Jiangquan</w:t>
            </w:r>
          </w:p>
        </w:tc>
        <w:tc>
          <w:tcPr>
            <w:tcW w:w="787" w:type="dxa"/>
            <w:vAlign w:val="center"/>
          </w:tcPr>
          <w:p w14:paraId="77C280B2">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3D08FD11">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Chief Physician and master’s supervisor</w:t>
            </w:r>
          </w:p>
        </w:tc>
        <w:tc>
          <w:tcPr>
            <w:tcW w:w="3949" w:type="dxa"/>
            <w:vAlign w:val="center"/>
          </w:tcPr>
          <w:p w14:paraId="4822D18F">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Affiliated Hospital of Nanjing University of Chinese Medicine</w:t>
            </w:r>
          </w:p>
        </w:tc>
        <w:tc>
          <w:tcPr>
            <w:tcW w:w="2225" w:type="dxa"/>
            <w:shd w:val="clear" w:color="auto" w:fill="auto"/>
            <w:vAlign w:val="center"/>
          </w:tcPr>
          <w:p w14:paraId="50015CCB">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r w14:paraId="505AA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vAlign w:val="center"/>
          </w:tcPr>
          <w:p w14:paraId="5C11FA4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Ma Bingxiang</w:t>
            </w:r>
          </w:p>
        </w:tc>
        <w:tc>
          <w:tcPr>
            <w:tcW w:w="787" w:type="dxa"/>
            <w:vAlign w:val="center"/>
          </w:tcPr>
          <w:p w14:paraId="51A0ADE4">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281" w:type="dxa"/>
            <w:vAlign w:val="center"/>
          </w:tcPr>
          <w:p w14:paraId="115CEB5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3949" w:type="dxa"/>
            <w:vAlign w:val="center"/>
          </w:tcPr>
          <w:p w14:paraId="267B26BA">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First Affiliated Hospital of Henan University of Chinese Medicine</w:t>
            </w:r>
          </w:p>
        </w:tc>
        <w:tc>
          <w:tcPr>
            <w:tcW w:w="2225" w:type="dxa"/>
            <w:vAlign w:val="center"/>
          </w:tcPr>
          <w:p w14:paraId="2F151F7B">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Participated in the expert questionnaire survey.</w:t>
            </w:r>
          </w:p>
        </w:tc>
      </w:tr>
    </w:tbl>
    <w:p w14:paraId="519C8A38">
      <w:pPr>
        <w:widowControl/>
        <w:spacing w:line="276" w:lineRule="auto"/>
        <w:jc w:val="left"/>
        <w:rPr>
          <w:rFonts w:hint="default" w:ascii="Cambria" w:hAnsi="Cambria" w:eastAsia="仿宋" w:cs="Cambria"/>
          <w:b/>
          <w:sz w:val="21"/>
          <w:szCs w:val="21"/>
        </w:rPr>
      </w:pPr>
      <w:r>
        <w:rPr>
          <w:rFonts w:hint="default" w:ascii="Cambria" w:hAnsi="Cambria" w:eastAsia="仿宋" w:cs="Cambria"/>
          <w:b/>
          <w:sz w:val="21"/>
          <w:szCs w:val="21"/>
        </w:rPr>
        <w:t>1.3.4 Members of the expert advisory group</w:t>
      </w:r>
    </w:p>
    <w:tbl>
      <w:tblPr>
        <w:tblStyle w:val="12"/>
        <w:tblW w:w="92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703"/>
        <w:gridCol w:w="1354"/>
        <w:gridCol w:w="2994"/>
        <w:gridCol w:w="3260"/>
      </w:tblGrid>
      <w:tr w14:paraId="3E15D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1C3D54E5">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Name</w:t>
            </w:r>
          </w:p>
        </w:tc>
        <w:tc>
          <w:tcPr>
            <w:tcW w:w="703" w:type="dxa"/>
            <w:noWrap w:val="0"/>
            <w:vAlign w:val="center"/>
          </w:tcPr>
          <w:p w14:paraId="01BB8948">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Degree</w:t>
            </w:r>
          </w:p>
        </w:tc>
        <w:tc>
          <w:tcPr>
            <w:tcW w:w="1354" w:type="dxa"/>
            <w:noWrap w:val="0"/>
            <w:vAlign w:val="center"/>
          </w:tcPr>
          <w:p w14:paraId="056CD1A9">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Professional title</w:t>
            </w:r>
          </w:p>
        </w:tc>
        <w:tc>
          <w:tcPr>
            <w:tcW w:w="2994" w:type="dxa"/>
            <w:noWrap w:val="0"/>
            <w:vAlign w:val="center"/>
          </w:tcPr>
          <w:p w14:paraId="58B32661">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Institution</w:t>
            </w:r>
          </w:p>
        </w:tc>
        <w:tc>
          <w:tcPr>
            <w:tcW w:w="3260" w:type="dxa"/>
            <w:noWrap w:val="0"/>
            <w:vAlign w:val="center"/>
          </w:tcPr>
          <w:p w14:paraId="47193195">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Responsibilities</w:t>
            </w:r>
          </w:p>
        </w:tc>
      </w:tr>
      <w:tr w14:paraId="2A54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53D75668">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Ding Ying</w:t>
            </w:r>
          </w:p>
        </w:tc>
        <w:tc>
          <w:tcPr>
            <w:tcW w:w="703" w:type="dxa"/>
            <w:noWrap w:val="0"/>
            <w:vAlign w:val="center"/>
          </w:tcPr>
          <w:p w14:paraId="01153083">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Bachelor’s degree</w:t>
            </w:r>
          </w:p>
        </w:tc>
        <w:tc>
          <w:tcPr>
            <w:tcW w:w="1354" w:type="dxa"/>
            <w:noWrap w:val="0"/>
            <w:vAlign w:val="center"/>
          </w:tcPr>
          <w:p w14:paraId="4F0C92B6">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2994" w:type="dxa"/>
            <w:noWrap w:val="0"/>
            <w:vAlign w:val="center"/>
          </w:tcPr>
          <w:p w14:paraId="30E8F6AA">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Pediatric Hospital, First Affiliated Hospital of Henan University of Chinese Medicine</w:t>
            </w:r>
          </w:p>
        </w:tc>
        <w:tc>
          <w:tcPr>
            <w:tcW w:w="3260" w:type="dxa"/>
            <w:noWrap w:val="0"/>
            <w:vAlign w:val="center"/>
          </w:tcPr>
          <w:p w14:paraId="7DAEA2FB">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Provided guidance on the development of the standard and participated in the expert consultation meeting.</w:t>
            </w:r>
          </w:p>
        </w:tc>
      </w:tr>
      <w:tr w14:paraId="05330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7CF8E6F9">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Wan Lisheng</w:t>
            </w:r>
          </w:p>
        </w:tc>
        <w:tc>
          <w:tcPr>
            <w:tcW w:w="703" w:type="dxa"/>
            <w:noWrap w:val="0"/>
            <w:vAlign w:val="center"/>
          </w:tcPr>
          <w:p w14:paraId="7BE9A40B">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354" w:type="dxa"/>
            <w:noWrap w:val="0"/>
            <w:vAlign w:val="center"/>
          </w:tcPr>
          <w:p w14:paraId="44EE694E">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2994" w:type="dxa"/>
            <w:noWrap w:val="0"/>
            <w:vAlign w:val="center"/>
          </w:tcPr>
          <w:p w14:paraId="17DD5FDC">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Shenzhen Traditional Chinese Medicine Hospital</w:t>
            </w:r>
          </w:p>
        </w:tc>
        <w:tc>
          <w:tcPr>
            <w:tcW w:w="3260" w:type="dxa"/>
            <w:noWrap w:val="0"/>
            <w:vAlign w:val="center"/>
          </w:tcPr>
          <w:p w14:paraId="3B339A55">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Provided guidance on the development of the standard and participated in the expert consultation meeting.</w:t>
            </w:r>
          </w:p>
        </w:tc>
      </w:tr>
      <w:tr w14:paraId="59BC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23F473EC">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Ma Rong</w:t>
            </w:r>
          </w:p>
        </w:tc>
        <w:tc>
          <w:tcPr>
            <w:tcW w:w="703" w:type="dxa"/>
            <w:noWrap w:val="0"/>
            <w:vAlign w:val="center"/>
          </w:tcPr>
          <w:p w14:paraId="1C99117C">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354" w:type="dxa"/>
            <w:noWrap w:val="0"/>
            <w:vAlign w:val="center"/>
          </w:tcPr>
          <w:p w14:paraId="0CBE150F">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2994" w:type="dxa"/>
            <w:noWrap w:val="0"/>
            <w:vAlign w:val="center"/>
          </w:tcPr>
          <w:p w14:paraId="474A1240">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First Teaching Hospital of Tianjin University of Traditional Chinese Medicine</w:t>
            </w:r>
          </w:p>
        </w:tc>
        <w:tc>
          <w:tcPr>
            <w:tcW w:w="3260" w:type="dxa"/>
            <w:noWrap w:val="0"/>
            <w:vAlign w:val="center"/>
          </w:tcPr>
          <w:p w14:paraId="7B18E835">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Provided guidance on the development of the standard and participated in the expert consultation meeting.</w:t>
            </w:r>
          </w:p>
        </w:tc>
      </w:tr>
      <w:tr w14:paraId="4D89D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1F79003F">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Wang Youpeng</w:t>
            </w:r>
          </w:p>
        </w:tc>
        <w:tc>
          <w:tcPr>
            <w:tcW w:w="703" w:type="dxa"/>
            <w:noWrap w:val="0"/>
            <w:vAlign w:val="center"/>
          </w:tcPr>
          <w:p w14:paraId="195B34C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354" w:type="dxa"/>
            <w:noWrap w:val="0"/>
            <w:vAlign w:val="center"/>
          </w:tcPr>
          <w:p w14:paraId="02983E8C">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2994" w:type="dxa"/>
            <w:noWrap w:val="0"/>
            <w:vAlign w:val="center"/>
          </w:tcPr>
          <w:p w14:paraId="0CEF8037">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Second Affiliated Hospital of Heilongjiang University of Chinese Medicine</w:t>
            </w:r>
          </w:p>
        </w:tc>
        <w:tc>
          <w:tcPr>
            <w:tcW w:w="3260" w:type="dxa"/>
            <w:noWrap w:val="0"/>
            <w:vAlign w:val="center"/>
          </w:tcPr>
          <w:p w14:paraId="27A97753">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Provided guidance on the development of the standard and participated in the expert consultation meeting.</w:t>
            </w:r>
          </w:p>
        </w:tc>
      </w:tr>
      <w:tr w14:paraId="622B7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24B11F13">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Wang Lili</w:t>
            </w:r>
          </w:p>
        </w:tc>
        <w:tc>
          <w:tcPr>
            <w:tcW w:w="703" w:type="dxa"/>
            <w:noWrap w:val="0"/>
            <w:vAlign w:val="center"/>
          </w:tcPr>
          <w:p w14:paraId="715BC8F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Master’s degree</w:t>
            </w:r>
          </w:p>
        </w:tc>
        <w:tc>
          <w:tcPr>
            <w:tcW w:w="1354" w:type="dxa"/>
            <w:noWrap w:val="0"/>
            <w:vAlign w:val="center"/>
          </w:tcPr>
          <w:p w14:paraId="5A0B65EA">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Associate Senior Editor</w:t>
            </w:r>
          </w:p>
        </w:tc>
        <w:tc>
          <w:tcPr>
            <w:tcW w:w="2994" w:type="dxa"/>
            <w:noWrap w:val="0"/>
            <w:vAlign w:val="center"/>
          </w:tcPr>
          <w:p w14:paraId="2842A84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International Standardization Department, World Federation of Chinese Medicine Societies</w:t>
            </w:r>
          </w:p>
        </w:tc>
        <w:tc>
          <w:tcPr>
            <w:tcW w:w="3260" w:type="dxa"/>
            <w:noWrap w:val="0"/>
            <w:vAlign w:val="center"/>
          </w:tcPr>
          <w:p w14:paraId="375212C9">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Provided guidance on the development of the standard and participated in the expert consultation meeting.</w:t>
            </w:r>
          </w:p>
        </w:tc>
      </w:tr>
      <w:tr w14:paraId="0B515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4777D59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Wang Sumei</w:t>
            </w:r>
          </w:p>
        </w:tc>
        <w:tc>
          <w:tcPr>
            <w:tcW w:w="703" w:type="dxa"/>
            <w:noWrap w:val="0"/>
            <w:vAlign w:val="center"/>
          </w:tcPr>
          <w:p w14:paraId="089F8101">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Bachelor’s degree</w:t>
            </w:r>
          </w:p>
        </w:tc>
        <w:tc>
          <w:tcPr>
            <w:tcW w:w="1354" w:type="dxa"/>
            <w:noWrap w:val="0"/>
            <w:vAlign w:val="center"/>
          </w:tcPr>
          <w:p w14:paraId="2A6BC2F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2994" w:type="dxa"/>
            <w:noWrap w:val="0"/>
            <w:vAlign w:val="center"/>
          </w:tcPr>
          <w:p w14:paraId="76B260A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Dongfang Hospital, Beijing University of Chinese Medicine</w:t>
            </w:r>
          </w:p>
        </w:tc>
        <w:tc>
          <w:tcPr>
            <w:tcW w:w="3260" w:type="dxa"/>
            <w:noWrap w:val="0"/>
            <w:vAlign w:val="center"/>
          </w:tcPr>
          <w:p w14:paraId="03F44D81">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Provided guidance on the development of the standard and participated in the expert consultation meeting.</w:t>
            </w:r>
          </w:p>
        </w:tc>
      </w:tr>
      <w:tr w14:paraId="6C98C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78141E83">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Shi Zhenggang</w:t>
            </w:r>
          </w:p>
        </w:tc>
        <w:tc>
          <w:tcPr>
            <w:tcW w:w="703" w:type="dxa"/>
            <w:noWrap w:val="0"/>
            <w:vAlign w:val="center"/>
          </w:tcPr>
          <w:p w14:paraId="6B5D2C80">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354" w:type="dxa"/>
            <w:noWrap w:val="0"/>
            <w:vAlign w:val="center"/>
          </w:tcPr>
          <w:p w14:paraId="3F10BEC2">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2994" w:type="dxa"/>
            <w:noWrap w:val="0"/>
            <w:vAlign w:val="center"/>
          </w:tcPr>
          <w:p w14:paraId="0E4C564B">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Gansu University of Chinese Medicine</w:t>
            </w:r>
          </w:p>
        </w:tc>
        <w:tc>
          <w:tcPr>
            <w:tcW w:w="3260" w:type="dxa"/>
            <w:noWrap w:val="0"/>
            <w:vAlign w:val="center"/>
          </w:tcPr>
          <w:p w14:paraId="2E24EA8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Provided guidance on the development of the standard and participated in the expert consultation meeting.</w:t>
            </w:r>
          </w:p>
        </w:tc>
      </w:tr>
      <w:tr w14:paraId="0F5C8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086CCAD4">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Liu Jianzhong</w:t>
            </w:r>
          </w:p>
        </w:tc>
        <w:tc>
          <w:tcPr>
            <w:tcW w:w="703" w:type="dxa"/>
            <w:noWrap w:val="0"/>
            <w:vAlign w:val="center"/>
          </w:tcPr>
          <w:p w14:paraId="75F628F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354" w:type="dxa"/>
            <w:noWrap w:val="0"/>
            <w:vAlign w:val="center"/>
          </w:tcPr>
          <w:p w14:paraId="35E6ECF0">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2994" w:type="dxa"/>
            <w:noWrap w:val="0"/>
            <w:vAlign w:val="center"/>
          </w:tcPr>
          <w:p w14:paraId="55F5BF3E">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Hubei University of Chinese Medicine</w:t>
            </w:r>
          </w:p>
        </w:tc>
        <w:tc>
          <w:tcPr>
            <w:tcW w:w="3260" w:type="dxa"/>
            <w:noWrap w:val="0"/>
            <w:vAlign w:val="center"/>
          </w:tcPr>
          <w:p w14:paraId="5EA896C5">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Provided guidance on the development of the standard and participated in the expert consultation meeting.</w:t>
            </w:r>
          </w:p>
        </w:tc>
      </w:tr>
      <w:tr w14:paraId="2E07F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00E32CD7">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Zhang Baoqing</w:t>
            </w:r>
          </w:p>
        </w:tc>
        <w:tc>
          <w:tcPr>
            <w:tcW w:w="703" w:type="dxa"/>
            <w:noWrap w:val="0"/>
            <w:vAlign w:val="center"/>
          </w:tcPr>
          <w:p w14:paraId="69C77946">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354" w:type="dxa"/>
            <w:noWrap w:val="0"/>
            <w:vAlign w:val="center"/>
          </w:tcPr>
          <w:p w14:paraId="00E2B2F8">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2994" w:type="dxa"/>
            <w:noWrap w:val="0"/>
            <w:vAlign w:val="center"/>
          </w:tcPr>
          <w:p w14:paraId="46FBAA3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Affiliated Hospital of Shandong University of Traditional Chinese Medicine</w:t>
            </w:r>
          </w:p>
        </w:tc>
        <w:tc>
          <w:tcPr>
            <w:tcW w:w="3260" w:type="dxa"/>
            <w:noWrap w:val="0"/>
            <w:vAlign w:val="center"/>
          </w:tcPr>
          <w:p w14:paraId="0F790246">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Provided guidance on the development of the standard and participated in the expert consultation meeting.</w:t>
            </w:r>
          </w:p>
        </w:tc>
      </w:tr>
      <w:tr w14:paraId="5732B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0C9B7278">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Yu Jian</w:t>
            </w:r>
          </w:p>
        </w:tc>
        <w:tc>
          <w:tcPr>
            <w:tcW w:w="703" w:type="dxa"/>
            <w:noWrap w:val="0"/>
            <w:vAlign w:val="center"/>
          </w:tcPr>
          <w:p w14:paraId="2941EE1E">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354" w:type="dxa"/>
            <w:noWrap w:val="0"/>
            <w:vAlign w:val="center"/>
          </w:tcPr>
          <w:p w14:paraId="52E110A6">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master’s supervisor</w:t>
            </w:r>
          </w:p>
        </w:tc>
        <w:tc>
          <w:tcPr>
            <w:tcW w:w="2994" w:type="dxa"/>
            <w:noWrap w:val="0"/>
            <w:vAlign w:val="center"/>
          </w:tcPr>
          <w:p w14:paraId="0D9E8CAE">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Children’s Hospital of Fudan University</w:t>
            </w:r>
          </w:p>
        </w:tc>
        <w:tc>
          <w:tcPr>
            <w:tcW w:w="3260" w:type="dxa"/>
            <w:noWrap w:val="0"/>
            <w:vAlign w:val="center"/>
          </w:tcPr>
          <w:p w14:paraId="24D90F97">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Provided guidance on the development of the standard and participated in the expert consultation meeting.</w:t>
            </w:r>
          </w:p>
        </w:tc>
      </w:tr>
      <w:tr w14:paraId="012DC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5804926F">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Yu Jian’er</w:t>
            </w:r>
          </w:p>
        </w:tc>
        <w:tc>
          <w:tcPr>
            <w:tcW w:w="703" w:type="dxa"/>
            <w:noWrap w:val="0"/>
            <w:vAlign w:val="center"/>
          </w:tcPr>
          <w:p w14:paraId="2C154546">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Master’s degree</w:t>
            </w:r>
          </w:p>
        </w:tc>
        <w:tc>
          <w:tcPr>
            <w:tcW w:w="1354" w:type="dxa"/>
            <w:noWrap w:val="0"/>
            <w:vAlign w:val="center"/>
          </w:tcPr>
          <w:p w14:paraId="01FB3727">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Chief Physician and doctoral supervisor</w:t>
            </w:r>
          </w:p>
        </w:tc>
        <w:tc>
          <w:tcPr>
            <w:tcW w:w="2994" w:type="dxa"/>
            <w:noWrap w:val="0"/>
            <w:vAlign w:val="center"/>
          </w:tcPr>
          <w:p w14:paraId="05D666DF">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Shanghai Municipal Hospital of Traditional Chinese Medicine</w:t>
            </w:r>
          </w:p>
        </w:tc>
        <w:tc>
          <w:tcPr>
            <w:tcW w:w="3260" w:type="dxa"/>
            <w:noWrap w:val="0"/>
            <w:vAlign w:val="center"/>
          </w:tcPr>
          <w:p w14:paraId="4B99AC77">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Provided guidance on the development of the standard and participated in the expert consultation meeting.</w:t>
            </w:r>
          </w:p>
        </w:tc>
      </w:tr>
      <w:tr w14:paraId="10A3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561A9CE3">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Xiong Lei</w:t>
            </w:r>
          </w:p>
        </w:tc>
        <w:tc>
          <w:tcPr>
            <w:tcW w:w="703" w:type="dxa"/>
            <w:noWrap w:val="0"/>
            <w:vAlign w:val="center"/>
          </w:tcPr>
          <w:p w14:paraId="4A9764C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Master’s degree</w:t>
            </w:r>
          </w:p>
        </w:tc>
        <w:tc>
          <w:tcPr>
            <w:tcW w:w="1354" w:type="dxa"/>
            <w:noWrap w:val="0"/>
            <w:vAlign w:val="center"/>
          </w:tcPr>
          <w:p w14:paraId="285DE400">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Professor and doctoral supervisor</w:t>
            </w:r>
          </w:p>
        </w:tc>
        <w:tc>
          <w:tcPr>
            <w:tcW w:w="2994" w:type="dxa"/>
            <w:noWrap w:val="0"/>
            <w:vAlign w:val="center"/>
          </w:tcPr>
          <w:p w14:paraId="50566395">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First Affiliated Hospital of Yunnan University of Chinese Medicine</w:t>
            </w:r>
          </w:p>
        </w:tc>
        <w:tc>
          <w:tcPr>
            <w:tcW w:w="3260" w:type="dxa"/>
            <w:noWrap w:val="0"/>
            <w:vAlign w:val="center"/>
          </w:tcPr>
          <w:p w14:paraId="38C183F3">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Provided guidance on the development of the standard and participated in the expert consultation meeting.</w:t>
            </w:r>
          </w:p>
        </w:tc>
      </w:tr>
      <w:tr w14:paraId="315DC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7F3C3729">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Dai Qigang</w:t>
            </w:r>
          </w:p>
        </w:tc>
        <w:tc>
          <w:tcPr>
            <w:tcW w:w="703" w:type="dxa"/>
            <w:noWrap w:val="0"/>
            <w:vAlign w:val="center"/>
          </w:tcPr>
          <w:p w14:paraId="5B7A273D">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Doctoral degree</w:t>
            </w:r>
          </w:p>
        </w:tc>
        <w:tc>
          <w:tcPr>
            <w:tcW w:w="1354" w:type="dxa"/>
            <w:noWrap w:val="0"/>
            <w:vAlign w:val="center"/>
          </w:tcPr>
          <w:p w14:paraId="25021F51">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Chief Physician and master’s supervisor</w:t>
            </w:r>
          </w:p>
        </w:tc>
        <w:tc>
          <w:tcPr>
            <w:tcW w:w="2994" w:type="dxa"/>
            <w:noWrap w:val="0"/>
            <w:vAlign w:val="center"/>
          </w:tcPr>
          <w:p w14:paraId="372BC81D">
            <w:pPr>
              <w:spacing w:line="276" w:lineRule="auto"/>
              <w:jc w:val="left"/>
              <w:rPr>
                <w:rFonts w:hint="default" w:ascii="Cambria" w:hAnsi="Cambria" w:eastAsia="仿宋" w:cs="Cambria"/>
                <w:szCs w:val="21"/>
                <w:lang w:val="en-US" w:eastAsia="zh-CN"/>
              </w:rPr>
            </w:pPr>
            <w:r>
              <w:rPr>
                <w:rFonts w:hint="default" w:ascii="Cambria" w:hAnsi="Cambria" w:eastAsia="仿宋" w:cs="Cambria"/>
                <w:b w:val="0"/>
                <w:sz w:val="21"/>
                <w:szCs w:val="21"/>
                <w:lang w:val="en-US" w:eastAsia="zh-CN"/>
              </w:rPr>
              <w:t>Affiliated Hospital of Nanjing University of Chinese Medicine</w:t>
            </w:r>
          </w:p>
        </w:tc>
        <w:tc>
          <w:tcPr>
            <w:tcW w:w="3260" w:type="dxa"/>
            <w:noWrap w:val="0"/>
            <w:vAlign w:val="center"/>
          </w:tcPr>
          <w:p w14:paraId="77149AE2">
            <w:pPr>
              <w:spacing w:line="276" w:lineRule="auto"/>
              <w:jc w:val="left"/>
              <w:rPr>
                <w:rFonts w:hint="default" w:ascii="Cambria" w:hAnsi="Cambria" w:eastAsia="仿宋" w:cs="Cambria"/>
                <w:szCs w:val="21"/>
              </w:rPr>
            </w:pPr>
            <w:r>
              <w:rPr>
                <w:rFonts w:hint="default" w:ascii="Cambria" w:hAnsi="Cambria" w:eastAsia="仿宋" w:cs="Cambria"/>
                <w:b w:val="0"/>
                <w:sz w:val="21"/>
                <w:szCs w:val="21"/>
                <w:lang w:val="en-US" w:eastAsia="zh-CN"/>
              </w:rPr>
              <w:t>Provided guidance on the development of the standard and participated in the expert consultation meeting.</w:t>
            </w:r>
          </w:p>
        </w:tc>
      </w:tr>
    </w:tbl>
    <w:p w14:paraId="7AF16083">
      <w:pPr>
        <w:spacing w:line="276" w:lineRule="auto"/>
        <w:ind w:firstLine="413" w:firstLineChars="196"/>
        <w:rPr>
          <w:rFonts w:hint="default" w:ascii="Cambria" w:hAnsi="Cambria" w:eastAsia="仿宋" w:cs="Cambria"/>
          <w:b/>
          <w:bCs/>
          <w:sz w:val="21"/>
          <w:szCs w:val="21"/>
        </w:rPr>
      </w:pPr>
      <w:r>
        <w:rPr>
          <w:rFonts w:hint="default" w:ascii="Cambria" w:hAnsi="Cambria" w:eastAsia="仿宋" w:cs="Cambria"/>
          <w:b/>
          <w:bCs/>
          <w:sz w:val="21"/>
          <w:szCs w:val="21"/>
        </w:rPr>
        <w:t>1.4 Main working process</w:t>
      </w:r>
    </w:p>
    <w:p w14:paraId="4B1D6A20">
      <w:pPr>
        <w:spacing w:line="276" w:lineRule="auto"/>
        <w:ind w:firstLine="411" w:firstLineChars="196"/>
        <w:rPr>
          <w:rFonts w:hint="default" w:ascii="Cambria" w:hAnsi="Cambria" w:eastAsia="仿宋" w:cs="Cambria"/>
          <w:sz w:val="21"/>
          <w:szCs w:val="21"/>
        </w:rPr>
      </w:pPr>
      <w:r>
        <w:rPr>
          <w:rFonts w:hint="default" w:ascii="Cambria" w:hAnsi="Cambria" w:eastAsia="仿宋" w:cs="Cambria"/>
          <w:sz w:val="21"/>
          <w:szCs w:val="21"/>
        </w:rPr>
        <w:t>The formulation process strictly followed the requirements of WFCMS SCM 1.1-2021 “Directives for Standardization — Part 1: Development, Revision and Publication of Standards”, ensuring the scientific nature, standardization and international adaptability of the conversion work. The main stages were as follows.</w:t>
      </w:r>
    </w:p>
    <w:p w14:paraId="1340EA18">
      <w:pPr>
        <w:spacing w:line="276" w:lineRule="auto"/>
        <w:ind w:firstLine="411" w:firstLineChars="196"/>
        <w:rPr>
          <w:rFonts w:hint="default" w:ascii="Cambria" w:hAnsi="Cambria" w:eastAsia="仿宋" w:cs="Cambria"/>
          <w:sz w:val="21"/>
          <w:szCs w:val="21"/>
        </w:rPr>
      </w:pPr>
      <w:r>
        <w:rPr>
          <w:rFonts w:hint="default" w:ascii="Cambria" w:hAnsi="Cambria" w:eastAsia="仿宋" w:cs="Cambria"/>
          <w:sz w:val="21"/>
          <w:szCs w:val="21"/>
        </w:rPr>
        <w:t>Preparatory stage (April–September 2025)</w:t>
      </w:r>
    </w:p>
    <w:p w14:paraId="367AC779">
      <w:pPr>
        <w:spacing w:line="276" w:lineRule="auto"/>
        <w:ind w:firstLine="411" w:firstLineChars="196"/>
        <w:rPr>
          <w:rFonts w:hint="default" w:ascii="Cambria" w:hAnsi="Cambria" w:eastAsia="仿宋" w:cs="Cambria"/>
          <w:sz w:val="21"/>
          <w:szCs w:val="21"/>
        </w:rPr>
      </w:pPr>
      <w:r>
        <w:rPr>
          <w:rFonts w:hint="default" w:ascii="Cambria" w:hAnsi="Cambria" w:eastAsia="仿宋" w:cs="Cambria"/>
          <w:sz w:val="21"/>
          <w:szCs w:val="21"/>
        </w:rPr>
        <w:t>In April 2025, the project team was formed, with Professor Wang Shouchuan as the responsible expert. According to WFCMS requirements, the project application and draft were prepared and submitted in May. WFCMS accepted the project application and draft, invited experts to review them, and returned expert comments in August. The project team discussed the comments, responded to them, and explained the reasons for comments not accepted. In September, WFCMS issued the project approval notice. Formal conversion work began in late September.</w:t>
      </w:r>
    </w:p>
    <w:p w14:paraId="38100E40">
      <w:pPr>
        <w:spacing w:line="276" w:lineRule="auto"/>
        <w:ind w:firstLine="411" w:firstLineChars="196"/>
        <w:rPr>
          <w:rFonts w:hint="default" w:ascii="Cambria" w:hAnsi="Cambria" w:eastAsia="仿宋" w:cs="Cambria"/>
          <w:sz w:val="21"/>
          <w:szCs w:val="21"/>
        </w:rPr>
      </w:pPr>
      <w:r>
        <w:rPr>
          <w:rFonts w:hint="default" w:ascii="Cambria" w:hAnsi="Cambria" w:eastAsia="仿宋" w:cs="Cambria"/>
          <w:sz w:val="21"/>
          <w:szCs w:val="21"/>
        </w:rPr>
        <w:t>Literature research (September–October 2025)</w:t>
      </w:r>
    </w:p>
    <w:p w14:paraId="4B813152">
      <w:pPr>
        <w:spacing w:line="276" w:lineRule="auto"/>
        <w:ind w:firstLine="411" w:firstLineChars="196"/>
        <w:rPr>
          <w:rFonts w:hint="default" w:ascii="Cambria" w:hAnsi="Cambria" w:eastAsia="仿宋" w:cs="Cambria"/>
          <w:sz w:val="21"/>
          <w:szCs w:val="21"/>
        </w:rPr>
      </w:pPr>
      <w:r>
        <w:rPr>
          <w:rFonts w:hint="default" w:ascii="Cambria" w:hAnsi="Cambria" w:eastAsia="仿宋" w:cs="Cambria"/>
          <w:sz w:val="21"/>
          <w:szCs w:val="21"/>
        </w:rPr>
        <w:t>Relevant standards, guidelines and research literature were systematically searched. Sources included international standards issued by WHO and ISO/TC 249, the Pharmacopoeia of the People’s Republic of China (2025 Edition), group standards issued by WFCMS and the China Association of Chinese Medicine, and pediatric treatment literature indexed in PubMed and CNKI. Search terms included Acupuncture, Moxibustion, Three-edge/Three-edged needle, Bloodletting Therapy, Acupoint, Meridian, Pediatric, Child, Infant, Newborn, Adolescent, and corresponding Chinese terms such as acupuncture, moxibustion, three-edge needle and bloodletting.</w:t>
      </w:r>
    </w:p>
    <w:p w14:paraId="65DCD758">
      <w:pPr>
        <w:spacing w:line="276" w:lineRule="auto"/>
        <w:ind w:firstLine="411" w:firstLineChars="196"/>
        <w:rPr>
          <w:rFonts w:hint="default" w:ascii="Cambria" w:hAnsi="Cambria" w:eastAsia="仿宋" w:cs="Cambria"/>
          <w:sz w:val="21"/>
          <w:szCs w:val="21"/>
        </w:rPr>
      </w:pPr>
      <w:r>
        <w:rPr>
          <w:rFonts w:hint="default" w:ascii="Cambria" w:hAnsi="Cambria" w:eastAsia="仿宋" w:cs="Cambria"/>
          <w:sz w:val="21"/>
          <w:szCs w:val="21"/>
        </w:rPr>
        <w:t>Expert questionnaire survey (October–November 2025)</w:t>
      </w:r>
    </w:p>
    <w:p w14:paraId="2C216B0A">
      <w:pPr>
        <w:spacing w:line="276" w:lineRule="auto"/>
        <w:ind w:firstLine="411" w:firstLineChars="196"/>
        <w:rPr>
          <w:rFonts w:hint="default" w:ascii="Cambria" w:hAnsi="Cambria" w:eastAsia="仿宋" w:cs="Cambria"/>
          <w:sz w:val="21"/>
          <w:szCs w:val="21"/>
        </w:rPr>
      </w:pPr>
      <w:r>
        <w:rPr>
          <w:rFonts w:hint="default" w:ascii="Cambria" w:hAnsi="Cambria" w:eastAsia="仿宋" w:cs="Cambria"/>
          <w:sz w:val="21"/>
          <w:szCs w:val="21"/>
        </w:rPr>
        <w:t xml:space="preserve">Based on the original national standard and literature evidence, an expert questionnaire was prepared for items that differed considerably from the original standard, such as terminology, operating procedures and contraindications. The questionnaire covered 54 core items, including terms and definitions, operating procedures, precautions and contraindications. Thirty-four questionnaires were distributed to experts from mainland China, Macao, Taiwan, Singapore, Malaysia, Australia, Viet Nam and Canada, and all 34 responses were returned. The expert response rate was 100%. Statistical analysis showed that 50 items gained support from more than 50% of experts and formed consensus, while disputed items and open-ended issues were submitted to the </w:t>
      </w:r>
      <w:r>
        <w:rPr>
          <w:rFonts w:hint="default" w:ascii="Cambria" w:hAnsi="Cambria" w:eastAsia="仿宋" w:cs="Cambria"/>
          <w:sz w:val="21"/>
          <w:szCs w:val="21"/>
          <w:lang w:eastAsia="zh-CN"/>
        </w:rPr>
        <w:t>expert consultation meeting</w:t>
      </w:r>
      <w:r>
        <w:rPr>
          <w:rFonts w:hint="default" w:ascii="Cambria" w:hAnsi="Cambria" w:eastAsia="仿宋" w:cs="Cambria"/>
          <w:sz w:val="21"/>
          <w:szCs w:val="21"/>
        </w:rPr>
        <w:t xml:space="preserve"> for focused discussion.</w:t>
      </w:r>
    </w:p>
    <w:p w14:paraId="67EAE1F2">
      <w:pPr>
        <w:spacing w:line="276" w:lineRule="auto"/>
        <w:ind w:firstLine="411" w:firstLineChars="196"/>
        <w:rPr>
          <w:rFonts w:hint="default" w:ascii="Cambria" w:hAnsi="Cambria" w:eastAsia="仿宋" w:cs="Cambria"/>
          <w:sz w:val="21"/>
          <w:szCs w:val="21"/>
        </w:rPr>
      </w:pPr>
      <w:r>
        <w:rPr>
          <w:rFonts w:hint="default" w:ascii="Cambria" w:hAnsi="Cambria" w:eastAsia="仿宋" w:cs="Cambria"/>
          <w:sz w:val="21"/>
          <w:szCs w:val="21"/>
          <w:lang w:eastAsia="zh-CN"/>
        </w:rPr>
        <w:t>expert consultation meeting</w:t>
      </w:r>
      <w:r>
        <w:rPr>
          <w:rFonts w:hint="default" w:ascii="Cambria" w:hAnsi="Cambria" w:eastAsia="仿宋" w:cs="Cambria"/>
          <w:sz w:val="21"/>
          <w:szCs w:val="21"/>
        </w:rPr>
        <w:t xml:space="preserve"> (3 December 2025)</w:t>
      </w:r>
    </w:p>
    <w:p w14:paraId="0F3CBE5E">
      <w:pPr>
        <w:spacing w:line="276" w:lineRule="auto"/>
        <w:ind w:firstLine="411" w:firstLineChars="196"/>
        <w:rPr>
          <w:rFonts w:hint="default" w:ascii="Cambria" w:hAnsi="Cambria" w:eastAsia="仿宋" w:cs="Cambria"/>
          <w:sz w:val="21"/>
          <w:szCs w:val="21"/>
        </w:rPr>
      </w:pPr>
      <w:r>
        <w:rPr>
          <w:rFonts w:hint="default" w:ascii="Cambria" w:hAnsi="Cambria" w:eastAsia="仿宋" w:cs="Cambria"/>
          <w:sz w:val="21"/>
          <w:szCs w:val="21"/>
        </w:rPr>
        <w:t xml:space="preserve">An </w:t>
      </w:r>
      <w:r>
        <w:rPr>
          <w:rFonts w:hint="default" w:ascii="Cambria" w:hAnsi="Cambria" w:eastAsia="仿宋" w:cs="Cambria"/>
          <w:sz w:val="21"/>
          <w:szCs w:val="21"/>
          <w:lang w:eastAsia="zh-CN"/>
        </w:rPr>
        <w:t>expert consultation meeting</w:t>
      </w:r>
      <w:r>
        <w:rPr>
          <w:rFonts w:hint="default" w:ascii="Cambria" w:hAnsi="Cambria" w:eastAsia="仿宋" w:cs="Cambria"/>
          <w:sz w:val="21"/>
          <w:szCs w:val="21"/>
        </w:rPr>
        <w:t xml:space="preserve"> combining online and offline participation was held to report the project progress and discuss items that had not reached consensus in the questionnaire. The meeting adopted a model of “pre-meeting written review, in-meeting demonstration and post-meeting written confirmation”. Disputed items, preliminary opinions of the project team, and open issues such as local regulatory restrictions, protection of special populations and internationalization of terms were examined.</w:t>
      </w:r>
    </w:p>
    <w:p w14:paraId="3ABFB92B">
      <w:pPr>
        <w:spacing w:line="276" w:lineRule="auto"/>
        <w:ind w:firstLine="411" w:firstLineChars="196"/>
        <w:rPr>
          <w:rFonts w:hint="default" w:ascii="Cambria" w:hAnsi="Cambria" w:eastAsia="仿宋" w:cs="Cambria"/>
          <w:sz w:val="21"/>
          <w:szCs w:val="21"/>
        </w:rPr>
      </w:pPr>
      <w:r>
        <w:rPr>
          <w:rFonts w:hint="default" w:ascii="Cambria" w:hAnsi="Cambria" w:eastAsia="仿宋" w:cs="Cambria"/>
          <w:sz w:val="21"/>
          <w:szCs w:val="21"/>
        </w:rPr>
        <w:t>Joint coordination meeting of five project groups (13 December 2025)</w:t>
      </w:r>
    </w:p>
    <w:p w14:paraId="4A862435">
      <w:pPr>
        <w:spacing w:line="276" w:lineRule="auto"/>
        <w:ind w:firstLine="411" w:firstLineChars="196"/>
        <w:rPr>
          <w:rFonts w:hint="default" w:ascii="Cambria" w:hAnsi="Cambria" w:eastAsia="仿宋" w:cs="Cambria"/>
          <w:sz w:val="21"/>
          <w:szCs w:val="21"/>
        </w:rPr>
      </w:pPr>
      <w:r>
        <w:rPr>
          <w:rFonts w:hint="default" w:ascii="Cambria" w:hAnsi="Cambria" w:eastAsia="仿宋" w:cs="Cambria"/>
          <w:sz w:val="21"/>
          <w:szCs w:val="21"/>
        </w:rPr>
        <w:t>Members of the five pediatric conversion projects — pediatric internal administration of medicinals, commonly used external therapies, acupuncture and moxibustion, Tuina, and cupping — jointly reviewed previous work, summarized opinions from questionnaire experts and demonstration experts, unified common terms across standards, discussed disputed items, and confirmed the next steps and submission timeline.</w:t>
      </w:r>
    </w:p>
    <w:p w14:paraId="7623D83A">
      <w:pPr>
        <w:spacing w:line="276" w:lineRule="auto"/>
        <w:ind w:firstLine="411" w:firstLineChars="196"/>
        <w:rPr>
          <w:rFonts w:hint="default" w:ascii="Cambria" w:hAnsi="Cambria" w:eastAsia="仿宋" w:cs="Cambria"/>
          <w:sz w:val="21"/>
          <w:szCs w:val="21"/>
        </w:rPr>
      </w:pPr>
      <w:r>
        <w:rPr>
          <w:rFonts w:hint="default" w:ascii="Cambria" w:hAnsi="Cambria" w:eastAsia="仿宋" w:cs="Cambria"/>
          <w:sz w:val="21"/>
          <w:szCs w:val="21"/>
        </w:rPr>
        <w:t>Revision and improvement (13–22 December 2025)</w:t>
      </w:r>
    </w:p>
    <w:p w14:paraId="339A7CDC">
      <w:pPr>
        <w:spacing w:line="276" w:lineRule="auto"/>
        <w:ind w:firstLine="411" w:firstLineChars="196"/>
        <w:rPr>
          <w:rFonts w:hint="default" w:ascii="Cambria" w:hAnsi="Cambria" w:eastAsia="仿宋" w:cs="Cambria"/>
          <w:sz w:val="21"/>
          <w:szCs w:val="21"/>
        </w:rPr>
      </w:pPr>
      <w:r>
        <w:rPr>
          <w:rFonts w:hint="default" w:ascii="Cambria" w:hAnsi="Cambria" w:eastAsia="仿宋" w:cs="Cambria"/>
          <w:sz w:val="21"/>
          <w:szCs w:val="21"/>
        </w:rPr>
        <w:t xml:space="preserve">Based on literature research, questionnaire results, the </w:t>
      </w:r>
      <w:r>
        <w:rPr>
          <w:rFonts w:hint="default" w:ascii="Cambria" w:hAnsi="Cambria" w:eastAsia="仿宋" w:cs="Cambria"/>
          <w:sz w:val="21"/>
          <w:szCs w:val="21"/>
          <w:lang w:eastAsia="zh-CN"/>
        </w:rPr>
        <w:t>expert consultation meeting</w:t>
      </w:r>
      <w:r>
        <w:rPr>
          <w:rFonts w:hint="default" w:ascii="Cambria" w:hAnsi="Cambria" w:eastAsia="仿宋" w:cs="Cambria"/>
          <w:sz w:val="21"/>
          <w:szCs w:val="21"/>
        </w:rPr>
        <w:t xml:space="preserve">, the </w:t>
      </w:r>
      <w:r>
        <w:rPr>
          <w:rFonts w:hint="default" w:ascii="Cambria" w:hAnsi="Cambria" w:eastAsia="仿宋" w:cs="Cambria"/>
          <w:sz w:val="21"/>
          <w:szCs w:val="21"/>
          <w:lang w:eastAsia="zh-CN"/>
        </w:rPr>
        <w:t>expert advisory group</w:t>
      </w:r>
      <w:r>
        <w:rPr>
          <w:rFonts w:hint="default" w:ascii="Cambria" w:hAnsi="Cambria" w:eastAsia="仿宋" w:cs="Cambria"/>
          <w:sz w:val="21"/>
          <w:szCs w:val="21"/>
        </w:rPr>
        <w:t xml:space="preserve"> and project group meetings, the working group revised the draft item by item and formed a revision comparison table.</w:t>
      </w:r>
    </w:p>
    <w:p w14:paraId="0BB43653">
      <w:pPr>
        <w:spacing w:line="276" w:lineRule="auto"/>
        <w:ind w:firstLine="411" w:firstLineChars="196"/>
        <w:rPr>
          <w:rFonts w:hint="default" w:ascii="Cambria" w:hAnsi="Cambria" w:eastAsia="仿宋" w:cs="Cambria"/>
          <w:sz w:val="21"/>
          <w:szCs w:val="21"/>
        </w:rPr>
      </w:pPr>
      <w:r>
        <w:rPr>
          <w:rFonts w:hint="default" w:ascii="Cambria" w:hAnsi="Cambria" w:eastAsia="仿宋" w:cs="Cambria"/>
          <w:sz w:val="21"/>
          <w:szCs w:val="21"/>
        </w:rPr>
        <w:t>Preparation and submission of formulation explanations (22–31 December 2025)</w:t>
      </w:r>
    </w:p>
    <w:p w14:paraId="43ED3166">
      <w:pPr>
        <w:spacing w:line="276" w:lineRule="auto"/>
        <w:ind w:firstLine="411" w:firstLineChars="196"/>
        <w:rPr>
          <w:rFonts w:hint="default" w:ascii="Cambria" w:hAnsi="Cambria" w:eastAsia="仿宋" w:cs="Cambria"/>
          <w:sz w:val="21"/>
          <w:szCs w:val="21"/>
        </w:rPr>
      </w:pPr>
      <w:r>
        <w:rPr>
          <w:rFonts w:hint="default" w:ascii="Cambria" w:hAnsi="Cambria" w:eastAsia="仿宋" w:cs="Cambria"/>
          <w:sz w:val="21"/>
          <w:szCs w:val="21"/>
        </w:rPr>
        <w:t>The draft standard and formulation explanations for “International Standardized Manipulations of Chinese Medicine Pediatrics — Part 3: Acupuncture and Moxibustion” were completed and submitted to the WFCMS International Standardization Department for review.</w:t>
      </w:r>
    </w:p>
    <w:p w14:paraId="1AB05BD9">
      <w:pPr>
        <w:spacing w:before="312" w:beforeLines="100" w:line="276" w:lineRule="auto"/>
        <w:rPr>
          <w:rFonts w:hint="default" w:ascii="Cambria" w:hAnsi="Cambria" w:eastAsia="仿宋" w:cs="Cambria"/>
          <w:sz w:val="24"/>
          <w:szCs w:val="24"/>
        </w:rPr>
      </w:pPr>
      <w:r>
        <w:rPr>
          <w:rFonts w:hint="default" w:ascii="Cambria" w:hAnsi="Cambria" w:eastAsia="仿宋" w:cs="Cambria"/>
          <w:sz w:val="24"/>
          <w:szCs w:val="24"/>
        </w:rPr>
        <w:t xml:space="preserve"> The development process of this standard revision is shown as follows:</w:t>
      </w:r>
    </w:p>
    <w:p w14:paraId="12004F1A">
      <w:pPr>
        <w:spacing w:before="312" w:beforeLines="100" w:line="276" w:lineRule="auto"/>
        <w:rPr>
          <w:rFonts w:hint="default" w:ascii="Cambria" w:hAnsi="Cambria" w:eastAsia="仿宋" w:cs="Cambria"/>
          <w:sz w:val="24"/>
          <w:szCs w:val="24"/>
        </w:rPr>
      </w:pPr>
      <w:r>
        <w:rPr>
          <w:rFonts w:hint="default" w:ascii="Cambria" w:hAnsi="Cambria" w:eastAsia="仿宋" w:cs="Cambria"/>
          <w:sz w:val="24"/>
          <w:szCs w:val="24"/>
        </w:rPr>
        <w:drawing>
          <wp:inline distT="0" distB="0" distL="114300" distR="114300">
            <wp:extent cx="5312410" cy="7305040"/>
            <wp:effectExtent l="0" t="0" r="8890" b="10160"/>
            <wp:docPr id="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1"/>
                    <pic:cNvPicPr>
                      <a:picLocks noChangeAspect="1"/>
                    </pic:cNvPicPr>
                  </pic:nvPicPr>
                  <pic:blipFill>
                    <a:blip r:embed="rId72"/>
                    <a:stretch>
                      <a:fillRect/>
                    </a:stretch>
                  </pic:blipFill>
                  <pic:spPr>
                    <a:xfrm>
                      <a:off x="0" y="0"/>
                      <a:ext cx="5312410" cy="7305040"/>
                    </a:xfrm>
                    <a:prstGeom prst="rect">
                      <a:avLst/>
                    </a:prstGeom>
                  </pic:spPr>
                </pic:pic>
              </a:graphicData>
            </a:graphic>
          </wp:inline>
        </w:drawing>
      </w:r>
    </w:p>
    <w:p w14:paraId="326841F5">
      <w:pPr>
        <w:pStyle w:val="2"/>
        <w:spacing w:before="312" w:beforeLines="100" w:after="312" w:afterLines="100" w:line="276" w:lineRule="auto"/>
        <w:ind w:firstLineChars="0"/>
        <w:rPr>
          <w:rFonts w:hint="default" w:ascii="Cambria" w:hAnsi="Cambria" w:eastAsia="黑体" w:cs="Cambria"/>
          <w:b/>
          <w:bCs/>
          <w:color w:val="auto"/>
          <w:sz w:val="24"/>
          <w:szCs w:val="24"/>
        </w:rPr>
      </w:pPr>
      <w:bookmarkStart w:id="29" w:name="_Toc31937"/>
      <w:r>
        <w:rPr>
          <w:rFonts w:hint="default" w:ascii="Cambria" w:hAnsi="Cambria" w:eastAsia="黑体" w:cs="Cambria"/>
          <w:b/>
          <w:bCs/>
          <w:color w:val="auto"/>
          <w:sz w:val="24"/>
          <w:szCs w:val="24"/>
          <w:lang w:eastAsia="zh-CN"/>
        </w:rPr>
        <w:t>I</w:t>
      </w:r>
      <w:r>
        <w:rPr>
          <w:rFonts w:hint="default" w:ascii="Cambria" w:hAnsi="Cambria" w:eastAsia="黑体" w:cs="Cambria"/>
          <w:b/>
          <w:bCs/>
          <w:color w:val="auto"/>
          <w:sz w:val="24"/>
          <w:szCs w:val="24"/>
          <w:lang w:val="en-US" w:eastAsia="zh-CN"/>
        </w:rPr>
        <w:t>I</w:t>
      </w:r>
      <w:r>
        <w:rPr>
          <w:rFonts w:hint="default" w:ascii="Cambria" w:hAnsi="Cambria" w:eastAsia="黑体" w:cs="Cambria"/>
          <w:b/>
          <w:bCs/>
          <w:color w:val="auto"/>
          <w:sz w:val="24"/>
          <w:szCs w:val="24"/>
        </w:rPr>
        <w:t xml:space="preserve"> Principles for standard formulation and basis for determining the main contents</w:t>
      </w:r>
      <w:bookmarkEnd w:id="29"/>
    </w:p>
    <w:p w14:paraId="2B87E32E">
      <w:pPr>
        <w:spacing w:line="276" w:lineRule="auto"/>
        <w:rPr>
          <w:rFonts w:hint="default" w:ascii="Cambria" w:hAnsi="Cambria" w:eastAsia="仿宋" w:cs="Cambria"/>
          <w:b/>
          <w:bCs/>
          <w:sz w:val="21"/>
          <w:szCs w:val="21"/>
        </w:rPr>
      </w:pPr>
      <w:r>
        <w:rPr>
          <w:rFonts w:hint="default" w:ascii="Cambria" w:hAnsi="Cambria" w:eastAsia="仿宋" w:cs="Cambria"/>
          <w:b/>
          <w:bCs/>
          <w:sz w:val="21"/>
          <w:szCs w:val="21"/>
        </w:rPr>
        <w:t>2.1 Principles for standard formulation</w:t>
      </w:r>
    </w:p>
    <w:p w14:paraId="7FDD9EF1">
      <w:pPr>
        <w:spacing w:line="276" w:lineRule="auto"/>
        <w:ind w:firstLine="420" w:firstLineChars="200"/>
        <w:rPr>
          <w:rFonts w:hint="default" w:ascii="Cambria" w:hAnsi="Cambria" w:eastAsia="仿宋" w:cs="Cambria"/>
          <w:bCs/>
          <w:sz w:val="21"/>
          <w:szCs w:val="21"/>
        </w:rPr>
      </w:pPr>
      <w:r>
        <w:rPr>
          <w:rFonts w:hint="default" w:ascii="Cambria" w:hAnsi="Cambria" w:eastAsia="仿宋" w:cs="Cambria"/>
          <w:bCs/>
          <w:sz w:val="21"/>
          <w:szCs w:val="21"/>
        </w:rPr>
        <w:t>The standard was formulated in accordance with four principles: scientific rigor, practicality, normative consistency and international adaptability. The aim is to make the standard useful for pediatric TCM practitioners worldwide, widely acceptable to the international community, and aligned with international norms for medical techniques.</w:t>
      </w:r>
    </w:p>
    <w:p w14:paraId="0914C70C">
      <w:pPr>
        <w:spacing w:line="276" w:lineRule="auto"/>
        <w:ind w:firstLine="422" w:firstLineChars="200"/>
        <w:rPr>
          <w:rFonts w:hint="default" w:ascii="Cambria" w:hAnsi="Cambria" w:eastAsia="仿宋" w:cs="Cambria"/>
          <w:b/>
          <w:bCs w:val="0"/>
          <w:sz w:val="21"/>
          <w:szCs w:val="21"/>
        </w:rPr>
      </w:pPr>
      <w:r>
        <w:rPr>
          <w:rFonts w:hint="default" w:ascii="Cambria" w:hAnsi="Cambria" w:eastAsia="仿宋" w:cs="Cambria"/>
          <w:b/>
          <w:bCs w:val="0"/>
          <w:sz w:val="21"/>
          <w:szCs w:val="21"/>
        </w:rPr>
        <w:t>2.1.1 Scientific rigor</w:t>
      </w:r>
    </w:p>
    <w:p w14:paraId="457E3739">
      <w:pPr>
        <w:spacing w:line="276" w:lineRule="auto"/>
        <w:ind w:firstLine="420" w:firstLineChars="200"/>
        <w:rPr>
          <w:rFonts w:hint="default" w:ascii="Cambria" w:hAnsi="Cambria" w:eastAsia="仿宋" w:cs="Cambria"/>
          <w:bCs/>
          <w:sz w:val="21"/>
          <w:szCs w:val="21"/>
        </w:rPr>
      </w:pPr>
      <w:r>
        <w:rPr>
          <w:rFonts w:hint="default" w:ascii="Cambria" w:hAnsi="Cambria" w:eastAsia="仿宋" w:cs="Cambria"/>
          <w:bCs/>
          <w:sz w:val="21"/>
          <w:szCs w:val="21"/>
        </w:rPr>
        <w:t>The standard was developed through systematic literature research and broad retrieval and integration of authoritative standards, guidelines and clinical evidence, including WHO and ISO standards and guidelines. The consensus opinions from a 34-expert questionnaire survey and a 13-</w:t>
      </w:r>
      <w:r>
        <w:rPr>
          <w:rFonts w:hint="default" w:ascii="Cambria" w:hAnsi="Cambria" w:eastAsia="仿宋" w:cs="Cambria"/>
          <w:bCs/>
          <w:sz w:val="21"/>
          <w:szCs w:val="21"/>
          <w:lang w:eastAsia="zh-CN"/>
        </w:rPr>
        <w:t>expert consultation meeting</w:t>
      </w:r>
      <w:r>
        <w:rPr>
          <w:rFonts w:hint="default" w:ascii="Cambria" w:hAnsi="Cambria" w:eastAsia="仿宋" w:cs="Cambria"/>
          <w:bCs/>
          <w:sz w:val="21"/>
          <w:szCs w:val="21"/>
        </w:rPr>
        <w:t xml:space="preserve"> were also incorporated. These processes ensured that technical items such as terms, operating procedures and contraindications were supported by reliable evidence, reduced subjective bias, and promoted the objectivity and verifiability of the standard. Experts in TCM pediatrics, integrated Chinese and Western pediatrics, Western pediatrics and standardization were invited to the demonstration meeting, which strengthened the scientific rigor of the technical content.</w:t>
      </w:r>
    </w:p>
    <w:p w14:paraId="6A8D61FE">
      <w:pPr>
        <w:spacing w:line="276" w:lineRule="auto"/>
        <w:ind w:firstLine="422" w:firstLineChars="200"/>
        <w:rPr>
          <w:rFonts w:hint="default" w:ascii="Cambria" w:hAnsi="Cambria" w:eastAsia="仿宋" w:cs="Cambria"/>
          <w:b/>
          <w:bCs w:val="0"/>
          <w:sz w:val="21"/>
          <w:szCs w:val="21"/>
        </w:rPr>
      </w:pPr>
      <w:r>
        <w:rPr>
          <w:rFonts w:hint="default" w:ascii="Cambria" w:hAnsi="Cambria" w:eastAsia="仿宋" w:cs="Cambria"/>
          <w:b/>
          <w:bCs w:val="0"/>
          <w:sz w:val="21"/>
          <w:szCs w:val="21"/>
        </w:rPr>
        <w:t>2.1.2 Practicality</w:t>
      </w:r>
    </w:p>
    <w:p w14:paraId="04BAE0BC">
      <w:pPr>
        <w:spacing w:line="276" w:lineRule="auto"/>
        <w:ind w:firstLine="420" w:firstLineChars="200"/>
        <w:rPr>
          <w:rFonts w:hint="default" w:ascii="Cambria" w:hAnsi="Cambria" w:eastAsia="仿宋" w:cs="Cambria"/>
          <w:bCs/>
          <w:sz w:val="21"/>
          <w:szCs w:val="21"/>
        </w:rPr>
      </w:pPr>
      <w:r>
        <w:rPr>
          <w:rFonts w:hint="default" w:ascii="Cambria" w:hAnsi="Cambria" w:eastAsia="仿宋" w:cs="Cambria"/>
          <w:bCs/>
          <w:sz w:val="21"/>
          <w:szCs w:val="21"/>
        </w:rPr>
        <w:t>The standard is intended to regulate pediatric acupuncture and moxibustion operations in TCM practice worldwide and to serve pediatric clinical practice directly. It optimizes operational details according to actual clinical needs in TCM pediatrics, such as needle selection, the treatment course for Si Feng (EX-UE 10) pricking therapy, and post-procedural precautions. Based on the framework of the original national standard GB/Z 40893.3-2021 and combined with literature research and expert consensus, the standard is designed to be operationally feasible and applicable to TCM clinical services, teaching and research, thereby improving clinical compliance and supporting treatment quality.</w:t>
      </w:r>
    </w:p>
    <w:p w14:paraId="34F61148">
      <w:pPr>
        <w:spacing w:line="276" w:lineRule="auto"/>
        <w:ind w:firstLine="422" w:firstLineChars="200"/>
        <w:rPr>
          <w:rFonts w:hint="default" w:ascii="Cambria" w:hAnsi="Cambria" w:eastAsia="仿宋" w:cs="Cambria"/>
          <w:b/>
          <w:bCs w:val="0"/>
          <w:sz w:val="21"/>
          <w:szCs w:val="21"/>
        </w:rPr>
      </w:pPr>
      <w:r>
        <w:rPr>
          <w:rFonts w:hint="default" w:ascii="Cambria" w:hAnsi="Cambria" w:eastAsia="仿宋" w:cs="Cambria"/>
          <w:b/>
          <w:bCs w:val="0"/>
          <w:sz w:val="21"/>
          <w:szCs w:val="21"/>
        </w:rPr>
        <w:t>2.1.3 Normative consistency</w:t>
      </w:r>
    </w:p>
    <w:p w14:paraId="039BBB87">
      <w:pPr>
        <w:spacing w:line="276" w:lineRule="auto"/>
        <w:ind w:firstLine="420" w:firstLineChars="200"/>
        <w:rPr>
          <w:rFonts w:hint="default" w:ascii="Cambria" w:hAnsi="Cambria" w:eastAsia="仿宋" w:cs="Cambria"/>
          <w:bCs/>
          <w:sz w:val="21"/>
          <w:szCs w:val="21"/>
        </w:rPr>
      </w:pPr>
      <w:r>
        <w:rPr>
          <w:rFonts w:hint="default" w:ascii="Cambria" w:hAnsi="Cambria" w:eastAsia="仿宋" w:cs="Cambria"/>
          <w:bCs/>
          <w:sz w:val="21"/>
          <w:szCs w:val="21"/>
        </w:rPr>
        <w:t>The formulation strictly followed WFCMS SCM 1.1-2021, including literature research, expert surveys, demonstration meetings and internal coordination meetings. Terms and definitions were unified and operating procedures standardized, so that the standard text would have a clear structure and strong internal consistency, facilitating international organizational review and global application.</w:t>
      </w:r>
    </w:p>
    <w:p w14:paraId="133EF650">
      <w:pPr>
        <w:spacing w:line="276" w:lineRule="auto"/>
        <w:ind w:firstLine="422" w:firstLineChars="200"/>
        <w:rPr>
          <w:rFonts w:hint="default" w:ascii="Cambria" w:hAnsi="Cambria" w:eastAsia="仿宋" w:cs="Cambria"/>
          <w:b/>
          <w:bCs w:val="0"/>
          <w:sz w:val="21"/>
          <w:szCs w:val="21"/>
        </w:rPr>
      </w:pPr>
      <w:r>
        <w:rPr>
          <w:rFonts w:hint="default" w:ascii="Cambria" w:hAnsi="Cambria" w:eastAsia="仿宋" w:cs="Cambria"/>
          <w:b/>
          <w:bCs w:val="0"/>
          <w:sz w:val="21"/>
          <w:szCs w:val="21"/>
        </w:rPr>
        <w:t>2.1.4 International adaptability</w:t>
      </w:r>
    </w:p>
    <w:p w14:paraId="4C83EB3A">
      <w:pPr>
        <w:spacing w:line="276" w:lineRule="auto"/>
        <w:ind w:firstLine="420" w:firstLineChars="200"/>
        <w:rPr>
          <w:rFonts w:hint="default" w:ascii="Cambria" w:hAnsi="Cambria" w:eastAsia="仿宋" w:cs="Cambria"/>
          <w:bCs/>
          <w:sz w:val="21"/>
          <w:szCs w:val="21"/>
        </w:rPr>
      </w:pPr>
      <w:r>
        <w:rPr>
          <w:rFonts w:hint="default" w:ascii="Cambria" w:hAnsi="Cambria" w:eastAsia="仿宋" w:cs="Cambria"/>
          <w:bCs/>
          <w:sz w:val="21"/>
          <w:szCs w:val="21"/>
        </w:rPr>
        <w:t>The standard balances TCM characteristics with international regulatory requirements. It covers expert opinions from multiple countries and regions, including mainland China, Macao, Taiwan, Singapore, Malaysia, Australia, Viet Nam and Canada, and fully considers differences in laws, medical systems and cultural backgrounds. In the Scope, the standard clarifies that practitioners involved in invasive operations shall comply with the laws, regulations and scope-of-practice requirements of the country or region where the standard is applied. WHO and ISO technical norms were incorporated in the terms, definitions and operating procedures, facilitating worldwide application and supporting the international development of pediatric TCM techniques.</w:t>
      </w:r>
    </w:p>
    <w:p w14:paraId="7D608A6A">
      <w:pPr>
        <w:spacing w:line="276" w:lineRule="auto"/>
        <w:rPr>
          <w:rFonts w:hint="default" w:ascii="Cambria" w:hAnsi="Cambria" w:eastAsia="仿宋" w:cs="Cambria"/>
          <w:b/>
          <w:bCs/>
          <w:sz w:val="21"/>
          <w:szCs w:val="21"/>
        </w:rPr>
      </w:pPr>
      <w:r>
        <w:rPr>
          <w:rFonts w:hint="default" w:ascii="Cambria" w:hAnsi="Cambria" w:eastAsia="仿宋" w:cs="Cambria"/>
          <w:b/>
          <w:bCs/>
          <w:sz w:val="21"/>
          <w:szCs w:val="21"/>
        </w:rPr>
        <w:t>2.2 Methods and evidence for determining the main contents</w:t>
      </w:r>
    </w:p>
    <w:p w14:paraId="4B97589B">
      <w:pPr>
        <w:keepNext w:val="0"/>
        <w:keepLines w:val="0"/>
        <w:pageBreakBefore w:val="0"/>
        <w:widowControl w:val="0"/>
        <w:kinsoku/>
        <w:wordWrap/>
        <w:overflowPunct/>
        <w:topLinePunct w:val="0"/>
        <w:autoSpaceDE/>
        <w:autoSpaceDN/>
        <w:bidi w:val="0"/>
        <w:adjustRightInd/>
        <w:snapToGrid/>
        <w:spacing w:line="276" w:lineRule="auto"/>
        <w:textAlignment w:val="auto"/>
        <w:rPr>
          <w:rFonts w:hint="default" w:ascii="Cambria" w:hAnsi="Cambria" w:eastAsia="仿宋" w:cs="Cambria"/>
          <w:b/>
          <w:bCs/>
          <w:sz w:val="21"/>
          <w:szCs w:val="21"/>
        </w:rPr>
      </w:pPr>
      <w:r>
        <w:rPr>
          <w:rFonts w:hint="default" w:ascii="Cambria" w:hAnsi="Cambria" w:eastAsia="仿宋" w:cs="Cambria"/>
          <w:b/>
          <w:bCs/>
          <w:sz w:val="21"/>
          <w:szCs w:val="21"/>
        </w:rPr>
        <w:t>2.2.1 Main contents of the standard</w:t>
      </w:r>
    </w:p>
    <w:p w14:paraId="5F372539">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rPr>
      </w:pPr>
      <w:r>
        <w:rPr>
          <w:rFonts w:hint="default" w:ascii="Cambria" w:hAnsi="Cambria" w:eastAsia="仿宋" w:cs="Cambria"/>
          <w:sz w:val="21"/>
          <w:szCs w:val="21"/>
        </w:rPr>
        <w:t>The standard consists of 18 components: scope; normative references; terms and definitions; operating procedures and requirements for pediatric filiform needle acupuncture; pediatric three-edge needle therapy; Si Feng (EX-UE 10) pricking therapy; pediatric moxibustion therapy; precautions and contraindications; Annex A Commonly used filiform needles; Annex B Acupuncture manipulations; Annex C Treatment course for Si Feng (EX-UE 10) pricking therapy; Annex D Commonly used indirect moxibustion methods; Annex E Commonly used moxibustion devices; Annex F Commonly used moxa sticks; Annex G Moxibustion dose, treatment time and course, and management of fainting during moxibustion; Annex H Precautions for pediatric acupuncture and moxibustion therapy; Annex I Contraindications for pediatric acupuncture and moxibustion therapy; and references.</w:t>
      </w:r>
    </w:p>
    <w:p w14:paraId="462F3E75">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lang w:eastAsia="zh-CN"/>
        </w:rPr>
      </w:pPr>
      <w:r>
        <w:rPr>
          <w:rFonts w:hint="default" w:ascii="Cambria" w:hAnsi="Cambria" w:eastAsia="仿宋" w:cs="Cambria"/>
          <w:sz w:val="21"/>
          <w:szCs w:val="21"/>
          <w:lang w:eastAsia="zh-CN"/>
        </w:rPr>
        <w:t>(</w:t>
      </w:r>
      <w:r>
        <w:rPr>
          <w:rFonts w:hint="default" w:ascii="Cambria" w:hAnsi="Cambria" w:eastAsia="仿宋" w:cs="Cambria"/>
          <w:sz w:val="21"/>
          <w:szCs w:val="21"/>
        </w:rPr>
        <w:t>1</w:t>
      </w:r>
      <w:r>
        <w:rPr>
          <w:rFonts w:hint="default" w:ascii="Cambria" w:hAnsi="Cambria" w:eastAsia="仿宋" w:cs="Cambria"/>
          <w:sz w:val="21"/>
          <w:szCs w:val="21"/>
          <w:lang w:eastAsia="zh-CN"/>
        </w:rPr>
        <w:t>)</w:t>
      </w:r>
      <w:r>
        <w:rPr>
          <w:rFonts w:hint="default" w:ascii="Cambria" w:hAnsi="Cambria" w:eastAsia="仿宋" w:cs="Cambria"/>
          <w:sz w:val="21"/>
          <w:szCs w:val="21"/>
        </w:rPr>
        <w:t>Scope</w:t>
      </w:r>
    </w:p>
    <w:p w14:paraId="62914314">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lang w:eastAsia="zh-CN"/>
        </w:rPr>
      </w:pPr>
      <w:r>
        <w:rPr>
          <w:rFonts w:hint="default" w:ascii="Cambria" w:hAnsi="Cambria" w:eastAsia="仿宋" w:cs="Cambria"/>
          <w:sz w:val="21"/>
          <w:szCs w:val="21"/>
          <w:lang w:eastAsia="zh-CN"/>
        </w:rPr>
        <w:t>(</w:t>
      </w:r>
      <w:r>
        <w:rPr>
          <w:rFonts w:hint="default" w:ascii="Cambria" w:hAnsi="Cambria" w:eastAsia="仿宋" w:cs="Cambria"/>
          <w:sz w:val="21"/>
          <w:szCs w:val="21"/>
        </w:rPr>
        <w:t>2</w:t>
      </w:r>
      <w:r>
        <w:rPr>
          <w:rFonts w:hint="default" w:ascii="Cambria" w:hAnsi="Cambria" w:eastAsia="仿宋" w:cs="Cambria"/>
          <w:sz w:val="21"/>
          <w:szCs w:val="21"/>
          <w:lang w:eastAsia="zh-CN"/>
        </w:rPr>
        <w:t>)</w:t>
      </w:r>
      <w:r>
        <w:rPr>
          <w:rFonts w:hint="default" w:ascii="Cambria" w:hAnsi="Cambria" w:eastAsia="仿宋" w:cs="Cambria"/>
          <w:sz w:val="21"/>
          <w:szCs w:val="21"/>
        </w:rPr>
        <w:t>Normative references</w:t>
      </w:r>
    </w:p>
    <w:p w14:paraId="29735CB8">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lang w:eastAsia="zh-CN"/>
        </w:rPr>
      </w:pPr>
      <w:r>
        <w:rPr>
          <w:rFonts w:hint="default" w:ascii="Cambria" w:hAnsi="Cambria" w:eastAsia="仿宋" w:cs="Cambria"/>
          <w:sz w:val="21"/>
          <w:szCs w:val="21"/>
          <w:lang w:eastAsia="zh-CN"/>
        </w:rPr>
        <w:t>(</w:t>
      </w:r>
      <w:r>
        <w:rPr>
          <w:rFonts w:hint="default" w:ascii="Cambria" w:hAnsi="Cambria" w:eastAsia="仿宋" w:cs="Cambria"/>
          <w:sz w:val="21"/>
          <w:szCs w:val="21"/>
        </w:rPr>
        <w:t>3</w:t>
      </w:r>
      <w:r>
        <w:rPr>
          <w:rFonts w:hint="default" w:ascii="Cambria" w:hAnsi="Cambria" w:eastAsia="仿宋" w:cs="Cambria"/>
          <w:sz w:val="21"/>
          <w:szCs w:val="21"/>
          <w:lang w:eastAsia="zh-CN"/>
        </w:rPr>
        <w:t>)</w:t>
      </w:r>
      <w:r>
        <w:rPr>
          <w:rFonts w:hint="default" w:ascii="Cambria" w:hAnsi="Cambria" w:eastAsia="仿宋" w:cs="Cambria"/>
          <w:sz w:val="21"/>
          <w:szCs w:val="21"/>
        </w:rPr>
        <w:t>Terms and definitions</w:t>
      </w:r>
    </w:p>
    <w:p w14:paraId="32476EF4">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lang w:eastAsia="zh-CN"/>
        </w:rPr>
      </w:pPr>
      <w:r>
        <w:rPr>
          <w:rFonts w:hint="default" w:ascii="Cambria" w:hAnsi="Cambria" w:eastAsia="仿宋" w:cs="Cambria"/>
          <w:sz w:val="21"/>
          <w:szCs w:val="21"/>
          <w:lang w:eastAsia="zh-CN"/>
        </w:rPr>
        <w:t>(</w:t>
      </w:r>
      <w:r>
        <w:rPr>
          <w:rFonts w:hint="default" w:ascii="Cambria" w:hAnsi="Cambria" w:eastAsia="仿宋" w:cs="Cambria"/>
          <w:sz w:val="21"/>
          <w:szCs w:val="21"/>
        </w:rPr>
        <w:t>4</w:t>
      </w:r>
      <w:r>
        <w:rPr>
          <w:rFonts w:hint="default" w:ascii="Cambria" w:hAnsi="Cambria" w:eastAsia="仿宋" w:cs="Cambria"/>
          <w:sz w:val="21"/>
          <w:szCs w:val="21"/>
          <w:lang w:eastAsia="zh-CN"/>
        </w:rPr>
        <w:t>)</w:t>
      </w:r>
      <w:r>
        <w:rPr>
          <w:rFonts w:hint="default" w:ascii="Cambria" w:hAnsi="Cambria" w:eastAsia="仿宋" w:cs="Cambria"/>
          <w:sz w:val="21"/>
          <w:szCs w:val="21"/>
        </w:rPr>
        <w:t>Operating procedures and requirements for pediatric filiform needle acupuncture</w:t>
      </w:r>
    </w:p>
    <w:p w14:paraId="7C1748B4">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lang w:eastAsia="zh-CN"/>
        </w:rPr>
      </w:pPr>
      <w:r>
        <w:rPr>
          <w:rFonts w:hint="default" w:ascii="Cambria" w:hAnsi="Cambria" w:eastAsia="仿宋" w:cs="Cambria"/>
          <w:sz w:val="21"/>
          <w:szCs w:val="21"/>
          <w:lang w:eastAsia="zh-CN"/>
        </w:rPr>
        <w:t>(</w:t>
      </w:r>
      <w:r>
        <w:rPr>
          <w:rFonts w:hint="default" w:ascii="Cambria" w:hAnsi="Cambria" w:eastAsia="仿宋" w:cs="Cambria"/>
          <w:sz w:val="21"/>
          <w:szCs w:val="21"/>
        </w:rPr>
        <w:t>5</w:t>
      </w:r>
      <w:r>
        <w:rPr>
          <w:rFonts w:hint="default" w:ascii="Cambria" w:hAnsi="Cambria" w:eastAsia="仿宋" w:cs="Cambria"/>
          <w:sz w:val="21"/>
          <w:szCs w:val="21"/>
          <w:lang w:eastAsia="zh-CN"/>
        </w:rPr>
        <w:t>)</w:t>
      </w:r>
      <w:r>
        <w:rPr>
          <w:rFonts w:hint="default" w:ascii="Cambria" w:hAnsi="Cambria" w:eastAsia="仿宋" w:cs="Cambria"/>
          <w:sz w:val="21"/>
          <w:szCs w:val="21"/>
        </w:rPr>
        <w:t>Operating procedures and requirements for pediatric three-edge needle therapy</w:t>
      </w:r>
    </w:p>
    <w:p w14:paraId="17815E82">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lang w:eastAsia="zh-CN"/>
        </w:rPr>
      </w:pPr>
      <w:r>
        <w:rPr>
          <w:rFonts w:hint="default" w:ascii="Cambria" w:hAnsi="Cambria" w:eastAsia="仿宋" w:cs="Cambria"/>
          <w:sz w:val="21"/>
          <w:szCs w:val="21"/>
          <w:lang w:eastAsia="zh-CN"/>
        </w:rPr>
        <w:t>(</w:t>
      </w:r>
      <w:r>
        <w:rPr>
          <w:rFonts w:hint="default" w:ascii="Cambria" w:hAnsi="Cambria" w:eastAsia="仿宋" w:cs="Cambria"/>
          <w:sz w:val="21"/>
          <w:szCs w:val="21"/>
        </w:rPr>
        <w:t>6</w:t>
      </w:r>
      <w:r>
        <w:rPr>
          <w:rFonts w:hint="default" w:ascii="Cambria" w:hAnsi="Cambria" w:eastAsia="仿宋" w:cs="Cambria"/>
          <w:sz w:val="21"/>
          <w:szCs w:val="21"/>
          <w:lang w:eastAsia="zh-CN"/>
        </w:rPr>
        <w:t>)</w:t>
      </w:r>
      <w:r>
        <w:rPr>
          <w:rFonts w:hint="default" w:ascii="Cambria" w:hAnsi="Cambria" w:eastAsia="仿宋" w:cs="Cambria"/>
          <w:sz w:val="21"/>
          <w:szCs w:val="21"/>
        </w:rPr>
        <w:t>Operating procedures and requirements for Si Feng (EX-UE 10) pricking therapy</w:t>
      </w:r>
    </w:p>
    <w:p w14:paraId="2441B27D">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lang w:eastAsia="zh-CN"/>
        </w:rPr>
      </w:pPr>
      <w:r>
        <w:rPr>
          <w:rFonts w:hint="default" w:ascii="Cambria" w:hAnsi="Cambria" w:eastAsia="仿宋" w:cs="Cambria"/>
          <w:sz w:val="21"/>
          <w:szCs w:val="21"/>
          <w:lang w:eastAsia="zh-CN"/>
        </w:rPr>
        <w:t>(</w:t>
      </w:r>
      <w:r>
        <w:rPr>
          <w:rFonts w:hint="default" w:ascii="Cambria" w:hAnsi="Cambria" w:eastAsia="仿宋" w:cs="Cambria"/>
          <w:sz w:val="21"/>
          <w:szCs w:val="21"/>
        </w:rPr>
        <w:t>7</w:t>
      </w:r>
      <w:r>
        <w:rPr>
          <w:rFonts w:hint="default" w:ascii="Cambria" w:hAnsi="Cambria" w:eastAsia="仿宋" w:cs="Cambria"/>
          <w:sz w:val="21"/>
          <w:szCs w:val="21"/>
          <w:lang w:eastAsia="zh-CN"/>
        </w:rPr>
        <w:t>)</w:t>
      </w:r>
      <w:r>
        <w:rPr>
          <w:rFonts w:hint="default" w:ascii="Cambria" w:hAnsi="Cambria" w:eastAsia="仿宋" w:cs="Cambria"/>
          <w:sz w:val="21"/>
          <w:szCs w:val="21"/>
        </w:rPr>
        <w:t>Operating procedures and requirements for pediatric moxibustion therapy</w:t>
      </w:r>
    </w:p>
    <w:p w14:paraId="140B1DE4">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lang w:eastAsia="zh-CN"/>
        </w:rPr>
      </w:pPr>
      <w:r>
        <w:rPr>
          <w:rFonts w:hint="default" w:ascii="Cambria" w:hAnsi="Cambria" w:eastAsia="仿宋" w:cs="Cambria"/>
          <w:sz w:val="21"/>
          <w:szCs w:val="21"/>
          <w:lang w:eastAsia="zh-CN"/>
        </w:rPr>
        <w:t>(</w:t>
      </w:r>
      <w:r>
        <w:rPr>
          <w:rFonts w:hint="default" w:ascii="Cambria" w:hAnsi="Cambria" w:eastAsia="仿宋" w:cs="Cambria"/>
          <w:sz w:val="21"/>
          <w:szCs w:val="21"/>
        </w:rPr>
        <w:t>8</w:t>
      </w:r>
      <w:r>
        <w:rPr>
          <w:rFonts w:hint="default" w:ascii="Cambria" w:hAnsi="Cambria" w:eastAsia="仿宋" w:cs="Cambria"/>
          <w:sz w:val="21"/>
          <w:szCs w:val="21"/>
          <w:lang w:eastAsia="zh-CN"/>
        </w:rPr>
        <w:t>)</w:t>
      </w:r>
      <w:r>
        <w:rPr>
          <w:rFonts w:hint="default" w:ascii="Cambria" w:hAnsi="Cambria" w:eastAsia="仿宋" w:cs="Cambria"/>
          <w:sz w:val="21"/>
          <w:szCs w:val="21"/>
        </w:rPr>
        <w:t>Precautions and contraindications</w:t>
      </w:r>
    </w:p>
    <w:p w14:paraId="75147150">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lang w:eastAsia="zh-CN"/>
        </w:rPr>
      </w:pPr>
      <w:r>
        <w:rPr>
          <w:rFonts w:hint="default" w:ascii="Cambria" w:hAnsi="Cambria" w:eastAsia="仿宋" w:cs="Cambria"/>
          <w:sz w:val="21"/>
          <w:szCs w:val="21"/>
          <w:lang w:eastAsia="zh-CN"/>
        </w:rPr>
        <w:t>(</w:t>
      </w:r>
      <w:r>
        <w:rPr>
          <w:rFonts w:hint="default" w:ascii="Cambria" w:hAnsi="Cambria" w:eastAsia="仿宋" w:cs="Cambria"/>
          <w:sz w:val="21"/>
          <w:szCs w:val="21"/>
        </w:rPr>
        <w:t>9</w:t>
      </w:r>
      <w:r>
        <w:rPr>
          <w:rFonts w:hint="default" w:ascii="Cambria" w:hAnsi="Cambria" w:eastAsia="仿宋" w:cs="Cambria"/>
          <w:sz w:val="21"/>
          <w:szCs w:val="21"/>
          <w:lang w:eastAsia="zh-CN"/>
        </w:rPr>
        <w:t>)</w:t>
      </w:r>
      <w:r>
        <w:rPr>
          <w:rFonts w:hint="default" w:ascii="Cambria" w:hAnsi="Cambria" w:eastAsia="仿宋" w:cs="Cambria"/>
          <w:sz w:val="21"/>
          <w:szCs w:val="21"/>
        </w:rPr>
        <w:t>Annex A Commonly used filiform needles</w:t>
      </w:r>
    </w:p>
    <w:p w14:paraId="745D95D0">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lang w:eastAsia="zh-CN"/>
        </w:rPr>
      </w:pPr>
      <w:r>
        <w:rPr>
          <w:rFonts w:hint="default" w:ascii="Cambria" w:hAnsi="Cambria" w:eastAsia="仿宋" w:cs="Cambria"/>
          <w:sz w:val="21"/>
          <w:szCs w:val="21"/>
          <w:lang w:eastAsia="zh-CN"/>
        </w:rPr>
        <w:t>(</w:t>
      </w:r>
      <w:r>
        <w:rPr>
          <w:rFonts w:hint="default" w:ascii="Cambria" w:hAnsi="Cambria" w:eastAsia="仿宋" w:cs="Cambria"/>
          <w:sz w:val="21"/>
          <w:szCs w:val="21"/>
        </w:rPr>
        <w:t>10</w:t>
      </w:r>
      <w:r>
        <w:rPr>
          <w:rFonts w:hint="default" w:ascii="Cambria" w:hAnsi="Cambria" w:eastAsia="仿宋" w:cs="Cambria"/>
          <w:sz w:val="21"/>
          <w:szCs w:val="21"/>
          <w:lang w:eastAsia="zh-CN"/>
        </w:rPr>
        <w:t>)</w:t>
      </w:r>
      <w:r>
        <w:rPr>
          <w:rFonts w:hint="default" w:ascii="Cambria" w:hAnsi="Cambria" w:eastAsia="仿宋" w:cs="Cambria"/>
          <w:sz w:val="21"/>
          <w:szCs w:val="21"/>
        </w:rPr>
        <w:t>Annex B Acupuncture manipulations</w:t>
      </w:r>
    </w:p>
    <w:p w14:paraId="75CD9E5B">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lang w:eastAsia="zh-CN"/>
        </w:rPr>
      </w:pPr>
      <w:r>
        <w:rPr>
          <w:rFonts w:hint="default" w:ascii="Cambria" w:hAnsi="Cambria" w:eastAsia="仿宋" w:cs="Cambria"/>
          <w:sz w:val="21"/>
          <w:szCs w:val="21"/>
          <w:lang w:eastAsia="zh-CN"/>
        </w:rPr>
        <w:t>(</w:t>
      </w:r>
      <w:r>
        <w:rPr>
          <w:rFonts w:hint="default" w:ascii="Cambria" w:hAnsi="Cambria" w:eastAsia="仿宋" w:cs="Cambria"/>
          <w:sz w:val="21"/>
          <w:szCs w:val="21"/>
        </w:rPr>
        <w:t>11</w:t>
      </w:r>
      <w:r>
        <w:rPr>
          <w:rFonts w:hint="default" w:ascii="Cambria" w:hAnsi="Cambria" w:eastAsia="仿宋" w:cs="Cambria"/>
          <w:sz w:val="21"/>
          <w:szCs w:val="21"/>
          <w:lang w:eastAsia="zh-CN"/>
        </w:rPr>
        <w:t>)</w:t>
      </w:r>
      <w:r>
        <w:rPr>
          <w:rFonts w:hint="default" w:ascii="Cambria" w:hAnsi="Cambria" w:eastAsia="仿宋" w:cs="Cambria"/>
          <w:sz w:val="21"/>
          <w:szCs w:val="21"/>
        </w:rPr>
        <w:t>Annex C Treatment course for Si Feng (EX-UE 10) pricking therapy</w:t>
      </w:r>
    </w:p>
    <w:p w14:paraId="0437928A">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lang w:eastAsia="zh-CN"/>
        </w:rPr>
      </w:pPr>
      <w:r>
        <w:rPr>
          <w:rFonts w:hint="default" w:ascii="Cambria" w:hAnsi="Cambria" w:eastAsia="仿宋" w:cs="Cambria"/>
          <w:sz w:val="21"/>
          <w:szCs w:val="21"/>
          <w:lang w:eastAsia="zh-CN"/>
        </w:rPr>
        <w:t>(</w:t>
      </w:r>
      <w:r>
        <w:rPr>
          <w:rFonts w:hint="default" w:ascii="Cambria" w:hAnsi="Cambria" w:eastAsia="仿宋" w:cs="Cambria"/>
          <w:sz w:val="21"/>
          <w:szCs w:val="21"/>
        </w:rPr>
        <w:t>12</w:t>
      </w:r>
      <w:r>
        <w:rPr>
          <w:rFonts w:hint="default" w:ascii="Cambria" w:hAnsi="Cambria" w:eastAsia="仿宋" w:cs="Cambria"/>
          <w:sz w:val="21"/>
          <w:szCs w:val="21"/>
          <w:lang w:eastAsia="zh-CN"/>
        </w:rPr>
        <w:t>)</w:t>
      </w:r>
      <w:r>
        <w:rPr>
          <w:rFonts w:hint="default" w:ascii="Cambria" w:hAnsi="Cambria" w:eastAsia="仿宋" w:cs="Cambria"/>
          <w:sz w:val="21"/>
          <w:szCs w:val="21"/>
        </w:rPr>
        <w:t>Annex D Commonly used indirect moxibustion methods</w:t>
      </w:r>
    </w:p>
    <w:p w14:paraId="43AB5C2F">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lang w:eastAsia="zh-CN"/>
        </w:rPr>
      </w:pPr>
      <w:r>
        <w:rPr>
          <w:rFonts w:hint="default" w:ascii="Cambria" w:hAnsi="Cambria" w:eastAsia="仿宋" w:cs="Cambria"/>
          <w:sz w:val="21"/>
          <w:szCs w:val="21"/>
          <w:lang w:eastAsia="zh-CN"/>
        </w:rPr>
        <w:t>(</w:t>
      </w:r>
      <w:r>
        <w:rPr>
          <w:rFonts w:hint="default" w:ascii="Cambria" w:hAnsi="Cambria" w:eastAsia="仿宋" w:cs="Cambria"/>
          <w:sz w:val="21"/>
          <w:szCs w:val="21"/>
        </w:rPr>
        <w:t>13</w:t>
      </w:r>
      <w:r>
        <w:rPr>
          <w:rFonts w:hint="default" w:ascii="Cambria" w:hAnsi="Cambria" w:eastAsia="仿宋" w:cs="Cambria"/>
          <w:sz w:val="21"/>
          <w:szCs w:val="21"/>
          <w:lang w:eastAsia="zh-CN"/>
        </w:rPr>
        <w:t>)</w:t>
      </w:r>
      <w:r>
        <w:rPr>
          <w:rFonts w:hint="default" w:ascii="Cambria" w:hAnsi="Cambria" w:eastAsia="仿宋" w:cs="Cambria"/>
          <w:sz w:val="21"/>
          <w:szCs w:val="21"/>
        </w:rPr>
        <w:t>Annex E Commonly used moxibustion devices</w:t>
      </w:r>
    </w:p>
    <w:p w14:paraId="640D4674">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lang w:eastAsia="zh-CN"/>
        </w:rPr>
      </w:pPr>
      <w:r>
        <w:rPr>
          <w:rFonts w:hint="default" w:ascii="Cambria" w:hAnsi="Cambria" w:eastAsia="仿宋" w:cs="Cambria"/>
          <w:sz w:val="21"/>
          <w:szCs w:val="21"/>
          <w:lang w:eastAsia="zh-CN"/>
        </w:rPr>
        <w:t>(</w:t>
      </w:r>
      <w:r>
        <w:rPr>
          <w:rFonts w:hint="default" w:ascii="Cambria" w:hAnsi="Cambria" w:eastAsia="仿宋" w:cs="Cambria"/>
          <w:sz w:val="21"/>
          <w:szCs w:val="21"/>
        </w:rPr>
        <w:t>14</w:t>
      </w:r>
      <w:r>
        <w:rPr>
          <w:rFonts w:hint="default" w:ascii="Cambria" w:hAnsi="Cambria" w:eastAsia="仿宋" w:cs="Cambria"/>
          <w:sz w:val="21"/>
          <w:szCs w:val="21"/>
          <w:lang w:eastAsia="zh-CN"/>
        </w:rPr>
        <w:t>)</w:t>
      </w:r>
      <w:r>
        <w:rPr>
          <w:rFonts w:hint="default" w:ascii="Cambria" w:hAnsi="Cambria" w:eastAsia="仿宋" w:cs="Cambria"/>
          <w:sz w:val="21"/>
          <w:szCs w:val="21"/>
        </w:rPr>
        <w:t>Annex F Commonly used moxa sticks</w:t>
      </w:r>
    </w:p>
    <w:p w14:paraId="4DE0BB3C">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lang w:eastAsia="zh-CN"/>
        </w:rPr>
      </w:pPr>
      <w:r>
        <w:rPr>
          <w:rFonts w:hint="default" w:ascii="Cambria" w:hAnsi="Cambria" w:eastAsia="仿宋" w:cs="Cambria"/>
          <w:sz w:val="21"/>
          <w:szCs w:val="21"/>
          <w:lang w:eastAsia="zh-CN"/>
        </w:rPr>
        <w:t>(</w:t>
      </w:r>
      <w:r>
        <w:rPr>
          <w:rFonts w:hint="default" w:ascii="Cambria" w:hAnsi="Cambria" w:eastAsia="仿宋" w:cs="Cambria"/>
          <w:sz w:val="21"/>
          <w:szCs w:val="21"/>
        </w:rPr>
        <w:t>15</w:t>
      </w:r>
      <w:r>
        <w:rPr>
          <w:rFonts w:hint="default" w:ascii="Cambria" w:hAnsi="Cambria" w:eastAsia="仿宋" w:cs="Cambria"/>
          <w:sz w:val="21"/>
          <w:szCs w:val="21"/>
          <w:lang w:eastAsia="zh-CN"/>
        </w:rPr>
        <w:t>)</w:t>
      </w:r>
      <w:r>
        <w:rPr>
          <w:rFonts w:hint="default" w:ascii="Cambria" w:hAnsi="Cambria" w:eastAsia="仿宋" w:cs="Cambria"/>
          <w:sz w:val="21"/>
          <w:szCs w:val="21"/>
        </w:rPr>
        <w:t>Annex G Moxibustion dose, treatment time, treatment course, and management of fainting during moxibustion</w:t>
      </w:r>
    </w:p>
    <w:p w14:paraId="7A44EF74">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lang w:eastAsia="zh-CN"/>
        </w:rPr>
      </w:pPr>
      <w:r>
        <w:rPr>
          <w:rFonts w:hint="default" w:ascii="Cambria" w:hAnsi="Cambria" w:eastAsia="仿宋" w:cs="Cambria"/>
          <w:sz w:val="21"/>
          <w:szCs w:val="21"/>
          <w:lang w:eastAsia="zh-CN"/>
        </w:rPr>
        <w:t>(</w:t>
      </w:r>
      <w:r>
        <w:rPr>
          <w:rFonts w:hint="default" w:ascii="Cambria" w:hAnsi="Cambria" w:eastAsia="仿宋" w:cs="Cambria"/>
          <w:sz w:val="21"/>
          <w:szCs w:val="21"/>
        </w:rPr>
        <w:t>16</w:t>
      </w:r>
      <w:r>
        <w:rPr>
          <w:rFonts w:hint="default" w:ascii="Cambria" w:hAnsi="Cambria" w:eastAsia="仿宋" w:cs="Cambria"/>
          <w:sz w:val="21"/>
          <w:szCs w:val="21"/>
          <w:lang w:eastAsia="zh-CN"/>
        </w:rPr>
        <w:t>)</w:t>
      </w:r>
      <w:r>
        <w:rPr>
          <w:rFonts w:hint="default" w:ascii="Cambria" w:hAnsi="Cambria" w:eastAsia="仿宋" w:cs="Cambria"/>
          <w:sz w:val="21"/>
          <w:szCs w:val="21"/>
        </w:rPr>
        <w:t>Annex H Precautions for pediatric acupuncture and moxibustion therapy</w:t>
      </w:r>
    </w:p>
    <w:p w14:paraId="333D9C99">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lang w:eastAsia="zh-CN"/>
        </w:rPr>
      </w:pPr>
      <w:r>
        <w:rPr>
          <w:rFonts w:hint="default" w:ascii="Cambria" w:hAnsi="Cambria" w:eastAsia="仿宋" w:cs="Cambria"/>
          <w:sz w:val="21"/>
          <w:szCs w:val="21"/>
          <w:lang w:eastAsia="zh-CN"/>
        </w:rPr>
        <w:t>(</w:t>
      </w:r>
      <w:r>
        <w:rPr>
          <w:rFonts w:hint="default" w:ascii="Cambria" w:hAnsi="Cambria" w:eastAsia="仿宋" w:cs="Cambria"/>
          <w:sz w:val="21"/>
          <w:szCs w:val="21"/>
        </w:rPr>
        <w:t>17</w:t>
      </w:r>
      <w:r>
        <w:rPr>
          <w:rFonts w:hint="default" w:ascii="Cambria" w:hAnsi="Cambria" w:eastAsia="仿宋" w:cs="Cambria"/>
          <w:sz w:val="21"/>
          <w:szCs w:val="21"/>
          <w:lang w:eastAsia="zh-CN"/>
        </w:rPr>
        <w:t>)</w:t>
      </w:r>
      <w:r>
        <w:rPr>
          <w:rFonts w:hint="default" w:ascii="Cambria" w:hAnsi="Cambria" w:eastAsia="仿宋" w:cs="Cambria"/>
          <w:sz w:val="21"/>
          <w:szCs w:val="21"/>
        </w:rPr>
        <w:t>Annex I Contraindications for pediatric acupuncture and moxibustion therapy</w:t>
      </w:r>
    </w:p>
    <w:p w14:paraId="3B48C1AE">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rPr>
      </w:pPr>
      <w:r>
        <w:rPr>
          <w:rFonts w:hint="default" w:ascii="Cambria" w:hAnsi="Cambria" w:eastAsia="仿宋" w:cs="Cambria"/>
          <w:sz w:val="21"/>
          <w:szCs w:val="21"/>
          <w:lang w:eastAsia="zh-CN"/>
        </w:rPr>
        <w:t>(</w:t>
      </w:r>
      <w:r>
        <w:rPr>
          <w:rFonts w:hint="default" w:ascii="Cambria" w:hAnsi="Cambria" w:eastAsia="仿宋" w:cs="Cambria"/>
          <w:sz w:val="21"/>
          <w:szCs w:val="21"/>
        </w:rPr>
        <w:t>18</w:t>
      </w:r>
      <w:r>
        <w:rPr>
          <w:rFonts w:hint="default" w:ascii="Cambria" w:hAnsi="Cambria" w:eastAsia="仿宋" w:cs="Cambria"/>
          <w:sz w:val="21"/>
          <w:szCs w:val="21"/>
          <w:lang w:eastAsia="zh-CN"/>
        </w:rPr>
        <w:t>)</w:t>
      </w:r>
      <w:r>
        <w:rPr>
          <w:rFonts w:hint="default" w:ascii="Cambria" w:hAnsi="Cambria" w:eastAsia="仿宋" w:cs="Cambria"/>
          <w:sz w:val="21"/>
          <w:szCs w:val="21"/>
        </w:rPr>
        <w:t>References</w:t>
      </w:r>
    </w:p>
    <w:p w14:paraId="2F612CEB">
      <w:pPr>
        <w:keepNext w:val="0"/>
        <w:keepLines w:val="0"/>
        <w:pageBreakBefore w:val="0"/>
        <w:widowControl w:val="0"/>
        <w:kinsoku/>
        <w:wordWrap/>
        <w:overflowPunct/>
        <w:topLinePunct w:val="0"/>
        <w:autoSpaceDE/>
        <w:autoSpaceDN/>
        <w:bidi w:val="0"/>
        <w:adjustRightInd/>
        <w:snapToGrid/>
        <w:spacing w:line="276" w:lineRule="auto"/>
        <w:ind w:firstLine="0" w:firstLineChars="0"/>
        <w:textAlignment w:val="auto"/>
        <w:rPr>
          <w:rFonts w:hint="default" w:ascii="Cambria" w:hAnsi="Cambria" w:eastAsia="仿宋" w:cs="Cambria"/>
          <w:b/>
          <w:bCs/>
          <w:sz w:val="21"/>
          <w:szCs w:val="21"/>
        </w:rPr>
      </w:pPr>
      <w:r>
        <w:rPr>
          <w:rFonts w:hint="default" w:ascii="Cambria" w:hAnsi="Cambria" w:eastAsia="仿宋" w:cs="Cambria"/>
          <w:b/>
          <w:bCs/>
          <w:sz w:val="21"/>
          <w:szCs w:val="21"/>
        </w:rPr>
        <w:t>2.2.</w:t>
      </w:r>
      <w:r>
        <w:rPr>
          <w:rFonts w:hint="default" w:ascii="Cambria" w:hAnsi="Cambria" w:eastAsia="仿宋" w:cs="Cambria"/>
          <w:b/>
          <w:bCs/>
          <w:sz w:val="21"/>
          <w:szCs w:val="21"/>
          <w:lang w:val="en-US" w:eastAsia="zh-CN"/>
        </w:rPr>
        <w:t>2</w:t>
      </w:r>
      <w:r>
        <w:rPr>
          <w:rFonts w:hint="default" w:ascii="Cambria" w:hAnsi="Cambria" w:eastAsia="仿宋" w:cs="Cambria"/>
          <w:b/>
          <w:bCs/>
          <w:sz w:val="21"/>
          <w:szCs w:val="21"/>
        </w:rPr>
        <w:t xml:space="preserve"> Methods for determining the main contents of the standard</w:t>
      </w:r>
    </w:p>
    <w:p w14:paraId="1882E16B">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rPr>
      </w:pPr>
      <w:r>
        <w:rPr>
          <w:rFonts w:hint="default" w:ascii="Cambria" w:hAnsi="Cambria" w:eastAsia="仿宋" w:cs="Cambria"/>
          <w:sz w:val="21"/>
          <w:szCs w:val="21"/>
        </w:rPr>
        <w:t>(1) Collection and screening of literature</w:t>
      </w:r>
    </w:p>
    <w:p w14:paraId="0306AC2B">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rPr>
      </w:pPr>
      <w:r>
        <w:rPr>
          <w:rFonts w:hint="default" w:ascii="Cambria" w:hAnsi="Cambria" w:eastAsia="仿宋" w:cs="Cambria"/>
          <w:sz w:val="21"/>
          <w:szCs w:val="21"/>
        </w:rPr>
        <w:t>Literature collection was carried out from September to October 2025, with the aim of providing evidence support for the transformation of the national standard into an international standard. The project group conducted systematic searches through authoritative databases and standard platforms in China and abroad, including international standards, such as ISO/TC 249 and WHO IRIS; domestic standards, such as the National Public Service Platform for Standards Information and the National Standard Full-text Disclosure System; literature databases, such as PubMed and CNKI; and guidelines and consensus documents issued by foreign organizations and institutions.</w:t>
      </w:r>
    </w:p>
    <w:p w14:paraId="5C9E7A45">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rPr>
      </w:pPr>
      <w:r>
        <w:rPr>
          <w:rFonts w:hint="default" w:ascii="Cambria" w:hAnsi="Cambria" w:eastAsia="仿宋" w:cs="Cambria"/>
          <w:sz w:val="21"/>
          <w:szCs w:val="21"/>
        </w:rPr>
        <w:t>The search strategy adopted combinations of keywords. English keywords included “Acupuncture”, “Moxibustion”, “Three-edged needle”, “Bloodletting Therapy”, “Acupoint”, “Meridian”, “Pediatric”, “Child”, “Infant”, “Newborn” and “Adolescent”. Chinese keywords included “针刺”, “针灸”, “针法”, “艾灸”, “灸法”, “三棱针”, “刺络”, “放血”, “穴位”, “腧穴”, “经络”, “儿童”, “小儿”, “儿科”, “婴儿”, “幼儿”, “婴幼儿”, “新生儿” and “青少年”.</w:t>
      </w:r>
    </w:p>
    <w:p w14:paraId="1A10A7A3">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rPr>
      </w:pPr>
      <w:r>
        <w:rPr>
          <w:rFonts w:hint="default" w:ascii="Cambria" w:hAnsi="Cambria" w:eastAsia="仿宋" w:cs="Cambria"/>
          <w:sz w:val="21"/>
          <w:szCs w:val="21"/>
        </w:rPr>
        <w:t>The search sources covered the following: 1) domestic standards, including national standards, industry standards, group standards and local standards, as well as the Pharmacopoeia of the People’s Republic of China (2025 Edition); 2) international and organization standards, including ISO standards, WHO guidelines and WFCMS standards; and 3) literature databases, including guidelines, consensus documents and clinical studies indexed in PubMed, CNKI and other databases.</w:t>
      </w:r>
    </w:p>
    <w:p w14:paraId="661231E0">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rPr>
      </w:pPr>
      <w:r>
        <w:rPr>
          <w:rFonts w:hint="default" w:ascii="Cambria" w:hAnsi="Cambria" w:eastAsia="仿宋" w:cs="Cambria"/>
          <w:sz w:val="21"/>
          <w:szCs w:val="21"/>
        </w:rPr>
        <w:t>(2) Literature appraisal</w:t>
      </w:r>
    </w:p>
    <w:p w14:paraId="4B1D8E07">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rPr>
      </w:pPr>
      <w:r>
        <w:rPr>
          <w:rFonts w:hint="default" w:ascii="Cambria" w:hAnsi="Cambria" w:eastAsia="仿宋" w:cs="Cambria"/>
          <w:sz w:val="21"/>
          <w:szCs w:val="21"/>
        </w:rPr>
        <w:t>The literature appraisal adopted a qualitative assessment method, focusing on the authority, applicability and compatibility of the evidence with TCM pediatrics, rather than quantitative grading. This was because the retrieved literature mainly consisted of standards, guidelines and consensus documents, which are usually issued by authoritative international or national institutions and therefore have relatively high reliability and credibility.</w:t>
      </w:r>
    </w:p>
    <w:p w14:paraId="3027B161">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rPr>
      </w:pPr>
      <w:r>
        <w:rPr>
          <w:rFonts w:hint="default" w:ascii="Cambria" w:hAnsi="Cambria" w:eastAsia="仿宋" w:cs="Cambria"/>
          <w:sz w:val="21"/>
          <w:szCs w:val="21"/>
        </w:rPr>
        <w:t>The literature was classified as follows: 1) standards, including mandatory and recommended standards, such as ISO 17218:2014 Sterile acupuncture needles for single use and GB/Z 40893.3—2021, the original national standard. These documents have high authority and were directly used for comparison with the standard provisions; 2) guidelines and consensus documents, such as the WHO WHO Standard Acupuncture Point Locations and the ISO technical specification ISO/TS 16843-3:2017 Health informatics — Categorial structures for representation of acupuncture — Part 3: Moxibustion. These documents are issued by international organizations or professional institutions, emphasize clinical safety and operational standardization, and are suitable for international transformation; and 3) literature, including clinical studies and reviews indexed in databases such as CNKI, PubMed and Duxiu, for example studies on the operation of Lei Huo Shen Zhen and on treatment time and treatment courses for moxibustion. Such evidence supplemented operational details, but its priority was lower than that of standards and guidelines.</w:t>
      </w:r>
    </w:p>
    <w:p w14:paraId="5CAA6A8D">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rPr>
      </w:pPr>
      <w:r>
        <w:rPr>
          <w:rFonts w:hint="default" w:ascii="Cambria" w:hAnsi="Cambria" w:eastAsia="仿宋" w:cs="Cambria"/>
          <w:sz w:val="21"/>
          <w:szCs w:val="21"/>
        </w:rPr>
        <w:t>(3) Literature research</w:t>
      </w:r>
    </w:p>
    <w:p w14:paraId="7CE9100F">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rPr>
      </w:pPr>
      <w:r>
        <w:rPr>
          <w:rFonts w:hint="default" w:ascii="Cambria" w:hAnsi="Cambria" w:eastAsia="仿宋" w:cs="Cambria"/>
          <w:sz w:val="21"/>
          <w:szCs w:val="21"/>
        </w:rPr>
        <w:t>On the basis of literature appraisal, the project group carefully read and analyzed the included evidence, with a focus on comparison with the relevant content of the original national standard GB/Z 40893.3—2021 and attention to expressions that differed from the provisions of the national standard. A clause comparison table was prepared according to themes and provisions. Where multiple different expressions existed for the same provision, all were listed for reference in the subsequent questionnaire survey and expert consultation. Through the comparison table, the project group identified items requiring optimization and formed the basis for the questionnaire.</w:t>
      </w:r>
    </w:p>
    <w:p w14:paraId="17E422E7">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rPr>
      </w:pPr>
      <w:r>
        <w:rPr>
          <w:rFonts w:hint="default" w:ascii="Cambria" w:hAnsi="Cambria" w:eastAsia="仿宋" w:cs="Cambria"/>
          <w:sz w:val="21"/>
          <w:szCs w:val="21"/>
        </w:rPr>
        <w:t>(4) Questionnaire survey</w:t>
      </w:r>
    </w:p>
    <w:p w14:paraId="04D25695">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rPr>
      </w:pPr>
      <w:r>
        <w:rPr>
          <w:rFonts w:hint="default" w:ascii="Cambria" w:hAnsi="Cambria" w:eastAsia="仿宋" w:cs="Cambria"/>
          <w:sz w:val="21"/>
          <w:szCs w:val="21"/>
        </w:rPr>
        <w:t>To solicit opinions extensively, the project group prepared an expert questionnaire in October 2025. Based on the results of literature research and the clause comparison table, single-choice options and open-ended comments were designed for items with differences, such as terms and definitions, operating procedures and contraindications.</w:t>
      </w:r>
    </w:p>
    <w:p w14:paraId="3FD2FD80">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rPr>
      </w:pPr>
      <w:r>
        <w:rPr>
          <w:rFonts w:hint="default" w:ascii="Cambria" w:hAnsi="Cambria" w:eastAsia="仿宋" w:cs="Cambria"/>
          <w:sz w:val="21"/>
          <w:szCs w:val="21"/>
        </w:rPr>
        <w:t>The criteria for expert selection included: 1) senior professional and technical titles in TCM pediatrics or related fields, such as professor or Chief Physician; 2) extensive clinical or teaching experience, with experts from the Chinese mainland having more than 20 years of professional experience and overseas experts having more than 10 years of professional experience; 3) familiarity with acupuncture and moxibustion techniques in TCM pediatrics; and 4) coverage of different countries and regions to ensure international representativeness.</w:t>
      </w:r>
    </w:p>
    <w:p w14:paraId="38454F8D">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rPr>
      </w:pPr>
      <w:r>
        <w:rPr>
          <w:rFonts w:hint="default" w:ascii="Cambria" w:hAnsi="Cambria" w:eastAsia="仿宋" w:cs="Cambria"/>
          <w:sz w:val="21"/>
          <w:szCs w:val="21"/>
        </w:rPr>
        <w:t>Finally, 26 experts from the Chinese mainland, 1 from Macao, China, 2 from Taiwan, China, 1 from Singapore, 1 from Malaysia, 1 from Australia, 1 from Viet Nam and 1 from Canada were selected. The experts covered higher education institutions of Chinese medicine, hospitals and overseas TCM institutions, and had strong authority and broad regional representativeness.</w:t>
      </w:r>
    </w:p>
    <w:p w14:paraId="7CE92F9F">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rPr>
      </w:pPr>
      <w:r>
        <w:rPr>
          <w:rFonts w:hint="default" w:ascii="Cambria" w:hAnsi="Cambria" w:eastAsia="仿宋" w:cs="Cambria"/>
          <w:sz w:val="21"/>
          <w:szCs w:val="21"/>
        </w:rPr>
        <w:t>The questionnaire was distributed on 24 October and the deadline for return was 12 November. A total of 34 questionnaires were distributed and 34 completed questionnaires were collected, with an expert response rate of 100%. Statistical analysis used indicators such as mean value, percentage rated as unimportant, rank sum and coefficient of variation. The consensus screening method was as follows: an option support rate greater than 50% was regarded as preliminary consensus, while items with disagreement were submitted to the consultation meeting. The results are detailed in Attachment 1, Report on the Expert Questionnaire Survey. Items with a high degree of consistency were directly included, while the remaining items formed nine disputed points, which, together with open-ended questions, were submitted for expert consultation.</w:t>
      </w:r>
    </w:p>
    <w:p w14:paraId="3815B472">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rPr>
      </w:pPr>
      <w:r>
        <w:rPr>
          <w:rFonts w:hint="default" w:ascii="Cambria" w:hAnsi="Cambria" w:eastAsia="仿宋" w:cs="Cambria"/>
          <w:sz w:val="21"/>
          <w:szCs w:val="21"/>
        </w:rPr>
        <w:t>(5) Expert consultation meeting</w:t>
      </w:r>
    </w:p>
    <w:p w14:paraId="3980EEA0">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rPr>
      </w:pPr>
      <w:r>
        <w:rPr>
          <w:rFonts w:hint="default" w:ascii="Cambria" w:hAnsi="Cambria" w:eastAsia="仿宋" w:cs="Cambria"/>
          <w:sz w:val="21"/>
          <w:szCs w:val="21"/>
        </w:rPr>
        <w:t>The expert consultation meeting was held on 3 December 2025, focusing on items with disagreement in the questionnaire. Thirteen authoritative domestic pediatric experts and standardization experts were invited. Before the meeting, a letter for solicitation of comments was sent, containing nine disputed items, open-ended questions and recommendations from the project group. The items were discussed during the meeting, and written opinions were returned within one week after the meeting.</w:t>
      </w:r>
    </w:p>
    <w:p w14:paraId="125B184C">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rPr>
      </w:pPr>
      <w:r>
        <w:rPr>
          <w:rFonts w:hint="default" w:ascii="Cambria" w:hAnsi="Cambria" w:eastAsia="仿宋" w:cs="Cambria"/>
          <w:sz w:val="21"/>
          <w:szCs w:val="21"/>
        </w:rPr>
        <w:t>The meeting adopted and integrated relevant opinions. The results are detailed in Attachment 2, Minutes of the Expert Consultation Meeting.</w:t>
      </w:r>
    </w:p>
    <w:p w14:paraId="5654DA6F">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rPr>
      </w:pPr>
      <w:r>
        <w:rPr>
          <w:rFonts w:hint="default" w:ascii="Cambria" w:hAnsi="Cambria" w:eastAsia="仿宋" w:cs="Cambria"/>
          <w:sz w:val="21"/>
          <w:szCs w:val="21"/>
        </w:rPr>
        <w:t>(6) Expert review</w:t>
      </w:r>
    </w:p>
    <w:p w14:paraId="1054FD2C">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default" w:ascii="Cambria" w:hAnsi="Cambria" w:eastAsia="仿宋" w:cs="Cambria"/>
          <w:sz w:val="21"/>
          <w:szCs w:val="21"/>
        </w:rPr>
      </w:pPr>
      <w:r>
        <w:rPr>
          <w:rFonts w:hint="default" w:ascii="Cambria" w:hAnsi="Cambria" w:eastAsia="仿宋" w:cs="Cambria"/>
          <w:sz w:val="21"/>
          <w:szCs w:val="21"/>
        </w:rPr>
        <w:t>After the draft for review by the expert advisory group was formed, it was reviewed by the expert advisory group of this project, comprising Ding Ying, Wan Lisheng, Ma Rong, Wang Youpeng, Wang Lili, Wang Sumei, Shi Zhenggang, Liu Jianzhong, Yu Jian’er, Xiong Lei, Zhang Baoqing, Yu Jian and Dai Qigang. The review focused on verifying the scientific validity, international adaptability and consistency of the content, and a draft standard for submission was formed.</w:t>
      </w:r>
    </w:p>
    <w:p w14:paraId="69AA5B9D">
      <w:pPr>
        <w:spacing w:line="276" w:lineRule="auto"/>
        <w:ind w:firstLine="0" w:firstLineChars="0"/>
        <w:rPr>
          <w:rFonts w:hint="default" w:ascii="Cambria" w:hAnsi="Cambria" w:eastAsia="仿宋" w:cs="Cambria"/>
          <w:b/>
          <w:bCs/>
          <w:sz w:val="21"/>
          <w:szCs w:val="21"/>
        </w:rPr>
      </w:pPr>
      <w:r>
        <w:rPr>
          <w:rFonts w:hint="default" w:ascii="Cambria" w:hAnsi="Cambria" w:eastAsia="仿宋" w:cs="Cambria"/>
          <w:b/>
          <w:bCs/>
          <w:sz w:val="21"/>
          <w:szCs w:val="21"/>
          <w:lang w:val="en-US" w:eastAsia="zh-CN"/>
        </w:rPr>
        <w:t>2.2.</w:t>
      </w:r>
      <w:r>
        <w:rPr>
          <w:rFonts w:hint="default" w:ascii="Cambria" w:hAnsi="Cambria" w:eastAsia="仿宋" w:cs="Cambria"/>
          <w:b/>
          <w:bCs/>
          <w:sz w:val="21"/>
          <w:szCs w:val="21"/>
        </w:rPr>
        <w:t>3 Evidence for determining the main content of the standard</w:t>
      </w:r>
    </w:p>
    <w:p w14:paraId="09772EA1">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The procedures, technical methods and requirements at each stage of the development of this standard complied with the requirements of the aforementioned relevant normative documents, including WFCMS SCM 1.1—2021 Directives for Standardization — Part 1: Development, Revision and Publication of Standards, the original national standard GB/Z 40893.3—2021 Technical operation specifications of traditional Chinese medicine — Pediatrics — Part 3: Acupuncture and moxibustion, as well as the processes of literature research, expert questionnaire survey and expert consultation meeting. This ensured that the content was based on evidence and expert consensus.</w:t>
      </w:r>
    </w:p>
    <w:p w14:paraId="6DE56825">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All terms were required to be standardized. TCM terms were based on relevant Chinese national standards, such as GB/T 12346—2021 Nomenclature and Location of Meridian Points and GB/T 40997—2021 Nomenclature and Location of Extra Points in Common Use. Other scientific and technical terms and names adopted the terms published by the China National Committee for Terms in Sciences and Technologies. The names of Chinese medicinals were based on the Pharmacopoeia of the People’s Republic of China (2025 Edition).</w:t>
      </w:r>
    </w:p>
    <w:p w14:paraId="4E60CA99">
      <w:pPr>
        <w:pStyle w:val="2"/>
        <w:spacing w:before="312" w:beforeLines="100" w:after="312" w:afterLines="100"/>
        <w:ind w:firstLineChars="0"/>
        <w:rPr>
          <w:rFonts w:hint="default" w:ascii="Cambria" w:hAnsi="Cambria" w:eastAsia="黑体" w:cs="Cambria"/>
          <w:b/>
          <w:bCs/>
          <w:color w:val="auto"/>
          <w:sz w:val="24"/>
          <w:szCs w:val="24"/>
        </w:rPr>
      </w:pPr>
      <w:bookmarkStart w:id="30" w:name="_Toc11766"/>
      <w:r>
        <w:rPr>
          <w:rFonts w:hint="default" w:ascii="Cambria" w:hAnsi="Cambria" w:eastAsia="黑体" w:cs="Cambria"/>
          <w:b/>
          <w:bCs/>
          <w:color w:val="auto"/>
          <w:sz w:val="24"/>
          <w:szCs w:val="24"/>
          <w:lang w:eastAsia="zh-CN"/>
        </w:rPr>
        <w:t>I</w:t>
      </w:r>
      <w:r>
        <w:rPr>
          <w:rFonts w:hint="default" w:ascii="Cambria" w:hAnsi="Cambria" w:eastAsia="黑体" w:cs="Cambria"/>
          <w:b/>
          <w:bCs/>
          <w:color w:val="auto"/>
          <w:sz w:val="24"/>
          <w:szCs w:val="24"/>
          <w:lang w:val="en-US" w:eastAsia="zh-CN"/>
        </w:rPr>
        <w:t>II</w:t>
      </w:r>
      <w:r>
        <w:rPr>
          <w:rFonts w:hint="default" w:ascii="Cambria" w:hAnsi="Cambria" w:eastAsia="黑体" w:cs="Cambria"/>
          <w:b/>
          <w:bCs/>
          <w:color w:val="auto"/>
          <w:sz w:val="24"/>
          <w:szCs w:val="24"/>
        </w:rPr>
        <w:t xml:space="preserve"> Relationship with relevant laws, regulations and standards</w:t>
      </w:r>
      <w:bookmarkEnd w:id="30"/>
    </w:p>
    <w:p w14:paraId="752EDA01">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As an international organization standard, this standard systematically reviewed and coordinated its relationship with relevant laws, regulations, and mandatory and recommended standards in China and other countries during its development. The standard follows the basic requirements of existing specifications and, on the basis of sufficient investigation, expert consultation and international benchmarking, makes evidence-based and well-defined technical adjustments to certain content, so as to ensure its scientific validity, safety, standardization and international applicability.</w:t>
      </w:r>
    </w:p>
    <w:p w14:paraId="2E2A0EDA">
      <w:pPr>
        <w:spacing w:line="276" w:lineRule="auto"/>
        <w:ind w:firstLine="422" w:firstLineChars="200"/>
        <w:rPr>
          <w:rFonts w:hint="default" w:ascii="Cambria" w:hAnsi="Cambria" w:eastAsia="仿宋" w:cs="Cambria"/>
          <w:b/>
          <w:bCs/>
          <w:sz w:val="21"/>
          <w:szCs w:val="21"/>
        </w:rPr>
      </w:pPr>
      <w:r>
        <w:rPr>
          <w:rFonts w:hint="default" w:ascii="Cambria" w:hAnsi="Cambria" w:eastAsia="仿宋" w:cs="Cambria"/>
          <w:b/>
          <w:bCs/>
          <w:sz w:val="21"/>
          <w:szCs w:val="21"/>
        </w:rPr>
        <w:t>3.1 Relationship with laws and regulations</w:t>
      </w:r>
    </w:p>
    <w:p w14:paraId="65ABC5B0">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During its development and application, this standard fully respects and complies with the current medical and health laws and regulations and practice management systems of various countries and regions. The operations covered in this standard, including filiform needle acupuncture, three-edge needle therapy, Si Feng (EX-UE 10) pricking therapy and moxibustion, clearly require implementation under the premise of compliance with laws and regulations, scope of practice and personnel qualification requirements.</w:t>
      </w:r>
    </w:p>
    <w:p w14:paraId="03E26471">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After expert consultation, this standard clearly states the principle of priority of local laws and regulations in prominent parts such as the “Scope” and “Foreword”. That is, the standard provides reference only at the level of technical operation, and does not make unified provisions on specific practice qualifications or management systems, so as to ensure legality and feasibility during international promotion and application.</w:t>
      </w:r>
    </w:p>
    <w:p w14:paraId="1178CB95">
      <w:pPr>
        <w:spacing w:line="276" w:lineRule="auto"/>
        <w:ind w:firstLine="422" w:firstLineChars="200"/>
        <w:rPr>
          <w:rFonts w:hint="default" w:ascii="Cambria" w:hAnsi="Cambria" w:eastAsia="仿宋" w:cs="Cambria"/>
          <w:b/>
          <w:bCs/>
          <w:sz w:val="21"/>
          <w:szCs w:val="21"/>
        </w:rPr>
      </w:pPr>
      <w:r>
        <w:rPr>
          <w:rFonts w:hint="default" w:ascii="Cambria" w:hAnsi="Cambria" w:eastAsia="仿宋" w:cs="Cambria"/>
          <w:b/>
          <w:bCs/>
          <w:sz w:val="21"/>
          <w:szCs w:val="21"/>
        </w:rPr>
        <w:t>3.2 Relationship with mandatory standards</w:t>
      </w:r>
    </w:p>
    <w:p w14:paraId="721D6FE0">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During its development, this standard strictly followed relevant mandatory national standards and internationally accepted safety specifications, and does not conflict with any current mandatory standard. For content involving environmental hygiene, instrument safety, disinfection and protection, the basic requirements of mandatory standards were directly cited or followed, such as relevant specifications on disinfection and hand hygiene in medical institutions. The relevant clauses are implemented in the standard as safety baselines. If the content of this standard is inconsistent with the mandatory standards or laws and regulations of the place of implementation, the local laws, regulations and mandatory standards shall prevail.</w:t>
      </w:r>
    </w:p>
    <w:p w14:paraId="7C2276FE">
      <w:pPr>
        <w:spacing w:line="276" w:lineRule="auto"/>
        <w:ind w:firstLine="422" w:firstLineChars="200"/>
        <w:rPr>
          <w:rFonts w:hint="default" w:ascii="Cambria" w:hAnsi="Cambria" w:eastAsia="仿宋" w:cs="Cambria"/>
          <w:b/>
          <w:bCs/>
          <w:sz w:val="21"/>
          <w:szCs w:val="21"/>
        </w:rPr>
      </w:pPr>
      <w:r>
        <w:rPr>
          <w:rFonts w:hint="default" w:ascii="Cambria" w:hAnsi="Cambria" w:eastAsia="仿宋" w:cs="Cambria"/>
          <w:b/>
          <w:bCs/>
          <w:sz w:val="21"/>
          <w:szCs w:val="21"/>
        </w:rPr>
        <w:t>3.3 Relationship with non-mandatory national standards, international standards and group standards, and explanation of the basis for modifications</w:t>
      </w:r>
    </w:p>
    <w:p w14:paraId="1A13AC91">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This standard is based on GB/Z 40893.3—2021 Technical operation specifications of traditional Chinese medicine — Pediatrics — Part 3: Pediatric acupuncture and moxibustion therapy. Through expert questionnaire survey, expert consultation and international benchmarking, certain content was systematically optimized and technically refined. The above modifications do not constitute substantive changes to the technical connotation. Rather, on the premise of maintaining consistency with the core framework and basic principles of the original standard, they enhance its international generalizability and operational safety.</w:t>
      </w:r>
    </w:p>
    <w:p w14:paraId="393D4521">
      <w:pPr>
        <w:spacing w:line="276" w:lineRule="auto"/>
        <w:ind w:firstLine="422" w:firstLineChars="200"/>
        <w:rPr>
          <w:rFonts w:hint="default" w:ascii="Cambria" w:hAnsi="Cambria" w:eastAsia="仿宋" w:cs="Cambria"/>
          <w:b/>
          <w:bCs/>
          <w:sz w:val="21"/>
          <w:szCs w:val="21"/>
        </w:rPr>
      </w:pPr>
      <w:r>
        <w:rPr>
          <w:rFonts w:hint="default" w:ascii="Cambria" w:hAnsi="Cambria" w:eastAsia="仿宋" w:cs="Cambria"/>
          <w:b/>
          <w:bCs/>
          <w:sz w:val="21"/>
          <w:szCs w:val="21"/>
        </w:rPr>
        <w:t>3.3.1 Adoption of expressions from other national standards to standardize terminology and core operations</w:t>
      </w:r>
    </w:p>
    <w:p w14:paraId="3DA4AE3F">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For most technical definitions and basic operations, expert opinions tended to support adopting provisions from other national standards with more classical or commonly accepted wording, so as to achieve consistency within the standard system.</w:t>
      </w:r>
    </w:p>
    <w:p w14:paraId="0E818B6F">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Standardization of terms and definitions: Examples include “deqi” (adopting the classical definition in GB/T 21709.20, mean value 0.88, with a high degree of consensus), “fainting during acupuncture” (adopting the definition in GB/T 33415, mean value 0.62), “fingernail-pressing needle insertion method” (replacing “finger-pressing needle insertion method”, mean value 0.55), “transverse insertion” (replacing “horizontal insertion”, mean value 0.50, equal to the option of “retaining the original wording”; adopted based on coordination), and “guide-tube needle insertion method” (replacing “needle-tube insertion method”, mean value 0.68).</w:t>
      </w:r>
    </w:p>
    <w:p w14:paraId="79173EB1">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Standardization of operation descriptions: For most basic filiform needle manipulations, such as the stroking method, rocking method, flying method, vibrating method and simple reinforcing and reducing manipulations, as well as the three-edge needle bloodletting method, experts tended to support retaining the detailed descriptions in the 2021 national standard. However, for needle withdrawal, the three-edge needle scattered pricking method and some needle insertion methods, including clamping, stretching and pinching methods, the mean values of the options fluctuated around 0.50, indicating a relatively low degree of consensus and the need for comprehensive judgment. For ginger-partitioned moxibustion, salt-partitioned moxibustion and aconite-cake-partitioned moxibustion, expert opinions tended to support retaining the pediatric-specific descriptions in the 2021 national standard.</w:t>
      </w:r>
    </w:p>
    <w:p w14:paraId="241669EE">
      <w:pPr>
        <w:spacing w:line="276" w:lineRule="auto"/>
        <w:ind w:firstLine="422" w:firstLineChars="200"/>
        <w:rPr>
          <w:rFonts w:hint="default" w:ascii="Cambria" w:hAnsi="Cambria" w:eastAsia="仿宋" w:cs="Cambria"/>
          <w:b/>
          <w:bCs/>
          <w:sz w:val="21"/>
          <w:szCs w:val="21"/>
        </w:rPr>
      </w:pPr>
      <w:r>
        <w:rPr>
          <w:rFonts w:hint="default" w:ascii="Cambria" w:hAnsi="Cambria" w:eastAsia="仿宋" w:cs="Cambria"/>
          <w:b/>
          <w:bCs/>
          <w:sz w:val="21"/>
          <w:szCs w:val="21"/>
        </w:rPr>
        <w:t>3.3.2 Retention and optimization of the 2021 national standard to preserve pediatric specificity</w:t>
      </w:r>
    </w:p>
    <w:p w14:paraId="4E2D351F">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For many operational details reflecting pediatric characteristics, expert consensus clearly supported retaining or optimizing the original standard content rather than fully generalizing it.</w:t>
      </w:r>
    </w:p>
    <w:p w14:paraId="5F92FABD">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Pediatric-specific descriptions: Examples include the duration of needle retention, for which the original age-stratified description was adopted; position selection, for which the original descriptions for both the child patient and the practitioner were adopted; and needle selection, where the use of small-sized three-edge needles is emphasized in pediatrics.</w:t>
      </w:r>
    </w:p>
    <w:p w14:paraId="079E8EC0">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Refinement of safety parameters: For example, for the depth of three-edge needle pricking, the broader and safer range of “0.5 mm to 5 mm”, proposed on the basis of pediatric clinical research, was adopted.</w:t>
      </w:r>
    </w:p>
    <w:p w14:paraId="57C0C9F4">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Clarification of contraindications: For contraindications to needling when the fontanelle has not yet closed, the wording was optimized to “acupoints near the fontanelle are not appropriate for needling” (adopting the expression in GB/T 21709.20, mean value 0.74), which is more operable than the original wording “acupoints on the top of the head shall not be needled perpendicularly”.</w:t>
      </w:r>
    </w:p>
    <w:p w14:paraId="1A646DE1">
      <w:pPr>
        <w:spacing w:line="276" w:lineRule="auto"/>
        <w:ind w:firstLine="422" w:firstLineChars="200"/>
        <w:rPr>
          <w:rFonts w:hint="default" w:ascii="Cambria" w:hAnsi="Cambria" w:eastAsia="仿宋" w:cs="Cambria"/>
          <w:b/>
          <w:bCs/>
          <w:sz w:val="21"/>
          <w:szCs w:val="21"/>
        </w:rPr>
      </w:pPr>
      <w:r>
        <w:rPr>
          <w:rFonts w:hint="default" w:ascii="Cambria" w:hAnsi="Cambria" w:eastAsia="仿宋" w:cs="Cambria"/>
          <w:b/>
          <w:bCs/>
          <w:sz w:val="21"/>
          <w:szCs w:val="21"/>
        </w:rPr>
        <w:t>3.3.3 Updating technical parameters and prescriptions based on new evidence and consensus</w:t>
      </w:r>
    </w:p>
    <w:p w14:paraId="7D55A224">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For adjustment of moxibustion duration, taking into account children’s tolerance, the shorter duration of “3 min to 10 min per acupoint” was adopted, replacing the original “5 min to 30 min”.</w:t>
      </w:r>
    </w:p>
    <w:p w14:paraId="6DF2E9AF">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Supplementation of needle specifications: Finer filiform needle specifications, namely No. 34 and No. 36, were added in the annex to meet the clinical need for minimally invasive needles in pediatrics.</w:t>
      </w:r>
    </w:p>
    <w:p w14:paraId="18646B8E">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Modernization of prescriptions: In view of animal protection regulations, the deletion of pangolin scales from the prescription of Lei Huo Shen Zhen was adopted with a very high degree of consensus, and the optimized prescription in GB/T 21709.1 was referenced.</w:t>
      </w:r>
    </w:p>
    <w:p w14:paraId="6844B400">
      <w:pPr>
        <w:spacing w:line="276" w:lineRule="auto"/>
        <w:ind w:firstLine="422" w:firstLineChars="200"/>
        <w:rPr>
          <w:rFonts w:hint="default" w:ascii="Cambria" w:hAnsi="Cambria" w:eastAsia="仿宋" w:cs="Cambria"/>
          <w:b/>
          <w:bCs/>
          <w:sz w:val="21"/>
          <w:szCs w:val="21"/>
        </w:rPr>
      </w:pPr>
      <w:r>
        <w:rPr>
          <w:rFonts w:hint="default" w:ascii="Cambria" w:hAnsi="Cambria" w:eastAsia="仿宋" w:cs="Cambria"/>
          <w:b/>
          <w:bCs/>
          <w:sz w:val="21"/>
          <w:szCs w:val="21"/>
        </w:rPr>
        <w:t>3.3.4 Integrating opinions from multiple sources to form optimal technical descriptions</w:t>
      </w:r>
    </w:p>
    <w:p w14:paraId="5846EDA2">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For items with complex options or divergent expert opinions, a strategy of integrating the strengths of multiple sources was adopted. The consensus on pressing moxibustion was low. In combination with expert opinions, it was decided to integrate the strengths of different standards to form a more detailed and safer operational description. For the treatment course of Si Feng (EX-UE 10) pricking therapy, experts showed a greater preference for the more flexible treatment course scheme in the “14th Five-Year Plan” textbook Pediatric Chinese Medicine. Therefore, adaptive modification was made as follows: “Si Feng (EX-UE 10) pricking therapy may be performed once to twice weekly. In severe cases, it may be performed once every other day. After the condition improves, the frequency may be reduced to once weekly, once every 10 days or once every 15 days. The total number of treatments shall not exceed 10.”</w:t>
      </w:r>
    </w:p>
    <w:p w14:paraId="28744F7B">
      <w:pPr>
        <w:spacing w:line="276" w:lineRule="auto"/>
        <w:ind w:firstLine="422" w:firstLineChars="200"/>
        <w:rPr>
          <w:rFonts w:hint="default" w:ascii="Cambria" w:hAnsi="Cambria" w:eastAsia="仿宋" w:cs="Cambria"/>
          <w:b/>
          <w:bCs/>
          <w:sz w:val="21"/>
          <w:szCs w:val="21"/>
        </w:rPr>
      </w:pPr>
      <w:r>
        <w:rPr>
          <w:rFonts w:hint="default" w:ascii="Cambria" w:hAnsi="Cambria" w:eastAsia="仿宋" w:cs="Cambria"/>
          <w:b/>
          <w:bCs/>
          <w:sz w:val="21"/>
          <w:szCs w:val="21"/>
        </w:rPr>
        <w:t>3.4 Relationship with disease classification and clinical diagnosis and treatment guideline documents</w:t>
      </w:r>
    </w:p>
    <w:p w14:paraId="39B796EE">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WHO ICD-11 codes are used for disease classification and for guiding diagnostic and therapeutic principles and treatment strategies. This standard mainly involves diseases applicable to indirect moxibustion operations. Documents such as Clinical Guidelines for Diagnosis and Treatment in TCM Pediatrics were used mainly as background and reference bases and were not directly cited in this standard. They do not directly regulate the specific operation techniques of pediatric acupuncture and moxibustion in TCM pediatrics.</w:t>
      </w:r>
    </w:p>
    <w:p w14:paraId="5BAD6DF0">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This standard is not premised on the diagnosis of specific diseases and does not prescribe treatment regimens. It maintains the independence and general applicability of a technical operation specification.</w:t>
      </w:r>
    </w:p>
    <w:p w14:paraId="2804BF97">
      <w:pPr>
        <w:spacing w:line="276" w:lineRule="auto"/>
        <w:ind w:firstLine="422" w:firstLineChars="200"/>
        <w:rPr>
          <w:rFonts w:hint="default" w:ascii="Cambria" w:hAnsi="Cambria" w:eastAsia="仿宋" w:cs="Cambria"/>
          <w:b/>
          <w:bCs/>
          <w:sz w:val="21"/>
          <w:szCs w:val="21"/>
        </w:rPr>
      </w:pPr>
      <w:r>
        <w:rPr>
          <w:rFonts w:hint="default" w:ascii="Cambria" w:hAnsi="Cambria" w:eastAsia="仿宋" w:cs="Cambria"/>
          <w:b/>
          <w:bCs/>
          <w:sz w:val="21"/>
          <w:szCs w:val="21"/>
        </w:rPr>
        <w:t>3.5 Principles for application and coordination of the standard</w:t>
      </w:r>
    </w:p>
    <w:p w14:paraId="6AFFB477">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This standard is positioned as a technical operation specification for pediatric acupuncture and moxibustion in TCM pediatrics. It does not involve disease diagnosis, evaluation of therapeutic efficacy, or the selection of specific prescriptions and medicines. During implementation of the standard, the principles of priority of laws and regulations, priority of mandatory standards, and priority of local management shall be followed. Under the premise of compliance with the above conditions, this standard may serve as a technical reference document for clinical practice, teaching, scientific research and international exchange in TCM pediatrics.</w:t>
      </w:r>
    </w:p>
    <w:p w14:paraId="59F12E6C">
      <w:pPr>
        <w:pStyle w:val="2"/>
        <w:spacing w:before="312" w:beforeLines="100" w:after="312" w:afterLines="100"/>
        <w:ind w:firstLineChars="200"/>
        <w:rPr>
          <w:rFonts w:hint="default" w:ascii="Cambria" w:hAnsi="Cambria" w:eastAsia="黑体" w:cs="Cambria"/>
          <w:b/>
          <w:bCs/>
          <w:color w:val="auto"/>
          <w:sz w:val="24"/>
          <w:szCs w:val="24"/>
        </w:rPr>
      </w:pPr>
      <w:bookmarkStart w:id="31" w:name="_Toc24155"/>
      <w:r>
        <w:rPr>
          <w:rFonts w:hint="default" w:ascii="Cambria" w:hAnsi="Cambria" w:eastAsia="黑体" w:cs="Cambria"/>
          <w:b/>
          <w:bCs/>
          <w:color w:val="auto"/>
          <w:sz w:val="24"/>
          <w:szCs w:val="24"/>
          <w:lang w:eastAsia="zh-CN"/>
        </w:rPr>
        <w:t>I</w:t>
      </w:r>
      <w:r>
        <w:rPr>
          <w:rFonts w:hint="default" w:ascii="Cambria" w:hAnsi="Cambria" w:eastAsia="黑体" w:cs="Cambria"/>
          <w:b/>
          <w:bCs/>
          <w:color w:val="auto"/>
          <w:sz w:val="24"/>
          <w:szCs w:val="24"/>
          <w:lang w:val="en-US" w:eastAsia="zh-CN"/>
        </w:rPr>
        <w:t>V</w:t>
      </w:r>
      <w:r>
        <w:rPr>
          <w:rFonts w:hint="default" w:ascii="Cambria" w:hAnsi="Cambria" w:eastAsia="黑体" w:cs="Cambria"/>
          <w:b/>
          <w:bCs/>
          <w:color w:val="auto"/>
          <w:sz w:val="24"/>
          <w:szCs w:val="24"/>
        </w:rPr>
        <w:t xml:space="preserve"> Process and basis for handling major comments</w:t>
      </w:r>
      <w:bookmarkEnd w:id="31"/>
    </w:p>
    <w:p w14:paraId="485C0EBD">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During the transformation of GB/Z 40893.3—2021 Technical operation specifications of traditional Chinese medicine — Pediatrics — Part 3: Pediatric acupuncture and moxibustion therapy from a national standard into an international organization standard, the project working group focused on key issues such as the technical content, scope of application and safety of the standard. It successively carried out an expert questionnaire survey, expert consultation meeting and review by the expert advisory group. Major comments raised by experts were systematically reviewed, centrally analyzed and handled in a standardized manner, leading to the formation of the final text of this standard. The handling process and basis for the relevant comments are explained as follows.</w:t>
      </w:r>
    </w:p>
    <w:p w14:paraId="58D7B947">
      <w:pPr>
        <w:spacing w:line="276" w:lineRule="auto"/>
        <w:ind w:firstLine="422" w:firstLineChars="200"/>
        <w:rPr>
          <w:rFonts w:hint="default" w:ascii="Cambria" w:hAnsi="Cambria" w:eastAsia="仿宋" w:cs="Cambria"/>
          <w:b/>
          <w:bCs/>
          <w:sz w:val="21"/>
          <w:szCs w:val="21"/>
        </w:rPr>
      </w:pPr>
      <w:r>
        <w:rPr>
          <w:rFonts w:hint="default" w:ascii="Cambria" w:hAnsi="Cambria" w:eastAsia="仿宋" w:cs="Cambria"/>
          <w:b/>
          <w:bCs/>
          <w:sz w:val="21"/>
          <w:szCs w:val="21"/>
        </w:rPr>
        <w:t>4.1 Summary and handling of comments from the expert questionnaire survey</w:t>
      </w:r>
    </w:p>
    <w:p w14:paraId="3FFB556D">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On the basis of literature research and the original national standard, the project working group organized an expert questionnaire survey to extensively solicit opinions from experts in TCM pediatrics and related fields in China and other countries on the provisions of International standardized manipulations of Chinese medicine — Pediatrics — Part 3: Acupuncture and Moxibustion. The questionnaire included items concerning terms and definitions, technical operating procedures, precautions and contraindications, together with open-ended questions for collecting expert comments.</w:t>
      </w:r>
    </w:p>
    <w:p w14:paraId="07905016">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A total of 34 questionnaires were distributed, and 34 valid responses were collected, with an expert response rate of 100%. The participating experts came from multiple countries and regions, including the Chinese mainland, Macao, China, Taiwan, China, Singapore, Malaysia, Australia, Viet Nam and Canada, and therefore had a high level of authority and international representativeness. According to the established statistical and handling principles, the expert comments were systematically analyzed and classified. The details are as follows.</w:t>
      </w:r>
    </w:p>
    <w:p w14:paraId="3DCC7BCB">
      <w:pPr>
        <w:spacing w:line="276" w:lineRule="auto"/>
        <w:ind w:firstLine="422" w:firstLineChars="200"/>
        <w:rPr>
          <w:rFonts w:hint="default" w:ascii="Cambria" w:hAnsi="Cambria" w:eastAsia="仿宋" w:cs="Cambria"/>
          <w:b/>
          <w:bCs/>
          <w:sz w:val="21"/>
          <w:szCs w:val="21"/>
        </w:rPr>
      </w:pPr>
      <w:r>
        <w:rPr>
          <w:rFonts w:hint="default" w:ascii="Cambria" w:hAnsi="Cambria" w:eastAsia="仿宋" w:cs="Cambria"/>
          <w:b/>
          <w:bCs/>
          <w:sz w:val="21"/>
          <w:szCs w:val="21"/>
        </w:rPr>
        <w:t>4.1.1 Comments with a relatively high level of consensus and their handling</w:t>
      </w:r>
    </w:p>
    <w:p w14:paraId="3E2C2F79">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According to the statistical method, where an option received support from more than 50% of the experts, with a rank sum greater than half of the total number of responses, it was classified as an expert consensus opinion. In principle, the project working group adopted such opinions and made corresponding revisions or improvements to the provisions of the standard accordingly.</w:t>
      </w:r>
    </w:p>
    <w:p w14:paraId="445D1459">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The opinions with a relatively high level of expert agreement mainly focused on the following aspects.</w:t>
      </w:r>
    </w:p>
    <w:p w14:paraId="36D55F01">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First, standardized expression of terms and definitions related to acupuncture and moxibustion operations. Experts agreed to improve the basic definitions of “deqi”, “fainting during acupuncture”, “needle retention”, “perpendicular insertion”, “oblique insertion” and “horizontal insertion”. Meanwhile, according to expert recommendations, the names of needle insertion methods were standardized, such as changing “finger-pressing needle insertion method” to “fingernail-pressing needle insertion method”, and changing “needle-tube insertion method” to “guide-tube needle insertion method”. The definitions of clamping, stretching and pinching needle insertion methods were also unified.</w:t>
      </w:r>
    </w:p>
    <w:p w14:paraId="14B0B173">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Second, refinement and optimization of clinical operating procedures. For auxiliary filiform needle manipulations, including the stroking method, scraping method, rocking method, flying method and vibrating method, as well as simple reinforcing and reducing manipulations, expert consensus tended to support retaining or optimizing the wording of the original national standard. In addition, the operating procedures for three-edge needle pricking, bloodletting and scattered pricking methods, as well as indirect moxibustion methods such as ginger-partitioned moxibustion, salt-partitioned moxibustion and aconite-cake-partitioned moxibustion, were supplemented and clarified.</w:t>
      </w:r>
    </w:p>
    <w:p w14:paraId="071E4E0D">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Third, strengthening the specificity and safety of pediatric acupuncture and moxibustion operations. Taking into account children’s constitution, experts reached a high level of consensus on the “treatment course for Si Feng (EX-UE 10) pricking therapy” and the “treatment time and treatment course for moxibustion”. They also particularly emphasized the safety requirement that “when the fontanelle of the child patient has not yet closed, acupoints near the fontanelle are not appropriate for needling”. For medicinal moxa stick moxibustion, the medicinal composition and preparation process of Lei Huo Shen Zhen were clarified.</w:t>
      </w:r>
    </w:p>
    <w:p w14:paraId="5BB0A451">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Fourth, deletion of inapplicable descriptions, such as deleting “calculation of bleeding volume in three-edge needle therapy”, “yellow-earth-partitioned moxibustion” and “pepper-cake-partitioned moxibustion”.</w:t>
      </w:r>
    </w:p>
    <w:p w14:paraId="6AC3025B">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Fifth, improvement of the completeness and rigor of the standard structure. A high proportion of experts, with a support rate of more than 90%, agreed to revise the sections including “Scope”, “Normative references”, “acupoint selection” and “post-procedural management”. At the same time, the technical points and operating details of the technically difficult “setting-the-mountain-on-fire method” and “penetrating-heaven-coolness method” were further improved, and detailed descriptions of suspended moxibustion, especially mild moxibustion, were added.</w:t>
      </w:r>
    </w:p>
    <w:p w14:paraId="2BEDDB32">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Sixth, deletion of obsolete descriptions that were no longer applicable. The expert group decided to delete content that was no longer applicable or was rarely used in current clinical practice, including “calculation of bleeding volume in three-edge needle therapy”, “yellow-earth-partitioned moxibustion” and “pepper-cake-partitioned moxibustion”, so as to ensure the practicality of the standard.</w:t>
      </w:r>
    </w:p>
    <w:p w14:paraId="0C776B82">
      <w:pPr>
        <w:spacing w:line="276" w:lineRule="auto"/>
        <w:ind w:firstLine="422" w:firstLineChars="200"/>
        <w:rPr>
          <w:rFonts w:hint="default" w:ascii="Cambria" w:hAnsi="Cambria" w:eastAsia="仿宋" w:cs="Cambria"/>
          <w:b/>
          <w:bCs/>
          <w:sz w:val="21"/>
          <w:szCs w:val="21"/>
        </w:rPr>
      </w:pPr>
      <w:r>
        <w:rPr>
          <w:rFonts w:hint="default" w:ascii="Cambria" w:hAnsi="Cambria" w:eastAsia="仿宋" w:cs="Cambria"/>
          <w:b/>
          <w:bCs/>
          <w:sz w:val="21"/>
          <w:szCs w:val="21"/>
        </w:rPr>
        <w:t>4.1.2 Comments with disagreement and the handling principles</w:t>
      </w:r>
    </w:p>
    <w:p w14:paraId="14C97694">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In the questionnaire survey, some items had similar levels of support across different options and did not form an obvious majority opinion. These mainly focused on the following aspects.</w:t>
      </w:r>
    </w:p>
    <w:p w14:paraId="7EB12205">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First, definitions and details of acupuncture operations, including the naming and definition of horizontal insertion and the flicking manipulation, namely flicking and tapping the needle handle.</w:t>
      </w:r>
    </w:p>
    <w:p w14:paraId="7FCC15FB">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Second, operating procedures and precautions for moxibustion, including the operating procedures for pressing moxibustion and post-procedural care after moxibustion.</w:t>
      </w:r>
    </w:p>
    <w:p w14:paraId="73F7BF49">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For the above disputed items, the project working group did not simply decide on adoption or rejection based on vote counts. Instead, it summarized and organized the relevant statistical results, the contents of different options and the written expert comments. The project group then preliminarily integrated and absorbed reasonable content from different sources of specifications, including national standards, international organization standards and group standards, and formed comprehensive expressions that took both safety and operability into account. These were submitted together to the expert consultation meeting as key issues for discussion.</w:t>
      </w:r>
    </w:p>
    <w:p w14:paraId="2CF0F17A">
      <w:pPr>
        <w:spacing w:line="276" w:lineRule="auto"/>
        <w:ind w:firstLine="422" w:firstLineChars="200"/>
        <w:rPr>
          <w:rFonts w:hint="default" w:ascii="Cambria" w:hAnsi="Cambria" w:eastAsia="仿宋" w:cs="Cambria"/>
          <w:b/>
          <w:bCs/>
          <w:sz w:val="21"/>
          <w:szCs w:val="21"/>
        </w:rPr>
      </w:pPr>
      <w:r>
        <w:rPr>
          <w:rFonts w:hint="default" w:ascii="Cambria" w:hAnsi="Cambria" w:eastAsia="仿宋" w:cs="Cambria"/>
          <w:b/>
          <w:bCs/>
          <w:sz w:val="21"/>
          <w:szCs w:val="21"/>
        </w:rPr>
        <w:t>4.1.3 Handling of open-ended comments</w:t>
      </w:r>
    </w:p>
    <w:p w14:paraId="087DD16C">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First, technical parameters were supplemented and improved. Expert recommendations were adopted by adding the specifications of three-edge needles in the annex, namely large size Φ2.6 mm and small size Φ1.6 mm, filling the gap in domestic and overseas standards regarding the dimensions of three-edge needles. At the same time, the definition of a modern moxibustion device was introduced, reflecting the synchronization of the standard with new clinical technologies.</w:t>
      </w:r>
    </w:p>
    <w:p w14:paraId="08F1736F">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Second, terms, definitions and medicinal descriptions were standardized. In response to comments on medicines used for moxibustion sores, the relevant standard provisions had already been adjusted to “management with the assistance of a surgeon”. Therefore, the relevant medicinal descriptions were optimized as needed, and the disputed content was no longer retained.</w:t>
      </w:r>
    </w:p>
    <w:p w14:paraId="625EA680">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Third, internationalized expressions were optimized. Expert suggestions on the English title were adopted, and the official English title in the WFCMS project approval notice was finally used, so as to ensure academic standardization.</w:t>
      </w:r>
    </w:p>
    <w:p w14:paraId="563CFF1B">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In summary, the comments from the expert questionnaire survey provided an important basis for the revision of this standard. On the basis of fully respecting expert consensus, the project working group adopted a prudent handling strategy for disputed and open-ended issues, thereby laying a solid foundation for the subsequent expert consultation meeting and review by the expert advisory group.</w:t>
      </w:r>
    </w:p>
    <w:p w14:paraId="224579BC">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For details, see Attachment 1, Report on the Expert Questionnaire Survey.</w:t>
      </w:r>
    </w:p>
    <w:p w14:paraId="25B40BCB">
      <w:pPr>
        <w:spacing w:line="276" w:lineRule="auto"/>
        <w:ind w:firstLine="422" w:firstLineChars="200"/>
        <w:rPr>
          <w:rFonts w:hint="default" w:ascii="Cambria" w:hAnsi="Cambria" w:eastAsia="仿宋" w:cs="Cambria"/>
          <w:b/>
          <w:bCs/>
          <w:sz w:val="21"/>
          <w:szCs w:val="21"/>
        </w:rPr>
      </w:pPr>
      <w:r>
        <w:rPr>
          <w:rFonts w:hint="default" w:ascii="Cambria" w:hAnsi="Cambria" w:eastAsia="仿宋" w:cs="Cambria"/>
          <w:b/>
          <w:bCs/>
          <w:sz w:val="21"/>
          <w:szCs w:val="21"/>
        </w:rPr>
        <w:t>4.2 Centralized explanation and handling of comments from the expert consultation meeting</w:t>
      </w:r>
    </w:p>
    <w:p w14:paraId="38F58CB9">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After completing the summary of comments from the expert questionnaire survey, the project working group held the expert consultation meeting for International standardized manipulations of Chinese medicine — Pediatrics — Part 3: Acupuncture and Moxibustion on 3 December 2025. The participants included invited experts for the consultation meeting and members of the project group, including authoritative experts such as former chairpersons of the Pediatrics Branch of the China Association of Chinese Medicine and the President of the Pediatrics Specialty Committee of WFCMS. The meeting was conducted through a combination of offline and online participation, and focused on centralized consultation and decision-making concerning key technical issues and disputed items involved in transforming the national standard into a WFCMS international organization standard.</w:t>
      </w:r>
    </w:p>
    <w:p w14:paraId="35C301F9">
      <w:pPr>
        <w:spacing w:line="276" w:lineRule="auto"/>
        <w:ind w:firstLine="422" w:firstLineChars="200"/>
        <w:rPr>
          <w:rFonts w:hint="default" w:ascii="Cambria" w:hAnsi="Cambria" w:eastAsia="仿宋" w:cs="Cambria"/>
          <w:b/>
          <w:bCs/>
          <w:sz w:val="21"/>
          <w:szCs w:val="21"/>
        </w:rPr>
      </w:pPr>
      <w:r>
        <w:rPr>
          <w:rFonts w:hint="default" w:ascii="Cambria" w:hAnsi="Cambria" w:eastAsia="仿宋" w:cs="Cambria"/>
          <w:b/>
          <w:bCs/>
          <w:sz w:val="21"/>
          <w:szCs w:val="21"/>
        </w:rPr>
        <w:t>4.2.1 Working mode and positioning of the consultation meeting</w:t>
      </w:r>
    </w:p>
    <w:p w14:paraId="6D555250">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To improve meeting efficiency and ensure that expert opinions were expressed fully and objectively, this expert consultation meeting did not conduct on-site voting or detailed consultation on every disputed item one by one. Instead, it adopted a working mode of “full preparation before the meeting, focused explanation during the meeting, and quantitative decision-making after the meeting”.</w:t>
      </w:r>
    </w:p>
    <w:p w14:paraId="341FF090">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Before the meeting, the project working group sent complete consultation materials to all experts, including the summary report of the expert questionnaire survey, the letter for solicitation of comments for the expert consultation meeting, which listed four core disputed items, open-ended questions and integrated recommendations from the project group, and the text of the original national standard. The experts had independently reviewed the disputed items before the meeting and made preliminary judgments on each item. The main task of the consultation meeting was for the project working group to provide a centralized explanation of the disputed issues, different revision options and their technical background, and to clarify the technical points, sources of disagreement and possible handling directions for each item. This provided a common basis of understanding for the experts’ independent scoring and written feedback after the meeting.</w:t>
      </w:r>
    </w:p>
    <w:p w14:paraId="16614F3F">
      <w:pPr>
        <w:spacing w:line="276" w:lineRule="auto"/>
        <w:ind w:firstLine="422" w:firstLineChars="200"/>
        <w:rPr>
          <w:rFonts w:hint="default" w:ascii="Cambria" w:hAnsi="Cambria" w:eastAsia="仿宋" w:cs="Cambria"/>
          <w:b/>
          <w:bCs/>
          <w:sz w:val="21"/>
          <w:szCs w:val="21"/>
        </w:rPr>
      </w:pPr>
      <w:r>
        <w:rPr>
          <w:rFonts w:hint="default" w:ascii="Cambria" w:hAnsi="Cambria" w:eastAsia="仿宋" w:cs="Cambria"/>
          <w:b/>
          <w:bCs/>
          <w:sz w:val="21"/>
          <w:szCs w:val="21"/>
        </w:rPr>
        <w:t>4.2.2 Formation and collection of expert opinions</w:t>
      </w:r>
    </w:p>
    <w:p w14:paraId="14655A15">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During the meeting, experts conducted directional exchanges and principled discussions on some key issues. After discussion, the meeting unanimously decided to revise relevant content in order to enhance the practicality and safety of the standard.</w:t>
      </w:r>
    </w:p>
    <w:p w14:paraId="122ED49E">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The meeting did not form on-site resolutions for each disputed item. After the meeting, the project working group, in accordance with the established procedure, uniformly collected the completed letters for solicitation of comments from the experts. In the letters, experts provided quantitative scores for each disputed item, indicating whether it was mandatory or optional, and attached written revision comments. This formed a complete, statistically analyzable and traceable set of expert opinion data.</w:t>
      </w:r>
    </w:p>
    <w:p w14:paraId="321A1BCC">
      <w:pPr>
        <w:spacing w:line="276" w:lineRule="auto"/>
        <w:ind w:firstLine="422" w:firstLineChars="200"/>
        <w:rPr>
          <w:rFonts w:hint="default" w:ascii="Cambria" w:hAnsi="Cambria" w:eastAsia="仿宋" w:cs="Cambria"/>
          <w:b/>
          <w:bCs/>
          <w:sz w:val="21"/>
          <w:szCs w:val="21"/>
        </w:rPr>
      </w:pPr>
      <w:r>
        <w:rPr>
          <w:rFonts w:hint="default" w:ascii="Cambria" w:hAnsi="Cambria" w:eastAsia="仿宋" w:cs="Cambria"/>
          <w:b/>
          <w:bCs/>
          <w:sz w:val="21"/>
          <w:szCs w:val="21"/>
        </w:rPr>
        <w:t>4.2.3 Statistical analysis and handling principles for post-meeting expert opinions</w:t>
      </w:r>
    </w:p>
    <w:p w14:paraId="15F728E2">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After the meeting, the project working group systematically organized and statistically analyzed the returned letters for solicitation of comments, using them as an important basis for decision-making in this standard revision.</w:t>
      </w:r>
    </w:p>
    <w:p w14:paraId="10E133C4">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The handling principles were as follows: for items with a clearly high support rate and generally consistent expert opinions, the corresponding revision recommendations were directly adopted; for items with a small number of differing opinions but no impact on technical safety or the positioning of the standard, the wording was optimized in combination with written expert comments; for items with insufficient support or involving technical immaturity or insufficient evidence, inclusion in the text for this standard transformation was, in principle, deferred.</w:t>
      </w:r>
    </w:p>
    <w:p w14:paraId="5CEC5E0C">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Through the above approach, the expert consultation meeting fully played the role of collective expert wisdom. The standard revision therefore reflected expert consensus while maintaining the scientific validity and standardization of the decision-making process. After expert consultation, the experts unanimously considered that the overall technical scheme of this standard was mature, the direction of revision was clear, and the text could serve as the basis for transformation into an international organization standard.</w:t>
      </w:r>
    </w:p>
    <w:p w14:paraId="6A5537A3">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For details, see Attachment 2, Minutes of the Expert Consultation Meeting.</w:t>
      </w:r>
    </w:p>
    <w:p w14:paraId="7310D172">
      <w:pPr>
        <w:spacing w:line="276" w:lineRule="auto"/>
        <w:ind w:firstLine="422" w:firstLineChars="200"/>
        <w:rPr>
          <w:rFonts w:hint="default" w:ascii="Cambria" w:hAnsi="Cambria" w:eastAsia="仿宋" w:cs="Cambria"/>
          <w:b/>
          <w:bCs/>
          <w:sz w:val="21"/>
          <w:szCs w:val="21"/>
        </w:rPr>
      </w:pPr>
      <w:r>
        <w:rPr>
          <w:rFonts w:hint="default" w:ascii="Cambria" w:hAnsi="Cambria" w:eastAsia="仿宋" w:cs="Cambria"/>
          <w:b/>
          <w:bCs/>
          <w:sz w:val="21"/>
          <w:szCs w:val="21"/>
        </w:rPr>
        <w:t>4.3 Review by the expert advisory group</w:t>
      </w:r>
    </w:p>
    <w:p w14:paraId="6E8D72B9">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After completing the handling of comments from the expert questionnaire survey and the expert consultation meeting, the project working group formed the initial draft of International standardized manipulations of Chinese medicine — Pediatrics — Part 3: Acupuncture and Moxibustion based on expert consensus. The draft, together with the explanatory notes on the development of the standard and summary materials of expert comments, was submitted to the expert advisory group for review.</w:t>
      </w:r>
    </w:p>
    <w:p w14:paraId="09D8C800">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The expert advisory group conducted an overall review and quality control of the revised draft of the standard from the perspectives of standard positioning, technical boundaries, textual standardization and feasibility of international transformation. In response to comments raised during the review, the project working group studied and implemented them item by item. The relevant revisions did not involve substantive adjustments to technical content, but further improved the completeness, rigor and readability of the standard.</w:t>
      </w:r>
    </w:p>
    <w:p w14:paraId="385C492C">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On the basis of fully incorporating the review comments of the expert advisory group, the project working group made final revisions to the draft standard text and the explanatory notes on the development of the standard, forming the finalized text of this standard and laying the foundation for the subsequent approval procedures for an international organization standard.</w:t>
      </w:r>
    </w:p>
    <w:p w14:paraId="66B6BA7B">
      <w:pPr>
        <w:pStyle w:val="2"/>
        <w:spacing w:before="312" w:beforeLines="100" w:after="312" w:afterLines="100"/>
        <w:ind w:firstLineChars="200"/>
        <w:rPr>
          <w:rFonts w:hint="default" w:ascii="Cambria" w:hAnsi="Cambria" w:eastAsia="黑体" w:cs="Cambria"/>
          <w:b/>
          <w:bCs/>
          <w:color w:val="auto"/>
          <w:sz w:val="24"/>
          <w:szCs w:val="24"/>
        </w:rPr>
      </w:pPr>
      <w:bookmarkStart w:id="32" w:name="_Toc5071"/>
      <w:r>
        <w:rPr>
          <w:rFonts w:hint="default" w:ascii="Cambria" w:hAnsi="Cambria" w:eastAsia="黑体" w:cs="Cambria"/>
          <w:b/>
          <w:bCs/>
          <w:color w:val="auto"/>
          <w:sz w:val="24"/>
          <w:szCs w:val="24"/>
          <w:lang w:eastAsia="zh-CN"/>
        </w:rPr>
        <w:t>V</w:t>
      </w:r>
      <w:r>
        <w:rPr>
          <w:rFonts w:hint="default" w:ascii="Cambria" w:hAnsi="Cambria" w:eastAsia="黑体" w:cs="Cambria"/>
          <w:b/>
          <w:bCs/>
          <w:color w:val="auto"/>
          <w:sz w:val="24"/>
          <w:szCs w:val="24"/>
        </w:rPr>
        <w:t xml:space="preserve"> Recommendations on adoption as an international organization standard</w:t>
      </w:r>
      <w:bookmarkEnd w:id="32"/>
    </w:p>
    <w:p w14:paraId="0946E241">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International standardized manipulations of Chinese medicine — Pediatrics — Part 3: Acupuncture and Moxibustion, as an international organization standard issued by the World Federation of Chinese Medicine Societies, is intended to standardize technical operations related to pediatric acupuncture and moxibustion in TCM pediatric clinical practice, and to provide a technical basis that can be referenced and drawn upon for TCM pediatric diagnosis and treatment activities in different countries and regions.</w:t>
      </w:r>
    </w:p>
    <w:p w14:paraId="44C16DB3">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This standard is not mandatory. It does not serve as a basis for access to medical practice or for recognition of practice qualifications, nor does it replace the current laws and regulations, mandatory standards, or clinical diagnosis and treatment guidelines of any country or region. Its main functions are to standardize the operating procedures for pediatric acupuncture and moxibustion in TCM pediatrics, improve the safety and consistency of relevant technical operations, and provide a unified technical language and operational framework for clinical practice, teaching and training, and international exchange. In specific application, countries and regions may reasonably select and use the content of this standard in light of their own laws and regulations, medical management systems and clinical realities.</w:t>
      </w:r>
    </w:p>
    <w:p w14:paraId="2FB1E183">
      <w:pPr>
        <w:pStyle w:val="2"/>
        <w:spacing w:before="312" w:beforeLines="100" w:after="312" w:afterLines="100"/>
        <w:ind w:firstLineChars="200"/>
        <w:rPr>
          <w:rFonts w:hint="default" w:ascii="Cambria" w:hAnsi="Cambria" w:eastAsia="黑体" w:cs="Cambria"/>
          <w:b/>
          <w:bCs/>
          <w:color w:val="auto"/>
          <w:sz w:val="24"/>
          <w:szCs w:val="24"/>
        </w:rPr>
      </w:pPr>
      <w:bookmarkStart w:id="33" w:name="_Toc10111"/>
      <w:r>
        <w:rPr>
          <w:rFonts w:hint="default" w:ascii="Cambria" w:hAnsi="Cambria" w:eastAsia="黑体" w:cs="Cambria"/>
          <w:b/>
          <w:bCs/>
          <w:color w:val="auto"/>
          <w:sz w:val="24"/>
          <w:szCs w:val="24"/>
          <w:lang w:eastAsia="zh-CN"/>
        </w:rPr>
        <w:t>V</w:t>
      </w:r>
      <w:r>
        <w:rPr>
          <w:rFonts w:hint="default" w:ascii="Cambria" w:hAnsi="Cambria" w:eastAsia="黑体" w:cs="Cambria"/>
          <w:b/>
          <w:bCs/>
          <w:color w:val="auto"/>
          <w:sz w:val="24"/>
          <w:szCs w:val="24"/>
          <w:lang w:val="en-US" w:eastAsia="zh-CN"/>
        </w:rPr>
        <w:t>I</w:t>
      </w:r>
      <w:r>
        <w:rPr>
          <w:rFonts w:hint="default" w:ascii="Cambria" w:hAnsi="Cambria" w:eastAsia="黑体" w:cs="Cambria"/>
          <w:b/>
          <w:bCs/>
          <w:color w:val="auto"/>
          <w:sz w:val="24"/>
          <w:szCs w:val="24"/>
        </w:rPr>
        <w:t xml:space="preserve"> Requirements and proposed measures for implementation of the standard</w:t>
      </w:r>
      <w:bookmarkEnd w:id="33"/>
    </w:p>
    <w:p w14:paraId="2112D922">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After this standard has been reviewed, approved, issued and implemented by the World Federation of Chinese Medicine Societies, it is recommended that publicity, implementation and application be carried out through multiple channels, so as to promote its dissemination and reasonable use in the field of TCM pediatrics in China and other countries.</w:t>
      </w:r>
    </w:p>
    <w:p w14:paraId="10849943">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6.1 The World Federation of Chinese Medicine Societies may coordinate the international publicity, promotion and application of the standard, and, in light of the actual conditions of its member countries and regions, promote the use of the standard as a reference in clinical practice, teaching and scientific research in TCM pediatrics.</w:t>
      </w:r>
    </w:p>
    <w:p w14:paraId="51B2A395">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6.2 Relying on the World Federation of Chinese Medicine Societies and its Pediatrics Specialty Committee, interpretation of the standard and application training may be organized, with a focus on TCM pediatric clinicians and relevant professional and technical personnel, so as to improve understanding of the content of the standard and the principles for its application.</w:t>
      </w:r>
    </w:p>
    <w:p w14:paraId="12574CE1">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6.3 The standard may be introduced and interpreted through Chinese medicine and related medical academic conferences, thematic seminars and other forms in China and other countries, so as to promote consensus in the academic community on the standardization of pediatric acupuncture and moxibustion techniques in TCM pediatrics.</w:t>
      </w:r>
    </w:p>
    <w:p w14:paraId="340ECC7B">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6.4 The standard text, explanatory notes on the development of the standard and relevant research results may be published in academic journals and professional media, so as to expand the influence of the standard. Feedback may also be continuously collected during application to provide a basis for subsequent revision.</w:t>
      </w:r>
    </w:p>
    <w:p w14:paraId="79349892">
      <w:pPr>
        <w:pStyle w:val="2"/>
        <w:spacing w:before="312" w:beforeLines="100" w:after="312" w:afterLines="100"/>
        <w:ind w:firstLineChars="200"/>
        <w:rPr>
          <w:rFonts w:hint="default" w:ascii="Cambria" w:hAnsi="Cambria" w:eastAsia="黑体" w:cs="Cambria"/>
          <w:b/>
          <w:bCs/>
          <w:color w:val="auto"/>
          <w:sz w:val="24"/>
          <w:szCs w:val="24"/>
        </w:rPr>
      </w:pPr>
      <w:bookmarkStart w:id="34" w:name="_Toc30842"/>
      <w:r>
        <w:rPr>
          <w:rFonts w:hint="default" w:ascii="Cambria" w:hAnsi="Cambria" w:eastAsia="黑体" w:cs="Cambria"/>
          <w:b/>
          <w:bCs/>
          <w:color w:val="auto"/>
          <w:sz w:val="24"/>
          <w:szCs w:val="24"/>
          <w:lang w:eastAsia="zh-CN"/>
        </w:rPr>
        <w:t>V</w:t>
      </w:r>
      <w:r>
        <w:rPr>
          <w:rFonts w:hint="default" w:ascii="Cambria" w:hAnsi="Cambria" w:eastAsia="黑体" w:cs="Cambria"/>
          <w:b/>
          <w:bCs/>
          <w:color w:val="auto"/>
          <w:sz w:val="24"/>
          <w:szCs w:val="24"/>
          <w:lang w:val="en-US" w:eastAsia="zh-CN"/>
        </w:rPr>
        <w:t>II</w:t>
      </w:r>
      <w:r>
        <w:rPr>
          <w:rFonts w:hint="default" w:ascii="Cambria" w:hAnsi="Cambria" w:eastAsia="黑体" w:cs="Cambria"/>
          <w:b/>
          <w:bCs/>
          <w:color w:val="auto"/>
          <w:sz w:val="24"/>
          <w:szCs w:val="24"/>
        </w:rPr>
        <w:t xml:space="preserve"> Facilitating and impeding factors in application</w:t>
      </w:r>
      <w:bookmarkEnd w:id="34"/>
    </w:p>
    <w:p w14:paraId="7F273B12">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After review and release by the World Federation of Chinese Medicine Societies, this standard will be implemented as a recommended international organization standard. During application, the academic influence of the World Federation of Chinese Medicine Societies, together with multiple channels such as training, meetings and academic journals, may be used to promote dissemination and application of the standard in the field of TCM pediatrics in China and other countries.</w:t>
      </w:r>
    </w:p>
    <w:p w14:paraId="2A646A78">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At the same time, objective factors that may be encountered during the promotion and application of this standard should be fully recognized. On the one hand, different countries and regions differ in the legal status of Chinese medicine, medical management systems and clinical practice models. On the other hand, different academic schools and individual experience have long existed in the field of TCM pediatrics, and clinical operating habits are not fully consistent, which may affect the unified application of the standard to a certain extent.</w:t>
      </w:r>
    </w:p>
    <w:p w14:paraId="7B96A673">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With the continuous deepening of international exchange in Chinese medicine, the gradual formation of clinical consensus in TCM pediatrics, and increasing recognition of the concept of standardization, the acceptability and scope of application of this standard are expected to continue expanding through continuous training, demonstration application and dynamic improvement of the standard.</w:t>
      </w:r>
    </w:p>
    <w:p w14:paraId="3BD58C3E">
      <w:pPr>
        <w:pStyle w:val="2"/>
        <w:spacing w:before="312" w:beforeLines="100" w:after="312" w:afterLines="100"/>
        <w:ind w:firstLineChars="200"/>
        <w:rPr>
          <w:rFonts w:hint="default" w:ascii="Cambria" w:hAnsi="Cambria" w:eastAsia="黑体" w:cs="Cambria"/>
          <w:b/>
          <w:bCs/>
          <w:color w:val="auto"/>
          <w:sz w:val="24"/>
          <w:szCs w:val="24"/>
        </w:rPr>
      </w:pPr>
      <w:bookmarkStart w:id="35" w:name="_Toc10455"/>
      <w:r>
        <w:rPr>
          <w:rFonts w:hint="default" w:ascii="Cambria" w:hAnsi="Cambria" w:eastAsia="黑体" w:cs="Cambria"/>
          <w:b/>
          <w:bCs/>
          <w:color w:val="auto"/>
          <w:sz w:val="24"/>
          <w:szCs w:val="24"/>
          <w:lang w:eastAsia="zh-CN"/>
        </w:rPr>
        <w:t>V</w:t>
      </w:r>
      <w:r>
        <w:rPr>
          <w:rFonts w:hint="default" w:ascii="Cambria" w:hAnsi="Cambria" w:eastAsia="黑体" w:cs="Cambria"/>
          <w:b/>
          <w:bCs/>
          <w:color w:val="auto"/>
          <w:sz w:val="24"/>
          <w:szCs w:val="24"/>
          <w:lang w:val="en-US" w:eastAsia="zh-CN"/>
        </w:rPr>
        <w:t>III</w:t>
      </w:r>
      <w:r>
        <w:rPr>
          <w:rFonts w:hint="default" w:ascii="Cambria" w:hAnsi="Cambria" w:eastAsia="黑体" w:cs="Cambria"/>
          <w:b/>
          <w:bCs/>
          <w:color w:val="auto"/>
          <w:sz w:val="24"/>
          <w:szCs w:val="24"/>
        </w:rPr>
        <w:t xml:space="preserve"> Other matters requiring explanation</w:t>
      </w:r>
      <w:bookmarkEnd w:id="35"/>
    </w:p>
    <w:p w14:paraId="65015DD1">
      <w:pPr>
        <w:spacing w:line="276" w:lineRule="auto"/>
        <w:ind w:firstLine="420" w:firstLineChars="200"/>
        <w:rPr>
          <w:rFonts w:hint="default" w:ascii="Cambria" w:hAnsi="Cambria" w:eastAsia="仿宋" w:cs="Cambria"/>
          <w:sz w:val="21"/>
          <w:szCs w:val="21"/>
        </w:rPr>
      </w:pPr>
      <w:r>
        <w:rPr>
          <w:rFonts w:hint="default" w:ascii="Cambria" w:hAnsi="Cambria" w:eastAsia="仿宋" w:cs="Cambria"/>
          <w:sz w:val="21"/>
          <w:szCs w:val="21"/>
        </w:rPr>
        <w:t>In view of the development of clinical practice in TCM pediatrics and the continuous progress of relevant technical methods, it is recommended that, 3 to 5 years after the publication and implementation of this standard, a systematic evaluation be conducted in light of international application feedback, advances in clinical research and safety evidence. Supplementation, revision or updating may be carried out as appropriate, so as to maintain the scientific validity, advancement and applicability of the standard.</w:t>
      </w:r>
    </w:p>
    <w:p w14:paraId="36481B68">
      <w:pPr>
        <w:spacing w:line="276" w:lineRule="auto"/>
        <w:ind w:firstLine="420" w:firstLineChars="200"/>
        <w:rPr>
          <w:rFonts w:hint="default" w:ascii="Cambria" w:hAnsi="Cambria" w:eastAsia="仿宋" w:cs="Cambria"/>
          <w:sz w:val="21"/>
          <w:szCs w:val="21"/>
        </w:rPr>
      </w:pPr>
    </w:p>
    <w:p w14:paraId="30248789">
      <w:pPr>
        <w:spacing w:line="276" w:lineRule="auto"/>
        <w:ind w:firstLine="480" w:firstLineChars="200"/>
        <w:rPr>
          <w:rFonts w:hint="default" w:ascii="Cambria" w:hAnsi="Cambria" w:eastAsia="仿宋" w:cs="Cambria"/>
          <w:sz w:val="24"/>
          <w:szCs w:val="24"/>
        </w:rPr>
      </w:pPr>
      <w:r>
        <w:rPr>
          <w:rFonts w:hint="default" w:ascii="Cambria" w:hAnsi="Cambria" w:eastAsia="仿宋" w:cs="Cambria"/>
          <w:sz w:val="24"/>
          <w:szCs w:val="24"/>
        </w:rPr>
        <w:br w:type="page"/>
      </w:r>
    </w:p>
    <w:p w14:paraId="23F29652">
      <w:pPr>
        <w:widowControl/>
        <w:wordWrap w:val="0"/>
        <w:spacing w:before="312" w:beforeLines="100" w:after="312" w:afterLines="100" w:line="276" w:lineRule="auto"/>
        <w:ind w:firstLine="0" w:firstLineChars="0"/>
        <w:jc w:val="left"/>
        <w:outlineLvl w:val="0"/>
        <w:rPr>
          <w:rFonts w:hint="default" w:ascii="Cambria" w:hAnsi="Cambria" w:eastAsia="宋体" w:cs="Cambria"/>
          <w:b/>
          <w:kern w:val="2"/>
          <w:sz w:val="36"/>
          <w:szCs w:val="36"/>
        </w:rPr>
      </w:pPr>
      <w:bookmarkStart w:id="36" w:name="_Toc6020"/>
      <w:r>
        <w:rPr>
          <w:rFonts w:hint="default" w:ascii="Cambria" w:hAnsi="Cambria" w:eastAsia="宋体" w:cs="Cambria"/>
          <w:b/>
          <w:kern w:val="2"/>
          <w:sz w:val="36"/>
          <w:szCs w:val="36"/>
        </w:rPr>
        <w:t>Attachment 1 Report on the Expert Questionnaire Survey</w:t>
      </w:r>
      <w:bookmarkEnd w:id="36"/>
    </w:p>
    <w:p w14:paraId="58B11722">
      <w:pPr>
        <w:widowControl/>
        <w:spacing w:line="276" w:lineRule="auto"/>
        <w:ind w:firstLine="422" w:firstLineChars="200"/>
        <w:jc w:val="left"/>
        <w:rPr>
          <w:rFonts w:hint="default" w:ascii="Cambria" w:hAnsi="Cambria" w:eastAsia="仿宋" w:cs="Cambria"/>
          <w:b/>
          <w:bCs/>
          <w:kern w:val="0"/>
          <w:szCs w:val="21"/>
        </w:rPr>
      </w:pPr>
      <w:r>
        <w:rPr>
          <w:rFonts w:hint="default" w:ascii="Cambria" w:hAnsi="Cambria" w:eastAsia="仿宋" w:cs="Cambria"/>
          <w:b/>
          <w:bCs/>
          <w:kern w:val="0"/>
          <w:szCs w:val="21"/>
        </w:rPr>
        <w:t>1 Background and purpose of the survey</w:t>
      </w:r>
    </w:p>
    <w:p w14:paraId="350E0233">
      <w:pPr>
        <w:widowControl/>
        <w:spacing w:line="276" w:lineRule="auto"/>
        <w:ind w:firstLine="420" w:firstLineChars="200"/>
        <w:jc w:val="left"/>
        <w:rPr>
          <w:rFonts w:hint="default" w:ascii="Cambria" w:hAnsi="Cambria" w:eastAsia="仿宋" w:cs="Cambria"/>
          <w:kern w:val="0"/>
          <w:szCs w:val="21"/>
        </w:rPr>
      </w:pPr>
      <w:r>
        <w:rPr>
          <w:rFonts w:hint="default" w:ascii="Cambria" w:hAnsi="Cambria" w:eastAsia="仿宋" w:cs="Cambria"/>
          <w:kern w:val="0"/>
          <w:szCs w:val="21"/>
        </w:rPr>
        <w:t>The project International standardized manipulations of Chinese medicine — Pediatrics — Part 3: Acupuncture and Moxibustion originated from the project for the development and revision of international standards of the World Federation of Chinese Medicine Societies. It is based on the national standard of the People’s Republic of China, namely the guiding technical document GB/Z 40893.3—2021 Technical operation specifications of traditional Chinese medicine — Pediatrics — Part 3: Pediatric acupuncture and moxibustion therapy, and aims to transform this standard into a WFCMS international organization standard. The purpose is to further standardize the operating procedures and requirements for pediatric acupuncture and moxibustion, and to specify the precautions and contraindications. The preparation of this document aims to establish standardized operating techniques for pediatric acupuncture and moxibustion therapy, provide safe and standardized operational guidance for TCM pediatric practitioners worldwide, and promote the standardization and international application of clinical technical operations in TCM pediatrics.</w:t>
      </w:r>
    </w:p>
    <w:p w14:paraId="1016C3A6">
      <w:pPr>
        <w:widowControl/>
        <w:spacing w:line="276" w:lineRule="auto"/>
        <w:ind w:firstLine="420" w:firstLineChars="200"/>
        <w:jc w:val="left"/>
        <w:rPr>
          <w:rFonts w:hint="default" w:ascii="Cambria" w:hAnsi="Cambria" w:eastAsia="仿宋" w:cs="Cambria"/>
          <w:kern w:val="0"/>
          <w:szCs w:val="21"/>
        </w:rPr>
      </w:pPr>
      <w:r>
        <w:rPr>
          <w:rFonts w:hint="default" w:ascii="Cambria" w:hAnsi="Cambria" w:eastAsia="仿宋" w:cs="Cambria"/>
          <w:kern w:val="0"/>
          <w:szCs w:val="21"/>
        </w:rPr>
        <w:t>To ensure the scientific validity, standardization and international adaptability of the standard transformation process, this study widely solicited opinions from TCM pediatric experts in China and other countries through an expert questionnaire survey, analyzed the experts’ level of agreement with each technical provision and their recommendations for revision, and provided empirical evidence for the revision of the international standard text.</w:t>
      </w:r>
    </w:p>
    <w:p w14:paraId="26805D12">
      <w:pPr>
        <w:widowControl/>
        <w:spacing w:line="276" w:lineRule="auto"/>
        <w:ind w:firstLine="422" w:firstLineChars="200"/>
        <w:jc w:val="left"/>
        <w:rPr>
          <w:rFonts w:hint="default" w:ascii="Cambria" w:hAnsi="Cambria" w:eastAsia="仿宋" w:cs="Cambria"/>
          <w:b/>
          <w:bCs/>
          <w:kern w:val="0"/>
          <w:szCs w:val="21"/>
        </w:rPr>
      </w:pPr>
      <w:r>
        <w:rPr>
          <w:rFonts w:hint="default" w:ascii="Cambria" w:hAnsi="Cambria" w:eastAsia="仿宋" w:cs="Cambria"/>
          <w:b/>
          <w:bCs/>
          <w:kern w:val="0"/>
          <w:szCs w:val="21"/>
        </w:rPr>
        <w:t>2 Survey methods and analysis of expert information</w:t>
      </w:r>
    </w:p>
    <w:p w14:paraId="72B42F49">
      <w:pPr>
        <w:widowControl/>
        <w:spacing w:line="276" w:lineRule="auto"/>
        <w:ind w:firstLine="422" w:firstLineChars="200"/>
        <w:jc w:val="left"/>
        <w:rPr>
          <w:rFonts w:hint="default" w:ascii="Cambria" w:hAnsi="Cambria" w:eastAsia="仿宋" w:cs="Cambria"/>
          <w:b/>
          <w:bCs/>
          <w:kern w:val="0"/>
          <w:szCs w:val="21"/>
        </w:rPr>
      </w:pPr>
      <w:r>
        <w:rPr>
          <w:rFonts w:hint="default" w:ascii="Cambria" w:hAnsi="Cambria" w:eastAsia="仿宋" w:cs="Cambria"/>
          <w:b/>
          <w:bCs/>
          <w:kern w:val="0"/>
          <w:szCs w:val="21"/>
        </w:rPr>
        <w:t>2.1 Survey methods</w:t>
      </w:r>
    </w:p>
    <w:p w14:paraId="1102F235">
      <w:pPr>
        <w:widowControl/>
        <w:spacing w:line="276" w:lineRule="auto"/>
        <w:ind w:firstLine="420" w:firstLineChars="200"/>
        <w:jc w:val="left"/>
        <w:rPr>
          <w:rFonts w:hint="default" w:ascii="Cambria" w:hAnsi="Cambria" w:eastAsia="仿宋" w:cs="Cambria"/>
          <w:kern w:val="0"/>
          <w:szCs w:val="21"/>
        </w:rPr>
      </w:pPr>
      <w:r>
        <w:rPr>
          <w:rFonts w:hint="default" w:ascii="Cambria" w:hAnsi="Cambria" w:eastAsia="仿宋" w:cs="Cambria"/>
          <w:kern w:val="0"/>
          <w:szCs w:val="21"/>
        </w:rPr>
        <w:t>This survey was conducted in the form of an online questionnaire from October to November 2025. The questionnaire covered 54 items, including terms and definitions, operations, post-procedural care and annex content, and included open-ended questions to collect supplementary comments.</w:t>
      </w:r>
    </w:p>
    <w:p w14:paraId="6CDDF429">
      <w:pPr>
        <w:widowControl/>
        <w:spacing w:line="276" w:lineRule="auto"/>
        <w:ind w:firstLine="422" w:firstLineChars="200"/>
        <w:jc w:val="left"/>
        <w:rPr>
          <w:rFonts w:hint="default" w:ascii="Cambria" w:hAnsi="Cambria" w:eastAsia="仿宋" w:cs="Cambria"/>
          <w:b/>
          <w:bCs/>
          <w:kern w:val="0"/>
          <w:szCs w:val="21"/>
        </w:rPr>
      </w:pPr>
      <w:r>
        <w:rPr>
          <w:rFonts w:hint="default" w:ascii="Cambria" w:hAnsi="Cambria" w:eastAsia="仿宋" w:cs="Cambria"/>
          <w:b/>
          <w:bCs/>
          <w:kern w:val="0"/>
          <w:szCs w:val="21"/>
        </w:rPr>
        <w:t>2.2 Analysis of expert information</w:t>
      </w:r>
    </w:p>
    <w:p w14:paraId="33EE28F7">
      <w:pPr>
        <w:widowControl/>
        <w:spacing w:line="276" w:lineRule="auto"/>
        <w:ind w:firstLine="422" w:firstLineChars="200"/>
        <w:jc w:val="left"/>
        <w:rPr>
          <w:rFonts w:hint="default" w:ascii="Cambria" w:hAnsi="Cambria" w:eastAsia="仿宋" w:cs="Cambria"/>
          <w:b/>
          <w:bCs/>
          <w:kern w:val="0"/>
          <w:szCs w:val="21"/>
        </w:rPr>
      </w:pPr>
      <w:r>
        <w:rPr>
          <w:rFonts w:hint="default" w:ascii="Cambria" w:hAnsi="Cambria" w:eastAsia="仿宋" w:cs="Cambria"/>
          <w:b/>
          <w:bCs/>
          <w:kern w:val="0"/>
          <w:szCs w:val="21"/>
        </w:rPr>
        <w:t>2.2.1 Criteria for expert selection</w:t>
      </w:r>
    </w:p>
    <w:p w14:paraId="08957793">
      <w:pPr>
        <w:widowControl/>
        <w:spacing w:line="276" w:lineRule="auto"/>
        <w:ind w:firstLine="420" w:firstLineChars="200"/>
        <w:jc w:val="left"/>
        <w:rPr>
          <w:rFonts w:hint="default" w:ascii="Cambria" w:hAnsi="Cambria" w:eastAsia="仿宋" w:cs="Cambria"/>
          <w:kern w:val="0"/>
          <w:szCs w:val="21"/>
        </w:rPr>
      </w:pPr>
      <w:r>
        <w:rPr>
          <w:rFonts w:hint="default" w:ascii="Cambria" w:hAnsi="Cambria" w:eastAsia="仿宋" w:cs="Cambria"/>
          <w:kern w:val="0"/>
          <w:szCs w:val="21"/>
        </w:rPr>
        <w:t>The criteria for expert selection included: 1) a senior professional background in TCM pediatrics or related fields; 2) extensive clinical or teaching experience, with experts from the Chinese mainland having more than 20 years of professional experience and overseas experts having more than 10 years of professional experience; 3) familiarity with acupuncture and moxibustion therapy in TCM pediatrics; and 4) coverage of different countries and regions, so as to enhance the international representativeness of the standard.</w:t>
      </w:r>
    </w:p>
    <w:p w14:paraId="23350808">
      <w:pPr>
        <w:widowControl/>
        <w:spacing w:line="276" w:lineRule="auto"/>
        <w:ind w:firstLine="422" w:firstLineChars="200"/>
        <w:jc w:val="left"/>
        <w:rPr>
          <w:rFonts w:hint="default" w:ascii="Cambria" w:hAnsi="Cambria" w:eastAsia="仿宋" w:cs="Cambria"/>
          <w:b/>
          <w:bCs/>
          <w:kern w:val="0"/>
          <w:szCs w:val="21"/>
        </w:rPr>
      </w:pPr>
      <w:r>
        <w:rPr>
          <w:rFonts w:hint="default" w:ascii="Cambria" w:hAnsi="Cambria" w:eastAsia="仿宋" w:cs="Cambria"/>
          <w:b/>
          <w:bCs/>
          <w:kern w:val="0"/>
          <w:szCs w:val="21"/>
        </w:rPr>
        <w:t>2.2.2 Expert response rate</w:t>
      </w:r>
    </w:p>
    <w:p w14:paraId="44740D72">
      <w:pPr>
        <w:widowControl/>
        <w:spacing w:line="276" w:lineRule="auto"/>
        <w:ind w:firstLine="420" w:firstLineChars="200"/>
        <w:jc w:val="left"/>
        <w:rPr>
          <w:rFonts w:hint="default" w:ascii="Cambria" w:hAnsi="Cambria" w:eastAsia="仿宋" w:cs="Cambria"/>
          <w:kern w:val="0"/>
          <w:szCs w:val="21"/>
        </w:rPr>
      </w:pPr>
      <w:r>
        <w:rPr>
          <w:rFonts w:hint="default" w:ascii="Cambria" w:hAnsi="Cambria" w:eastAsia="仿宋" w:cs="Cambria"/>
          <w:kern w:val="0"/>
          <w:szCs w:val="21"/>
        </w:rPr>
        <w:t>A total of 34 questionnaires were distributed in this survey, and 34 valid responses were collected. The expert response rate was 100%. The expert response rate in this survey was high, the professional structure was reasonable, and the authority of the experts was strong, thereby ensuring the scientific validity and reliability of the survey results.</w:t>
      </w:r>
    </w:p>
    <w:p w14:paraId="320A8DA7">
      <w:pPr>
        <w:widowControl/>
        <w:spacing w:line="276" w:lineRule="auto"/>
        <w:ind w:firstLine="422" w:firstLineChars="200"/>
        <w:jc w:val="left"/>
        <w:rPr>
          <w:rFonts w:hint="default" w:ascii="Cambria" w:hAnsi="Cambria" w:eastAsia="仿宋" w:cs="Cambria"/>
          <w:b/>
          <w:bCs/>
          <w:kern w:val="0"/>
          <w:szCs w:val="21"/>
        </w:rPr>
      </w:pPr>
      <w:r>
        <w:rPr>
          <w:rFonts w:hint="default" w:ascii="Cambria" w:hAnsi="Cambria" w:eastAsia="仿宋" w:cs="Cambria"/>
          <w:b/>
          <w:bCs/>
          <w:kern w:val="0"/>
          <w:szCs w:val="21"/>
        </w:rPr>
        <w:t>2.2.3 Expert authority and representativeness</w:t>
      </w:r>
    </w:p>
    <w:p w14:paraId="45770A34">
      <w:pPr>
        <w:widowControl/>
        <w:spacing w:line="276" w:lineRule="auto"/>
        <w:ind w:firstLine="420" w:firstLineChars="200"/>
        <w:jc w:val="left"/>
        <w:rPr>
          <w:rFonts w:hint="default" w:ascii="Cambria" w:hAnsi="Cambria" w:eastAsia="仿宋" w:cs="Cambria"/>
          <w:kern w:val="0"/>
          <w:szCs w:val="21"/>
        </w:rPr>
      </w:pPr>
      <w:r>
        <w:rPr>
          <w:rFonts w:hint="default" w:ascii="Cambria" w:hAnsi="Cambria" w:eastAsia="仿宋" w:cs="Cambria"/>
          <w:kern w:val="0"/>
          <w:szCs w:val="21"/>
        </w:rPr>
        <w:t>A total of 34 experts provided recommendations on provisions related to pediatric acupuncture and moxibustion therapy. The selection of experts took into account regional distribution, professional background and authority. The experts came from multiple countries and regions, including the Chinese mainland, Macao, China, Taiwan, China, Singapore, Malaysia, Australia, Viet Nam and Canada. Among them, there were 26 experts from the Chinese mainland, 1 from Macao, China, 2 from Taiwan, China, 1 from Singapore, 1 from Malaysia, 1 from Australia, 1 from Viet Nam and 1 from Canada. The coverage was broad and showed strong regional representativeness.</w:t>
      </w:r>
    </w:p>
    <w:p w14:paraId="1B253A29">
      <w:pPr>
        <w:widowControl/>
        <w:spacing w:line="276" w:lineRule="auto"/>
        <w:ind w:firstLine="420" w:firstLineChars="200"/>
        <w:jc w:val="left"/>
        <w:rPr>
          <w:rFonts w:hint="default" w:ascii="Cambria" w:hAnsi="Cambria" w:eastAsia="仿宋" w:cs="Cambria"/>
          <w:kern w:val="0"/>
          <w:szCs w:val="21"/>
        </w:rPr>
      </w:pPr>
      <w:r>
        <w:rPr>
          <w:rFonts w:hint="default" w:ascii="Cambria" w:hAnsi="Cambria" w:eastAsia="仿宋" w:cs="Cambria"/>
          <w:kern w:val="0"/>
          <w:szCs w:val="21"/>
        </w:rPr>
        <w:t>The experts selected for this study were all senior practitioners in TCM pediatrics and related fields, including professors and Chief Physicians from higher education institutions of Chinese medicine in China, as well as experts and scholars from overseas TCM medical and teaching institutions. Most of them held doctoral degrees, and the vast majority were doctoral supervisors or master’s supervisors. All had extensive experience in clinical practice, scientific research and teaching. Their opinions fully reflected the professional views of senior experts in TCM pediatrics and pediatric acupuncture and moxibustion in China and other countries on the operating standards for pediatric acupuncture and moxibustion. The statistics of the 34 experts in terms of country or region, age, educational background, professional title, postgraduate supervisor status, specialty distribution and years of professional experience are shown in Tables 1 to 7.</w:t>
      </w:r>
    </w:p>
    <w:p w14:paraId="27E86169">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rPr>
        <w:t>Table 1 Distribution of experts by country/region (n = 34)</w:t>
      </w:r>
    </w:p>
    <w:tbl>
      <w:tblPr>
        <w:tblStyle w:val="12"/>
        <w:tblW w:w="850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1798"/>
        <w:gridCol w:w="1887"/>
        <w:gridCol w:w="4819"/>
      </w:tblGrid>
      <w:tr w14:paraId="190C8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rPr>
          <w:tblHeader/>
        </w:trPr>
        <w:tc>
          <w:tcPr>
            <w:tcW w:w="0" w:type="auto"/>
            <w:tcBorders>
              <w:top w:val="single" w:color="auto" w:sz="4" w:space="0"/>
              <w:left w:val="single" w:color="auto" w:sz="0" w:space="0"/>
              <w:bottom w:val="single" w:color="auto" w:sz="4" w:space="0"/>
              <w:right w:val="single" w:color="auto" w:sz="4" w:space="0"/>
            </w:tcBorders>
            <w:shd w:val="clear" w:color="auto" w:fill="auto"/>
            <w:vAlign w:val="center"/>
          </w:tcPr>
          <w:p w14:paraId="1A366545">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Country/Region</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B9473DE">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Number of experts</w:t>
            </w:r>
          </w:p>
        </w:tc>
        <w:tc>
          <w:tcPr>
            <w:tcW w:w="4819" w:type="dxa"/>
            <w:tcBorders>
              <w:top w:val="single" w:color="auto" w:sz="4" w:space="0"/>
              <w:left w:val="single" w:color="auto" w:sz="4" w:space="0"/>
              <w:bottom w:val="single" w:color="auto" w:sz="4" w:space="0"/>
              <w:right w:val="single" w:color="auto" w:sz="4" w:space="0"/>
            </w:tcBorders>
            <w:shd w:val="clear" w:color="auto" w:fill="auto"/>
            <w:vAlign w:val="center"/>
          </w:tcPr>
          <w:p w14:paraId="2AE4C225">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Percentage</w:t>
            </w:r>
          </w:p>
        </w:tc>
      </w:tr>
      <w:tr w14:paraId="768E2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85922EE">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Chinese mainland</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53156AF">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26</w:t>
            </w:r>
          </w:p>
        </w:tc>
        <w:tc>
          <w:tcPr>
            <w:tcW w:w="4819" w:type="dxa"/>
            <w:tcBorders>
              <w:top w:val="single" w:color="auto" w:sz="4" w:space="0"/>
              <w:left w:val="single" w:color="auto" w:sz="4" w:space="0"/>
              <w:bottom w:val="single" w:color="auto" w:sz="4" w:space="0"/>
              <w:right w:val="single" w:color="auto" w:sz="4" w:space="0"/>
            </w:tcBorders>
            <w:shd w:val="clear" w:color="auto" w:fill="auto"/>
            <w:vAlign w:val="center"/>
          </w:tcPr>
          <w:p w14:paraId="5C379806">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76.47%</w:t>
            </w:r>
          </w:p>
        </w:tc>
      </w:tr>
      <w:tr w14:paraId="3E9F7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A24B57C">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Macao, China</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FC6746A">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1</w:t>
            </w:r>
          </w:p>
        </w:tc>
        <w:tc>
          <w:tcPr>
            <w:tcW w:w="4819" w:type="dxa"/>
            <w:tcBorders>
              <w:top w:val="single" w:color="auto" w:sz="4" w:space="0"/>
              <w:left w:val="single" w:color="auto" w:sz="4" w:space="0"/>
              <w:bottom w:val="single" w:color="auto" w:sz="4" w:space="0"/>
              <w:right w:val="single" w:color="auto" w:sz="4" w:space="0"/>
            </w:tcBorders>
            <w:shd w:val="clear" w:color="auto" w:fill="auto"/>
            <w:vAlign w:val="center"/>
          </w:tcPr>
          <w:p w14:paraId="7A30D5CA">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2.94%</w:t>
            </w:r>
          </w:p>
        </w:tc>
      </w:tr>
      <w:tr w14:paraId="4FEC5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BEA4B98">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Taiwan, China</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0F1AEB4">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2</w:t>
            </w:r>
          </w:p>
        </w:tc>
        <w:tc>
          <w:tcPr>
            <w:tcW w:w="4819" w:type="dxa"/>
            <w:tcBorders>
              <w:top w:val="single" w:color="auto" w:sz="4" w:space="0"/>
              <w:left w:val="single" w:color="auto" w:sz="4" w:space="0"/>
              <w:bottom w:val="single" w:color="auto" w:sz="4" w:space="0"/>
              <w:right w:val="single" w:color="auto" w:sz="4" w:space="0"/>
            </w:tcBorders>
            <w:shd w:val="clear" w:color="auto" w:fill="auto"/>
            <w:vAlign w:val="center"/>
          </w:tcPr>
          <w:p w14:paraId="2A28D2E1">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5.88%</w:t>
            </w:r>
          </w:p>
        </w:tc>
      </w:tr>
      <w:tr w14:paraId="006B6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3CC777D">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Singapore</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7074354">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1</w:t>
            </w:r>
          </w:p>
        </w:tc>
        <w:tc>
          <w:tcPr>
            <w:tcW w:w="4819" w:type="dxa"/>
            <w:tcBorders>
              <w:top w:val="single" w:color="auto" w:sz="4" w:space="0"/>
              <w:left w:val="single" w:color="auto" w:sz="4" w:space="0"/>
              <w:bottom w:val="single" w:color="auto" w:sz="4" w:space="0"/>
              <w:right w:val="single" w:color="auto" w:sz="4" w:space="0"/>
            </w:tcBorders>
            <w:shd w:val="clear" w:color="auto" w:fill="auto"/>
            <w:vAlign w:val="center"/>
          </w:tcPr>
          <w:p w14:paraId="18230CBF">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2.94%</w:t>
            </w:r>
          </w:p>
        </w:tc>
      </w:tr>
      <w:tr w14:paraId="54AC3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EF3D75D">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Malaysia</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F72501F">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1</w:t>
            </w:r>
          </w:p>
        </w:tc>
        <w:tc>
          <w:tcPr>
            <w:tcW w:w="4819" w:type="dxa"/>
            <w:tcBorders>
              <w:top w:val="single" w:color="auto" w:sz="4" w:space="0"/>
              <w:left w:val="single" w:color="auto" w:sz="4" w:space="0"/>
              <w:bottom w:val="single" w:color="auto" w:sz="4" w:space="0"/>
              <w:right w:val="single" w:color="auto" w:sz="4" w:space="0"/>
            </w:tcBorders>
            <w:shd w:val="clear" w:color="auto" w:fill="auto"/>
            <w:vAlign w:val="center"/>
          </w:tcPr>
          <w:p w14:paraId="7C669932">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2.94%</w:t>
            </w:r>
          </w:p>
        </w:tc>
      </w:tr>
      <w:tr w14:paraId="638EF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093AA1A">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Viet Nam</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806E3C1">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1</w:t>
            </w:r>
          </w:p>
        </w:tc>
        <w:tc>
          <w:tcPr>
            <w:tcW w:w="4819" w:type="dxa"/>
            <w:tcBorders>
              <w:top w:val="single" w:color="auto" w:sz="4" w:space="0"/>
              <w:left w:val="single" w:color="auto" w:sz="4" w:space="0"/>
              <w:bottom w:val="single" w:color="auto" w:sz="4" w:space="0"/>
              <w:right w:val="single" w:color="auto" w:sz="4" w:space="0"/>
            </w:tcBorders>
            <w:shd w:val="clear" w:color="auto" w:fill="auto"/>
            <w:vAlign w:val="center"/>
          </w:tcPr>
          <w:p w14:paraId="621D7F5B">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2.94%</w:t>
            </w:r>
          </w:p>
        </w:tc>
      </w:tr>
      <w:tr w14:paraId="691F8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BE597FC">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Australia</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956D923">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1</w:t>
            </w:r>
          </w:p>
        </w:tc>
        <w:tc>
          <w:tcPr>
            <w:tcW w:w="4819" w:type="dxa"/>
            <w:tcBorders>
              <w:top w:val="single" w:color="auto" w:sz="4" w:space="0"/>
              <w:left w:val="single" w:color="auto" w:sz="4" w:space="0"/>
              <w:bottom w:val="single" w:color="auto" w:sz="4" w:space="0"/>
              <w:right w:val="single" w:color="auto" w:sz="4" w:space="0"/>
            </w:tcBorders>
            <w:shd w:val="clear" w:color="auto" w:fill="auto"/>
            <w:vAlign w:val="center"/>
          </w:tcPr>
          <w:p w14:paraId="41F1A28B">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2.94%</w:t>
            </w:r>
          </w:p>
        </w:tc>
      </w:tr>
      <w:tr w14:paraId="49CD3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B295D22">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Canada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C9BB117">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1</w:t>
            </w:r>
          </w:p>
        </w:tc>
        <w:tc>
          <w:tcPr>
            <w:tcW w:w="4819" w:type="dxa"/>
            <w:tcBorders>
              <w:top w:val="single" w:color="auto" w:sz="4" w:space="0"/>
              <w:left w:val="single" w:color="auto" w:sz="4" w:space="0"/>
              <w:bottom w:val="single" w:color="auto" w:sz="4" w:space="0"/>
              <w:right w:val="single" w:color="auto" w:sz="4" w:space="0"/>
            </w:tcBorders>
            <w:shd w:val="clear" w:color="auto" w:fill="auto"/>
            <w:vAlign w:val="center"/>
          </w:tcPr>
          <w:p w14:paraId="11D1C6FD">
            <w:pPr>
              <w:widowControl/>
              <w:spacing w:line="276" w:lineRule="auto"/>
              <w:jc w:val="center"/>
              <w:rPr>
                <w:rFonts w:hint="default" w:ascii="Cambria" w:hAnsi="Cambria" w:eastAsia="仿宋" w:cs="Cambria"/>
                <w:kern w:val="0"/>
                <w:szCs w:val="21"/>
              </w:rPr>
            </w:pPr>
            <w:r>
              <w:rPr>
                <w:rFonts w:hint="default" w:ascii="Cambria" w:hAnsi="Cambria" w:eastAsia="仿宋" w:cs="Cambria"/>
                <w:kern w:val="0"/>
                <w:szCs w:val="21"/>
                <w:lang w:val="en-US" w:eastAsia="zh-CN"/>
              </w:rPr>
              <w:t>2.94%</w:t>
            </w:r>
          </w:p>
        </w:tc>
      </w:tr>
    </w:tbl>
    <w:p w14:paraId="47C39973">
      <w:pPr>
        <w:widowControl/>
        <w:spacing w:line="276" w:lineRule="auto"/>
        <w:ind w:firstLine="420" w:firstLineChars="200"/>
        <w:rPr>
          <w:rFonts w:hint="default" w:ascii="Cambria" w:hAnsi="Cambria" w:eastAsia="仿宋" w:cs="Cambria"/>
          <w:kern w:val="0"/>
          <w:szCs w:val="21"/>
        </w:rPr>
      </w:pPr>
    </w:p>
    <w:p w14:paraId="65B6B070">
      <w:pPr>
        <w:widowControl/>
        <w:spacing w:line="276" w:lineRule="auto"/>
        <w:ind w:firstLine="0" w:firstLineChars="0"/>
        <w:jc w:val="center"/>
        <w:rPr>
          <w:rFonts w:hint="default" w:ascii="Cambria" w:hAnsi="Cambria" w:eastAsia="仿宋" w:cs="Cambria"/>
          <w:kern w:val="0"/>
          <w:szCs w:val="21"/>
        </w:rPr>
      </w:pPr>
      <w:r>
        <w:rPr>
          <w:rFonts w:hint="default" w:ascii="Cambria" w:hAnsi="Cambria" w:eastAsia="仿宋" w:cs="Cambria"/>
          <w:kern w:val="0"/>
          <w:szCs w:val="21"/>
        </w:rPr>
        <w:t>Table 2 Age distribution of experts (n = 34)</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2580"/>
        <w:gridCol w:w="3584"/>
        <w:gridCol w:w="2173"/>
      </w:tblGrid>
      <w:tr w14:paraId="4F4E9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1525" w:type="pct"/>
            <w:shd w:val="clear" w:color="auto" w:fill="auto"/>
            <w:vAlign w:val="center"/>
          </w:tcPr>
          <w:p w14:paraId="15F68EB7">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Age group</w:t>
            </w:r>
          </w:p>
        </w:tc>
        <w:tc>
          <w:tcPr>
            <w:tcW w:w="2118" w:type="pct"/>
            <w:shd w:val="clear" w:color="auto" w:fill="auto"/>
            <w:vAlign w:val="center"/>
          </w:tcPr>
          <w:p w14:paraId="376D0C4C">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Number of experts</w:t>
            </w:r>
          </w:p>
        </w:tc>
        <w:tc>
          <w:tcPr>
            <w:tcW w:w="1284" w:type="pct"/>
            <w:shd w:val="clear" w:color="auto" w:fill="auto"/>
            <w:vAlign w:val="center"/>
          </w:tcPr>
          <w:p w14:paraId="3696107C">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Percentage</w:t>
            </w:r>
          </w:p>
        </w:tc>
      </w:tr>
      <w:tr w14:paraId="7CD7E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525" w:type="pct"/>
            <w:shd w:val="clear" w:color="auto" w:fill="auto"/>
            <w:vAlign w:val="center"/>
          </w:tcPr>
          <w:p w14:paraId="3D68B882">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&lt;40 years</w:t>
            </w:r>
          </w:p>
        </w:tc>
        <w:tc>
          <w:tcPr>
            <w:tcW w:w="2118" w:type="pct"/>
            <w:shd w:val="clear" w:color="auto" w:fill="auto"/>
            <w:vAlign w:val="center"/>
          </w:tcPr>
          <w:p w14:paraId="6C59E3D2">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1</w:t>
            </w:r>
          </w:p>
        </w:tc>
        <w:tc>
          <w:tcPr>
            <w:tcW w:w="1284" w:type="pct"/>
            <w:shd w:val="clear" w:color="auto" w:fill="auto"/>
            <w:vAlign w:val="center"/>
          </w:tcPr>
          <w:p w14:paraId="7534FFC0">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2.94%</w:t>
            </w:r>
          </w:p>
        </w:tc>
      </w:tr>
      <w:tr w14:paraId="48319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525" w:type="pct"/>
            <w:shd w:val="clear" w:color="auto" w:fill="auto"/>
            <w:vAlign w:val="center"/>
          </w:tcPr>
          <w:p w14:paraId="2D0150DD">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40–49 years</w:t>
            </w:r>
          </w:p>
        </w:tc>
        <w:tc>
          <w:tcPr>
            <w:tcW w:w="2118" w:type="pct"/>
            <w:shd w:val="clear" w:color="auto" w:fill="auto"/>
            <w:vAlign w:val="center"/>
          </w:tcPr>
          <w:p w14:paraId="36922DA5">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4</w:t>
            </w:r>
          </w:p>
        </w:tc>
        <w:tc>
          <w:tcPr>
            <w:tcW w:w="1284" w:type="pct"/>
            <w:shd w:val="clear" w:color="auto" w:fill="auto"/>
            <w:vAlign w:val="center"/>
          </w:tcPr>
          <w:p w14:paraId="3D3AE167">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11.76%</w:t>
            </w:r>
          </w:p>
        </w:tc>
      </w:tr>
      <w:tr w14:paraId="3B8D6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525" w:type="pct"/>
            <w:shd w:val="clear" w:color="auto" w:fill="auto"/>
            <w:vAlign w:val="center"/>
          </w:tcPr>
          <w:p w14:paraId="445DF01D">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50–59 years</w:t>
            </w:r>
          </w:p>
        </w:tc>
        <w:tc>
          <w:tcPr>
            <w:tcW w:w="2118" w:type="pct"/>
            <w:shd w:val="clear" w:color="auto" w:fill="auto"/>
            <w:vAlign w:val="center"/>
          </w:tcPr>
          <w:p w14:paraId="3BBCC0AE">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12</w:t>
            </w:r>
          </w:p>
        </w:tc>
        <w:tc>
          <w:tcPr>
            <w:tcW w:w="1284" w:type="pct"/>
            <w:shd w:val="clear" w:color="auto" w:fill="auto"/>
            <w:vAlign w:val="center"/>
          </w:tcPr>
          <w:p w14:paraId="30D6C150">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35.29%</w:t>
            </w:r>
          </w:p>
        </w:tc>
      </w:tr>
      <w:tr w14:paraId="0401F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525" w:type="pct"/>
            <w:shd w:val="clear" w:color="auto" w:fill="auto"/>
            <w:vAlign w:val="center"/>
          </w:tcPr>
          <w:p w14:paraId="097CCD1A">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60–69 years</w:t>
            </w:r>
          </w:p>
        </w:tc>
        <w:tc>
          <w:tcPr>
            <w:tcW w:w="2118" w:type="pct"/>
            <w:shd w:val="clear" w:color="auto" w:fill="auto"/>
            <w:vAlign w:val="center"/>
          </w:tcPr>
          <w:p w14:paraId="1E6B9B6A">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15</w:t>
            </w:r>
          </w:p>
        </w:tc>
        <w:tc>
          <w:tcPr>
            <w:tcW w:w="1284" w:type="pct"/>
            <w:shd w:val="clear" w:color="auto" w:fill="auto"/>
            <w:vAlign w:val="center"/>
          </w:tcPr>
          <w:p w14:paraId="4DA36E06">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44.12%</w:t>
            </w:r>
          </w:p>
        </w:tc>
      </w:tr>
      <w:tr w14:paraId="068BA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525" w:type="pct"/>
            <w:shd w:val="clear" w:color="auto" w:fill="auto"/>
            <w:vAlign w:val="center"/>
          </w:tcPr>
          <w:p w14:paraId="6D282C64">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≥70 years</w:t>
            </w:r>
          </w:p>
        </w:tc>
        <w:tc>
          <w:tcPr>
            <w:tcW w:w="2118" w:type="pct"/>
            <w:shd w:val="clear" w:color="auto" w:fill="auto"/>
            <w:vAlign w:val="center"/>
          </w:tcPr>
          <w:p w14:paraId="20AC29AF">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2</w:t>
            </w:r>
          </w:p>
        </w:tc>
        <w:tc>
          <w:tcPr>
            <w:tcW w:w="1284" w:type="pct"/>
            <w:shd w:val="clear" w:color="auto" w:fill="auto"/>
            <w:vAlign w:val="center"/>
          </w:tcPr>
          <w:p w14:paraId="6E424E6A">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5.88%</w:t>
            </w:r>
          </w:p>
        </w:tc>
      </w:tr>
    </w:tbl>
    <w:p w14:paraId="07FB55BD">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rPr>
        <w:t>Note: The age range was 29–79 years, and the mean age was approximately 57.56 years.</w:t>
      </w:r>
    </w:p>
    <w:p w14:paraId="37B29EF8">
      <w:pPr>
        <w:widowControl/>
        <w:spacing w:line="276" w:lineRule="auto"/>
        <w:ind w:firstLine="0" w:firstLineChars="0"/>
        <w:jc w:val="center"/>
        <w:rPr>
          <w:rFonts w:hint="default" w:ascii="Cambria" w:hAnsi="Cambria" w:eastAsia="仿宋" w:cs="Cambria"/>
          <w:kern w:val="0"/>
          <w:szCs w:val="21"/>
        </w:rPr>
      </w:pPr>
      <w:r>
        <w:rPr>
          <w:rFonts w:hint="default" w:ascii="Cambria" w:hAnsi="Cambria" w:eastAsia="仿宋" w:cs="Cambria"/>
          <w:kern w:val="0"/>
          <w:szCs w:val="21"/>
        </w:rPr>
        <w:t>Table 3 Distribution of experts by educational background/degree (n = 34)</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4289"/>
        <w:gridCol w:w="2532"/>
        <w:gridCol w:w="1516"/>
      </w:tblGrid>
      <w:tr w14:paraId="0A8A2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2535" w:type="pct"/>
            <w:shd w:val="clear" w:color="auto" w:fill="auto"/>
            <w:vAlign w:val="center"/>
          </w:tcPr>
          <w:p w14:paraId="772D3CCB">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Educational background/degree</w:t>
            </w:r>
          </w:p>
        </w:tc>
        <w:tc>
          <w:tcPr>
            <w:tcW w:w="1496" w:type="pct"/>
            <w:shd w:val="clear" w:color="auto" w:fill="auto"/>
            <w:vAlign w:val="center"/>
          </w:tcPr>
          <w:p w14:paraId="689D6AD5">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Number of experts</w:t>
            </w:r>
          </w:p>
        </w:tc>
        <w:tc>
          <w:tcPr>
            <w:tcW w:w="896" w:type="pct"/>
            <w:shd w:val="clear" w:color="auto" w:fill="auto"/>
            <w:vAlign w:val="center"/>
          </w:tcPr>
          <w:p w14:paraId="0F2A24FE">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Percentage</w:t>
            </w:r>
          </w:p>
        </w:tc>
      </w:tr>
      <w:tr w14:paraId="2C873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2535" w:type="pct"/>
            <w:shd w:val="clear" w:color="auto" w:fill="auto"/>
            <w:vAlign w:val="center"/>
          </w:tcPr>
          <w:p w14:paraId="2CDCCAC2">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Master’s degree</w:t>
            </w:r>
          </w:p>
        </w:tc>
        <w:tc>
          <w:tcPr>
            <w:tcW w:w="1496" w:type="pct"/>
            <w:shd w:val="clear" w:color="auto" w:fill="auto"/>
            <w:vAlign w:val="center"/>
          </w:tcPr>
          <w:p w14:paraId="7AE781BF">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8</w:t>
            </w:r>
          </w:p>
        </w:tc>
        <w:tc>
          <w:tcPr>
            <w:tcW w:w="896" w:type="pct"/>
            <w:shd w:val="clear" w:color="auto" w:fill="auto"/>
            <w:vAlign w:val="center"/>
          </w:tcPr>
          <w:p w14:paraId="0B5C86B4">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23.53%</w:t>
            </w:r>
          </w:p>
        </w:tc>
      </w:tr>
      <w:tr w14:paraId="1E5D7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2535" w:type="pct"/>
            <w:shd w:val="clear" w:color="auto" w:fill="auto"/>
            <w:vAlign w:val="center"/>
          </w:tcPr>
          <w:p w14:paraId="1142667E">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Doctoral degree</w:t>
            </w:r>
          </w:p>
        </w:tc>
        <w:tc>
          <w:tcPr>
            <w:tcW w:w="1496" w:type="pct"/>
            <w:shd w:val="clear" w:color="auto" w:fill="auto"/>
            <w:vAlign w:val="center"/>
          </w:tcPr>
          <w:p w14:paraId="6B912152">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26</w:t>
            </w:r>
          </w:p>
        </w:tc>
        <w:tc>
          <w:tcPr>
            <w:tcW w:w="896" w:type="pct"/>
            <w:shd w:val="clear" w:color="auto" w:fill="auto"/>
            <w:vAlign w:val="center"/>
          </w:tcPr>
          <w:p w14:paraId="5460273E">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76.47%</w:t>
            </w:r>
          </w:p>
        </w:tc>
      </w:tr>
    </w:tbl>
    <w:p w14:paraId="5C950989">
      <w:pPr>
        <w:widowControl/>
        <w:spacing w:line="276" w:lineRule="auto"/>
        <w:ind w:firstLine="0" w:firstLineChars="0"/>
        <w:jc w:val="center"/>
        <w:rPr>
          <w:rFonts w:hint="default" w:ascii="Cambria" w:hAnsi="Cambria" w:eastAsia="仿宋" w:cs="Cambria"/>
          <w:kern w:val="0"/>
          <w:szCs w:val="21"/>
        </w:rPr>
      </w:pPr>
      <w:r>
        <w:rPr>
          <w:rFonts w:hint="default" w:ascii="Cambria" w:hAnsi="Cambria" w:eastAsia="仿宋" w:cs="Cambria"/>
          <w:kern w:val="0"/>
          <w:szCs w:val="21"/>
        </w:rPr>
        <w:t>Table 4 Distribution of experts by professional title</w:t>
      </w:r>
    </w:p>
    <w:tbl>
      <w:tblPr>
        <w:tblStyle w:val="1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2975"/>
        <w:gridCol w:w="2039"/>
        <w:gridCol w:w="3324"/>
      </w:tblGrid>
      <w:tr w14:paraId="589AD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1758" w:type="pct"/>
            <w:shd w:val="clear" w:color="auto" w:fill="auto"/>
            <w:vAlign w:val="center"/>
          </w:tcPr>
          <w:p w14:paraId="136031C2">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Professional title</w:t>
            </w:r>
          </w:p>
        </w:tc>
        <w:tc>
          <w:tcPr>
            <w:tcW w:w="1205" w:type="pct"/>
            <w:shd w:val="clear" w:color="auto" w:fill="auto"/>
            <w:vAlign w:val="center"/>
          </w:tcPr>
          <w:p w14:paraId="211CECEF">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Number of experts</w:t>
            </w:r>
          </w:p>
        </w:tc>
        <w:tc>
          <w:tcPr>
            <w:tcW w:w="1964" w:type="pct"/>
            <w:shd w:val="clear" w:color="auto" w:fill="auto"/>
            <w:vAlign w:val="center"/>
          </w:tcPr>
          <w:p w14:paraId="53DD3450">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Percentage, among 34 experts</w:t>
            </w:r>
          </w:p>
        </w:tc>
      </w:tr>
      <w:tr w14:paraId="4FC51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1758" w:type="pct"/>
            <w:shd w:val="clear" w:color="auto" w:fill="auto"/>
            <w:vAlign w:val="center"/>
          </w:tcPr>
          <w:p w14:paraId="5B6F92DB">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Professor</w:t>
            </w:r>
          </w:p>
        </w:tc>
        <w:tc>
          <w:tcPr>
            <w:tcW w:w="1205" w:type="pct"/>
            <w:shd w:val="clear" w:color="auto" w:fill="auto"/>
            <w:vAlign w:val="center"/>
          </w:tcPr>
          <w:p w14:paraId="3AA7FA98">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19</w:t>
            </w:r>
          </w:p>
        </w:tc>
        <w:tc>
          <w:tcPr>
            <w:tcW w:w="1964" w:type="pct"/>
            <w:shd w:val="clear" w:color="auto" w:fill="auto"/>
            <w:vAlign w:val="center"/>
          </w:tcPr>
          <w:p w14:paraId="4DA1BAA1">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55.88%</w:t>
            </w:r>
          </w:p>
        </w:tc>
      </w:tr>
      <w:tr w14:paraId="655DA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758" w:type="pct"/>
            <w:shd w:val="clear" w:color="auto" w:fill="auto"/>
            <w:vAlign w:val="center"/>
          </w:tcPr>
          <w:p w14:paraId="5AA7A085">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Associate Professor</w:t>
            </w:r>
          </w:p>
        </w:tc>
        <w:tc>
          <w:tcPr>
            <w:tcW w:w="1205" w:type="pct"/>
            <w:shd w:val="clear" w:color="auto" w:fill="auto"/>
            <w:vAlign w:val="center"/>
          </w:tcPr>
          <w:p w14:paraId="06E0967B">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2</w:t>
            </w:r>
          </w:p>
        </w:tc>
        <w:tc>
          <w:tcPr>
            <w:tcW w:w="1964" w:type="pct"/>
            <w:shd w:val="clear" w:color="auto" w:fill="auto"/>
            <w:vAlign w:val="center"/>
          </w:tcPr>
          <w:p w14:paraId="46C8279B">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5.88%</w:t>
            </w:r>
          </w:p>
        </w:tc>
      </w:tr>
      <w:tr w14:paraId="29829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758" w:type="pct"/>
            <w:shd w:val="clear" w:color="auto" w:fill="auto"/>
            <w:vAlign w:val="center"/>
          </w:tcPr>
          <w:p w14:paraId="7602F642">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Chief Physician</w:t>
            </w:r>
          </w:p>
        </w:tc>
        <w:tc>
          <w:tcPr>
            <w:tcW w:w="1205" w:type="pct"/>
            <w:shd w:val="clear" w:color="auto" w:fill="auto"/>
            <w:vAlign w:val="center"/>
          </w:tcPr>
          <w:p w14:paraId="125515F3">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24</w:t>
            </w:r>
          </w:p>
        </w:tc>
        <w:tc>
          <w:tcPr>
            <w:tcW w:w="1964" w:type="pct"/>
            <w:shd w:val="clear" w:color="auto" w:fill="auto"/>
            <w:vAlign w:val="center"/>
          </w:tcPr>
          <w:p w14:paraId="0C548134">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70.59%</w:t>
            </w:r>
          </w:p>
        </w:tc>
      </w:tr>
      <w:tr w14:paraId="3D96C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758" w:type="pct"/>
            <w:shd w:val="clear" w:color="auto" w:fill="auto"/>
            <w:vAlign w:val="center"/>
          </w:tcPr>
          <w:p w14:paraId="4470DEAE">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Associate Chief Physician</w:t>
            </w:r>
          </w:p>
        </w:tc>
        <w:tc>
          <w:tcPr>
            <w:tcW w:w="1205" w:type="pct"/>
            <w:shd w:val="clear" w:color="auto" w:fill="auto"/>
            <w:vAlign w:val="center"/>
          </w:tcPr>
          <w:p w14:paraId="2E2185B6">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2</w:t>
            </w:r>
          </w:p>
        </w:tc>
        <w:tc>
          <w:tcPr>
            <w:tcW w:w="1964" w:type="pct"/>
            <w:shd w:val="clear" w:color="auto" w:fill="auto"/>
            <w:vAlign w:val="center"/>
          </w:tcPr>
          <w:p w14:paraId="618C4885">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5.88%</w:t>
            </w:r>
          </w:p>
        </w:tc>
      </w:tr>
      <w:tr w14:paraId="42366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758" w:type="pct"/>
            <w:shd w:val="clear" w:color="auto" w:fill="auto"/>
            <w:vAlign w:val="center"/>
          </w:tcPr>
          <w:p w14:paraId="3D14C507">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Researcher</w:t>
            </w:r>
          </w:p>
        </w:tc>
        <w:tc>
          <w:tcPr>
            <w:tcW w:w="1205" w:type="pct"/>
            <w:shd w:val="clear" w:color="auto" w:fill="auto"/>
            <w:vAlign w:val="center"/>
          </w:tcPr>
          <w:p w14:paraId="5413EF3A">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1</w:t>
            </w:r>
          </w:p>
        </w:tc>
        <w:tc>
          <w:tcPr>
            <w:tcW w:w="1964" w:type="pct"/>
            <w:shd w:val="clear" w:color="auto" w:fill="auto"/>
            <w:vAlign w:val="center"/>
          </w:tcPr>
          <w:p w14:paraId="52F96D23">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2.94%</w:t>
            </w:r>
          </w:p>
        </w:tc>
      </w:tr>
      <w:tr w14:paraId="50809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758" w:type="pct"/>
            <w:shd w:val="clear" w:color="auto" w:fill="auto"/>
            <w:vAlign w:val="center"/>
          </w:tcPr>
          <w:p w14:paraId="0A880D0E">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Attending Physician</w:t>
            </w:r>
          </w:p>
        </w:tc>
        <w:tc>
          <w:tcPr>
            <w:tcW w:w="1205" w:type="pct"/>
            <w:shd w:val="clear" w:color="auto" w:fill="auto"/>
            <w:vAlign w:val="center"/>
          </w:tcPr>
          <w:p w14:paraId="259350B0">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1</w:t>
            </w:r>
          </w:p>
        </w:tc>
        <w:tc>
          <w:tcPr>
            <w:tcW w:w="1964" w:type="pct"/>
            <w:shd w:val="clear" w:color="auto" w:fill="auto"/>
            <w:vAlign w:val="center"/>
          </w:tcPr>
          <w:p w14:paraId="4CF6C68D">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2.94%</w:t>
            </w:r>
          </w:p>
        </w:tc>
      </w:tr>
      <w:tr w14:paraId="6137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758" w:type="pct"/>
            <w:shd w:val="clear" w:color="auto" w:fill="auto"/>
            <w:vAlign w:val="center"/>
          </w:tcPr>
          <w:p w14:paraId="5CFDFBF3">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Resident Physician</w:t>
            </w:r>
          </w:p>
        </w:tc>
        <w:tc>
          <w:tcPr>
            <w:tcW w:w="1205" w:type="pct"/>
            <w:shd w:val="clear" w:color="auto" w:fill="auto"/>
            <w:vAlign w:val="center"/>
          </w:tcPr>
          <w:p w14:paraId="549CBEA6">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1</w:t>
            </w:r>
          </w:p>
        </w:tc>
        <w:tc>
          <w:tcPr>
            <w:tcW w:w="1964" w:type="pct"/>
            <w:shd w:val="clear" w:color="auto" w:fill="auto"/>
            <w:vAlign w:val="center"/>
          </w:tcPr>
          <w:p w14:paraId="20B1F1FE">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2.94%</w:t>
            </w:r>
          </w:p>
        </w:tc>
      </w:tr>
    </w:tbl>
    <w:p w14:paraId="4747F719">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rPr>
        <w:t>Note: Some experts held more than one professional title, such as “Professor/Researcher” and “Chief Physician”; therefore, the sum of the numbers in each category exceeds 34.</w:t>
      </w:r>
    </w:p>
    <w:p w14:paraId="69A319F3">
      <w:pPr>
        <w:widowControl/>
        <w:spacing w:line="276" w:lineRule="auto"/>
        <w:ind w:firstLine="0" w:firstLineChars="0"/>
        <w:jc w:val="center"/>
        <w:rPr>
          <w:rFonts w:hint="default" w:ascii="Cambria" w:hAnsi="Cambria" w:eastAsia="仿宋" w:cs="Cambria"/>
          <w:kern w:val="0"/>
          <w:szCs w:val="21"/>
        </w:rPr>
      </w:pPr>
      <w:r>
        <w:rPr>
          <w:rFonts w:hint="default" w:ascii="Cambria" w:hAnsi="Cambria" w:eastAsia="仿宋" w:cs="Cambria"/>
          <w:kern w:val="0"/>
          <w:szCs w:val="21"/>
        </w:rPr>
        <w:t>Table 5 Distribution of experts by postgraduate supervisor status (n = 34)</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4142"/>
        <w:gridCol w:w="2623"/>
        <w:gridCol w:w="1572"/>
      </w:tblGrid>
      <w:tr w14:paraId="64138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2448" w:type="pct"/>
            <w:shd w:val="clear" w:color="auto" w:fill="auto"/>
            <w:vAlign w:val="center"/>
          </w:tcPr>
          <w:p w14:paraId="4EFC843C">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Supervisor type</w:t>
            </w:r>
          </w:p>
        </w:tc>
        <w:tc>
          <w:tcPr>
            <w:tcW w:w="1550" w:type="pct"/>
            <w:shd w:val="clear" w:color="auto" w:fill="auto"/>
            <w:vAlign w:val="center"/>
          </w:tcPr>
          <w:p w14:paraId="51DFEA3F">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Number of experts</w:t>
            </w:r>
          </w:p>
        </w:tc>
        <w:tc>
          <w:tcPr>
            <w:tcW w:w="929" w:type="pct"/>
            <w:shd w:val="clear" w:color="auto" w:fill="auto"/>
            <w:vAlign w:val="center"/>
          </w:tcPr>
          <w:p w14:paraId="569E6B43">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Percentage</w:t>
            </w:r>
          </w:p>
        </w:tc>
      </w:tr>
      <w:tr w14:paraId="08806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2448" w:type="pct"/>
            <w:shd w:val="clear" w:color="auto" w:fill="auto"/>
            <w:vAlign w:val="center"/>
          </w:tcPr>
          <w:p w14:paraId="4244C245">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Doctoral supervisor</w:t>
            </w:r>
          </w:p>
        </w:tc>
        <w:tc>
          <w:tcPr>
            <w:tcW w:w="1550" w:type="pct"/>
            <w:shd w:val="clear" w:color="auto" w:fill="auto"/>
            <w:vAlign w:val="center"/>
          </w:tcPr>
          <w:p w14:paraId="2FD8E110">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23</w:t>
            </w:r>
          </w:p>
        </w:tc>
        <w:tc>
          <w:tcPr>
            <w:tcW w:w="929" w:type="pct"/>
            <w:shd w:val="clear" w:color="auto" w:fill="auto"/>
            <w:vAlign w:val="center"/>
          </w:tcPr>
          <w:p w14:paraId="40D751E3">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67.65%</w:t>
            </w:r>
          </w:p>
        </w:tc>
      </w:tr>
      <w:tr w14:paraId="48005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2448" w:type="pct"/>
            <w:shd w:val="clear" w:color="auto" w:fill="auto"/>
            <w:vAlign w:val="center"/>
          </w:tcPr>
          <w:p w14:paraId="7801714D">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Master’s supervisor</w:t>
            </w:r>
          </w:p>
        </w:tc>
        <w:tc>
          <w:tcPr>
            <w:tcW w:w="1550" w:type="pct"/>
            <w:shd w:val="clear" w:color="auto" w:fill="auto"/>
            <w:vAlign w:val="center"/>
          </w:tcPr>
          <w:p w14:paraId="724F4AED">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7</w:t>
            </w:r>
          </w:p>
        </w:tc>
        <w:tc>
          <w:tcPr>
            <w:tcW w:w="929" w:type="pct"/>
            <w:shd w:val="clear" w:color="auto" w:fill="auto"/>
            <w:vAlign w:val="center"/>
          </w:tcPr>
          <w:p w14:paraId="19523C35">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20.59%</w:t>
            </w:r>
          </w:p>
        </w:tc>
      </w:tr>
      <w:tr w14:paraId="1FCBC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2448" w:type="pct"/>
            <w:shd w:val="clear" w:color="auto" w:fill="auto"/>
            <w:vAlign w:val="center"/>
          </w:tcPr>
          <w:p w14:paraId="5967CD2E">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Non-postgraduate supervisor</w:t>
            </w:r>
          </w:p>
        </w:tc>
        <w:tc>
          <w:tcPr>
            <w:tcW w:w="1550" w:type="pct"/>
            <w:shd w:val="clear" w:color="auto" w:fill="auto"/>
            <w:vAlign w:val="center"/>
          </w:tcPr>
          <w:p w14:paraId="363A1C97">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4</w:t>
            </w:r>
          </w:p>
        </w:tc>
        <w:tc>
          <w:tcPr>
            <w:tcW w:w="929" w:type="pct"/>
            <w:shd w:val="clear" w:color="auto" w:fill="auto"/>
            <w:vAlign w:val="center"/>
          </w:tcPr>
          <w:p w14:paraId="31117E1C">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11.76%</w:t>
            </w:r>
          </w:p>
        </w:tc>
      </w:tr>
    </w:tbl>
    <w:p w14:paraId="088A2337">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rPr>
        <w:t>Note: Some experts were qualified as both doctoral supervisors and master’s supervisors. In the statistical analysis, they were classified as doctoral supervisors.</w:t>
      </w:r>
    </w:p>
    <w:p w14:paraId="3D4EF7A1">
      <w:pPr>
        <w:widowControl/>
        <w:spacing w:line="276" w:lineRule="auto"/>
        <w:ind w:firstLine="0" w:firstLineChars="0"/>
        <w:jc w:val="center"/>
        <w:rPr>
          <w:rFonts w:hint="default" w:ascii="Cambria" w:hAnsi="Cambria" w:eastAsia="仿宋" w:cs="Cambria"/>
          <w:kern w:val="0"/>
          <w:szCs w:val="21"/>
        </w:rPr>
      </w:pPr>
      <w:r>
        <w:rPr>
          <w:rFonts w:hint="default" w:ascii="Cambria" w:hAnsi="Cambria" w:eastAsia="仿宋" w:cs="Cambria"/>
          <w:kern w:val="0"/>
          <w:szCs w:val="21"/>
        </w:rPr>
        <w:t>Table 6 Distribution of experts by specialty (n = 34)</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4512"/>
        <w:gridCol w:w="1489"/>
        <w:gridCol w:w="2339"/>
      </w:tblGrid>
      <w:tr w14:paraId="76FA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200B6AA7">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Specialty</w:t>
            </w:r>
          </w:p>
        </w:tc>
        <w:tc>
          <w:tcPr>
            <w:tcW w:w="0" w:type="auto"/>
            <w:shd w:val="clear" w:color="auto" w:fill="auto"/>
            <w:vAlign w:val="center"/>
          </w:tcPr>
          <w:p w14:paraId="5FA3DB4C">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Number of experts</w:t>
            </w:r>
          </w:p>
        </w:tc>
        <w:tc>
          <w:tcPr>
            <w:tcW w:w="0" w:type="auto"/>
            <w:shd w:val="clear" w:color="auto" w:fill="auto"/>
            <w:vAlign w:val="center"/>
          </w:tcPr>
          <w:p w14:paraId="2714D560">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Percentage, among 34 experts</w:t>
            </w:r>
          </w:p>
        </w:tc>
      </w:tr>
      <w:tr w14:paraId="6094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5E061BB3">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TCM pediatrics</w:t>
            </w:r>
          </w:p>
        </w:tc>
        <w:tc>
          <w:tcPr>
            <w:tcW w:w="0" w:type="auto"/>
            <w:shd w:val="clear" w:color="auto" w:fill="auto"/>
            <w:vAlign w:val="center"/>
          </w:tcPr>
          <w:p w14:paraId="19C6F538">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27</w:t>
            </w:r>
          </w:p>
        </w:tc>
        <w:tc>
          <w:tcPr>
            <w:tcW w:w="0" w:type="auto"/>
            <w:shd w:val="clear" w:color="auto" w:fill="auto"/>
            <w:vAlign w:val="center"/>
          </w:tcPr>
          <w:p w14:paraId="0C9BA394">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79.41%</w:t>
            </w:r>
          </w:p>
        </w:tc>
      </w:tr>
      <w:tr w14:paraId="315D5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76CF3F10">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Integrated Chinese and Western medicine pediatrics</w:t>
            </w:r>
          </w:p>
        </w:tc>
        <w:tc>
          <w:tcPr>
            <w:tcW w:w="0" w:type="auto"/>
            <w:shd w:val="clear" w:color="auto" w:fill="auto"/>
            <w:vAlign w:val="center"/>
          </w:tcPr>
          <w:p w14:paraId="490445AF">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10</w:t>
            </w:r>
          </w:p>
        </w:tc>
        <w:tc>
          <w:tcPr>
            <w:tcW w:w="0" w:type="auto"/>
            <w:shd w:val="clear" w:color="auto" w:fill="auto"/>
            <w:vAlign w:val="center"/>
          </w:tcPr>
          <w:p w14:paraId="3C3E54BD">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29.41%</w:t>
            </w:r>
          </w:p>
        </w:tc>
      </w:tr>
      <w:tr w14:paraId="6BD93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2903DD49">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Acupuncture and moxibustion</w:t>
            </w:r>
          </w:p>
        </w:tc>
        <w:tc>
          <w:tcPr>
            <w:tcW w:w="0" w:type="auto"/>
            <w:shd w:val="clear" w:color="auto" w:fill="auto"/>
            <w:vAlign w:val="center"/>
          </w:tcPr>
          <w:p w14:paraId="7D8BFDB7">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3</w:t>
            </w:r>
          </w:p>
        </w:tc>
        <w:tc>
          <w:tcPr>
            <w:tcW w:w="0" w:type="auto"/>
            <w:shd w:val="clear" w:color="auto" w:fill="auto"/>
            <w:vAlign w:val="center"/>
          </w:tcPr>
          <w:p w14:paraId="0F98F1CF">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8.82%</w:t>
            </w:r>
          </w:p>
        </w:tc>
      </w:tr>
      <w:tr w14:paraId="2F2A1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6F9A3141">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TCM literature, including TCM medical history and literature</w:t>
            </w:r>
          </w:p>
        </w:tc>
        <w:tc>
          <w:tcPr>
            <w:tcW w:w="0" w:type="auto"/>
            <w:shd w:val="clear" w:color="auto" w:fill="auto"/>
            <w:vAlign w:val="center"/>
          </w:tcPr>
          <w:p w14:paraId="2C320F05">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1</w:t>
            </w:r>
          </w:p>
        </w:tc>
        <w:tc>
          <w:tcPr>
            <w:tcW w:w="0" w:type="auto"/>
            <w:shd w:val="clear" w:color="auto" w:fill="auto"/>
            <w:vAlign w:val="center"/>
          </w:tcPr>
          <w:p w14:paraId="7B1956FB">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2.94%</w:t>
            </w:r>
          </w:p>
        </w:tc>
      </w:tr>
      <w:tr w14:paraId="312EA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5A393792">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Standardization research / TCM standardization research</w:t>
            </w:r>
          </w:p>
        </w:tc>
        <w:tc>
          <w:tcPr>
            <w:tcW w:w="0" w:type="auto"/>
            <w:shd w:val="clear" w:color="auto" w:fill="auto"/>
            <w:vAlign w:val="center"/>
          </w:tcPr>
          <w:p w14:paraId="0E26E2A2">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1</w:t>
            </w:r>
          </w:p>
        </w:tc>
        <w:tc>
          <w:tcPr>
            <w:tcW w:w="0" w:type="auto"/>
            <w:shd w:val="clear" w:color="auto" w:fill="auto"/>
            <w:vAlign w:val="center"/>
          </w:tcPr>
          <w:p w14:paraId="60DF1C6F">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lang w:val="en-US" w:eastAsia="zh-CN"/>
              </w:rPr>
              <w:t>2.94%</w:t>
            </w:r>
          </w:p>
        </w:tc>
      </w:tr>
    </w:tbl>
    <w:p w14:paraId="43F5D4DD">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rPr>
        <w:t>Note: Most experts specialized in TCM pediatrics, and some also had expertise in integrated Chinese and Western medicine pediatrics, acupuncture and moxibustion, literature studies, and standardization research. Therefore, the sum of the numbers in each category exceeds 34.</w:t>
      </w:r>
    </w:p>
    <w:p w14:paraId="22220776">
      <w:pPr>
        <w:widowControl/>
        <w:spacing w:line="276" w:lineRule="auto"/>
        <w:ind w:firstLine="0" w:firstLineChars="0"/>
        <w:jc w:val="center"/>
        <w:rPr>
          <w:rFonts w:hint="default" w:ascii="Cambria" w:hAnsi="Cambria" w:eastAsia="仿宋" w:cs="Cambria"/>
          <w:kern w:val="0"/>
          <w:szCs w:val="21"/>
        </w:rPr>
      </w:pPr>
      <w:r>
        <w:rPr>
          <w:rFonts w:hint="default" w:ascii="Cambria" w:hAnsi="Cambria" w:eastAsia="仿宋" w:cs="Cambria"/>
          <w:kern w:val="0"/>
          <w:szCs w:val="21"/>
        </w:rPr>
        <w:t>Table 7 Distribution of experts by years of professional experience (n = 34)</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4491"/>
        <w:gridCol w:w="2406"/>
        <w:gridCol w:w="1440"/>
      </w:tblGrid>
      <w:tr w14:paraId="58D2D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2654" w:type="pct"/>
            <w:tcBorders>
              <w:tl2br w:val="nil"/>
            </w:tcBorders>
            <w:shd w:val="clear" w:color="auto" w:fill="FFFFFF"/>
            <w:vAlign w:val="center"/>
          </w:tcPr>
          <w:p w14:paraId="4828E780">
            <w:pPr>
              <w:widowControl/>
              <w:spacing w:line="276" w:lineRule="auto"/>
              <w:ind w:firstLine="0" w:firstLineChars="0"/>
              <w:rPr>
                <w:rFonts w:hint="default" w:ascii="Cambria" w:hAnsi="Cambria" w:eastAsia="仿宋" w:cs="Cambria"/>
                <w:color w:val="000000"/>
                <w:kern w:val="0"/>
                <w:szCs w:val="21"/>
              </w:rPr>
            </w:pPr>
            <w:r>
              <w:rPr>
                <w:rFonts w:hint="default" w:ascii="Cambria" w:hAnsi="Cambria" w:eastAsia="仿宋" w:cs="Cambria"/>
                <w:color w:val="000000"/>
                <w:kern w:val="0"/>
                <w:szCs w:val="21"/>
                <w:lang w:val="en-US" w:eastAsia="zh-CN"/>
              </w:rPr>
              <w:t>Years of professional experience</w:t>
            </w:r>
          </w:p>
        </w:tc>
        <w:tc>
          <w:tcPr>
            <w:tcW w:w="1422" w:type="pct"/>
            <w:shd w:val="clear" w:color="auto" w:fill="FFFFFF"/>
            <w:vAlign w:val="center"/>
          </w:tcPr>
          <w:p w14:paraId="2A2B64E8">
            <w:pPr>
              <w:widowControl/>
              <w:spacing w:line="276" w:lineRule="auto"/>
              <w:ind w:firstLine="0" w:firstLineChars="0"/>
              <w:rPr>
                <w:rFonts w:hint="default" w:ascii="Cambria" w:hAnsi="Cambria" w:eastAsia="仿宋" w:cs="Cambria"/>
                <w:color w:val="000000"/>
                <w:kern w:val="0"/>
                <w:szCs w:val="21"/>
              </w:rPr>
            </w:pPr>
            <w:r>
              <w:rPr>
                <w:rFonts w:hint="default" w:ascii="Cambria" w:hAnsi="Cambria" w:eastAsia="仿宋" w:cs="Cambria"/>
                <w:color w:val="000000"/>
                <w:kern w:val="0"/>
                <w:szCs w:val="21"/>
                <w:lang w:val="en-US" w:eastAsia="zh-CN"/>
              </w:rPr>
              <w:t>Number of experts</w:t>
            </w:r>
          </w:p>
        </w:tc>
        <w:tc>
          <w:tcPr>
            <w:tcW w:w="851" w:type="pct"/>
            <w:shd w:val="clear" w:color="auto" w:fill="FFFFFF"/>
            <w:vAlign w:val="center"/>
          </w:tcPr>
          <w:p w14:paraId="60F43506">
            <w:pPr>
              <w:widowControl/>
              <w:spacing w:line="276" w:lineRule="auto"/>
              <w:ind w:firstLine="0" w:firstLineChars="0"/>
              <w:rPr>
                <w:rFonts w:hint="default" w:ascii="Cambria" w:hAnsi="Cambria" w:eastAsia="仿宋" w:cs="Cambria"/>
                <w:color w:val="000000"/>
                <w:kern w:val="0"/>
                <w:szCs w:val="21"/>
              </w:rPr>
            </w:pPr>
            <w:r>
              <w:rPr>
                <w:rFonts w:hint="default" w:ascii="Cambria" w:hAnsi="Cambria" w:eastAsia="仿宋" w:cs="Cambria"/>
                <w:color w:val="000000"/>
                <w:kern w:val="0"/>
                <w:szCs w:val="21"/>
                <w:lang w:val="en-US" w:eastAsia="zh-CN"/>
              </w:rPr>
              <w:t>Percentage</w:t>
            </w:r>
          </w:p>
        </w:tc>
      </w:tr>
      <w:tr w14:paraId="729DA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2654" w:type="pct"/>
            <w:shd w:val="clear" w:color="auto" w:fill="FFFFFF"/>
            <w:vAlign w:val="center"/>
          </w:tcPr>
          <w:p w14:paraId="0DA1A1A6">
            <w:pPr>
              <w:widowControl/>
              <w:spacing w:line="276" w:lineRule="auto"/>
              <w:ind w:firstLine="0" w:firstLineChars="0"/>
              <w:jc w:val="left"/>
              <w:rPr>
                <w:rFonts w:hint="default" w:ascii="Cambria" w:hAnsi="Cambria" w:eastAsia="仿宋" w:cs="Cambria"/>
                <w:color w:val="000000"/>
                <w:kern w:val="2"/>
                <w:szCs w:val="21"/>
              </w:rPr>
            </w:pPr>
            <w:r>
              <w:rPr>
                <w:rFonts w:hint="default" w:ascii="Cambria" w:hAnsi="Cambria" w:eastAsia="仿宋" w:cs="Cambria"/>
                <w:color w:val="000000"/>
                <w:kern w:val="2"/>
                <w:szCs w:val="21"/>
                <w:lang w:val="en-US" w:eastAsia="zh-CN"/>
              </w:rPr>
              <w:t>&lt;10 years</w:t>
            </w:r>
          </w:p>
        </w:tc>
        <w:tc>
          <w:tcPr>
            <w:tcW w:w="1422" w:type="pct"/>
            <w:shd w:val="clear" w:color="auto" w:fill="FFFFFF"/>
            <w:vAlign w:val="center"/>
          </w:tcPr>
          <w:p w14:paraId="5F97323A">
            <w:pPr>
              <w:widowControl/>
              <w:spacing w:line="276" w:lineRule="auto"/>
              <w:ind w:firstLine="0" w:firstLineChars="0"/>
              <w:jc w:val="left"/>
              <w:rPr>
                <w:rFonts w:hint="default" w:ascii="Cambria" w:hAnsi="Cambria" w:eastAsia="仿宋" w:cs="Cambria"/>
                <w:color w:val="000000"/>
                <w:kern w:val="2"/>
                <w:szCs w:val="21"/>
              </w:rPr>
            </w:pPr>
            <w:r>
              <w:rPr>
                <w:rFonts w:hint="default" w:ascii="Cambria" w:hAnsi="Cambria" w:eastAsia="仿宋" w:cs="Cambria"/>
                <w:color w:val="000000"/>
                <w:kern w:val="2"/>
                <w:szCs w:val="21"/>
                <w:lang w:val="en-US" w:eastAsia="zh-CN"/>
              </w:rPr>
              <w:t>2</w:t>
            </w:r>
          </w:p>
        </w:tc>
        <w:tc>
          <w:tcPr>
            <w:tcW w:w="851" w:type="pct"/>
            <w:shd w:val="clear" w:color="auto" w:fill="FFFFFF"/>
            <w:vAlign w:val="center"/>
          </w:tcPr>
          <w:p w14:paraId="17D60387">
            <w:pPr>
              <w:widowControl/>
              <w:spacing w:line="276" w:lineRule="auto"/>
              <w:ind w:firstLine="0" w:firstLineChars="0"/>
              <w:jc w:val="left"/>
              <w:rPr>
                <w:rFonts w:hint="default" w:ascii="Cambria" w:hAnsi="Cambria" w:eastAsia="仿宋" w:cs="Cambria"/>
                <w:color w:val="000000"/>
                <w:kern w:val="2"/>
                <w:szCs w:val="21"/>
              </w:rPr>
            </w:pPr>
            <w:r>
              <w:rPr>
                <w:rFonts w:hint="default" w:ascii="Cambria" w:hAnsi="Cambria" w:eastAsia="仿宋" w:cs="Cambria"/>
                <w:color w:val="000000"/>
                <w:kern w:val="2"/>
                <w:szCs w:val="21"/>
                <w:lang w:val="en-US" w:eastAsia="zh-CN"/>
              </w:rPr>
              <w:t>5.88%</w:t>
            </w:r>
          </w:p>
        </w:tc>
      </w:tr>
      <w:tr w14:paraId="63FD4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rHeight w:val="90" w:hRule="atLeast"/>
        </w:trPr>
        <w:tc>
          <w:tcPr>
            <w:tcW w:w="2654" w:type="pct"/>
            <w:shd w:val="clear" w:color="auto" w:fill="FFFFFF"/>
            <w:vAlign w:val="center"/>
          </w:tcPr>
          <w:p w14:paraId="2999FEA9">
            <w:pPr>
              <w:widowControl/>
              <w:spacing w:line="276" w:lineRule="auto"/>
              <w:ind w:firstLine="0" w:firstLineChars="0"/>
              <w:jc w:val="left"/>
              <w:rPr>
                <w:rFonts w:hint="default" w:ascii="Cambria" w:hAnsi="Cambria" w:eastAsia="仿宋" w:cs="Cambria"/>
                <w:color w:val="000000"/>
                <w:kern w:val="2"/>
                <w:szCs w:val="21"/>
              </w:rPr>
            </w:pPr>
            <w:r>
              <w:rPr>
                <w:rFonts w:hint="default" w:ascii="Cambria" w:hAnsi="Cambria" w:eastAsia="仿宋" w:cs="Cambria"/>
                <w:color w:val="000000"/>
                <w:kern w:val="2"/>
                <w:szCs w:val="21"/>
                <w:lang w:val="en-US" w:eastAsia="zh-CN"/>
              </w:rPr>
              <w:t>10–19 years</w:t>
            </w:r>
          </w:p>
        </w:tc>
        <w:tc>
          <w:tcPr>
            <w:tcW w:w="1422" w:type="pct"/>
            <w:shd w:val="clear" w:color="auto" w:fill="FFFFFF"/>
            <w:vAlign w:val="center"/>
          </w:tcPr>
          <w:p w14:paraId="05383549">
            <w:pPr>
              <w:widowControl/>
              <w:spacing w:line="276" w:lineRule="auto"/>
              <w:ind w:firstLine="0" w:firstLineChars="0"/>
              <w:jc w:val="left"/>
              <w:rPr>
                <w:rFonts w:hint="default" w:ascii="Cambria" w:hAnsi="Cambria" w:eastAsia="仿宋" w:cs="Cambria"/>
                <w:color w:val="000000"/>
                <w:kern w:val="2"/>
                <w:szCs w:val="21"/>
              </w:rPr>
            </w:pPr>
            <w:r>
              <w:rPr>
                <w:rFonts w:hint="default" w:ascii="Cambria" w:hAnsi="Cambria" w:eastAsia="仿宋" w:cs="Cambria"/>
                <w:color w:val="000000"/>
                <w:kern w:val="2"/>
                <w:szCs w:val="21"/>
                <w:lang w:val="en-US" w:eastAsia="zh-CN"/>
              </w:rPr>
              <w:t>2</w:t>
            </w:r>
          </w:p>
        </w:tc>
        <w:tc>
          <w:tcPr>
            <w:tcW w:w="851" w:type="pct"/>
            <w:shd w:val="clear" w:color="auto" w:fill="FFFFFF"/>
            <w:vAlign w:val="center"/>
          </w:tcPr>
          <w:p w14:paraId="4FBC208E">
            <w:pPr>
              <w:widowControl/>
              <w:spacing w:line="276" w:lineRule="auto"/>
              <w:ind w:firstLine="0" w:firstLineChars="0"/>
              <w:jc w:val="left"/>
              <w:rPr>
                <w:rFonts w:hint="default" w:ascii="Cambria" w:hAnsi="Cambria" w:eastAsia="仿宋" w:cs="Cambria"/>
                <w:color w:val="000000"/>
                <w:kern w:val="2"/>
                <w:szCs w:val="21"/>
              </w:rPr>
            </w:pPr>
            <w:r>
              <w:rPr>
                <w:rFonts w:hint="default" w:ascii="Cambria" w:hAnsi="Cambria" w:eastAsia="仿宋" w:cs="Cambria"/>
                <w:color w:val="000000"/>
                <w:kern w:val="2"/>
                <w:szCs w:val="21"/>
                <w:lang w:val="en-US" w:eastAsia="zh-CN"/>
              </w:rPr>
              <w:t>5.88%</w:t>
            </w:r>
          </w:p>
        </w:tc>
      </w:tr>
      <w:tr w14:paraId="1424F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2654" w:type="pct"/>
            <w:shd w:val="clear" w:color="auto" w:fill="FFFFFF"/>
            <w:vAlign w:val="center"/>
          </w:tcPr>
          <w:p w14:paraId="3D59D87A">
            <w:pPr>
              <w:widowControl/>
              <w:spacing w:line="276" w:lineRule="auto"/>
              <w:ind w:firstLine="0" w:firstLineChars="0"/>
              <w:jc w:val="left"/>
              <w:rPr>
                <w:rFonts w:hint="default" w:ascii="Cambria" w:hAnsi="Cambria" w:eastAsia="仿宋" w:cs="Cambria"/>
                <w:color w:val="000000"/>
                <w:kern w:val="2"/>
                <w:szCs w:val="21"/>
              </w:rPr>
            </w:pPr>
            <w:r>
              <w:rPr>
                <w:rFonts w:hint="default" w:ascii="Cambria" w:hAnsi="Cambria" w:eastAsia="仿宋" w:cs="Cambria"/>
                <w:color w:val="000000"/>
                <w:kern w:val="2"/>
                <w:szCs w:val="21"/>
                <w:lang w:val="en-US" w:eastAsia="zh-CN"/>
              </w:rPr>
              <w:t>20–29 years</w:t>
            </w:r>
          </w:p>
        </w:tc>
        <w:tc>
          <w:tcPr>
            <w:tcW w:w="1422" w:type="pct"/>
            <w:shd w:val="clear" w:color="auto" w:fill="FFFFFF"/>
            <w:vAlign w:val="center"/>
          </w:tcPr>
          <w:p w14:paraId="0A307E66">
            <w:pPr>
              <w:widowControl/>
              <w:spacing w:line="276" w:lineRule="auto"/>
              <w:ind w:firstLine="0" w:firstLineChars="0"/>
              <w:jc w:val="left"/>
              <w:rPr>
                <w:rFonts w:hint="default" w:ascii="Cambria" w:hAnsi="Cambria" w:eastAsia="仿宋" w:cs="Cambria"/>
                <w:color w:val="000000"/>
                <w:kern w:val="2"/>
                <w:szCs w:val="21"/>
              </w:rPr>
            </w:pPr>
            <w:r>
              <w:rPr>
                <w:rFonts w:hint="default" w:ascii="Cambria" w:hAnsi="Cambria" w:eastAsia="仿宋" w:cs="Cambria"/>
                <w:color w:val="000000"/>
                <w:kern w:val="2"/>
                <w:szCs w:val="21"/>
                <w:lang w:val="en-US" w:eastAsia="zh-CN"/>
              </w:rPr>
              <w:t>9</w:t>
            </w:r>
          </w:p>
        </w:tc>
        <w:tc>
          <w:tcPr>
            <w:tcW w:w="851" w:type="pct"/>
            <w:shd w:val="clear" w:color="auto" w:fill="FFFFFF"/>
            <w:vAlign w:val="center"/>
          </w:tcPr>
          <w:p w14:paraId="5381C0FD">
            <w:pPr>
              <w:widowControl/>
              <w:spacing w:line="276" w:lineRule="auto"/>
              <w:ind w:firstLine="0" w:firstLineChars="0"/>
              <w:jc w:val="left"/>
              <w:rPr>
                <w:rFonts w:hint="default" w:ascii="Cambria" w:hAnsi="Cambria" w:eastAsia="仿宋" w:cs="Cambria"/>
                <w:color w:val="000000"/>
                <w:kern w:val="2"/>
                <w:szCs w:val="21"/>
              </w:rPr>
            </w:pPr>
            <w:r>
              <w:rPr>
                <w:rFonts w:hint="default" w:ascii="Cambria" w:hAnsi="Cambria" w:eastAsia="仿宋" w:cs="Cambria"/>
                <w:color w:val="000000"/>
                <w:kern w:val="2"/>
                <w:szCs w:val="21"/>
                <w:lang w:val="en-US" w:eastAsia="zh-CN"/>
              </w:rPr>
              <w:t>26.47%</w:t>
            </w:r>
          </w:p>
        </w:tc>
      </w:tr>
      <w:tr w14:paraId="64CD3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2654" w:type="pct"/>
            <w:shd w:val="clear" w:color="auto" w:fill="FFFFFF"/>
            <w:vAlign w:val="center"/>
          </w:tcPr>
          <w:p w14:paraId="60938BA7">
            <w:pPr>
              <w:widowControl/>
              <w:spacing w:line="276" w:lineRule="auto"/>
              <w:ind w:firstLine="0" w:firstLineChars="0"/>
              <w:jc w:val="left"/>
              <w:rPr>
                <w:rFonts w:hint="default" w:ascii="Cambria" w:hAnsi="Cambria" w:eastAsia="仿宋" w:cs="Cambria"/>
                <w:color w:val="000000"/>
                <w:kern w:val="2"/>
                <w:szCs w:val="21"/>
              </w:rPr>
            </w:pPr>
            <w:r>
              <w:rPr>
                <w:rFonts w:hint="default" w:ascii="Cambria" w:hAnsi="Cambria" w:eastAsia="仿宋" w:cs="Cambria"/>
                <w:color w:val="000000"/>
                <w:kern w:val="2"/>
                <w:szCs w:val="21"/>
                <w:lang w:val="en-US" w:eastAsia="zh-CN"/>
              </w:rPr>
              <w:t>30–39 years</w:t>
            </w:r>
          </w:p>
        </w:tc>
        <w:tc>
          <w:tcPr>
            <w:tcW w:w="1422" w:type="pct"/>
            <w:shd w:val="clear" w:color="auto" w:fill="FFFFFF"/>
            <w:vAlign w:val="center"/>
          </w:tcPr>
          <w:p w14:paraId="78EA2C37">
            <w:pPr>
              <w:widowControl/>
              <w:spacing w:line="276" w:lineRule="auto"/>
              <w:ind w:firstLine="0" w:firstLineChars="0"/>
              <w:jc w:val="left"/>
              <w:rPr>
                <w:rFonts w:hint="default" w:ascii="Cambria" w:hAnsi="Cambria" w:eastAsia="仿宋" w:cs="Cambria"/>
                <w:color w:val="000000"/>
                <w:kern w:val="2"/>
                <w:szCs w:val="21"/>
              </w:rPr>
            </w:pPr>
            <w:r>
              <w:rPr>
                <w:rFonts w:hint="default" w:ascii="Cambria" w:hAnsi="Cambria" w:eastAsia="仿宋" w:cs="Cambria"/>
                <w:color w:val="000000"/>
                <w:kern w:val="2"/>
                <w:szCs w:val="21"/>
                <w:lang w:val="en-US" w:eastAsia="zh-CN"/>
              </w:rPr>
              <w:t>12</w:t>
            </w:r>
          </w:p>
        </w:tc>
        <w:tc>
          <w:tcPr>
            <w:tcW w:w="851" w:type="pct"/>
            <w:shd w:val="clear" w:color="auto" w:fill="FFFFFF"/>
            <w:vAlign w:val="center"/>
          </w:tcPr>
          <w:p w14:paraId="59F3EC04">
            <w:pPr>
              <w:widowControl/>
              <w:spacing w:line="276" w:lineRule="auto"/>
              <w:ind w:firstLine="0" w:firstLineChars="0"/>
              <w:jc w:val="left"/>
              <w:rPr>
                <w:rFonts w:hint="default" w:ascii="Cambria" w:hAnsi="Cambria" w:eastAsia="仿宋" w:cs="Cambria"/>
                <w:color w:val="000000"/>
                <w:kern w:val="2"/>
                <w:szCs w:val="21"/>
              </w:rPr>
            </w:pPr>
            <w:r>
              <w:rPr>
                <w:rFonts w:hint="default" w:ascii="Cambria" w:hAnsi="Cambria" w:eastAsia="仿宋" w:cs="Cambria"/>
                <w:color w:val="000000"/>
                <w:kern w:val="2"/>
                <w:szCs w:val="21"/>
                <w:lang w:val="en-US" w:eastAsia="zh-CN"/>
              </w:rPr>
              <w:t>35.29%</w:t>
            </w:r>
          </w:p>
        </w:tc>
      </w:tr>
      <w:tr w14:paraId="6A22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2654" w:type="pct"/>
            <w:shd w:val="clear" w:color="auto" w:fill="FFFFFF"/>
            <w:vAlign w:val="center"/>
          </w:tcPr>
          <w:p w14:paraId="0237333B">
            <w:pPr>
              <w:widowControl/>
              <w:spacing w:line="276" w:lineRule="auto"/>
              <w:ind w:firstLine="0" w:firstLineChars="0"/>
              <w:jc w:val="left"/>
              <w:rPr>
                <w:rFonts w:hint="default" w:ascii="Cambria" w:hAnsi="Cambria" w:eastAsia="仿宋" w:cs="Cambria"/>
                <w:color w:val="000000"/>
                <w:kern w:val="2"/>
                <w:szCs w:val="21"/>
              </w:rPr>
            </w:pPr>
            <w:r>
              <w:rPr>
                <w:rFonts w:hint="default" w:ascii="Cambria" w:hAnsi="Cambria" w:eastAsia="仿宋" w:cs="Cambria"/>
                <w:color w:val="000000"/>
                <w:kern w:val="2"/>
                <w:szCs w:val="21"/>
                <w:lang w:val="en-US" w:eastAsia="zh-CN"/>
              </w:rPr>
              <w:t>40–49 years</w:t>
            </w:r>
          </w:p>
        </w:tc>
        <w:tc>
          <w:tcPr>
            <w:tcW w:w="1422" w:type="pct"/>
            <w:shd w:val="clear" w:color="auto" w:fill="FFFFFF"/>
            <w:vAlign w:val="center"/>
          </w:tcPr>
          <w:p w14:paraId="50AC5280">
            <w:pPr>
              <w:widowControl/>
              <w:spacing w:line="276" w:lineRule="auto"/>
              <w:ind w:firstLine="0" w:firstLineChars="0"/>
              <w:jc w:val="left"/>
              <w:rPr>
                <w:rFonts w:hint="default" w:ascii="Cambria" w:hAnsi="Cambria" w:eastAsia="仿宋" w:cs="Cambria"/>
                <w:color w:val="000000"/>
                <w:kern w:val="2"/>
                <w:szCs w:val="21"/>
              </w:rPr>
            </w:pPr>
            <w:r>
              <w:rPr>
                <w:rFonts w:hint="default" w:ascii="Cambria" w:hAnsi="Cambria" w:eastAsia="仿宋" w:cs="Cambria"/>
                <w:color w:val="000000"/>
                <w:kern w:val="2"/>
                <w:szCs w:val="21"/>
                <w:lang w:val="en-US" w:eastAsia="zh-CN"/>
              </w:rPr>
              <w:t>7</w:t>
            </w:r>
          </w:p>
        </w:tc>
        <w:tc>
          <w:tcPr>
            <w:tcW w:w="851" w:type="pct"/>
            <w:shd w:val="clear" w:color="auto" w:fill="FFFFFF"/>
            <w:vAlign w:val="center"/>
          </w:tcPr>
          <w:p w14:paraId="56FC262F">
            <w:pPr>
              <w:widowControl/>
              <w:spacing w:line="276" w:lineRule="auto"/>
              <w:ind w:firstLine="0" w:firstLineChars="0"/>
              <w:jc w:val="left"/>
              <w:rPr>
                <w:rFonts w:hint="default" w:ascii="Cambria" w:hAnsi="Cambria" w:eastAsia="仿宋" w:cs="Cambria"/>
                <w:color w:val="000000"/>
                <w:kern w:val="2"/>
                <w:szCs w:val="21"/>
              </w:rPr>
            </w:pPr>
            <w:r>
              <w:rPr>
                <w:rFonts w:hint="default" w:ascii="Cambria" w:hAnsi="Cambria" w:eastAsia="仿宋" w:cs="Cambria"/>
                <w:color w:val="000000"/>
                <w:kern w:val="2"/>
                <w:szCs w:val="21"/>
                <w:lang w:val="en-US" w:eastAsia="zh-CN"/>
              </w:rPr>
              <w:t>20.59%</w:t>
            </w:r>
          </w:p>
        </w:tc>
      </w:tr>
      <w:tr w14:paraId="27A8A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2654" w:type="pct"/>
            <w:shd w:val="clear" w:color="auto" w:fill="FFFFFF"/>
            <w:vAlign w:val="center"/>
          </w:tcPr>
          <w:p w14:paraId="68600FFE">
            <w:pPr>
              <w:widowControl/>
              <w:spacing w:line="276" w:lineRule="auto"/>
              <w:ind w:firstLine="0" w:firstLineChars="0"/>
              <w:jc w:val="left"/>
              <w:rPr>
                <w:rFonts w:hint="default" w:ascii="Cambria" w:hAnsi="Cambria" w:eastAsia="仿宋" w:cs="Cambria"/>
                <w:color w:val="000000"/>
                <w:kern w:val="2"/>
                <w:szCs w:val="21"/>
              </w:rPr>
            </w:pPr>
            <w:r>
              <w:rPr>
                <w:rFonts w:hint="default" w:ascii="Cambria" w:hAnsi="Cambria" w:eastAsia="仿宋" w:cs="Cambria"/>
                <w:color w:val="000000"/>
                <w:kern w:val="2"/>
                <w:szCs w:val="21"/>
                <w:lang w:val="en-US" w:eastAsia="zh-CN"/>
              </w:rPr>
              <w:t>≥50 years</w:t>
            </w:r>
          </w:p>
        </w:tc>
        <w:tc>
          <w:tcPr>
            <w:tcW w:w="1422" w:type="pct"/>
            <w:shd w:val="clear" w:color="auto" w:fill="FFFFFF"/>
            <w:vAlign w:val="center"/>
          </w:tcPr>
          <w:p w14:paraId="7A89BFB0">
            <w:pPr>
              <w:widowControl/>
              <w:spacing w:line="276" w:lineRule="auto"/>
              <w:ind w:firstLine="0" w:firstLineChars="0"/>
              <w:jc w:val="left"/>
              <w:rPr>
                <w:rFonts w:hint="default" w:ascii="Cambria" w:hAnsi="Cambria" w:eastAsia="仿宋" w:cs="Cambria"/>
                <w:color w:val="000000"/>
                <w:kern w:val="2"/>
                <w:szCs w:val="21"/>
              </w:rPr>
            </w:pPr>
            <w:r>
              <w:rPr>
                <w:rFonts w:hint="default" w:ascii="Cambria" w:hAnsi="Cambria" w:eastAsia="仿宋" w:cs="Cambria"/>
                <w:color w:val="000000"/>
                <w:kern w:val="2"/>
                <w:szCs w:val="21"/>
                <w:lang w:val="en-US" w:eastAsia="zh-CN"/>
              </w:rPr>
              <w:t>2</w:t>
            </w:r>
          </w:p>
        </w:tc>
        <w:tc>
          <w:tcPr>
            <w:tcW w:w="851" w:type="pct"/>
            <w:shd w:val="clear" w:color="auto" w:fill="FFFFFF"/>
            <w:vAlign w:val="center"/>
          </w:tcPr>
          <w:p w14:paraId="384B52EF">
            <w:pPr>
              <w:widowControl/>
              <w:spacing w:line="276" w:lineRule="auto"/>
              <w:ind w:firstLine="0" w:firstLineChars="0"/>
              <w:jc w:val="left"/>
              <w:rPr>
                <w:rFonts w:hint="default" w:ascii="Cambria" w:hAnsi="Cambria" w:eastAsia="仿宋" w:cs="Cambria"/>
                <w:color w:val="000000"/>
                <w:kern w:val="2"/>
                <w:szCs w:val="21"/>
              </w:rPr>
            </w:pPr>
            <w:r>
              <w:rPr>
                <w:rFonts w:hint="default" w:ascii="Cambria" w:hAnsi="Cambria" w:eastAsia="仿宋" w:cs="Cambria"/>
                <w:color w:val="000000"/>
                <w:kern w:val="2"/>
                <w:szCs w:val="21"/>
                <w:lang w:val="en-US" w:eastAsia="zh-CN"/>
              </w:rPr>
              <w:t>5.88%</w:t>
            </w:r>
          </w:p>
        </w:tc>
      </w:tr>
    </w:tbl>
    <w:p w14:paraId="3B128529">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rPr>
        <w:t>Note: The range of years of professional experience was 1–55 years, and the mean years of professional experience was approximately 31.76 years.</w:t>
      </w:r>
    </w:p>
    <w:p w14:paraId="13F00CF9">
      <w:pPr>
        <w:widowControl/>
        <w:spacing w:line="276" w:lineRule="auto"/>
        <w:ind w:firstLine="0" w:firstLineChars="0"/>
        <w:rPr>
          <w:rFonts w:hint="default" w:ascii="Cambria" w:hAnsi="Cambria" w:eastAsia="仿宋" w:cs="Cambria"/>
          <w:kern w:val="0"/>
          <w:szCs w:val="21"/>
        </w:rPr>
      </w:pPr>
      <w:r>
        <w:rPr>
          <w:rFonts w:hint="default" w:ascii="Cambria" w:hAnsi="Cambria" w:eastAsia="仿宋" w:cs="Cambria"/>
          <w:kern w:val="0"/>
          <w:szCs w:val="21"/>
        </w:rPr>
        <w:t>In summary, the experts consulted in this survey had a high level of authority, strong regional representativeness and a high response rate, indicating that the consultation results were highly reliable.</w:t>
      </w:r>
    </w:p>
    <w:p w14:paraId="527377A6">
      <w:pPr>
        <w:widowControl/>
        <w:spacing w:line="276" w:lineRule="auto"/>
        <w:ind w:firstLine="0" w:firstLineChars="0"/>
        <w:rPr>
          <w:rFonts w:hint="default" w:ascii="Cambria" w:hAnsi="Cambria" w:eastAsia="仿宋" w:cs="Cambria"/>
          <w:kern w:val="0"/>
          <w:szCs w:val="21"/>
        </w:rPr>
      </w:pPr>
    </w:p>
    <w:p w14:paraId="776B4128">
      <w:pPr>
        <w:widowControl/>
        <w:spacing w:line="276" w:lineRule="auto"/>
        <w:jc w:val="left"/>
        <w:rPr>
          <w:rFonts w:hint="default" w:ascii="Cambria" w:hAnsi="Cambria" w:eastAsia="仿宋" w:cs="Cambria"/>
          <w:b/>
          <w:bCs/>
          <w:kern w:val="0"/>
          <w:szCs w:val="21"/>
        </w:rPr>
      </w:pPr>
      <w:r>
        <w:rPr>
          <w:rFonts w:hint="default" w:ascii="Cambria" w:hAnsi="Cambria" w:eastAsia="仿宋" w:cs="Cambria"/>
          <w:b/>
          <w:bCs/>
          <w:kern w:val="0"/>
          <w:szCs w:val="21"/>
        </w:rPr>
        <w:t>III. Statistical results of the expert questionnaire survey</w:t>
      </w:r>
    </w:p>
    <w:p w14:paraId="4E15CC5D">
      <w:pPr>
        <w:adjustRightInd w:val="0"/>
        <w:spacing w:line="276" w:lineRule="auto"/>
        <w:jc w:val="left"/>
        <w:rPr>
          <w:rFonts w:hint="default" w:ascii="Cambria" w:hAnsi="Cambria" w:eastAsia="仿宋" w:cs="Cambria"/>
          <w:b/>
          <w:bCs/>
          <w:kern w:val="0"/>
          <w:szCs w:val="21"/>
        </w:rPr>
      </w:pPr>
      <w:r>
        <w:rPr>
          <w:rFonts w:hint="default" w:ascii="Cambria" w:hAnsi="Cambria" w:eastAsia="仿宋" w:cs="Cambria"/>
          <w:b/>
          <w:bCs/>
          <w:kern w:val="0"/>
          <w:szCs w:val="21"/>
        </w:rPr>
        <w:t>1 Scoring method</w:t>
      </w:r>
    </w:p>
    <w:p w14:paraId="055B6E5B">
      <w:pPr>
        <w:adjustRightInd w:val="0"/>
        <w:spacing w:line="276" w:lineRule="auto"/>
        <w:ind w:firstLine="420" w:firstLineChars="200"/>
        <w:jc w:val="left"/>
        <w:rPr>
          <w:rFonts w:hint="default" w:ascii="Cambria" w:hAnsi="Cambria" w:eastAsia="仿宋" w:cs="Cambria"/>
          <w:kern w:val="0"/>
          <w:szCs w:val="21"/>
        </w:rPr>
      </w:pPr>
      <w:r>
        <w:rPr>
          <w:rFonts w:hint="default" w:ascii="Cambria" w:hAnsi="Cambria" w:eastAsia="仿宋" w:cs="Cambria"/>
          <w:kern w:val="0"/>
          <w:szCs w:val="21"/>
        </w:rPr>
        <w:t>The questionnaire data for each item were organized and statistically processed using Excel spreadsheets. The degree of concentration and coordination of expert opinions was calculated. Relevant statistical analyses were conducted using indicators such as mean value（</w:t>
      </w:r>
      <w:r>
        <w:rPr>
          <w:rFonts w:hint="default" w:ascii="Cambria" w:hAnsi="Cambria" w:eastAsia="仿宋" w:cs="Cambria"/>
          <w:b/>
          <w:position w:val="-6"/>
          <w:szCs w:val="21"/>
        </w:rPr>
        <w:drawing>
          <wp:inline distT="0" distB="0" distL="114300" distR="114300">
            <wp:extent cx="152400" cy="228600"/>
            <wp:effectExtent l="0" t="0" r="0" b="0"/>
            <wp:docPr id="82"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71"/>
                    <pic:cNvPicPr>
                      <a:picLocks noChangeAspect="1"/>
                    </pic:cNvPicPr>
                  </pic:nvPicPr>
                  <pic:blipFill>
                    <a:blip r:embed="rId10"/>
                    <a:stretch>
                      <a:fillRect/>
                    </a:stretch>
                  </pic:blipFill>
                  <pic:spPr>
                    <a:xfrm>
                      <a:off x="0" y="0"/>
                      <a:ext cx="152400" cy="228600"/>
                    </a:xfrm>
                    <a:prstGeom prst="rect">
                      <a:avLst/>
                    </a:prstGeom>
                    <a:noFill/>
                    <a:ln>
                      <a:noFill/>
                    </a:ln>
                  </pic:spPr>
                </pic:pic>
              </a:graphicData>
            </a:graphic>
          </wp:inline>
        </w:drawing>
      </w:r>
      <w:r>
        <w:rPr>
          <w:rFonts w:hint="default" w:ascii="Cambria" w:hAnsi="Cambria" w:eastAsia="仿宋" w:cs="Cambria"/>
          <w:kern w:val="0"/>
          <w:szCs w:val="21"/>
        </w:rPr>
        <w:t>）, percentage rated as unimportant (R), rank sum (S), and coefficient of variation (CV).</w:t>
      </w:r>
    </w:p>
    <w:p w14:paraId="3C121616">
      <w:pPr>
        <w:tabs>
          <w:tab w:val="left" w:pos="776"/>
        </w:tabs>
        <w:spacing w:line="276" w:lineRule="auto"/>
        <w:rPr>
          <w:rFonts w:hint="default" w:ascii="Cambria" w:hAnsi="Cambria" w:eastAsia="仿宋" w:cs="Cambria"/>
          <w:b/>
          <w:szCs w:val="21"/>
        </w:rPr>
      </w:pPr>
      <w:r>
        <w:rPr>
          <w:rFonts w:hint="default" w:ascii="Cambria" w:hAnsi="Cambria" w:eastAsia="仿宋" w:cs="Cambria"/>
          <w:b/>
          <w:szCs w:val="21"/>
        </w:rPr>
        <w:t>1.1 Meaning and calculation methods of indicators</w:t>
      </w:r>
    </w:p>
    <w:p w14:paraId="04A7439E">
      <w:pPr>
        <w:tabs>
          <w:tab w:val="left" w:pos="776"/>
        </w:tabs>
        <w:spacing w:line="276" w:lineRule="auto"/>
        <w:rPr>
          <w:rFonts w:hint="default" w:ascii="Cambria" w:hAnsi="Cambria" w:eastAsia="仿宋" w:cs="Cambria"/>
          <w:szCs w:val="21"/>
        </w:rPr>
      </w:pPr>
      <w:r>
        <w:rPr>
          <w:rFonts w:hint="default" w:ascii="Cambria" w:hAnsi="Cambria" w:eastAsia="仿宋" w:cs="Cambria"/>
          <w:szCs w:val="21"/>
        </w:rPr>
        <w:t>(1) Frequency of occurrence of assigned values for each indicator (f): this refers to the number of times that experts assigned values of 0 or 1 to each item of information. In this study, information checked with “√” in the returned questionnaires was counted as 1 point, and information not checked was counted as 0 points.</w:t>
      </w:r>
    </w:p>
    <w:p w14:paraId="10C60E0C">
      <w:pPr>
        <w:tabs>
          <w:tab w:val="left" w:pos="776"/>
        </w:tabs>
        <w:spacing w:line="276" w:lineRule="auto"/>
        <w:rPr>
          <w:rFonts w:hint="default" w:ascii="Cambria" w:hAnsi="Cambria" w:eastAsia="仿宋" w:cs="Cambria"/>
          <w:szCs w:val="21"/>
        </w:rPr>
      </w:pPr>
      <w:r>
        <w:rPr>
          <w:rFonts w:hint="default" w:ascii="Cambria" w:hAnsi="Cambria" w:eastAsia="仿宋" w:cs="Cambria"/>
          <w:szCs w:val="21"/>
        </w:rPr>
        <w:t>(2) Calculation method of the mean value（</w:t>
      </w:r>
      <w:r>
        <w:rPr>
          <w:rFonts w:hint="default" w:ascii="Cambria" w:hAnsi="Cambria" w:eastAsia="仿宋" w:cs="Cambria"/>
          <w:b/>
          <w:position w:val="-6"/>
          <w:szCs w:val="21"/>
        </w:rPr>
        <w:drawing>
          <wp:inline distT="0" distB="0" distL="114300" distR="114300">
            <wp:extent cx="152400" cy="228600"/>
            <wp:effectExtent l="0" t="0" r="0" b="0"/>
            <wp:docPr id="84"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72"/>
                    <pic:cNvPicPr>
                      <a:picLocks noChangeAspect="1"/>
                    </pic:cNvPicPr>
                  </pic:nvPicPr>
                  <pic:blipFill>
                    <a:blip r:embed="rId10"/>
                    <a:stretch>
                      <a:fillRect/>
                    </a:stretch>
                  </pic:blipFill>
                  <pic:spPr>
                    <a:xfrm>
                      <a:off x="0" y="0"/>
                      <a:ext cx="152400" cy="228600"/>
                    </a:xfrm>
                    <a:prstGeom prst="rect">
                      <a:avLst/>
                    </a:prstGeom>
                    <a:noFill/>
                    <a:ln>
                      <a:noFill/>
                    </a:ln>
                  </pic:spPr>
                </pic:pic>
              </a:graphicData>
            </a:graphic>
          </wp:inline>
        </w:drawing>
      </w:r>
      <w:r>
        <w:rPr>
          <w:rFonts w:hint="default" w:ascii="Cambria" w:hAnsi="Cambria" w:eastAsia="仿宋" w:cs="Cambria"/>
          <w:szCs w:val="21"/>
        </w:rPr>
        <w:t>）: this refers to the average score of the counted object.</w:t>
      </w:r>
      <w:r>
        <w:rPr>
          <w:rFonts w:hint="default" w:ascii="Cambria" w:hAnsi="Cambria" w:eastAsia="仿宋" w:cs="Cambria"/>
          <w:position w:val="-10"/>
          <w:szCs w:val="21"/>
        </w:rPr>
        <w:drawing>
          <wp:inline distT="0" distB="0" distL="114300" distR="114300">
            <wp:extent cx="152400" cy="228600"/>
            <wp:effectExtent l="0" t="0" r="0" b="0"/>
            <wp:docPr id="8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73"/>
                    <pic:cNvPicPr>
                      <a:picLocks noChangeAspect="1"/>
                    </pic:cNvPicPr>
                  </pic:nvPicPr>
                  <pic:blipFill>
                    <a:blip r:embed="rId73"/>
                    <a:stretch>
                      <a:fillRect/>
                    </a:stretch>
                  </pic:blipFill>
                  <pic:spPr>
                    <a:xfrm>
                      <a:off x="0" y="0"/>
                      <a:ext cx="152400" cy="228600"/>
                    </a:xfrm>
                    <a:prstGeom prst="rect">
                      <a:avLst/>
                    </a:prstGeom>
                    <a:noFill/>
                    <a:ln>
                      <a:noFill/>
                    </a:ln>
                  </pic:spPr>
                </pic:pic>
              </a:graphicData>
            </a:graphic>
          </wp:inline>
        </w:drawing>
      </w:r>
    </w:p>
    <w:p w14:paraId="207A7F6A">
      <w:pPr>
        <w:spacing w:line="276" w:lineRule="auto"/>
        <w:rPr>
          <w:rFonts w:hint="default" w:ascii="Cambria" w:hAnsi="Cambria" w:eastAsia="仿宋" w:cs="Cambria"/>
          <w:szCs w:val="21"/>
        </w:rPr>
      </w:pPr>
      <w:r>
        <w:rPr>
          <w:rFonts w:hint="default" w:ascii="Cambria" w:hAnsi="Cambria" w:eastAsia="仿宋" w:cs="Cambria"/>
          <w:szCs w:val="21"/>
        </w:rPr>
        <w:t>(3) Percentage rated as unimportant (R): this refers to the ratio of the frequency with which experts assigned a value of 0 to each item of information to the total number of experts participating in the evaluation.</w:t>
      </w:r>
    </w:p>
    <w:p w14:paraId="78F31875">
      <w:pPr>
        <w:spacing w:line="276" w:lineRule="auto"/>
        <w:ind w:firstLine="621" w:firstLineChars="296"/>
        <w:rPr>
          <w:rFonts w:hint="default" w:ascii="Cambria" w:hAnsi="Cambria" w:eastAsia="仿宋" w:cs="Cambria"/>
          <w:szCs w:val="21"/>
        </w:rPr>
      </w:pPr>
      <w:r>
        <w:rPr>
          <w:rFonts w:hint="default" w:ascii="Cambria" w:hAnsi="Cambria" w:eastAsia="仿宋" w:cs="Cambria"/>
          <w:szCs w:val="21"/>
        </w:rPr>
        <w:t xml:space="preserve">R=frequency of 0 / total frequency of the item of information × 100%  </w:t>
      </w:r>
    </w:p>
    <w:p w14:paraId="2A40CADE">
      <w:pPr>
        <w:spacing w:line="276" w:lineRule="auto"/>
        <w:rPr>
          <w:rFonts w:hint="default" w:ascii="Cambria" w:hAnsi="Cambria" w:eastAsia="仿宋" w:cs="Cambria"/>
          <w:szCs w:val="21"/>
        </w:rPr>
      </w:pPr>
      <w:r>
        <w:rPr>
          <w:rFonts w:hint="default" w:ascii="Cambria" w:hAnsi="Cambria" w:eastAsia="仿宋" w:cs="Cambria"/>
          <w:szCs w:val="21"/>
        </w:rPr>
        <w:t>(4) Rank sum (S): this refers to the algebraic sum of the values assigned by experts to each item of information.</w:t>
      </w:r>
    </w:p>
    <w:p w14:paraId="3B62F015">
      <w:pPr>
        <w:spacing w:line="276" w:lineRule="auto"/>
        <w:rPr>
          <w:rFonts w:hint="default" w:ascii="Cambria" w:hAnsi="Cambria" w:eastAsia="仿宋" w:cs="Cambria"/>
          <w:szCs w:val="21"/>
        </w:rPr>
      </w:pPr>
      <w:r>
        <w:rPr>
          <w:rFonts w:hint="default" w:ascii="Cambria" w:hAnsi="Cambria" w:eastAsia="仿宋" w:cs="Cambria"/>
          <w:szCs w:val="21"/>
        </w:rPr>
        <w:t>(5) Coefficient of variation (CV): this is often used when the units of observation indicators differ or when the means differ greatly. It is essentially a relative indicator of variation. The calculation formula is:CV=</w:t>
      </w:r>
      <w:r>
        <w:rPr>
          <w:rFonts w:hint="default" w:ascii="Cambria" w:hAnsi="Cambria" w:eastAsia="仿宋" w:cs="Cambria"/>
          <w:position w:val="-26"/>
          <w:szCs w:val="21"/>
        </w:rPr>
        <w:drawing>
          <wp:inline distT="0" distB="0" distL="114300" distR="114300">
            <wp:extent cx="152400" cy="381000"/>
            <wp:effectExtent l="0" t="0" r="0" b="0"/>
            <wp:docPr id="85"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74"/>
                    <pic:cNvPicPr>
                      <a:picLocks noChangeAspect="1"/>
                    </pic:cNvPicPr>
                  </pic:nvPicPr>
                  <pic:blipFill>
                    <a:blip r:embed="rId14"/>
                    <a:stretch>
                      <a:fillRect/>
                    </a:stretch>
                  </pic:blipFill>
                  <pic:spPr>
                    <a:xfrm>
                      <a:off x="0" y="0"/>
                      <a:ext cx="152400" cy="381000"/>
                    </a:xfrm>
                    <a:prstGeom prst="rect">
                      <a:avLst/>
                    </a:prstGeom>
                    <a:noFill/>
                    <a:ln>
                      <a:noFill/>
                    </a:ln>
                  </pic:spPr>
                </pic:pic>
              </a:graphicData>
            </a:graphic>
          </wp:inline>
        </w:drawing>
      </w:r>
      <w:r>
        <w:rPr>
          <w:rFonts w:hint="default" w:ascii="Cambria" w:hAnsi="Cambria" w:eastAsia="仿宋" w:cs="Cambria"/>
          <w:szCs w:val="21"/>
        </w:rPr>
        <w:t>×100﹪, where S represents the standard deviation, and represents the mean.</w:t>
      </w:r>
    </w:p>
    <w:p w14:paraId="782C5F41">
      <w:pPr>
        <w:spacing w:line="276" w:lineRule="auto"/>
        <w:rPr>
          <w:rFonts w:hint="default" w:ascii="Cambria" w:hAnsi="Cambria" w:eastAsia="仿宋" w:cs="Cambria"/>
          <w:szCs w:val="21"/>
        </w:rPr>
      </w:pPr>
      <w:r>
        <w:rPr>
          <w:rFonts w:hint="default" w:ascii="Cambria" w:hAnsi="Cambria" w:eastAsia="仿宋" w:cs="Cambria"/>
          <w:szCs w:val="21"/>
        </w:rPr>
        <w:t>(6) Standard deviation (S): this is the positive square root of the variance, and its dimension is the same as that of the original variable values. Variance, also known as mean square deviation, reflects the average dispersion level of a set of data. The calculation formula is as follows:</w:t>
      </w:r>
    </w:p>
    <w:p w14:paraId="53845DE1">
      <w:pPr>
        <w:spacing w:line="276" w:lineRule="auto"/>
        <w:ind w:firstLine="400" w:firstLineChars="200"/>
        <w:rPr>
          <w:rFonts w:hint="default" w:ascii="Cambria" w:hAnsi="Cambria" w:eastAsia="仿宋" w:cs="Cambria"/>
          <w:szCs w:val="21"/>
        </w:rPr>
      </w:pPr>
      <m:oMathPara>
        <m:oMath>
          <m:r>
            <m:rPr>
              <m:nor/>
            </m:rPr>
            <w:rPr>
              <w:rFonts w:hint="default" w:ascii="Cambria Math" w:hAnsi="Cambria Math" w:eastAsia="Consolas" w:cs="Cambria"/>
              <w:i/>
              <w:sz w:val="20"/>
            </w:rPr>
            <m:t>S</m:t>
          </m:r>
          <m:r>
            <m:rPr>
              <m:nor/>
              <m:sty m:val="p"/>
            </m:rPr>
            <w:rPr>
              <w:rFonts w:hint="default" w:ascii="Cambria Math" w:hAnsi="Cambria Math" w:eastAsia="Consolas" w:cs="Cambria"/>
              <w:b w:val="0"/>
              <w:i w:val="0"/>
              <w:sz w:val="20"/>
            </w:rPr>
            <m:t>=</m:t>
          </m:r>
          <m:rad>
            <m:radPr>
              <m:degHide m:val="1"/>
              <m:ctrlPr>
                <w:rPr>
                  <w:rFonts w:hint="default" w:ascii="Cambria Math" w:hAnsi="Cambria Math" w:eastAsia="Consolas" w:cs="Cambria"/>
                  <w:sz w:val="20"/>
                </w:rPr>
              </m:ctrlPr>
            </m:radPr>
            <m:deg>
              <m:ctrlPr>
                <w:rPr>
                  <w:rFonts w:hint="default" w:ascii="Cambria Math" w:hAnsi="Cambria Math" w:eastAsia="Consolas" w:cs="Cambria"/>
                  <w:sz w:val="20"/>
                </w:rPr>
              </m:ctrlPr>
            </m:deg>
            <m:e>
              <m:f>
                <m:fPr>
                  <m:ctrlPr>
                    <w:rPr>
                      <w:rFonts w:hint="default" w:ascii="Cambria Math" w:hAnsi="Cambria Math" w:eastAsia="Consolas" w:cs="Cambria"/>
                      <w:sz w:val="20"/>
                    </w:rPr>
                  </m:ctrlPr>
                </m:fPr>
                <m:num>
                  <m:nary>
                    <m:naryPr>
                      <m:chr m:val="∑"/>
                      <m:limLoc m:val="subSup"/>
                      <m:ctrlPr>
                        <w:rPr>
                          <w:rFonts w:hint="default" w:ascii="Cambria Math" w:hAnsi="Cambria Math" w:eastAsia="Consolas" w:cs="Cambria"/>
                          <w:sz w:val="20"/>
                        </w:rPr>
                      </m:ctrlPr>
                    </m:naryPr>
                    <m:sub>
                      <m:r>
                        <m:rPr>
                          <m:nor/>
                        </m:rPr>
                        <w:rPr>
                          <w:rFonts w:hint="default" w:ascii="Cambria Math" w:hAnsi="Cambria Math" w:eastAsia="Consolas" w:cs="Cambria"/>
                          <w:i/>
                          <w:sz w:val="20"/>
                        </w:rPr>
                        <m:t>i</m:t>
                      </m:r>
                      <m:r>
                        <m:rPr>
                          <m:nor/>
                          <m:sty m:val="p"/>
                        </m:rPr>
                        <w:rPr>
                          <w:rFonts w:hint="default" w:ascii="Cambria Math" w:hAnsi="Cambria Math" w:eastAsia="Consolas" w:cs="Cambria"/>
                          <w:b w:val="0"/>
                          <w:i w:val="0"/>
                          <w:sz w:val="20"/>
                        </w:rPr>
                        <m:t>=1</m:t>
                      </m:r>
                      <m:ctrlPr>
                        <w:rPr>
                          <w:rFonts w:hint="default" w:ascii="Cambria Math" w:hAnsi="Cambria Math" w:eastAsia="Consolas" w:cs="Cambria"/>
                          <w:sz w:val="20"/>
                        </w:rPr>
                      </m:ctrlPr>
                    </m:sub>
                    <m:sup>
                      <m:r>
                        <m:rPr>
                          <m:nor/>
                        </m:rPr>
                        <w:rPr>
                          <w:rFonts w:hint="default" w:ascii="Cambria Math" w:hAnsi="Cambria Math" w:eastAsia="Consolas" w:cs="Cambria"/>
                          <w:i/>
                          <w:sz w:val="20"/>
                        </w:rPr>
                        <m:t>n</m:t>
                      </m:r>
                      <m:ctrlPr>
                        <w:rPr>
                          <w:rFonts w:hint="default" w:ascii="Cambria Math" w:hAnsi="Cambria Math" w:eastAsia="Consolas" w:cs="Cambria"/>
                          <w:sz w:val="20"/>
                        </w:rPr>
                      </m:ctrlPr>
                    </m:sup>
                    <m:e>
                      <m:r>
                        <m:rPr>
                          <m:nor/>
                          <m:sty m:val="p"/>
                        </m:rPr>
                        <w:rPr>
                          <w:rFonts w:hint="default" w:ascii="Cambria Math" w:hAnsi="Cambria Math" w:eastAsia="Consolas" w:cs="Cambria"/>
                          <w:b w:val="0"/>
                          <w:i w:val="0"/>
                          <w:sz w:val="20"/>
                        </w:rPr>
                        <m:t>(</m:t>
                      </m:r>
                      <m:ctrlPr>
                        <w:rPr>
                          <w:rFonts w:hint="default" w:ascii="Cambria Math" w:hAnsi="Cambria Math" w:eastAsia="Consolas" w:cs="Cambria"/>
                          <w:sz w:val="20"/>
                        </w:rPr>
                      </m:ctrlPr>
                    </m:e>
                  </m:nary>
                  <m:sSub>
                    <m:sSubPr>
                      <m:ctrlPr>
                        <w:rPr>
                          <w:rFonts w:hint="default" w:ascii="Cambria Math" w:hAnsi="Cambria Math" w:eastAsia="Consolas" w:cs="Cambria"/>
                          <w:sz w:val="20"/>
                        </w:rPr>
                      </m:ctrlPr>
                    </m:sSubPr>
                    <m:e>
                      <m:r>
                        <m:rPr>
                          <m:nor/>
                        </m:rPr>
                        <w:rPr>
                          <w:rFonts w:hint="default" w:ascii="Cambria Math" w:hAnsi="Cambria Math" w:eastAsia="Consolas" w:cs="Cambria"/>
                          <w:i/>
                          <w:sz w:val="20"/>
                        </w:rPr>
                        <m:t>x</m:t>
                      </m:r>
                      <m:ctrlPr>
                        <w:rPr>
                          <w:rFonts w:hint="default" w:ascii="Cambria Math" w:hAnsi="Cambria Math" w:eastAsia="Consolas" w:cs="Cambria"/>
                          <w:sz w:val="20"/>
                        </w:rPr>
                      </m:ctrlPr>
                    </m:e>
                    <m:sub>
                      <m:r>
                        <m:rPr>
                          <m:nor/>
                        </m:rPr>
                        <w:rPr>
                          <w:rFonts w:hint="default" w:ascii="Cambria Math" w:hAnsi="Cambria Math" w:eastAsia="Consolas" w:cs="Cambria"/>
                          <w:i/>
                          <w:sz w:val="20"/>
                        </w:rPr>
                        <m:t>i</m:t>
                      </m:r>
                      <m:ctrlPr>
                        <w:rPr>
                          <w:rFonts w:hint="default" w:ascii="Cambria Math" w:hAnsi="Cambria Math" w:eastAsia="Consolas" w:cs="Cambria"/>
                          <w:sz w:val="20"/>
                        </w:rPr>
                      </m:ctrlPr>
                    </m:sub>
                  </m:sSub>
                  <m:r>
                    <m:rPr>
                      <m:nor/>
                      <m:sty m:val="p"/>
                    </m:rPr>
                    <w:rPr>
                      <w:rFonts w:hint="default" w:ascii="Cambria Math" w:hAnsi="Cambria Math" w:eastAsia="Consolas" w:cs="Cambria"/>
                      <w:b w:val="0"/>
                      <w:i w:val="0"/>
                      <w:sz w:val="20"/>
                    </w:rPr>
                    <m:t>−</m:t>
                  </m:r>
                  <m:acc>
                    <m:accPr>
                      <m:chr m:val="̄"/>
                      <m:ctrlPr>
                        <w:rPr>
                          <w:rFonts w:hint="default" w:ascii="Cambria Math" w:hAnsi="Cambria Math" w:eastAsia="Consolas" w:cs="Cambria"/>
                          <w:sz w:val="20"/>
                        </w:rPr>
                      </m:ctrlPr>
                    </m:accPr>
                    <m:e>
                      <m:r>
                        <m:rPr>
                          <m:nor/>
                        </m:rPr>
                        <w:rPr>
                          <w:rFonts w:hint="default" w:ascii="Cambria Math" w:hAnsi="Cambria Math" w:eastAsia="Consolas" w:cs="Cambria"/>
                          <w:i/>
                          <w:sz w:val="20"/>
                        </w:rPr>
                        <m:t>x</m:t>
                      </m:r>
                      <m:ctrlPr>
                        <w:rPr>
                          <w:rFonts w:hint="default" w:ascii="Cambria Math" w:hAnsi="Cambria Math" w:eastAsia="Consolas" w:cs="Cambria"/>
                          <w:sz w:val="20"/>
                        </w:rPr>
                      </m:ctrlPr>
                    </m:e>
                  </m:acc>
                  <m:sSup>
                    <m:sSupPr>
                      <m:ctrlPr>
                        <w:rPr>
                          <w:rFonts w:hint="default" w:ascii="Cambria Math" w:hAnsi="Cambria Math" w:eastAsia="Consolas" w:cs="Cambria"/>
                          <w:sz w:val="20"/>
                        </w:rPr>
                      </m:ctrlPr>
                    </m:sSupPr>
                    <m:e>
                      <m:r>
                        <m:rPr>
                          <m:nor/>
                          <m:sty m:val="p"/>
                        </m:rPr>
                        <w:rPr>
                          <w:rFonts w:hint="default" w:ascii="Cambria Math" w:hAnsi="Cambria Math" w:eastAsia="Consolas" w:cs="Cambria"/>
                          <w:b w:val="0"/>
                          <w:i w:val="0"/>
                          <w:sz w:val="20"/>
                        </w:rPr>
                        <m:t>)</m:t>
                      </m:r>
                      <m:ctrlPr>
                        <w:rPr>
                          <w:rFonts w:hint="default" w:ascii="Cambria Math" w:hAnsi="Cambria Math" w:eastAsia="Consolas" w:cs="Cambria"/>
                          <w:sz w:val="20"/>
                        </w:rPr>
                      </m:ctrlPr>
                    </m:e>
                    <m:sup>
                      <m:r>
                        <m:rPr>
                          <m:nor/>
                          <m:sty m:val="p"/>
                        </m:rPr>
                        <w:rPr>
                          <w:rFonts w:hint="default" w:ascii="Cambria Math" w:hAnsi="Cambria Math" w:eastAsia="Consolas" w:cs="Cambria"/>
                          <w:b w:val="0"/>
                          <w:i w:val="0"/>
                          <w:sz w:val="20"/>
                        </w:rPr>
                        <m:t>2</m:t>
                      </m:r>
                      <m:ctrlPr>
                        <w:rPr>
                          <w:rFonts w:hint="default" w:ascii="Cambria Math" w:hAnsi="Cambria Math" w:eastAsia="Consolas" w:cs="Cambria"/>
                          <w:sz w:val="20"/>
                        </w:rPr>
                      </m:ctrlPr>
                    </m:sup>
                  </m:sSup>
                  <m:ctrlPr>
                    <w:rPr>
                      <w:rFonts w:hint="default" w:ascii="Cambria Math" w:hAnsi="Cambria Math" w:eastAsia="Consolas" w:cs="Cambria"/>
                      <w:sz w:val="20"/>
                    </w:rPr>
                  </m:ctrlPr>
                </m:num>
                <m:den>
                  <m:r>
                    <m:rPr>
                      <m:nor/>
                    </m:rPr>
                    <w:rPr>
                      <w:rFonts w:hint="default" w:ascii="Cambria Math" w:hAnsi="Cambria Math" w:eastAsia="Consolas" w:cs="Cambria"/>
                      <w:i/>
                      <w:sz w:val="20"/>
                    </w:rPr>
                    <m:t>n</m:t>
                  </m:r>
                  <m:r>
                    <m:rPr>
                      <m:nor/>
                      <m:sty m:val="p"/>
                    </m:rPr>
                    <w:rPr>
                      <w:rFonts w:hint="default" w:ascii="Cambria Math" w:hAnsi="Cambria Math" w:eastAsia="Consolas" w:cs="Cambria"/>
                      <w:b w:val="0"/>
                      <w:i w:val="0"/>
                      <w:sz w:val="20"/>
                    </w:rPr>
                    <m:t>−1</m:t>
                  </m:r>
                  <m:ctrlPr>
                    <w:rPr>
                      <w:rFonts w:hint="default" w:ascii="Cambria Math" w:hAnsi="Cambria Math" w:eastAsia="Consolas" w:cs="Cambria"/>
                      <w:sz w:val="20"/>
                    </w:rPr>
                  </m:ctrlPr>
                </m:den>
              </m:f>
              <m:ctrlPr>
                <w:rPr>
                  <w:rFonts w:hint="default" w:ascii="Cambria Math" w:hAnsi="Cambria Math" w:eastAsia="Consolas" w:cs="Cambria"/>
                  <w:sz w:val="20"/>
                </w:rPr>
              </m:ctrlPr>
            </m:e>
          </m:rad>
        </m:oMath>
      </m:oMathPara>
    </w:p>
    <w:p w14:paraId="6E93A6A8">
      <w:pPr>
        <w:spacing w:line="276" w:lineRule="auto"/>
        <w:rPr>
          <w:rFonts w:hint="default" w:ascii="Cambria" w:hAnsi="Cambria" w:eastAsia="仿宋" w:cs="Cambria"/>
          <w:b/>
          <w:bCs/>
          <w:kern w:val="0"/>
          <w:szCs w:val="21"/>
        </w:rPr>
      </w:pPr>
      <w:r>
        <w:rPr>
          <w:rFonts w:hint="default" w:ascii="Cambria" w:hAnsi="Cambria" w:eastAsia="仿宋" w:cs="Cambria"/>
          <w:b/>
          <w:bCs/>
          <w:kern w:val="0"/>
          <w:szCs w:val="21"/>
        </w:rPr>
        <w:t>1.2 Plan for handling statistical results</w:t>
      </w:r>
    </w:p>
    <w:p w14:paraId="0C7C1F4A">
      <w:pPr>
        <w:spacing w:line="276" w:lineRule="auto"/>
        <w:ind w:firstLine="420" w:firstLineChars="200"/>
        <w:rPr>
          <w:rFonts w:hint="default" w:ascii="Cambria" w:hAnsi="Cambria" w:eastAsia="仿宋" w:cs="Cambria"/>
          <w:kern w:val="0"/>
          <w:szCs w:val="21"/>
        </w:rPr>
      </w:pPr>
      <w:r>
        <w:rPr>
          <w:rFonts w:hint="default" w:ascii="Cambria" w:hAnsi="Cambria" w:eastAsia="仿宋" w:cs="Cambria"/>
          <w:kern w:val="0"/>
          <w:szCs w:val="21"/>
        </w:rPr>
        <w:t>In principle, for the statistical results, option content recognized by more than 50% of the experts was retained. That is, an option with a rank sum greater than half of the total number of returned questionnaires was treated as an item option for which the revision comment was directly accepted.</w:t>
      </w:r>
    </w:p>
    <w:p w14:paraId="0C139764">
      <w:pPr>
        <w:spacing w:line="276" w:lineRule="auto"/>
        <w:ind w:firstLine="420" w:firstLineChars="200"/>
        <w:rPr>
          <w:rFonts w:hint="default" w:ascii="Cambria" w:hAnsi="Cambria" w:eastAsia="仿宋" w:cs="Cambria"/>
          <w:kern w:val="0"/>
          <w:szCs w:val="21"/>
        </w:rPr>
      </w:pPr>
      <w:r>
        <w:rPr>
          <w:rFonts w:hint="default" w:ascii="Cambria" w:hAnsi="Cambria" w:eastAsia="仿宋" w:cs="Cambria"/>
          <w:kern w:val="0"/>
          <w:szCs w:val="21"/>
        </w:rPr>
        <w:t>For items whose rank sum was not greater than half of the total number of returned questionnaires, especially items with multiple options where this situation was more likely to occur, the mean score of each option for each item was recorded truthfully. These items were prepared for submission to the expert consultation meeting as issues requiring focused discussion.</w:t>
      </w:r>
    </w:p>
    <w:p w14:paraId="42CAB174">
      <w:pPr>
        <w:widowControl/>
        <w:spacing w:line="276" w:lineRule="auto"/>
        <w:ind w:firstLine="0" w:firstLineChars="0"/>
        <w:jc w:val="left"/>
        <w:rPr>
          <w:rFonts w:hint="default" w:ascii="Cambria" w:hAnsi="Cambria" w:eastAsia="仿宋" w:cs="Cambria"/>
          <w:b/>
          <w:bCs/>
          <w:szCs w:val="21"/>
        </w:rPr>
      </w:pPr>
      <w:r>
        <w:rPr>
          <w:rFonts w:hint="default" w:ascii="Cambria" w:hAnsi="Cambria" w:eastAsia="仿宋" w:cs="Cambria"/>
          <w:b/>
          <w:bCs/>
          <w:szCs w:val="21"/>
        </w:rPr>
        <w:t>2 Questionnaire survey results</w:t>
      </w:r>
    </w:p>
    <w:p w14:paraId="70EA87A3">
      <w:pPr>
        <w:widowControl/>
        <w:spacing w:line="276" w:lineRule="auto"/>
        <w:ind w:firstLine="0" w:firstLineChars="0"/>
        <w:jc w:val="left"/>
        <w:rPr>
          <w:rFonts w:hint="default" w:ascii="Cambria" w:hAnsi="Cambria" w:eastAsia="仿宋" w:cs="Cambria"/>
          <w:b/>
          <w:bCs/>
          <w:szCs w:val="21"/>
        </w:rPr>
      </w:pPr>
      <w:r>
        <w:rPr>
          <w:rFonts w:hint="default" w:ascii="Cambria" w:hAnsi="Cambria" w:eastAsia="仿宋" w:cs="Cambria"/>
          <w:b/>
          <w:bCs/>
          <w:szCs w:val="21"/>
        </w:rPr>
        <w:t>2.1 Survey results on the definition of “deqi”</w:t>
      </w:r>
    </w:p>
    <w:p w14:paraId="4332F52D">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1 Survey results on the definition of “deqi”</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2139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7FA1A34C">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4428ABBA">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083"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83" DrawAspect="Content" ObjectID="_1468075783" r:id="rId74">
                  <o:LockedField>false</o:LockedField>
                </o:OLEObject>
              </w:object>
            </w:r>
          </w:p>
        </w:tc>
        <w:tc>
          <w:tcPr>
            <w:tcW w:w="0" w:type="auto"/>
            <w:shd w:val="clear" w:color="auto" w:fill="auto"/>
            <w:vAlign w:val="center"/>
          </w:tcPr>
          <w:p w14:paraId="055B99AF">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3AA85E80">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596E2BAB">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55A58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323BCD0D">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Deqi refers to sensations such as soreness, numbness, distension and heaviness produced at the acupoint site after insertion of a filiform needle. It is also known as needle sensation or acupuncture response, indicating that the qi of the meridian has arrived beneath the needle. Source: GB/T 21709.20—2009 Standardized manipulations of acupuncture and moxibustion — Part 20: Basic techniques of filiform needle</w:t>
            </w:r>
          </w:p>
        </w:tc>
        <w:tc>
          <w:tcPr>
            <w:tcW w:w="0" w:type="auto"/>
            <w:shd w:val="clear" w:color="auto" w:fill="auto"/>
            <w:vAlign w:val="center"/>
          </w:tcPr>
          <w:p w14:paraId="590FCBA3">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0.88</w:t>
            </w:r>
          </w:p>
        </w:tc>
        <w:tc>
          <w:tcPr>
            <w:tcW w:w="0" w:type="auto"/>
            <w:shd w:val="clear" w:color="auto" w:fill="auto"/>
            <w:vAlign w:val="center"/>
          </w:tcPr>
          <w:p w14:paraId="194B6005">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11.76%</w:t>
            </w:r>
          </w:p>
        </w:tc>
        <w:tc>
          <w:tcPr>
            <w:tcW w:w="0" w:type="auto"/>
            <w:shd w:val="clear" w:color="auto" w:fill="auto"/>
            <w:vAlign w:val="center"/>
          </w:tcPr>
          <w:p w14:paraId="78EF1D06">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30</w:t>
            </w:r>
          </w:p>
        </w:tc>
        <w:tc>
          <w:tcPr>
            <w:tcW w:w="0" w:type="auto"/>
            <w:shd w:val="clear" w:color="auto" w:fill="auto"/>
            <w:vAlign w:val="center"/>
          </w:tcPr>
          <w:p w14:paraId="5CC17CAB">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37.06%</w:t>
            </w:r>
          </w:p>
        </w:tc>
      </w:tr>
      <w:tr w14:paraId="3E08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082766DB">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16A8E51B">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0.12</w:t>
            </w:r>
          </w:p>
        </w:tc>
        <w:tc>
          <w:tcPr>
            <w:tcW w:w="0" w:type="auto"/>
            <w:shd w:val="clear" w:color="auto" w:fill="auto"/>
            <w:vAlign w:val="center"/>
          </w:tcPr>
          <w:p w14:paraId="78B9B27F">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88.24%</w:t>
            </w:r>
          </w:p>
        </w:tc>
        <w:tc>
          <w:tcPr>
            <w:tcW w:w="0" w:type="auto"/>
            <w:shd w:val="clear" w:color="auto" w:fill="auto"/>
            <w:vAlign w:val="center"/>
          </w:tcPr>
          <w:p w14:paraId="3E898DE1">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4</w:t>
            </w:r>
          </w:p>
        </w:tc>
        <w:tc>
          <w:tcPr>
            <w:tcW w:w="0" w:type="auto"/>
            <w:shd w:val="clear" w:color="auto" w:fill="auto"/>
            <w:vAlign w:val="center"/>
          </w:tcPr>
          <w:p w14:paraId="733F6DA1">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277.98%</w:t>
            </w:r>
          </w:p>
        </w:tc>
      </w:tr>
    </w:tbl>
    <w:p w14:paraId="5557D983">
      <w:pPr>
        <w:widowControl/>
        <w:spacing w:line="276" w:lineRule="auto"/>
        <w:ind w:firstLine="0" w:firstLineChars="0"/>
        <w:jc w:val="left"/>
        <w:rPr>
          <w:rFonts w:hint="default" w:ascii="Cambria" w:hAnsi="Cambria" w:eastAsia="仿宋" w:cs="Cambria"/>
          <w:b/>
          <w:bCs/>
          <w:szCs w:val="21"/>
        </w:rPr>
      </w:pPr>
      <w:r>
        <w:rPr>
          <w:rFonts w:hint="default" w:ascii="Cambria" w:hAnsi="Cambria" w:eastAsia="仿宋" w:cs="Cambria"/>
          <w:b/>
          <w:bCs/>
          <w:szCs w:val="21"/>
        </w:rPr>
        <w:t>2.2 Survey results on the definition of “fainting during acupuncture”</w:t>
      </w:r>
    </w:p>
    <w:p w14:paraId="6A4716FD">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2 Survey results on the definition of “fainting during acupuncture”</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669DE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3CBA6A73">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71273FB8">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084"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84" DrawAspect="Content" ObjectID="_1468075784" r:id="rId75">
                  <o:LockedField>false</o:LockedField>
                </o:OLEObject>
              </w:object>
            </w:r>
          </w:p>
        </w:tc>
        <w:tc>
          <w:tcPr>
            <w:tcW w:w="0" w:type="auto"/>
            <w:shd w:val="clear" w:color="auto" w:fill="auto"/>
            <w:vAlign w:val="center"/>
          </w:tcPr>
          <w:p w14:paraId="5C008D3C">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2C7A96E7">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4B07B3FE">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0CB79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37EFC02A">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Fainting during acupuncture refers to a phenomenon during acupuncture in which the patient suddenly experiences dizziness, pale complexion, palpitations, shortness of breath, lassitude, nausea, cold sweating, or even syncope. Source: GB/T 33415—2016 Handling of abnormal conditions in acupuncture and moxibustion</w:t>
            </w:r>
          </w:p>
        </w:tc>
        <w:tc>
          <w:tcPr>
            <w:tcW w:w="0" w:type="auto"/>
            <w:shd w:val="clear" w:color="auto" w:fill="auto"/>
            <w:vAlign w:val="center"/>
          </w:tcPr>
          <w:p w14:paraId="56FDC534">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0.62</w:t>
            </w:r>
          </w:p>
        </w:tc>
        <w:tc>
          <w:tcPr>
            <w:tcW w:w="0" w:type="auto"/>
            <w:shd w:val="clear" w:color="auto" w:fill="auto"/>
            <w:vAlign w:val="center"/>
          </w:tcPr>
          <w:p w14:paraId="6BE93F29">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38.24%</w:t>
            </w:r>
          </w:p>
        </w:tc>
        <w:tc>
          <w:tcPr>
            <w:tcW w:w="0" w:type="auto"/>
            <w:shd w:val="clear" w:color="auto" w:fill="auto"/>
            <w:vAlign w:val="center"/>
          </w:tcPr>
          <w:p w14:paraId="68F234FC">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21</w:t>
            </w:r>
          </w:p>
        </w:tc>
        <w:tc>
          <w:tcPr>
            <w:tcW w:w="0" w:type="auto"/>
            <w:shd w:val="clear" w:color="auto" w:fill="auto"/>
            <w:vAlign w:val="center"/>
          </w:tcPr>
          <w:p w14:paraId="17C7BE5E">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79.86%</w:t>
            </w:r>
          </w:p>
        </w:tc>
      </w:tr>
      <w:tr w14:paraId="665F3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22DE47C7">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200671AF">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0.38</w:t>
            </w:r>
          </w:p>
        </w:tc>
        <w:tc>
          <w:tcPr>
            <w:tcW w:w="0" w:type="auto"/>
            <w:shd w:val="clear" w:color="auto" w:fill="auto"/>
            <w:vAlign w:val="center"/>
          </w:tcPr>
          <w:p w14:paraId="20A79FDC">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61.76%</w:t>
            </w:r>
          </w:p>
        </w:tc>
        <w:tc>
          <w:tcPr>
            <w:tcW w:w="0" w:type="auto"/>
            <w:shd w:val="clear" w:color="auto" w:fill="auto"/>
            <w:vAlign w:val="center"/>
          </w:tcPr>
          <w:p w14:paraId="7A5DB22B">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13</w:t>
            </w:r>
          </w:p>
        </w:tc>
        <w:tc>
          <w:tcPr>
            <w:tcW w:w="0" w:type="auto"/>
            <w:shd w:val="clear" w:color="auto" w:fill="auto"/>
            <w:vAlign w:val="center"/>
          </w:tcPr>
          <w:p w14:paraId="42D94F31">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129.01%</w:t>
            </w:r>
          </w:p>
        </w:tc>
      </w:tr>
    </w:tbl>
    <w:p w14:paraId="6F435B3F">
      <w:pPr>
        <w:widowControl/>
        <w:spacing w:line="276" w:lineRule="auto"/>
        <w:ind w:firstLine="0" w:firstLineChars="0"/>
        <w:jc w:val="left"/>
        <w:rPr>
          <w:rFonts w:hint="default" w:ascii="Cambria" w:hAnsi="Cambria" w:eastAsia="仿宋" w:cs="Cambria"/>
          <w:b/>
          <w:bCs/>
          <w:szCs w:val="21"/>
        </w:rPr>
      </w:pPr>
      <w:r>
        <w:rPr>
          <w:rFonts w:hint="default" w:ascii="Cambria" w:hAnsi="Cambria" w:eastAsia="仿宋" w:cs="Cambria"/>
          <w:b/>
          <w:bCs/>
          <w:szCs w:val="21"/>
        </w:rPr>
        <w:t>2.3 Survey results on position selection</w:t>
      </w:r>
    </w:p>
    <w:p w14:paraId="252A8EFC">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3 Survey results on position selection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2F0D6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2DEB5FED">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55D90D3D">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085"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85" DrawAspect="Content" ObjectID="_1468075785" r:id="rId76">
                  <o:LockedField>false</o:LockedField>
                </o:OLEObject>
              </w:object>
            </w:r>
          </w:p>
        </w:tc>
        <w:tc>
          <w:tcPr>
            <w:tcW w:w="0" w:type="auto"/>
            <w:shd w:val="clear" w:color="auto" w:fill="auto"/>
            <w:vAlign w:val="center"/>
          </w:tcPr>
          <w:p w14:paraId="15F0AA3D">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2EF9E756">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517885A5">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6F81E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144274C3">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During acupuncture, the patient’s position should be selected according to the principles that the practitioner can accurately locate acupoints and perform the procedure conveniently, and that the patient feels comfortable during needle retention and needle manipulation. Commonly used patient positions include the lying position and the sitting position.</w:t>
            </w:r>
          </w:p>
        </w:tc>
        <w:tc>
          <w:tcPr>
            <w:tcW w:w="0" w:type="auto"/>
            <w:shd w:val="clear" w:color="auto" w:fill="auto"/>
            <w:vAlign w:val="center"/>
          </w:tcPr>
          <w:p w14:paraId="615605A2">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0.56</w:t>
            </w:r>
          </w:p>
        </w:tc>
        <w:tc>
          <w:tcPr>
            <w:tcW w:w="0" w:type="auto"/>
            <w:shd w:val="clear" w:color="auto" w:fill="auto"/>
            <w:vAlign w:val="center"/>
          </w:tcPr>
          <w:p w14:paraId="779ECBA8">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44.12%</w:t>
            </w:r>
          </w:p>
        </w:tc>
        <w:tc>
          <w:tcPr>
            <w:tcW w:w="0" w:type="auto"/>
            <w:shd w:val="clear" w:color="auto" w:fill="auto"/>
            <w:vAlign w:val="center"/>
          </w:tcPr>
          <w:p w14:paraId="7AF67215">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19</w:t>
            </w:r>
          </w:p>
        </w:tc>
        <w:tc>
          <w:tcPr>
            <w:tcW w:w="0" w:type="auto"/>
            <w:shd w:val="clear" w:color="auto" w:fill="auto"/>
            <w:vAlign w:val="center"/>
          </w:tcPr>
          <w:p w14:paraId="63806884">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90.19%</w:t>
            </w:r>
          </w:p>
        </w:tc>
      </w:tr>
      <w:tr w14:paraId="586DE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66814944">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6C351FCE">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0.44</w:t>
            </w:r>
          </w:p>
        </w:tc>
        <w:tc>
          <w:tcPr>
            <w:tcW w:w="0" w:type="auto"/>
            <w:shd w:val="clear" w:color="auto" w:fill="auto"/>
            <w:vAlign w:val="center"/>
          </w:tcPr>
          <w:p w14:paraId="6D71109C">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55.88%</w:t>
            </w:r>
          </w:p>
        </w:tc>
        <w:tc>
          <w:tcPr>
            <w:tcW w:w="0" w:type="auto"/>
            <w:shd w:val="clear" w:color="auto" w:fill="auto"/>
            <w:vAlign w:val="center"/>
          </w:tcPr>
          <w:p w14:paraId="2A7AA429">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15</w:t>
            </w:r>
          </w:p>
        </w:tc>
        <w:tc>
          <w:tcPr>
            <w:tcW w:w="0" w:type="auto"/>
            <w:shd w:val="clear" w:color="auto" w:fill="auto"/>
            <w:vAlign w:val="center"/>
          </w:tcPr>
          <w:p w14:paraId="01476E60">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114.24%</w:t>
            </w:r>
          </w:p>
        </w:tc>
      </w:tr>
    </w:tbl>
    <w:p w14:paraId="12344AE0">
      <w:pPr>
        <w:widowControl/>
        <w:spacing w:line="276" w:lineRule="auto"/>
        <w:ind w:firstLine="0" w:firstLineChars="0"/>
        <w:jc w:val="left"/>
        <w:rPr>
          <w:rFonts w:hint="default" w:ascii="Cambria" w:hAnsi="Cambria" w:eastAsia="仿宋" w:cs="Cambria"/>
          <w:b/>
          <w:bCs/>
          <w:szCs w:val="21"/>
        </w:rPr>
      </w:pPr>
      <w:r>
        <w:rPr>
          <w:rFonts w:hint="default" w:ascii="Cambria" w:hAnsi="Cambria" w:eastAsia="仿宋" w:cs="Cambria"/>
          <w:b/>
          <w:bCs/>
          <w:szCs w:val="21"/>
        </w:rPr>
        <w:t>2.4 Survey results on the definition of “clamping needle insertion method”</w:t>
      </w:r>
    </w:p>
    <w:p w14:paraId="6806288B">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4 Survey results on the definition of “clamping needle insertion method”</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76F66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18E55E01">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50EF76E9">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086"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86" DrawAspect="Content" ObjectID="_1468075786" r:id="rId77">
                  <o:LockedField>false</o:LockedField>
                </o:OLEObject>
              </w:object>
            </w:r>
          </w:p>
        </w:tc>
        <w:tc>
          <w:tcPr>
            <w:tcW w:w="0" w:type="auto"/>
            <w:shd w:val="clear" w:color="auto" w:fill="auto"/>
            <w:vAlign w:val="center"/>
          </w:tcPr>
          <w:p w14:paraId="6F384F88">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12B48D7E">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2B6B9209">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4874D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74D193B3">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Clamping needle insertion method: The thumb and index finger of the assisting hand hold a disinfected dry cotton ball, wrapping it around the lower end of the needle body while exposing the needle tip. The needle tip is placed in contact with the acupoint. The needling hand holds the needle handle, and the needling hand and assisting hand apply force simultaneously to insert the needle. This method is used for the insertion of relatively long filiform needles.</w:t>
            </w:r>
          </w:p>
        </w:tc>
        <w:tc>
          <w:tcPr>
            <w:tcW w:w="0" w:type="auto"/>
            <w:shd w:val="clear" w:color="auto" w:fill="auto"/>
            <w:vAlign w:val="center"/>
          </w:tcPr>
          <w:p w14:paraId="13A0BD1D">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0.48</w:t>
            </w:r>
          </w:p>
        </w:tc>
        <w:tc>
          <w:tcPr>
            <w:tcW w:w="0" w:type="auto"/>
            <w:shd w:val="clear" w:color="auto" w:fill="auto"/>
            <w:vAlign w:val="center"/>
          </w:tcPr>
          <w:p w14:paraId="0B7112A8">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50.00%</w:t>
            </w:r>
          </w:p>
        </w:tc>
        <w:tc>
          <w:tcPr>
            <w:tcW w:w="0" w:type="auto"/>
            <w:shd w:val="clear" w:color="auto" w:fill="auto"/>
            <w:vAlign w:val="center"/>
          </w:tcPr>
          <w:p w14:paraId="0C50DC33">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16</w:t>
            </w:r>
          </w:p>
        </w:tc>
        <w:tc>
          <w:tcPr>
            <w:tcW w:w="0" w:type="auto"/>
            <w:shd w:val="clear" w:color="auto" w:fill="auto"/>
            <w:vAlign w:val="center"/>
          </w:tcPr>
          <w:p w14:paraId="01C95E00">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104.49%</w:t>
            </w:r>
          </w:p>
        </w:tc>
      </w:tr>
      <w:tr w14:paraId="20B3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72E5C6DD">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6FFA4666">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0.52</w:t>
            </w:r>
          </w:p>
        </w:tc>
        <w:tc>
          <w:tcPr>
            <w:tcW w:w="0" w:type="auto"/>
            <w:shd w:val="clear" w:color="auto" w:fill="auto"/>
            <w:vAlign w:val="center"/>
          </w:tcPr>
          <w:p w14:paraId="0EFF3462">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47.06%</w:t>
            </w:r>
          </w:p>
        </w:tc>
        <w:tc>
          <w:tcPr>
            <w:tcW w:w="0" w:type="auto"/>
            <w:shd w:val="clear" w:color="auto" w:fill="auto"/>
            <w:vAlign w:val="center"/>
          </w:tcPr>
          <w:p w14:paraId="55208C45">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w:t>
            </w:r>
          </w:p>
        </w:tc>
        <w:tc>
          <w:tcPr>
            <w:tcW w:w="0" w:type="auto"/>
            <w:shd w:val="clear" w:color="auto" w:fill="auto"/>
            <w:vAlign w:val="center"/>
          </w:tcPr>
          <w:p w14:paraId="7F1D2ED8">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98.52%</w:t>
            </w:r>
          </w:p>
        </w:tc>
      </w:tr>
    </w:tbl>
    <w:p w14:paraId="2F867AD9">
      <w:pPr>
        <w:widowControl/>
        <w:spacing w:line="276" w:lineRule="auto"/>
        <w:ind w:firstLine="0" w:firstLineChars="0"/>
        <w:jc w:val="left"/>
        <w:rPr>
          <w:rFonts w:hint="default" w:ascii="Cambria" w:hAnsi="Cambria" w:eastAsia="仿宋" w:cs="Cambria"/>
          <w:b/>
          <w:bCs/>
          <w:szCs w:val="21"/>
        </w:rPr>
      </w:pPr>
      <w:r>
        <w:rPr>
          <w:rFonts w:hint="default" w:ascii="Cambria" w:hAnsi="Cambria" w:eastAsia="仿宋" w:cs="Cambria"/>
          <w:b/>
          <w:bCs/>
          <w:szCs w:val="21"/>
        </w:rPr>
        <w:t>2.5 Survey results on the definition of “stretching needle insertion method”</w:t>
      </w:r>
    </w:p>
    <w:p w14:paraId="3AA1FA11">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5 Survey results on the definition of “stretching needle insertion method”</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05B4D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4F5DB98C">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1F823E88">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087"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87" DrawAspect="Content" ObjectID="_1468075787" r:id="rId78">
                  <o:LockedField>false</o:LockedField>
                </o:OLEObject>
              </w:object>
            </w:r>
          </w:p>
        </w:tc>
        <w:tc>
          <w:tcPr>
            <w:tcW w:w="0" w:type="auto"/>
            <w:shd w:val="clear" w:color="auto" w:fill="auto"/>
            <w:vAlign w:val="center"/>
          </w:tcPr>
          <w:p w14:paraId="1016F8AA">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455D68F8">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03B2A32A">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58DA9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0472E8C9">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Stretching needle insertion method: The index and middle fingers, or the thumb and middle finger, of the assisting hand stretch and tighten the skin at the acupoint site to be needled, while the needling hand holds the needle and inserts it. This method is used for needle insertion at sites where the skin is relatively loose and soft.</w:t>
            </w:r>
          </w:p>
        </w:tc>
        <w:tc>
          <w:tcPr>
            <w:tcW w:w="0" w:type="auto"/>
            <w:shd w:val="clear" w:color="auto" w:fill="auto"/>
            <w:vAlign w:val="center"/>
          </w:tcPr>
          <w:p w14:paraId="0D84A571">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0.53</w:t>
            </w:r>
          </w:p>
        </w:tc>
        <w:tc>
          <w:tcPr>
            <w:tcW w:w="0" w:type="auto"/>
            <w:shd w:val="clear" w:color="auto" w:fill="auto"/>
            <w:vAlign w:val="center"/>
          </w:tcPr>
          <w:p w14:paraId="504FF7F6">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47.06%</w:t>
            </w:r>
          </w:p>
        </w:tc>
        <w:tc>
          <w:tcPr>
            <w:tcW w:w="0" w:type="auto"/>
            <w:shd w:val="clear" w:color="auto" w:fill="auto"/>
            <w:vAlign w:val="center"/>
          </w:tcPr>
          <w:p w14:paraId="6557E695">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18</w:t>
            </w:r>
          </w:p>
        </w:tc>
        <w:tc>
          <w:tcPr>
            <w:tcW w:w="0" w:type="auto"/>
            <w:shd w:val="clear" w:color="auto" w:fill="auto"/>
            <w:vAlign w:val="center"/>
          </w:tcPr>
          <w:p w14:paraId="675DD77E">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95.70%</w:t>
            </w:r>
          </w:p>
        </w:tc>
      </w:tr>
      <w:tr w14:paraId="4FDEC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2EB49327">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4BD2DBD2">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0.47</w:t>
            </w:r>
          </w:p>
        </w:tc>
        <w:tc>
          <w:tcPr>
            <w:tcW w:w="0" w:type="auto"/>
            <w:shd w:val="clear" w:color="auto" w:fill="auto"/>
            <w:vAlign w:val="center"/>
          </w:tcPr>
          <w:p w14:paraId="3F0989BB">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52.94%</w:t>
            </w:r>
          </w:p>
        </w:tc>
        <w:tc>
          <w:tcPr>
            <w:tcW w:w="0" w:type="auto"/>
            <w:shd w:val="clear" w:color="auto" w:fill="auto"/>
            <w:vAlign w:val="center"/>
          </w:tcPr>
          <w:p w14:paraId="781B8897">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16</w:t>
            </w:r>
          </w:p>
        </w:tc>
        <w:tc>
          <w:tcPr>
            <w:tcW w:w="0" w:type="auto"/>
            <w:shd w:val="clear" w:color="auto" w:fill="auto"/>
            <w:vAlign w:val="center"/>
          </w:tcPr>
          <w:p w14:paraId="5E9028FD">
            <w:pPr>
              <w:widowControl/>
              <w:spacing w:line="276" w:lineRule="auto"/>
              <w:ind w:firstLine="0" w:firstLineChars="0"/>
              <w:jc w:val="left"/>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107.66%</w:t>
            </w:r>
          </w:p>
        </w:tc>
      </w:tr>
    </w:tbl>
    <w:p w14:paraId="2D33FCA1">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2.6 Survey results on the definition of “pinching needle insertion method”</w:t>
      </w:r>
    </w:p>
    <w:p w14:paraId="348679BF">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6 Survey results on the definition of “pinching needle insertion method”</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15E1C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072CC6A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583C3C8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szCs w:val="21"/>
              </w:rPr>
              <w:object>
                <v:shape id="_x0000_i1088"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88" DrawAspect="Content" ObjectID="_1468075788" r:id="rId79">
                  <o:LockedField>false</o:LockedField>
                </o:OLEObject>
              </w:object>
            </w:r>
          </w:p>
        </w:tc>
        <w:tc>
          <w:tcPr>
            <w:tcW w:w="0" w:type="auto"/>
            <w:shd w:val="clear" w:color="auto" w:fill="auto"/>
            <w:vAlign w:val="center"/>
          </w:tcPr>
          <w:p w14:paraId="38421AF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44D5DC5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5394A9E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3E5B2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5DE0C24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Pinching needle insertion method: The thumb and index finger of the assisting hand pinch and lift the skin on both sides of the acupoint to be needled, while the needling hand holds the needle and inserts it into the pinched acupoint site. This method is used for needle insertion at sites where the skin and flesh are thin.</w:t>
            </w:r>
          </w:p>
        </w:tc>
        <w:tc>
          <w:tcPr>
            <w:tcW w:w="0" w:type="auto"/>
            <w:shd w:val="clear" w:color="auto" w:fill="auto"/>
            <w:vAlign w:val="center"/>
          </w:tcPr>
          <w:p w14:paraId="421D7F2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0.53</w:t>
            </w:r>
          </w:p>
        </w:tc>
        <w:tc>
          <w:tcPr>
            <w:tcW w:w="0" w:type="auto"/>
            <w:shd w:val="clear" w:color="auto" w:fill="auto"/>
            <w:vAlign w:val="center"/>
          </w:tcPr>
          <w:p w14:paraId="35A43E5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47.06%</w:t>
            </w:r>
          </w:p>
        </w:tc>
        <w:tc>
          <w:tcPr>
            <w:tcW w:w="0" w:type="auto"/>
            <w:shd w:val="clear" w:color="auto" w:fill="auto"/>
            <w:vAlign w:val="center"/>
          </w:tcPr>
          <w:p w14:paraId="49C799B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18</w:t>
            </w:r>
          </w:p>
        </w:tc>
        <w:tc>
          <w:tcPr>
            <w:tcW w:w="0" w:type="auto"/>
            <w:shd w:val="clear" w:color="auto" w:fill="auto"/>
            <w:vAlign w:val="center"/>
          </w:tcPr>
          <w:p w14:paraId="22D0CD5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95.70%</w:t>
            </w:r>
          </w:p>
        </w:tc>
      </w:tr>
      <w:tr w14:paraId="41468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5F366D1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1D1AF96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0.47</w:t>
            </w:r>
          </w:p>
        </w:tc>
        <w:tc>
          <w:tcPr>
            <w:tcW w:w="0" w:type="auto"/>
            <w:shd w:val="clear" w:color="auto" w:fill="auto"/>
            <w:vAlign w:val="center"/>
          </w:tcPr>
          <w:p w14:paraId="197F900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52.94%</w:t>
            </w:r>
          </w:p>
        </w:tc>
        <w:tc>
          <w:tcPr>
            <w:tcW w:w="0" w:type="auto"/>
            <w:shd w:val="clear" w:color="auto" w:fill="auto"/>
            <w:vAlign w:val="center"/>
          </w:tcPr>
          <w:p w14:paraId="32397FC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16</w:t>
            </w:r>
          </w:p>
        </w:tc>
        <w:tc>
          <w:tcPr>
            <w:tcW w:w="0" w:type="auto"/>
            <w:shd w:val="clear" w:color="auto" w:fill="auto"/>
            <w:vAlign w:val="center"/>
          </w:tcPr>
          <w:p w14:paraId="62D8A4D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107.66%</w:t>
            </w:r>
          </w:p>
        </w:tc>
      </w:tr>
    </w:tbl>
    <w:p w14:paraId="10B1402B">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2.7 Survey results on the naming and definition of “finger-pressing needle insertion method”</w:t>
      </w:r>
    </w:p>
    <w:p w14:paraId="50C068C7">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7 Survey results on the naming and definition of “finger-pressing needle insertion method”</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2DF5E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1BF578B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6C9D6FF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szCs w:val="21"/>
              </w:rPr>
              <w:object>
                <v:shape id="_x0000_i1089"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89" DrawAspect="Content" ObjectID="_1468075789" r:id="rId80">
                  <o:LockedField>false</o:LockedField>
                </o:OLEObject>
              </w:object>
            </w:r>
          </w:p>
        </w:tc>
        <w:tc>
          <w:tcPr>
            <w:tcW w:w="0" w:type="auto"/>
            <w:shd w:val="clear" w:color="auto" w:fill="auto"/>
            <w:vAlign w:val="center"/>
          </w:tcPr>
          <w:p w14:paraId="1C4EB1D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424DD31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5BED9E2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670A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39ED65C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Fingernail-pressing needle insertion method: The fingernail of the thumb or index finger of the assisting hand presses and cuts the skin at the acupoint. The needling hand holds the needle, and the needle tip is rapidly inserted close to the fingernail edge of the assisting hand.</w:t>
            </w:r>
          </w:p>
        </w:tc>
        <w:tc>
          <w:tcPr>
            <w:tcW w:w="0" w:type="auto"/>
            <w:shd w:val="clear" w:color="auto" w:fill="auto"/>
            <w:vAlign w:val="center"/>
          </w:tcPr>
          <w:p w14:paraId="71AF614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0.55</w:t>
            </w:r>
          </w:p>
        </w:tc>
        <w:tc>
          <w:tcPr>
            <w:tcW w:w="0" w:type="auto"/>
            <w:shd w:val="clear" w:color="auto" w:fill="auto"/>
            <w:vAlign w:val="center"/>
          </w:tcPr>
          <w:p w14:paraId="21CE6B1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44.12%</w:t>
            </w:r>
          </w:p>
        </w:tc>
        <w:tc>
          <w:tcPr>
            <w:tcW w:w="0" w:type="auto"/>
            <w:shd w:val="clear" w:color="auto" w:fill="auto"/>
            <w:vAlign w:val="center"/>
          </w:tcPr>
          <w:p w14:paraId="3607CA8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18</w:t>
            </w:r>
          </w:p>
        </w:tc>
        <w:tc>
          <w:tcPr>
            <w:tcW w:w="0" w:type="auto"/>
            <w:shd w:val="clear" w:color="auto" w:fill="auto"/>
            <w:vAlign w:val="center"/>
          </w:tcPr>
          <w:p w14:paraId="7D4D982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92.88%</w:t>
            </w:r>
          </w:p>
        </w:tc>
      </w:tr>
      <w:tr w14:paraId="4AB6F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6DBC64E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0C86F10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0.45</w:t>
            </w:r>
          </w:p>
        </w:tc>
        <w:tc>
          <w:tcPr>
            <w:tcW w:w="0" w:type="auto"/>
            <w:shd w:val="clear" w:color="auto" w:fill="auto"/>
            <w:vAlign w:val="center"/>
          </w:tcPr>
          <w:p w14:paraId="5AEFE28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52.94%</w:t>
            </w:r>
          </w:p>
        </w:tc>
        <w:tc>
          <w:tcPr>
            <w:tcW w:w="0" w:type="auto"/>
            <w:shd w:val="clear" w:color="auto" w:fill="auto"/>
            <w:vAlign w:val="center"/>
          </w:tcPr>
          <w:p w14:paraId="7E51D15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15</w:t>
            </w:r>
          </w:p>
        </w:tc>
        <w:tc>
          <w:tcPr>
            <w:tcW w:w="0" w:type="auto"/>
            <w:shd w:val="clear" w:color="auto" w:fill="auto"/>
            <w:vAlign w:val="center"/>
          </w:tcPr>
          <w:p w14:paraId="78454B5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110.88%</w:t>
            </w:r>
          </w:p>
        </w:tc>
      </w:tr>
    </w:tbl>
    <w:p w14:paraId="62214E1C">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2.8 Survey results on the naming and definition of “needle-tube insertion method”</w:t>
      </w:r>
    </w:p>
    <w:p w14:paraId="5BC7F5CE">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8 Survey results on the naming and definition of “needle-tube insertion method”</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79F4A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774DCA5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0F40203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szCs w:val="21"/>
              </w:rPr>
              <w:object>
                <v:shape id="_x0000_i1090"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90" DrawAspect="Content" ObjectID="_1468075790" r:id="rId81">
                  <o:LockedField>false</o:LockedField>
                </o:OLEObject>
              </w:object>
            </w:r>
          </w:p>
        </w:tc>
        <w:tc>
          <w:tcPr>
            <w:tcW w:w="0" w:type="auto"/>
            <w:shd w:val="clear" w:color="auto" w:fill="auto"/>
            <w:vAlign w:val="center"/>
          </w:tcPr>
          <w:p w14:paraId="44F27B4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372184E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1047BDD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0FA92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6AF289B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Guide-tube needle insertion method: The needle is first inserted into a short guide tube made of glass, plastic or metal, which is 7.5 mm, or 3 fen, shorter than the needle, and the tube is placed in contact with the skin surface at the acupoint. The assisting hand presses the guide tube firmly, while the index finger of the needling hand flicks the needle tail so that the needle tip rapidly penetrates the skin. The guide tube is then removed, and the needle is further inserted into the acupoint.</w:t>
            </w:r>
          </w:p>
        </w:tc>
        <w:tc>
          <w:tcPr>
            <w:tcW w:w="0" w:type="auto"/>
            <w:shd w:val="clear" w:color="auto" w:fill="auto"/>
            <w:vAlign w:val="center"/>
          </w:tcPr>
          <w:p w14:paraId="7F844A5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0.68</w:t>
            </w:r>
          </w:p>
        </w:tc>
        <w:tc>
          <w:tcPr>
            <w:tcW w:w="0" w:type="auto"/>
            <w:shd w:val="clear" w:color="auto" w:fill="auto"/>
            <w:vAlign w:val="center"/>
          </w:tcPr>
          <w:p w14:paraId="0A2A96B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32.35%</w:t>
            </w:r>
          </w:p>
        </w:tc>
        <w:tc>
          <w:tcPr>
            <w:tcW w:w="0" w:type="auto"/>
            <w:shd w:val="clear" w:color="auto" w:fill="auto"/>
            <w:vAlign w:val="center"/>
          </w:tcPr>
          <w:p w14:paraId="1508529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23</w:t>
            </w:r>
          </w:p>
        </w:tc>
        <w:tc>
          <w:tcPr>
            <w:tcW w:w="0" w:type="auto"/>
            <w:shd w:val="clear" w:color="auto" w:fill="auto"/>
            <w:vAlign w:val="center"/>
          </w:tcPr>
          <w:p w14:paraId="669230C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70.20%</w:t>
            </w:r>
          </w:p>
        </w:tc>
      </w:tr>
      <w:tr w14:paraId="037A7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1C4C979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7F606F4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0.32</w:t>
            </w:r>
          </w:p>
        </w:tc>
        <w:tc>
          <w:tcPr>
            <w:tcW w:w="0" w:type="auto"/>
            <w:shd w:val="clear" w:color="auto" w:fill="auto"/>
            <w:vAlign w:val="center"/>
          </w:tcPr>
          <w:p w14:paraId="7622A04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67.65%</w:t>
            </w:r>
          </w:p>
        </w:tc>
        <w:tc>
          <w:tcPr>
            <w:tcW w:w="0" w:type="auto"/>
            <w:shd w:val="clear" w:color="auto" w:fill="auto"/>
            <w:vAlign w:val="center"/>
          </w:tcPr>
          <w:p w14:paraId="7AFB423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11</w:t>
            </w:r>
          </w:p>
        </w:tc>
        <w:tc>
          <w:tcPr>
            <w:tcW w:w="0" w:type="auto"/>
            <w:shd w:val="clear" w:color="auto" w:fill="auto"/>
            <w:vAlign w:val="center"/>
          </w:tcPr>
          <w:p w14:paraId="6C97ACC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146.77%</w:t>
            </w:r>
          </w:p>
        </w:tc>
      </w:tr>
    </w:tbl>
    <w:p w14:paraId="7C4FD694">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2.9 Survey results on the definition of “perpendicular insertion”</w:t>
      </w:r>
    </w:p>
    <w:p w14:paraId="2626EFBC">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9 Survey results on the definition of “perpendicular insertion”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319ED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1E2871A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0882FA9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szCs w:val="21"/>
              </w:rPr>
              <w:object>
                <v:shape id="_x0000_i1091"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91" DrawAspect="Content" ObjectID="_1468075791" r:id="rId82">
                  <o:LockedField>false</o:LockedField>
                </o:OLEObject>
              </w:object>
            </w:r>
          </w:p>
        </w:tc>
        <w:tc>
          <w:tcPr>
            <w:tcW w:w="0" w:type="auto"/>
            <w:shd w:val="clear" w:color="auto" w:fill="auto"/>
            <w:vAlign w:val="center"/>
          </w:tcPr>
          <w:p w14:paraId="6CA03A0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3C7E019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37D0A2F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4E3E0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4C1C46C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The needle body is inserted perpendicularly into the skin at an angle of approximately 90° to the skin surface. Perpendicular insertion is applicable to most acupoints and may be used for both shallow and deep insertion.</w:t>
            </w:r>
          </w:p>
        </w:tc>
        <w:tc>
          <w:tcPr>
            <w:tcW w:w="0" w:type="auto"/>
            <w:shd w:val="clear" w:color="auto" w:fill="auto"/>
            <w:vAlign w:val="center"/>
          </w:tcPr>
          <w:p w14:paraId="56EDC99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0.56</w:t>
            </w:r>
          </w:p>
        </w:tc>
        <w:tc>
          <w:tcPr>
            <w:tcW w:w="0" w:type="auto"/>
            <w:shd w:val="clear" w:color="auto" w:fill="auto"/>
            <w:vAlign w:val="center"/>
          </w:tcPr>
          <w:p w14:paraId="46F4D48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44.12%</w:t>
            </w:r>
          </w:p>
        </w:tc>
        <w:tc>
          <w:tcPr>
            <w:tcW w:w="0" w:type="auto"/>
            <w:shd w:val="clear" w:color="auto" w:fill="auto"/>
            <w:vAlign w:val="center"/>
          </w:tcPr>
          <w:p w14:paraId="72A990C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19</w:t>
            </w:r>
          </w:p>
        </w:tc>
        <w:tc>
          <w:tcPr>
            <w:tcW w:w="0" w:type="auto"/>
            <w:shd w:val="clear" w:color="auto" w:fill="auto"/>
            <w:vAlign w:val="center"/>
          </w:tcPr>
          <w:p w14:paraId="28C43D5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90.19%</w:t>
            </w:r>
          </w:p>
        </w:tc>
      </w:tr>
      <w:tr w14:paraId="2DE5D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557D040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229A95E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0.44</w:t>
            </w:r>
          </w:p>
        </w:tc>
        <w:tc>
          <w:tcPr>
            <w:tcW w:w="0" w:type="auto"/>
            <w:shd w:val="clear" w:color="auto" w:fill="auto"/>
            <w:vAlign w:val="center"/>
          </w:tcPr>
          <w:p w14:paraId="25C7B4B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55.88%</w:t>
            </w:r>
          </w:p>
        </w:tc>
        <w:tc>
          <w:tcPr>
            <w:tcW w:w="0" w:type="auto"/>
            <w:shd w:val="clear" w:color="auto" w:fill="auto"/>
            <w:vAlign w:val="center"/>
          </w:tcPr>
          <w:p w14:paraId="7D3D29A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15</w:t>
            </w:r>
          </w:p>
        </w:tc>
        <w:tc>
          <w:tcPr>
            <w:tcW w:w="0" w:type="auto"/>
            <w:shd w:val="clear" w:color="auto" w:fill="auto"/>
            <w:vAlign w:val="center"/>
          </w:tcPr>
          <w:p w14:paraId="4922901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114.24%</w:t>
            </w:r>
          </w:p>
        </w:tc>
      </w:tr>
    </w:tbl>
    <w:p w14:paraId="3CA9BAC3">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2.10 Survey results on the definition of “oblique insertion”</w:t>
      </w:r>
    </w:p>
    <w:p w14:paraId="7F9DAD11">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10 Survey results on the definition of “oblique insertion”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73DD3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44DCD0A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26251EE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szCs w:val="21"/>
              </w:rPr>
              <w:object>
                <v:shape id="_x0000_i1092"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92" DrawAspect="Content" ObjectID="_1468075792" r:id="rId83">
                  <o:LockedField>false</o:LockedField>
                </o:OLEObject>
              </w:object>
            </w:r>
          </w:p>
        </w:tc>
        <w:tc>
          <w:tcPr>
            <w:tcW w:w="0" w:type="auto"/>
            <w:shd w:val="clear" w:color="auto" w:fill="auto"/>
            <w:vAlign w:val="center"/>
          </w:tcPr>
          <w:p w14:paraId="3F98563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6BD5751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7BB016D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012C6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73CB2D5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Oblique insertion: The needle body is inserted obliquely into the skin at an angle of approximately 45° to the skin surface. Oblique insertion is applicable when the direction of needle sensation needs to be controlled.</w:t>
            </w:r>
          </w:p>
        </w:tc>
        <w:tc>
          <w:tcPr>
            <w:tcW w:w="0" w:type="auto"/>
            <w:shd w:val="clear" w:color="auto" w:fill="auto"/>
            <w:vAlign w:val="center"/>
          </w:tcPr>
          <w:p w14:paraId="4FA51F6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0.38</w:t>
            </w:r>
          </w:p>
        </w:tc>
        <w:tc>
          <w:tcPr>
            <w:tcW w:w="0" w:type="auto"/>
            <w:shd w:val="clear" w:color="auto" w:fill="auto"/>
            <w:vAlign w:val="center"/>
          </w:tcPr>
          <w:p w14:paraId="3C62488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61.76%</w:t>
            </w:r>
          </w:p>
        </w:tc>
        <w:tc>
          <w:tcPr>
            <w:tcW w:w="0" w:type="auto"/>
            <w:shd w:val="clear" w:color="auto" w:fill="auto"/>
            <w:vAlign w:val="center"/>
          </w:tcPr>
          <w:p w14:paraId="127733F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13</w:t>
            </w:r>
          </w:p>
        </w:tc>
        <w:tc>
          <w:tcPr>
            <w:tcW w:w="0" w:type="auto"/>
            <w:shd w:val="clear" w:color="auto" w:fill="auto"/>
            <w:vAlign w:val="center"/>
          </w:tcPr>
          <w:p w14:paraId="010CB0B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129.01%</w:t>
            </w:r>
          </w:p>
        </w:tc>
      </w:tr>
      <w:tr w14:paraId="0C21C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100EB30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5D530C14">
            <w:pPr>
              <w:widowControl/>
              <w:spacing w:line="276" w:lineRule="auto"/>
              <w:ind w:firstLine="0" w:firstLineChars="0"/>
              <w:rPr>
                <w:rFonts w:hint="default" w:ascii="Cambria" w:hAnsi="Cambria" w:eastAsia="仿宋" w:cs="Cambria"/>
                <w:b w:val="0"/>
                <w:bCs w:val="0"/>
                <w:szCs w:val="21"/>
              </w:rPr>
            </w:pPr>
          </w:p>
        </w:tc>
        <w:tc>
          <w:tcPr>
            <w:tcW w:w="0" w:type="auto"/>
            <w:shd w:val="clear" w:color="auto" w:fill="auto"/>
            <w:vAlign w:val="center"/>
          </w:tcPr>
          <w:p w14:paraId="0748FC16">
            <w:pPr>
              <w:widowControl/>
              <w:spacing w:line="276" w:lineRule="auto"/>
              <w:ind w:firstLine="0" w:firstLineChars="0"/>
              <w:rPr>
                <w:rFonts w:hint="default" w:ascii="Cambria" w:hAnsi="Cambria" w:eastAsia="仿宋" w:cs="Cambria"/>
                <w:b w:val="0"/>
                <w:bCs w:val="0"/>
                <w:szCs w:val="21"/>
              </w:rPr>
            </w:pPr>
          </w:p>
        </w:tc>
        <w:tc>
          <w:tcPr>
            <w:tcW w:w="0" w:type="auto"/>
            <w:shd w:val="clear" w:color="auto" w:fill="auto"/>
            <w:vAlign w:val="center"/>
          </w:tcPr>
          <w:p w14:paraId="59424319">
            <w:pPr>
              <w:widowControl/>
              <w:spacing w:line="276" w:lineRule="auto"/>
              <w:ind w:firstLine="0" w:firstLineChars="0"/>
              <w:rPr>
                <w:rFonts w:hint="default" w:ascii="Cambria" w:hAnsi="Cambria" w:eastAsia="仿宋" w:cs="Cambria"/>
                <w:b w:val="0"/>
                <w:bCs w:val="0"/>
                <w:szCs w:val="21"/>
              </w:rPr>
            </w:pPr>
          </w:p>
        </w:tc>
        <w:tc>
          <w:tcPr>
            <w:tcW w:w="0" w:type="auto"/>
            <w:shd w:val="clear" w:color="auto" w:fill="auto"/>
            <w:vAlign w:val="center"/>
          </w:tcPr>
          <w:p w14:paraId="6CBFE0BF">
            <w:pPr>
              <w:widowControl/>
              <w:spacing w:line="276" w:lineRule="auto"/>
              <w:ind w:firstLine="0" w:firstLineChars="0"/>
              <w:rPr>
                <w:rFonts w:hint="default" w:ascii="Cambria" w:hAnsi="Cambria" w:eastAsia="仿宋" w:cs="Cambria"/>
                <w:b w:val="0"/>
                <w:bCs w:val="0"/>
                <w:szCs w:val="21"/>
              </w:rPr>
            </w:pPr>
          </w:p>
        </w:tc>
      </w:tr>
    </w:tbl>
    <w:p w14:paraId="6CA2D31F">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2.11 Survey results on the naming and definition of “horizontal insertion”</w:t>
      </w:r>
    </w:p>
    <w:p w14:paraId="5415087B">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11 Survey results on the naming and definition of “horizontal insertion”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28D73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0" w:type="auto"/>
            <w:shd w:val="clear" w:color="auto" w:fill="auto"/>
            <w:vAlign w:val="center"/>
          </w:tcPr>
          <w:p w14:paraId="6CBE712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0031176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093"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93" DrawAspect="Content" ObjectID="_1468075793" r:id="rId84">
                  <o:LockedField>false</o:LockedField>
                </o:OLEObject>
              </w:object>
            </w:r>
          </w:p>
        </w:tc>
        <w:tc>
          <w:tcPr>
            <w:tcW w:w="0" w:type="auto"/>
            <w:shd w:val="clear" w:color="auto" w:fill="auto"/>
            <w:vAlign w:val="center"/>
          </w:tcPr>
          <w:p w14:paraId="7D0C6F6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44FEE20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7102778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55B7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5FD7153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Transverse insertion: The needle body is inserted horizontally into the skin at an angle of approximately 15° to the skin surface. Transverse insertion is applicable to the head and face, chest and back, and areas with thin musculature.</w:t>
            </w:r>
          </w:p>
        </w:tc>
        <w:tc>
          <w:tcPr>
            <w:tcW w:w="0" w:type="auto"/>
            <w:shd w:val="clear" w:color="auto" w:fill="auto"/>
            <w:vAlign w:val="center"/>
          </w:tcPr>
          <w:p w14:paraId="5621A5B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0.50</w:t>
            </w:r>
          </w:p>
        </w:tc>
        <w:tc>
          <w:tcPr>
            <w:tcW w:w="0" w:type="auto"/>
            <w:shd w:val="clear" w:color="auto" w:fill="auto"/>
            <w:vAlign w:val="center"/>
          </w:tcPr>
          <w:p w14:paraId="3092864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50.00%</w:t>
            </w:r>
          </w:p>
        </w:tc>
        <w:tc>
          <w:tcPr>
            <w:tcW w:w="0" w:type="auto"/>
            <w:shd w:val="clear" w:color="auto" w:fill="auto"/>
            <w:vAlign w:val="center"/>
          </w:tcPr>
          <w:p w14:paraId="6D5561C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w:t>
            </w:r>
          </w:p>
        </w:tc>
        <w:tc>
          <w:tcPr>
            <w:tcW w:w="0" w:type="auto"/>
            <w:shd w:val="clear" w:color="auto" w:fill="auto"/>
            <w:vAlign w:val="center"/>
          </w:tcPr>
          <w:p w14:paraId="4524264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101.50%</w:t>
            </w:r>
          </w:p>
        </w:tc>
      </w:tr>
      <w:tr w14:paraId="197D6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17CB3DD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4E46E7E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0.50</w:t>
            </w:r>
          </w:p>
        </w:tc>
        <w:tc>
          <w:tcPr>
            <w:tcW w:w="0" w:type="auto"/>
            <w:shd w:val="clear" w:color="auto" w:fill="auto"/>
            <w:vAlign w:val="center"/>
          </w:tcPr>
          <w:p w14:paraId="0FCB06B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50.00%</w:t>
            </w:r>
          </w:p>
        </w:tc>
        <w:tc>
          <w:tcPr>
            <w:tcW w:w="0" w:type="auto"/>
            <w:shd w:val="clear" w:color="auto" w:fill="auto"/>
            <w:vAlign w:val="center"/>
          </w:tcPr>
          <w:p w14:paraId="73BDA5A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w:t>
            </w:r>
          </w:p>
        </w:tc>
        <w:tc>
          <w:tcPr>
            <w:tcW w:w="0" w:type="auto"/>
            <w:shd w:val="clear" w:color="auto" w:fill="auto"/>
            <w:vAlign w:val="center"/>
          </w:tcPr>
          <w:p w14:paraId="0969112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101.50%</w:t>
            </w:r>
          </w:p>
        </w:tc>
      </w:tr>
    </w:tbl>
    <w:p w14:paraId="44BB2173">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2.12 Survey results on the definition of “needle retention”</w:t>
      </w:r>
    </w:p>
    <w:p w14:paraId="23EB637D">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12 Survey results on the definition of “needle retention”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7DAD6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098F7B4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6384B3A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094"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94" DrawAspect="Content" ObjectID="_1468075794" r:id="rId85">
                  <o:LockedField>false</o:LockedField>
                </o:OLEObject>
              </w:object>
            </w:r>
          </w:p>
        </w:tc>
        <w:tc>
          <w:tcPr>
            <w:tcW w:w="0" w:type="auto"/>
            <w:shd w:val="clear" w:color="auto" w:fill="auto"/>
            <w:vAlign w:val="center"/>
          </w:tcPr>
          <w:p w14:paraId="696E2BC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091BD4D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76B68F0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79F67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3ED3EF9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After the needle is inserted into an acupoint, it is retained for approximately 20–30 min. The physician may determine the duration of needle retention according to the patient’s condition, and needle manipulation may be performed during this period. Since children are generally less able to cooperate, needle retention is usually not performed.</w:t>
            </w:r>
          </w:p>
        </w:tc>
        <w:tc>
          <w:tcPr>
            <w:tcW w:w="0" w:type="auto"/>
            <w:shd w:val="clear" w:color="auto" w:fill="auto"/>
            <w:vAlign w:val="center"/>
          </w:tcPr>
          <w:p w14:paraId="229733C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0.44</w:t>
            </w:r>
          </w:p>
        </w:tc>
        <w:tc>
          <w:tcPr>
            <w:tcW w:w="0" w:type="auto"/>
            <w:shd w:val="clear" w:color="auto" w:fill="auto"/>
            <w:vAlign w:val="center"/>
          </w:tcPr>
          <w:p w14:paraId="2B2E17D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55.88%</w:t>
            </w:r>
          </w:p>
        </w:tc>
        <w:tc>
          <w:tcPr>
            <w:tcW w:w="0" w:type="auto"/>
            <w:shd w:val="clear" w:color="auto" w:fill="auto"/>
            <w:vAlign w:val="center"/>
          </w:tcPr>
          <w:p w14:paraId="4193F62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15</w:t>
            </w:r>
          </w:p>
        </w:tc>
        <w:tc>
          <w:tcPr>
            <w:tcW w:w="0" w:type="auto"/>
            <w:shd w:val="clear" w:color="auto" w:fill="auto"/>
            <w:vAlign w:val="center"/>
          </w:tcPr>
          <w:p w14:paraId="579B98C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114.24%</w:t>
            </w:r>
          </w:p>
        </w:tc>
      </w:tr>
      <w:tr w14:paraId="61D7C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32C9DD7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7D4B202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0.56</w:t>
            </w:r>
          </w:p>
        </w:tc>
        <w:tc>
          <w:tcPr>
            <w:tcW w:w="0" w:type="auto"/>
            <w:shd w:val="clear" w:color="auto" w:fill="auto"/>
            <w:vAlign w:val="center"/>
          </w:tcPr>
          <w:p w14:paraId="31C3277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44.12%</w:t>
            </w:r>
          </w:p>
        </w:tc>
        <w:tc>
          <w:tcPr>
            <w:tcW w:w="0" w:type="auto"/>
            <w:shd w:val="clear" w:color="auto" w:fill="auto"/>
            <w:vAlign w:val="center"/>
          </w:tcPr>
          <w:p w14:paraId="61547E3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19</w:t>
            </w:r>
          </w:p>
        </w:tc>
        <w:tc>
          <w:tcPr>
            <w:tcW w:w="0" w:type="auto"/>
            <w:shd w:val="clear" w:color="auto" w:fill="auto"/>
            <w:vAlign w:val="center"/>
          </w:tcPr>
          <w:p w14:paraId="5DDF740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90.19%</w:t>
            </w:r>
          </w:p>
        </w:tc>
      </w:tr>
    </w:tbl>
    <w:p w14:paraId="1CC6779E">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2.13 Survey results on the operating steps for needle withdrawal</w:t>
      </w:r>
    </w:p>
    <w:p w14:paraId="38BCAF56">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13 Survey results on the operating steps for needle withdrawal</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314ED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1455A05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1084873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095"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95" DrawAspect="Content" ObjectID="_1468075795" r:id="rId86">
                  <o:LockedField>false</o:LockedField>
                </o:OLEObject>
              </w:object>
            </w:r>
          </w:p>
        </w:tc>
        <w:tc>
          <w:tcPr>
            <w:tcW w:w="0" w:type="auto"/>
            <w:shd w:val="clear" w:color="auto" w:fill="auto"/>
            <w:vAlign w:val="center"/>
          </w:tcPr>
          <w:p w14:paraId="4B417DF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5534063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2E55C5E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2E6A2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551A11B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Needle withdrawal: When the needle retention time has elapsed and the sensation beneath the needle is light and smooth, the needle may be withdrawn. If the sensation beneath the needle remains heavy and tense, the needle should be lifted slightly upward and may be withdrawn once the sensation becomes light and smooth. The assisting hand holds a disinfected dry cotton ball and gently presses the needling site, while the thumb and index finger of the needling hand hold the needle handle. After the needle is withdrawn from the skin, the needle hole should immediately be pressed with the cotton ball to prevent bleeding.</w:t>
            </w:r>
          </w:p>
        </w:tc>
        <w:tc>
          <w:tcPr>
            <w:tcW w:w="0" w:type="auto"/>
            <w:shd w:val="clear" w:color="auto" w:fill="auto"/>
            <w:vAlign w:val="center"/>
          </w:tcPr>
          <w:p w14:paraId="4C84D31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0.47</w:t>
            </w:r>
          </w:p>
        </w:tc>
        <w:tc>
          <w:tcPr>
            <w:tcW w:w="0" w:type="auto"/>
            <w:shd w:val="clear" w:color="auto" w:fill="auto"/>
            <w:vAlign w:val="center"/>
          </w:tcPr>
          <w:p w14:paraId="3E8E161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50.00%</w:t>
            </w:r>
          </w:p>
        </w:tc>
        <w:tc>
          <w:tcPr>
            <w:tcW w:w="0" w:type="auto"/>
            <w:shd w:val="clear" w:color="auto" w:fill="auto"/>
            <w:vAlign w:val="center"/>
          </w:tcPr>
          <w:p w14:paraId="554900B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15</w:t>
            </w:r>
          </w:p>
        </w:tc>
        <w:tc>
          <w:tcPr>
            <w:tcW w:w="0" w:type="auto"/>
            <w:shd w:val="clear" w:color="auto" w:fill="auto"/>
            <w:vAlign w:val="center"/>
          </w:tcPr>
          <w:p w14:paraId="2F3E914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107.52%</w:t>
            </w:r>
          </w:p>
        </w:tc>
      </w:tr>
      <w:tr w14:paraId="05AE1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49D98BE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5D16524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0.53</w:t>
            </w:r>
          </w:p>
        </w:tc>
        <w:tc>
          <w:tcPr>
            <w:tcW w:w="0" w:type="auto"/>
            <w:shd w:val="clear" w:color="auto" w:fill="auto"/>
            <w:vAlign w:val="center"/>
          </w:tcPr>
          <w:p w14:paraId="39B4495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44.12%</w:t>
            </w:r>
          </w:p>
        </w:tc>
        <w:tc>
          <w:tcPr>
            <w:tcW w:w="0" w:type="auto"/>
            <w:shd w:val="clear" w:color="auto" w:fill="auto"/>
            <w:vAlign w:val="center"/>
          </w:tcPr>
          <w:p w14:paraId="76DE2E8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w:t>
            </w:r>
          </w:p>
        </w:tc>
        <w:tc>
          <w:tcPr>
            <w:tcW w:w="0" w:type="auto"/>
            <w:shd w:val="clear" w:color="auto" w:fill="auto"/>
            <w:vAlign w:val="center"/>
          </w:tcPr>
          <w:p w14:paraId="0CE79BE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95.53%</w:t>
            </w:r>
          </w:p>
        </w:tc>
      </w:tr>
    </w:tbl>
    <w:p w14:paraId="084C52CB">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2.14 Survey results on the description of needle selection</w:t>
      </w:r>
    </w:p>
    <w:p w14:paraId="6CBA5322">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14 Survey results on the description of needle selection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1C39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3D77A5B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4CD2C76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096"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96" DrawAspect="Content" ObjectID="_1468075796" r:id="rId87">
                  <o:LockedField>false</o:LockedField>
                </o:OLEObject>
              </w:object>
            </w:r>
          </w:p>
        </w:tc>
        <w:tc>
          <w:tcPr>
            <w:tcW w:w="0" w:type="auto"/>
            <w:shd w:val="clear" w:color="auto" w:fill="auto"/>
            <w:vAlign w:val="center"/>
          </w:tcPr>
          <w:p w14:paraId="2B6FB04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2E2F194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5BA2F8B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60B8C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38FDFE0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Different types of three-edge needles should be selected according to the needs of the condition and the operating site. The needle body should be smooth and free of rust, and the needle tip should be sharp and free of barbs.</w:t>
            </w:r>
          </w:p>
        </w:tc>
        <w:tc>
          <w:tcPr>
            <w:tcW w:w="0" w:type="auto"/>
            <w:shd w:val="clear" w:color="auto" w:fill="auto"/>
            <w:vAlign w:val="center"/>
          </w:tcPr>
          <w:p w14:paraId="5608802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0.47</w:t>
            </w:r>
          </w:p>
        </w:tc>
        <w:tc>
          <w:tcPr>
            <w:tcW w:w="0" w:type="auto"/>
            <w:shd w:val="clear" w:color="auto" w:fill="auto"/>
            <w:vAlign w:val="center"/>
          </w:tcPr>
          <w:p w14:paraId="22030B3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50.00%</w:t>
            </w:r>
          </w:p>
        </w:tc>
        <w:tc>
          <w:tcPr>
            <w:tcW w:w="0" w:type="auto"/>
            <w:shd w:val="clear" w:color="auto" w:fill="auto"/>
            <w:vAlign w:val="center"/>
          </w:tcPr>
          <w:p w14:paraId="7F9900C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15</w:t>
            </w:r>
          </w:p>
        </w:tc>
        <w:tc>
          <w:tcPr>
            <w:tcW w:w="0" w:type="auto"/>
            <w:shd w:val="clear" w:color="auto" w:fill="auto"/>
            <w:vAlign w:val="center"/>
          </w:tcPr>
          <w:p w14:paraId="456AE60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107.52%</w:t>
            </w:r>
          </w:p>
        </w:tc>
      </w:tr>
      <w:tr w14:paraId="090F3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3E92AD3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1875D22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0.53</w:t>
            </w:r>
          </w:p>
        </w:tc>
        <w:tc>
          <w:tcPr>
            <w:tcW w:w="0" w:type="auto"/>
            <w:shd w:val="clear" w:color="auto" w:fill="auto"/>
            <w:vAlign w:val="center"/>
          </w:tcPr>
          <w:p w14:paraId="402C5C0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44.12%</w:t>
            </w:r>
          </w:p>
        </w:tc>
        <w:tc>
          <w:tcPr>
            <w:tcW w:w="0" w:type="auto"/>
            <w:shd w:val="clear" w:color="auto" w:fill="auto"/>
            <w:vAlign w:val="center"/>
          </w:tcPr>
          <w:p w14:paraId="5A66B5A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w:t>
            </w:r>
          </w:p>
        </w:tc>
        <w:tc>
          <w:tcPr>
            <w:tcW w:w="0" w:type="auto"/>
            <w:shd w:val="clear" w:color="auto" w:fill="auto"/>
            <w:vAlign w:val="center"/>
          </w:tcPr>
          <w:p w14:paraId="1F0D39B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95.53%</w:t>
            </w:r>
          </w:p>
        </w:tc>
      </w:tr>
    </w:tbl>
    <w:p w14:paraId="564DE45B">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2.15 Survey results on the operating steps for pricking with a three-edge needle</w:t>
      </w:r>
    </w:p>
    <w:p w14:paraId="3C6BFAFE">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15 Survey results on the operating steps for pricking with a three-edge needle</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0A595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4EFF2DF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5BD0992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097"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97" DrawAspect="Content" ObjectID="_1468075797" r:id="rId88">
                  <o:LockedField>false</o:LockedField>
                </o:OLEObject>
              </w:object>
            </w:r>
          </w:p>
        </w:tc>
        <w:tc>
          <w:tcPr>
            <w:tcW w:w="0" w:type="auto"/>
            <w:shd w:val="clear" w:color="auto" w:fill="auto"/>
            <w:vAlign w:val="center"/>
          </w:tcPr>
          <w:p w14:paraId="42F137D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57D31C6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08D638E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1F3FC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033E37A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The needle tip is exposed by 0.5–5 mm, aligned with the disinfected site, and inserted to a depth of 0.5–5 mm. The needle is then withdrawn rapidly, followed by gentle squeezing around the needle hole.</w:t>
            </w:r>
          </w:p>
        </w:tc>
        <w:tc>
          <w:tcPr>
            <w:tcW w:w="0" w:type="auto"/>
            <w:shd w:val="clear" w:color="auto" w:fill="auto"/>
            <w:vAlign w:val="center"/>
          </w:tcPr>
          <w:p w14:paraId="4313857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0.53</w:t>
            </w:r>
          </w:p>
        </w:tc>
        <w:tc>
          <w:tcPr>
            <w:tcW w:w="0" w:type="auto"/>
            <w:shd w:val="clear" w:color="auto" w:fill="auto"/>
            <w:vAlign w:val="center"/>
          </w:tcPr>
          <w:p w14:paraId="29FAFA2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47.06%</w:t>
            </w:r>
          </w:p>
        </w:tc>
        <w:tc>
          <w:tcPr>
            <w:tcW w:w="0" w:type="auto"/>
            <w:shd w:val="clear" w:color="auto" w:fill="auto"/>
            <w:vAlign w:val="center"/>
          </w:tcPr>
          <w:p w14:paraId="2B94583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18</w:t>
            </w:r>
          </w:p>
        </w:tc>
        <w:tc>
          <w:tcPr>
            <w:tcW w:w="0" w:type="auto"/>
            <w:shd w:val="clear" w:color="auto" w:fill="auto"/>
            <w:vAlign w:val="center"/>
          </w:tcPr>
          <w:p w14:paraId="122FC08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95.70%</w:t>
            </w:r>
          </w:p>
        </w:tc>
      </w:tr>
      <w:tr w14:paraId="158B1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039F840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5C90D5C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0.47</w:t>
            </w:r>
          </w:p>
        </w:tc>
        <w:tc>
          <w:tcPr>
            <w:tcW w:w="0" w:type="auto"/>
            <w:shd w:val="clear" w:color="auto" w:fill="auto"/>
            <w:vAlign w:val="center"/>
          </w:tcPr>
          <w:p w14:paraId="6B358F8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52.94%</w:t>
            </w:r>
          </w:p>
        </w:tc>
        <w:tc>
          <w:tcPr>
            <w:tcW w:w="0" w:type="auto"/>
            <w:shd w:val="clear" w:color="auto" w:fill="auto"/>
            <w:vAlign w:val="center"/>
          </w:tcPr>
          <w:p w14:paraId="6D8883A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16</w:t>
            </w:r>
          </w:p>
        </w:tc>
        <w:tc>
          <w:tcPr>
            <w:tcW w:w="0" w:type="auto"/>
            <w:shd w:val="clear" w:color="auto" w:fill="auto"/>
            <w:vAlign w:val="center"/>
          </w:tcPr>
          <w:p w14:paraId="5BDD384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107.66%</w:t>
            </w:r>
          </w:p>
        </w:tc>
      </w:tr>
    </w:tbl>
    <w:p w14:paraId="1028B84C">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2.16 Survey results on the operating steps for bloodletting with a three-edge needle</w:t>
      </w:r>
    </w:p>
    <w:p w14:paraId="761A61B7">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16 Survey results on the operating steps for bloodletting with a three-edge needle</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7592E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68A72FE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4790D39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098"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98" DrawAspect="Content" ObjectID="_1468075798" r:id="rId89">
                  <o:LockedField>false</o:LockedField>
                </o:OLEObject>
              </w:object>
            </w:r>
          </w:p>
        </w:tc>
        <w:tc>
          <w:tcPr>
            <w:tcW w:w="0" w:type="auto"/>
            <w:shd w:val="clear" w:color="auto" w:fill="auto"/>
            <w:vAlign w:val="center"/>
          </w:tcPr>
          <w:p w14:paraId="6D7A7D8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3E832E3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34A5632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3EE7B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3FB6E04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Bloodletting with a three-edge needle: Before bloodletting, techniques such as pushing, kneading, squeezing and stroking may be applied at or around the site to be pricked. For the limbs, a tourniquet may be tied at the proximal end of the site to induce local congestion. During bloodletting, one hand fixes the site to be pricked, while the other hand holds the needle, exposing the needle tip by 3–5 mm. The needle is rapidly inserted into the selected site and then withdrawn, allowing an appropriate amount of blood to flow out, after which the tourniquet is released.</w:t>
            </w:r>
          </w:p>
        </w:tc>
        <w:tc>
          <w:tcPr>
            <w:tcW w:w="0" w:type="auto"/>
            <w:shd w:val="clear" w:color="auto" w:fill="auto"/>
            <w:vAlign w:val="center"/>
          </w:tcPr>
          <w:p w14:paraId="7CA505C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0.56</w:t>
            </w:r>
          </w:p>
        </w:tc>
        <w:tc>
          <w:tcPr>
            <w:tcW w:w="0" w:type="auto"/>
            <w:shd w:val="clear" w:color="auto" w:fill="auto"/>
            <w:vAlign w:val="center"/>
          </w:tcPr>
          <w:p w14:paraId="2F053BA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44.12%</w:t>
            </w:r>
          </w:p>
        </w:tc>
        <w:tc>
          <w:tcPr>
            <w:tcW w:w="0" w:type="auto"/>
            <w:shd w:val="clear" w:color="auto" w:fill="auto"/>
            <w:vAlign w:val="center"/>
          </w:tcPr>
          <w:p w14:paraId="28DB582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19</w:t>
            </w:r>
          </w:p>
        </w:tc>
        <w:tc>
          <w:tcPr>
            <w:tcW w:w="0" w:type="auto"/>
            <w:shd w:val="clear" w:color="auto" w:fill="auto"/>
            <w:vAlign w:val="center"/>
          </w:tcPr>
          <w:p w14:paraId="3B87016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90.19%</w:t>
            </w:r>
          </w:p>
        </w:tc>
      </w:tr>
      <w:tr w14:paraId="38D94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44815BE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6E83655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0.44</w:t>
            </w:r>
          </w:p>
        </w:tc>
        <w:tc>
          <w:tcPr>
            <w:tcW w:w="0" w:type="auto"/>
            <w:shd w:val="clear" w:color="auto" w:fill="auto"/>
            <w:vAlign w:val="center"/>
          </w:tcPr>
          <w:p w14:paraId="5801527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55.88%</w:t>
            </w:r>
          </w:p>
        </w:tc>
        <w:tc>
          <w:tcPr>
            <w:tcW w:w="0" w:type="auto"/>
            <w:shd w:val="clear" w:color="auto" w:fill="auto"/>
            <w:vAlign w:val="center"/>
          </w:tcPr>
          <w:p w14:paraId="468781B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15</w:t>
            </w:r>
          </w:p>
        </w:tc>
        <w:tc>
          <w:tcPr>
            <w:tcW w:w="0" w:type="auto"/>
            <w:shd w:val="clear" w:color="auto" w:fill="auto"/>
            <w:vAlign w:val="center"/>
          </w:tcPr>
          <w:p w14:paraId="1ABC8CB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114.24%</w:t>
            </w:r>
          </w:p>
        </w:tc>
      </w:tr>
    </w:tbl>
    <w:p w14:paraId="34E1C688">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2.17 Survey results on the operating steps for scattered pricking with a three-edge needle</w:t>
      </w:r>
    </w:p>
    <w:p w14:paraId="67D1A4A3">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17 Survey results on the operating steps for scattered pricking with a three-edge needle</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091C6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1F4F874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210E18E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099"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099" DrawAspect="Content" ObjectID="_1468075799" r:id="rId90">
                  <o:LockedField>false</o:LockedField>
                </o:OLEObject>
              </w:object>
            </w:r>
          </w:p>
        </w:tc>
        <w:tc>
          <w:tcPr>
            <w:tcW w:w="0" w:type="auto"/>
            <w:shd w:val="clear" w:color="auto" w:fill="auto"/>
            <w:vAlign w:val="center"/>
          </w:tcPr>
          <w:p w14:paraId="723B370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6AE408F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55EE0B5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4BF4C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2FB0932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One hand fixes the site to be pricked, while the other hand holds the needle and performs multiple-point pricking at the operating site.</w:t>
            </w:r>
          </w:p>
        </w:tc>
        <w:tc>
          <w:tcPr>
            <w:tcW w:w="0" w:type="auto"/>
            <w:shd w:val="clear" w:color="auto" w:fill="auto"/>
            <w:vAlign w:val="center"/>
          </w:tcPr>
          <w:p w14:paraId="0D22C0F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0.47</w:t>
            </w:r>
          </w:p>
        </w:tc>
        <w:tc>
          <w:tcPr>
            <w:tcW w:w="0" w:type="auto"/>
            <w:shd w:val="clear" w:color="auto" w:fill="auto"/>
            <w:vAlign w:val="center"/>
          </w:tcPr>
          <w:p w14:paraId="7E34050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52.94%</w:t>
            </w:r>
          </w:p>
        </w:tc>
        <w:tc>
          <w:tcPr>
            <w:tcW w:w="0" w:type="auto"/>
            <w:shd w:val="clear" w:color="auto" w:fill="auto"/>
            <w:vAlign w:val="center"/>
          </w:tcPr>
          <w:p w14:paraId="7A51289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16</w:t>
            </w:r>
          </w:p>
        </w:tc>
        <w:tc>
          <w:tcPr>
            <w:tcW w:w="0" w:type="auto"/>
            <w:shd w:val="clear" w:color="auto" w:fill="auto"/>
            <w:vAlign w:val="center"/>
          </w:tcPr>
          <w:p w14:paraId="0F668D8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107.66%</w:t>
            </w:r>
          </w:p>
        </w:tc>
      </w:tr>
      <w:tr w14:paraId="6DED9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07ECC84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49CB7F2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0.53</w:t>
            </w:r>
          </w:p>
        </w:tc>
        <w:tc>
          <w:tcPr>
            <w:tcW w:w="0" w:type="auto"/>
            <w:shd w:val="clear" w:color="auto" w:fill="auto"/>
            <w:vAlign w:val="center"/>
          </w:tcPr>
          <w:p w14:paraId="3782B61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47.06%</w:t>
            </w:r>
          </w:p>
        </w:tc>
        <w:tc>
          <w:tcPr>
            <w:tcW w:w="0" w:type="auto"/>
            <w:shd w:val="clear" w:color="auto" w:fill="auto"/>
            <w:vAlign w:val="center"/>
          </w:tcPr>
          <w:p w14:paraId="2001158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18</w:t>
            </w:r>
          </w:p>
        </w:tc>
        <w:tc>
          <w:tcPr>
            <w:tcW w:w="0" w:type="auto"/>
            <w:shd w:val="clear" w:color="auto" w:fill="auto"/>
            <w:vAlign w:val="center"/>
          </w:tcPr>
          <w:p w14:paraId="1CFC289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95.70%</w:t>
            </w:r>
          </w:p>
        </w:tc>
      </w:tr>
    </w:tbl>
    <w:p w14:paraId="47BC5374">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2.18 Survey results on the operating steps for pressing moxibustion</w:t>
      </w:r>
    </w:p>
    <w:p w14:paraId="7F1B9E3C">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18 Survey results on the operating steps for pressing moxibustion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36E1F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277DD56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480C69B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00"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00" DrawAspect="Content" ObjectID="_1468075800" r:id="rId91">
                  <o:LockedField>false</o:LockedField>
                </o:OLEObject>
              </w:object>
            </w:r>
          </w:p>
        </w:tc>
        <w:tc>
          <w:tcPr>
            <w:tcW w:w="0" w:type="auto"/>
            <w:shd w:val="clear" w:color="auto" w:fill="auto"/>
            <w:vAlign w:val="center"/>
          </w:tcPr>
          <w:p w14:paraId="00EF511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1B79B30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5D54E47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39435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7852A80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Place 6–8 layers of soft paper, gauze, silk cloth or cotton cloth over the moxibustion site. The practitioner holds a moxa stick, ignites one end of it, aligns the burning end with the moxibustion site and presses it directly onto the site for 1–2 s, allowing the heat to penetrate deeply. When the patient feels local burning heat or pain from the pressing moxibustion, the moxa stick should be removed. Each acupoint may be pressed 3–7 times per session. The moxa stick and the paper or cloth laid over the site are then removed, with the appearance of local skin flushing as the criterion.</w:t>
            </w:r>
          </w:p>
        </w:tc>
        <w:tc>
          <w:tcPr>
            <w:tcW w:w="0" w:type="auto"/>
            <w:shd w:val="clear" w:color="auto" w:fill="auto"/>
            <w:vAlign w:val="center"/>
          </w:tcPr>
          <w:p w14:paraId="0DA07D3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0.32</w:t>
            </w:r>
          </w:p>
        </w:tc>
        <w:tc>
          <w:tcPr>
            <w:tcW w:w="0" w:type="auto"/>
            <w:shd w:val="clear" w:color="auto" w:fill="auto"/>
            <w:vAlign w:val="center"/>
          </w:tcPr>
          <w:p w14:paraId="7995164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67.65%</w:t>
            </w:r>
          </w:p>
        </w:tc>
        <w:tc>
          <w:tcPr>
            <w:tcW w:w="0" w:type="auto"/>
            <w:shd w:val="clear" w:color="auto" w:fill="auto"/>
            <w:vAlign w:val="center"/>
          </w:tcPr>
          <w:p w14:paraId="0DAEB4F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11</w:t>
            </w:r>
          </w:p>
        </w:tc>
        <w:tc>
          <w:tcPr>
            <w:tcW w:w="0" w:type="auto"/>
            <w:shd w:val="clear" w:color="auto" w:fill="auto"/>
            <w:vAlign w:val="center"/>
          </w:tcPr>
          <w:p w14:paraId="7BF91B9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146.77%</w:t>
            </w:r>
          </w:p>
        </w:tc>
      </w:tr>
      <w:tr w14:paraId="665B3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5D20DA7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Place 6–8 layers of cotton paper, gauze, silk cloth or cotton cloth over the moxibustion site. The practitioner holds the moxa stick as if holding a pen, ignites one end of it, aligns the burning end with the moxibustion site and presses it directly onto the site for 2–4 s, allowing the medicinal qi and heat to penetrate deeply. Alternatively, when the recipient feels local burning heat or pain from the pressing moxibustion, the moxa stick should be lifted, and pressing may be repeated after the burning sensation or pain is relieved. If the moxa fire goes out during the procedure, a pre-ignited spare moxa stick may be used to continue moxibustion promptly, and the process may be repeated in this way. Each acupoint may be pressed 3–7 times per session, or the appearance of skin flushing at the moxibustion site after removal of the covering material may be used as the criterion. The procedure may be performed once daily or once every other day.</w:t>
            </w:r>
          </w:p>
        </w:tc>
        <w:tc>
          <w:tcPr>
            <w:tcW w:w="0" w:type="auto"/>
            <w:shd w:val="clear" w:color="auto" w:fill="auto"/>
            <w:vAlign w:val="center"/>
          </w:tcPr>
          <w:p w14:paraId="5D00D38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0.18</w:t>
            </w:r>
          </w:p>
        </w:tc>
        <w:tc>
          <w:tcPr>
            <w:tcW w:w="0" w:type="auto"/>
            <w:shd w:val="clear" w:color="auto" w:fill="auto"/>
            <w:vAlign w:val="center"/>
          </w:tcPr>
          <w:p w14:paraId="5F7B9D4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82.35%</w:t>
            </w:r>
          </w:p>
        </w:tc>
        <w:tc>
          <w:tcPr>
            <w:tcW w:w="0" w:type="auto"/>
            <w:shd w:val="clear" w:color="auto" w:fill="auto"/>
            <w:vAlign w:val="center"/>
          </w:tcPr>
          <w:p w14:paraId="3301FFF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6</w:t>
            </w:r>
          </w:p>
        </w:tc>
        <w:tc>
          <w:tcPr>
            <w:tcW w:w="0" w:type="auto"/>
            <w:shd w:val="clear" w:color="auto" w:fill="auto"/>
            <w:vAlign w:val="center"/>
          </w:tcPr>
          <w:p w14:paraId="58926E8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219.27%</w:t>
            </w:r>
          </w:p>
        </w:tc>
      </w:tr>
      <w:tr w14:paraId="6C676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40A15D3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 Retain the original wording of the national standard.</w:t>
            </w:r>
          </w:p>
        </w:tc>
        <w:tc>
          <w:tcPr>
            <w:tcW w:w="0" w:type="auto"/>
            <w:shd w:val="clear" w:color="auto" w:fill="auto"/>
            <w:vAlign w:val="center"/>
          </w:tcPr>
          <w:p w14:paraId="1A79548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0.29</w:t>
            </w:r>
          </w:p>
        </w:tc>
        <w:tc>
          <w:tcPr>
            <w:tcW w:w="0" w:type="auto"/>
            <w:shd w:val="clear" w:color="auto" w:fill="auto"/>
            <w:vAlign w:val="center"/>
          </w:tcPr>
          <w:p w14:paraId="59E69F1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70.59%</w:t>
            </w:r>
          </w:p>
        </w:tc>
        <w:tc>
          <w:tcPr>
            <w:tcW w:w="0" w:type="auto"/>
            <w:shd w:val="clear" w:color="auto" w:fill="auto"/>
            <w:vAlign w:val="center"/>
          </w:tcPr>
          <w:p w14:paraId="2345A0B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w:t>
            </w:r>
          </w:p>
        </w:tc>
        <w:tc>
          <w:tcPr>
            <w:tcW w:w="0" w:type="auto"/>
            <w:shd w:val="clear" w:color="auto" w:fill="auto"/>
            <w:vAlign w:val="center"/>
          </w:tcPr>
          <w:p w14:paraId="50EBA85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157.25%</w:t>
            </w:r>
          </w:p>
        </w:tc>
      </w:tr>
      <w:tr w14:paraId="000F5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0B5163B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D. Integrate the above contents.</w:t>
            </w:r>
          </w:p>
        </w:tc>
        <w:tc>
          <w:tcPr>
            <w:tcW w:w="0" w:type="auto"/>
            <w:shd w:val="clear" w:color="auto" w:fill="auto"/>
            <w:vAlign w:val="center"/>
          </w:tcPr>
          <w:p w14:paraId="6171FF0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0.21</w:t>
            </w:r>
          </w:p>
        </w:tc>
        <w:tc>
          <w:tcPr>
            <w:tcW w:w="0" w:type="auto"/>
            <w:shd w:val="clear" w:color="auto" w:fill="auto"/>
            <w:vAlign w:val="center"/>
          </w:tcPr>
          <w:p w14:paraId="66B8B10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79.41%</w:t>
            </w:r>
          </w:p>
        </w:tc>
        <w:tc>
          <w:tcPr>
            <w:tcW w:w="0" w:type="auto"/>
            <w:shd w:val="clear" w:color="auto" w:fill="auto"/>
            <w:vAlign w:val="center"/>
          </w:tcPr>
          <w:p w14:paraId="1C01660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7</w:t>
            </w:r>
          </w:p>
        </w:tc>
        <w:tc>
          <w:tcPr>
            <w:tcW w:w="0" w:type="auto"/>
            <w:shd w:val="clear" w:color="auto" w:fill="auto"/>
            <w:vAlign w:val="center"/>
          </w:tcPr>
          <w:p w14:paraId="7901746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199.35%</w:t>
            </w:r>
          </w:p>
        </w:tc>
      </w:tr>
    </w:tbl>
    <w:p w14:paraId="1796506A">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2.19 Survey results on the description of warm needling moxibustion</w:t>
      </w:r>
    </w:p>
    <w:p w14:paraId="0B9C7774">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19 Survey results on the description of warm needling moxibustion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442B2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0" w:type="auto"/>
            <w:shd w:val="clear" w:color="auto" w:fill="auto"/>
            <w:vAlign w:val="center"/>
          </w:tcPr>
          <w:p w14:paraId="4FD2A19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50B5983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01"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01" DrawAspect="Content" ObjectID="_1468075801" r:id="rId92">
                  <o:LockedField>false</o:LockedField>
                </o:OLEObject>
              </w:object>
            </w:r>
          </w:p>
        </w:tc>
        <w:tc>
          <w:tcPr>
            <w:tcW w:w="0" w:type="auto"/>
            <w:shd w:val="clear" w:color="auto" w:fill="auto"/>
            <w:vAlign w:val="center"/>
          </w:tcPr>
          <w:p w14:paraId="32D4665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4E82E2C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2FC307B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2B406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04B7F5E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Warm needling moxibustion: First, acupuncture is performed at the selected acupoint. After the filiform needle is inserted into the acupoint, deqi is obtained and appropriate reinforcing or reducing manipulations are performed. During needle retention, 2–3 g of moxa floss is wrapped around the top of the needle handle and pinched tightly into a ball shape, or a 1–3 cm segment of a moxa stick is directly attached to the needle handle. It is then ignited for moxibustion. After the moxa floss or moxa stick has burned out and no heat remains, the ash is removed. After moxibustion is completed, the needle is withdrawn.</w:t>
            </w:r>
          </w:p>
        </w:tc>
        <w:tc>
          <w:tcPr>
            <w:tcW w:w="0" w:type="auto"/>
            <w:shd w:val="clear" w:color="auto" w:fill="auto"/>
            <w:vAlign w:val="center"/>
          </w:tcPr>
          <w:p w14:paraId="5FC3EEA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0.47</w:t>
            </w:r>
          </w:p>
        </w:tc>
        <w:tc>
          <w:tcPr>
            <w:tcW w:w="0" w:type="auto"/>
            <w:shd w:val="clear" w:color="auto" w:fill="auto"/>
            <w:vAlign w:val="center"/>
          </w:tcPr>
          <w:p w14:paraId="7102A34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50.00%</w:t>
            </w:r>
          </w:p>
        </w:tc>
        <w:tc>
          <w:tcPr>
            <w:tcW w:w="0" w:type="auto"/>
            <w:shd w:val="clear" w:color="auto" w:fill="auto"/>
            <w:vAlign w:val="center"/>
          </w:tcPr>
          <w:p w14:paraId="4465987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15</w:t>
            </w:r>
          </w:p>
        </w:tc>
        <w:tc>
          <w:tcPr>
            <w:tcW w:w="0" w:type="auto"/>
            <w:shd w:val="clear" w:color="auto" w:fill="auto"/>
            <w:vAlign w:val="center"/>
          </w:tcPr>
          <w:p w14:paraId="122A109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107.52%</w:t>
            </w:r>
          </w:p>
        </w:tc>
      </w:tr>
      <w:tr w14:paraId="6A031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0BF1F77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3C8838F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0.53</w:t>
            </w:r>
          </w:p>
        </w:tc>
        <w:tc>
          <w:tcPr>
            <w:tcW w:w="0" w:type="auto"/>
            <w:shd w:val="clear" w:color="auto" w:fill="auto"/>
            <w:vAlign w:val="center"/>
          </w:tcPr>
          <w:p w14:paraId="38E6B10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44.12%</w:t>
            </w:r>
          </w:p>
        </w:tc>
        <w:tc>
          <w:tcPr>
            <w:tcW w:w="0" w:type="auto"/>
            <w:shd w:val="clear" w:color="auto" w:fill="auto"/>
            <w:vAlign w:val="center"/>
          </w:tcPr>
          <w:p w14:paraId="186F75C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w:t>
            </w:r>
          </w:p>
        </w:tc>
        <w:tc>
          <w:tcPr>
            <w:tcW w:w="0" w:type="auto"/>
            <w:shd w:val="clear" w:color="auto" w:fill="auto"/>
            <w:vAlign w:val="center"/>
          </w:tcPr>
          <w:p w14:paraId="2F427FA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95.53%</w:t>
            </w:r>
          </w:p>
        </w:tc>
      </w:tr>
    </w:tbl>
    <w:p w14:paraId="218AF09D">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2.20 Survey results on post-procedural care after moxibustion</w:t>
      </w:r>
    </w:p>
    <w:p w14:paraId="26078327">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20 Survey results on post-procedural care after moxibustion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0EB29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16DBAFD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5B19E9C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02"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02" DrawAspect="Content" ObjectID="_1468075802" r:id="rId93">
                  <o:LockedField>false</o:LockedField>
                </o:OLEObject>
              </w:object>
            </w:r>
          </w:p>
        </w:tc>
        <w:tc>
          <w:tcPr>
            <w:tcW w:w="0" w:type="auto"/>
            <w:shd w:val="clear" w:color="auto" w:fill="auto"/>
            <w:vAlign w:val="center"/>
          </w:tcPr>
          <w:p w14:paraId="108F880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22759E3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7A167D3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55E31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7E7D9D9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After moxibustion, the skin often shows flushing and a burning sensation. No treatment is required, and these reactions usually disappear spontaneously. If moxibustion causes burns to skin tissue above the basal layer of the epidermis, edema or blisters may occur. If the blister is approximately 1 cm in diameter, no treatment is generally required and it may be allowed to absorb spontaneously. If the blister is large, a sterile needle or scissors may be used to puncture or cut open the blister skin to release the blister contents, and the blister skin may be trimmed away to expose the damaged basal layer. Anti-inflammatory ointment may be applied to prevent infection. Sterile pus on the wound surface need not be cleared until scabbing and spontaneous healing occur. Moxibustion-induced blisters may scab and fall off spontaneously within 5–8 days, generally leaving no scar after healing. After moxibustion, the basal layer of the skin or dermal tissue may sometimes be damaged, resulting in edema, ulceration, exudation of body fluid, or even aseptic suppuration. In mild cases, only the basal layer of the skin is damaged, and the injured skin scabs and falls off spontaneously within 7–20 days, leaving a permanent superficial scar. In severe cases, the dermal tissue is damaged, and the wound surface forms a thick scab that falls off spontaneously within 20–50 days, leaving a permanent scar after healing; this is the moxibustion sore recorded in ancient medical texts. During the suppurative stage of a moxibustion sore, physical labor should be avoided, rest should be ensured, and infection should be strictly prevented. If infection occurs, mild redness or swelling may be treated locally with anti-inflammatory measures and generally disappears within a short period. If extensive redness, swelling, heat and pain occur, oral or topical anti-inflammatory medication may be used in addition to the above measures. If the suppurative site is deep, a surgeon should be consulted for assistance in management.</w:t>
            </w:r>
          </w:p>
        </w:tc>
        <w:tc>
          <w:tcPr>
            <w:tcW w:w="0" w:type="auto"/>
            <w:shd w:val="clear" w:color="auto" w:fill="auto"/>
            <w:vAlign w:val="center"/>
          </w:tcPr>
          <w:p w14:paraId="275FD09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0.50</w:t>
            </w:r>
          </w:p>
        </w:tc>
        <w:tc>
          <w:tcPr>
            <w:tcW w:w="0" w:type="auto"/>
            <w:shd w:val="clear" w:color="auto" w:fill="auto"/>
            <w:vAlign w:val="center"/>
          </w:tcPr>
          <w:p w14:paraId="2DDF748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50.00%</w:t>
            </w:r>
          </w:p>
        </w:tc>
        <w:tc>
          <w:tcPr>
            <w:tcW w:w="0" w:type="auto"/>
            <w:shd w:val="clear" w:color="auto" w:fill="auto"/>
            <w:vAlign w:val="center"/>
          </w:tcPr>
          <w:p w14:paraId="58F3535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w:t>
            </w:r>
          </w:p>
        </w:tc>
        <w:tc>
          <w:tcPr>
            <w:tcW w:w="0" w:type="auto"/>
            <w:shd w:val="clear" w:color="auto" w:fill="auto"/>
            <w:vAlign w:val="center"/>
          </w:tcPr>
          <w:p w14:paraId="7E8B527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101.50%</w:t>
            </w:r>
          </w:p>
        </w:tc>
      </w:tr>
      <w:tr w14:paraId="2803B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079CCFB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2431FF7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0.50</w:t>
            </w:r>
          </w:p>
        </w:tc>
        <w:tc>
          <w:tcPr>
            <w:tcW w:w="0" w:type="auto"/>
            <w:shd w:val="clear" w:color="auto" w:fill="auto"/>
            <w:vAlign w:val="center"/>
          </w:tcPr>
          <w:p w14:paraId="0C2D253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50.00%</w:t>
            </w:r>
          </w:p>
        </w:tc>
        <w:tc>
          <w:tcPr>
            <w:tcW w:w="0" w:type="auto"/>
            <w:shd w:val="clear" w:color="auto" w:fill="auto"/>
            <w:vAlign w:val="center"/>
          </w:tcPr>
          <w:p w14:paraId="4A0BB64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w:t>
            </w:r>
          </w:p>
        </w:tc>
        <w:tc>
          <w:tcPr>
            <w:tcW w:w="0" w:type="auto"/>
            <w:shd w:val="clear" w:color="auto" w:fill="auto"/>
            <w:vAlign w:val="center"/>
          </w:tcPr>
          <w:p w14:paraId="123FCAB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101.50%</w:t>
            </w:r>
          </w:p>
        </w:tc>
      </w:tr>
    </w:tbl>
    <w:p w14:paraId="40CDC1E7">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2.21 Survey results on the specifications of “Annex A (informative) Commonly used filiform needles”</w:t>
      </w:r>
    </w:p>
    <w:p w14:paraId="5A693971">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21 Survey results on the specifications of “Annex A (informative) Commonly used filiform needles”</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3059"/>
        <w:gridCol w:w="1182"/>
        <w:gridCol w:w="1976"/>
        <w:gridCol w:w="650"/>
        <w:gridCol w:w="1470"/>
      </w:tblGrid>
      <w:tr w14:paraId="18D9B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1795" w:type="pct"/>
            <w:shd w:val="clear" w:color="auto" w:fill="auto"/>
            <w:vAlign w:val="center"/>
          </w:tcPr>
          <w:p w14:paraId="6A88B14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693" w:type="pct"/>
            <w:shd w:val="clear" w:color="auto" w:fill="auto"/>
            <w:vAlign w:val="center"/>
          </w:tcPr>
          <w:p w14:paraId="5774234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03"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03" DrawAspect="Content" ObjectID="_1468075803" r:id="rId94">
                  <o:LockedField>false</o:LockedField>
                </o:OLEObject>
              </w:object>
            </w:r>
          </w:p>
        </w:tc>
        <w:tc>
          <w:tcPr>
            <w:tcW w:w="1159" w:type="pct"/>
            <w:shd w:val="clear" w:color="auto" w:fill="auto"/>
            <w:vAlign w:val="center"/>
          </w:tcPr>
          <w:p w14:paraId="4EA6FE2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381" w:type="pct"/>
            <w:shd w:val="clear" w:color="auto" w:fill="auto"/>
            <w:vAlign w:val="center"/>
          </w:tcPr>
          <w:p w14:paraId="6514B9F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862" w:type="pct"/>
            <w:shd w:val="clear" w:color="auto" w:fill="auto"/>
            <w:vAlign w:val="center"/>
          </w:tcPr>
          <w:p w14:paraId="1B33CE4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5EB0F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795" w:type="pct"/>
            <w:shd w:val="clear" w:color="auto" w:fill="auto"/>
            <w:vAlign w:val="center"/>
          </w:tcPr>
          <w:p w14:paraId="0895BE5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693" w:type="pct"/>
            <w:shd w:val="clear" w:color="auto" w:fill="auto"/>
            <w:vAlign w:val="center"/>
          </w:tcPr>
          <w:p w14:paraId="69FCA62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1.00</w:t>
            </w:r>
          </w:p>
        </w:tc>
        <w:tc>
          <w:tcPr>
            <w:tcW w:w="1159" w:type="pct"/>
            <w:shd w:val="clear" w:color="auto" w:fill="auto"/>
            <w:vAlign w:val="center"/>
          </w:tcPr>
          <w:p w14:paraId="0C7D2CF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0.00%</w:t>
            </w:r>
          </w:p>
        </w:tc>
        <w:tc>
          <w:tcPr>
            <w:tcW w:w="381" w:type="pct"/>
            <w:shd w:val="clear" w:color="auto" w:fill="auto"/>
            <w:vAlign w:val="center"/>
          </w:tcPr>
          <w:p w14:paraId="36E2D57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34</w:t>
            </w:r>
          </w:p>
        </w:tc>
        <w:tc>
          <w:tcPr>
            <w:tcW w:w="862" w:type="pct"/>
            <w:shd w:val="clear" w:color="auto" w:fill="auto"/>
            <w:vAlign w:val="center"/>
          </w:tcPr>
          <w:p w14:paraId="739BBD8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0.00%</w:t>
            </w:r>
          </w:p>
        </w:tc>
      </w:tr>
      <w:tr w14:paraId="3A00F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795" w:type="pct"/>
            <w:shd w:val="clear" w:color="auto" w:fill="auto"/>
            <w:vAlign w:val="center"/>
          </w:tcPr>
          <w:p w14:paraId="3612688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Disagree</w:t>
            </w:r>
          </w:p>
        </w:tc>
        <w:tc>
          <w:tcPr>
            <w:tcW w:w="693" w:type="pct"/>
            <w:shd w:val="clear" w:color="auto" w:fill="auto"/>
            <w:vAlign w:val="center"/>
          </w:tcPr>
          <w:p w14:paraId="3A2EE25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0.00</w:t>
            </w:r>
          </w:p>
        </w:tc>
        <w:tc>
          <w:tcPr>
            <w:tcW w:w="1159" w:type="pct"/>
            <w:shd w:val="clear" w:color="auto" w:fill="auto"/>
            <w:vAlign w:val="center"/>
          </w:tcPr>
          <w:p w14:paraId="1E23D63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100.00%</w:t>
            </w:r>
          </w:p>
        </w:tc>
        <w:tc>
          <w:tcPr>
            <w:tcW w:w="381" w:type="pct"/>
            <w:shd w:val="clear" w:color="auto" w:fill="auto"/>
            <w:vAlign w:val="center"/>
          </w:tcPr>
          <w:p w14:paraId="59703E2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w:t>
            </w:r>
          </w:p>
        </w:tc>
        <w:tc>
          <w:tcPr>
            <w:tcW w:w="862" w:type="pct"/>
            <w:shd w:val="clear" w:color="auto" w:fill="auto"/>
            <w:vAlign w:val="center"/>
          </w:tcPr>
          <w:p w14:paraId="3C87814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w:t>
            </w:r>
          </w:p>
        </w:tc>
      </w:tr>
    </w:tbl>
    <w:p w14:paraId="244B47E4">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2.22 Survey results on the operation of the following method</w:t>
      </w:r>
    </w:p>
    <w:p w14:paraId="7D3D22CB">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22 Survey results on the operation of the following method</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508A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593B75C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41CC1E7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04"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04" DrawAspect="Content" ObjectID="_1468075804" r:id="rId95">
                  <o:LockedField>false</o:LockedField>
                </o:OLEObject>
              </w:object>
            </w:r>
          </w:p>
        </w:tc>
        <w:tc>
          <w:tcPr>
            <w:tcW w:w="0" w:type="auto"/>
            <w:shd w:val="clear" w:color="auto" w:fill="auto"/>
            <w:vAlign w:val="center"/>
          </w:tcPr>
          <w:p w14:paraId="2D320B8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7A00B07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4D0C923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58217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25C3F92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Following method: Flex the second interphalangeal joint, place it perpendicular to the meridian, and press centripetally along the course of the meridian to which the needled acupoint belongs.</w:t>
            </w:r>
          </w:p>
        </w:tc>
        <w:tc>
          <w:tcPr>
            <w:tcW w:w="0" w:type="auto"/>
            <w:shd w:val="clear" w:color="auto" w:fill="auto"/>
            <w:vAlign w:val="center"/>
          </w:tcPr>
          <w:p w14:paraId="2FA05C2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0.32</w:t>
            </w:r>
          </w:p>
        </w:tc>
        <w:tc>
          <w:tcPr>
            <w:tcW w:w="0" w:type="auto"/>
            <w:shd w:val="clear" w:color="auto" w:fill="auto"/>
            <w:vAlign w:val="center"/>
          </w:tcPr>
          <w:p w14:paraId="19A14F0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67.65%</w:t>
            </w:r>
          </w:p>
        </w:tc>
        <w:tc>
          <w:tcPr>
            <w:tcW w:w="0" w:type="auto"/>
            <w:shd w:val="clear" w:color="auto" w:fill="auto"/>
            <w:vAlign w:val="center"/>
          </w:tcPr>
          <w:p w14:paraId="60FE5F3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11</w:t>
            </w:r>
          </w:p>
        </w:tc>
        <w:tc>
          <w:tcPr>
            <w:tcW w:w="0" w:type="auto"/>
            <w:shd w:val="clear" w:color="auto" w:fill="auto"/>
            <w:vAlign w:val="center"/>
          </w:tcPr>
          <w:p w14:paraId="56785DF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146.77%</w:t>
            </w:r>
          </w:p>
        </w:tc>
      </w:tr>
      <w:tr w14:paraId="2AA17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1F58DC0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133258F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0.68</w:t>
            </w:r>
          </w:p>
        </w:tc>
        <w:tc>
          <w:tcPr>
            <w:tcW w:w="0" w:type="auto"/>
            <w:shd w:val="clear" w:color="auto" w:fill="auto"/>
            <w:vAlign w:val="center"/>
          </w:tcPr>
          <w:p w14:paraId="2584A31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32.35%</w:t>
            </w:r>
          </w:p>
        </w:tc>
        <w:tc>
          <w:tcPr>
            <w:tcW w:w="0" w:type="auto"/>
            <w:shd w:val="clear" w:color="auto" w:fill="auto"/>
            <w:vAlign w:val="center"/>
          </w:tcPr>
          <w:p w14:paraId="14FA6A7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23</w:t>
            </w:r>
          </w:p>
        </w:tc>
        <w:tc>
          <w:tcPr>
            <w:tcW w:w="0" w:type="auto"/>
            <w:shd w:val="clear" w:color="auto" w:fill="auto"/>
            <w:vAlign w:val="center"/>
          </w:tcPr>
          <w:p w14:paraId="3AA7BB7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70.20%</w:t>
            </w:r>
          </w:p>
        </w:tc>
      </w:tr>
    </w:tbl>
    <w:p w14:paraId="11C125F5">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2.23 Survey results on the operation of the flicking method, namely flicking and tapping the needle handle</w:t>
      </w:r>
    </w:p>
    <w:p w14:paraId="3EA63D89">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23 Survey results on the operation of the flicking method, namely flicking and tapping the needle handle</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4920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blHeader/>
        </w:trPr>
        <w:tc>
          <w:tcPr>
            <w:tcW w:w="0" w:type="auto"/>
            <w:shd w:val="clear" w:color="auto" w:fill="auto"/>
            <w:vAlign w:val="center"/>
          </w:tcPr>
          <w:p w14:paraId="61DCEE6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2567FB6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05"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05" DrawAspect="Content" ObjectID="_1468075805" r:id="rId96">
                  <o:LockedField>false</o:LockedField>
                </o:OLEObject>
              </w:object>
            </w:r>
          </w:p>
        </w:tc>
        <w:tc>
          <w:tcPr>
            <w:tcW w:w="0" w:type="auto"/>
            <w:shd w:val="clear" w:color="auto" w:fill="auto"/>
            <w:vAlign w:val="center"/>
          </w:tcPr>
          <w:p w14:paraId="37723EF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1645103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59DED51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527A5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2517351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Flicking method: A method of flicking the needle handle with the fingernail. The thumb and index finger, or the thumb and middle finger, are used alternately. The thumb pad hooks the fingertip of the index or middle finger, and the fingernail of the index or middle finger is used to flick the needle handle. During needle insertion, the same method may also be used to flick the needle from the needle tail toward the needle body to facilitate insertion.</w:t>
            </w:r>
          </w:p>
        </w:tc>
        <w:tc>
          <w:tcPr>
            <w:tcW w:w="0" w:type="auto"/>
            <w:shd w:val="clear" w:color="auto" w:fill="auto"/>
            <w:vAlign w:val="center"/>
          </w:tcPr>
          <w:p w14:paraId="59AA4AD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0.50</w:t>
            </w:r>
          </w:p>
        </w:tc>
        <w:tc>
          <w:tcPr>
            <w:tcW w:w="0" w:type="auto"/>
            <w:shd w:val="clear" w:color="auto" w:fill="auto"/>
            <w:vAlign w:val="center"/>
          </w:tcPr>
          <w:p w14:paraId="375EB4D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50.00%</w:t>
            </w:r>
          </w:p>
        </w:tc>
        <w:tc>
          <w:tcPr>
            <w:tcW w:w="0" w:type="auto"/>
            <w:shd w:val="clear" w:color="auto" w:fill="auto"/>
            <w:vAlign w:val="center"/>
          </w:tcPr>
          <w:p w14:paraId="693D5BA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w:t>
            </w:r>
          </w:p>
        </w:tc>
        <w:tc>
          <w:tcPr>
            <w:tcW w:w="0" w:type="auto"/>
            <w:shd w:val="clear" w:color="auto" w:fill="auto"/>
            <w:vAlign w:val="center"/>
          </w:tcPr>
          <w:p w14:paraId="6A5E0A5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101.50%</w:t>
            </w:r>
          </w:p>
        </w:tc>
      </w:tr>
      <w:tr w14:paraId="2DF3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61F9644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16B9FBA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0.50</w:t>
            </w:r>
          </w:p>
        </w:tc>
        <w:tc>
          <w:tcPr>
            <w:tcW w:w="0" w:type="auto"/>
            <w:shd w:val="clear" w:color="auto" w:fill="auto"/>
            <w:vAlign w:val="center"/>
          </w:tcPr>
          <w:p w14:paraId="644B4DD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50.00%</w:t>
            </w:r>
          </w:p>
        </w:tc>
        <w:tc>
          <w:tcPr>
            <w:tcW w:w="0" w:type="auto"/>
            <w:shd w:val="clear" w:color="auto" w:fill="auto"/>
            <w:vAlign w:val="center"/>
          </w:tcPr>
          <w:p w14:paraId="549FB84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w:t>
            </w:r>
          </w:p>
        </w:tc>
        <w:tc>
          <w:tcPr>
            <w:tcW w:w="0" w:type="auto"/>
            <w:shd w:val="clear" w:color="auto" w:fill="auto"/>
            <w:vAlign w:val="center"/>
          </w:tcPr>
          <w:p w14:paraId="50A49A6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101.50%</w:t>
            </w:r>
          </w:p>
        </w:tc>
      </w:tr>
    </w:tbl>
    <w:p w14:paraId="6C12722C">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2.24 Survey results on the operation of the scraping method</w:t>
      </w:r>
    </w:p>
    <w:p w14:paraId="73AD1E98">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24 Survey results on the operation of the scraping method</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2B915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09A3110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5B17296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06"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06" DrawAspect="Content" ObjectID="_1468075806" r:id="rId97">
                  <o:LockedField>false</o:LockedField>
                </o:OLEObject>
              </w:object>
            </w:r>
          </w:p>
        </w:tc>
        <w:tc>
          <w:tcPr>
            <w:tcW w:w="0" w:type="auto"/>
            <w:shd w:val="clear" w:color="auto" w:fill="auto"/>
            <w:vAlign w:val="center"/>
          </w:tcPr>
          <w:p w14:paraId="7E193D0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5D93C50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6DC2317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3E165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4862D0D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The scraping method is divided into upward scraping and downward scraping. The thumb is used to support the needle tail, while the fingernail of the index or middle finger scrapes the needle handle; alternatively, the index and middle fingers support the needle tail, while the thumbnail scrapes the needle handle.</w:t>
            </w:r>
          </w:p>
        </w:tc>
        <w:tc>
          <w:tcPr>
            <w:tcW w:w="0" w:type="auto"/>
            <w:shd w:val="clear" w:color="auto" w:fill="auto"/>
            <w:vAlign w:val="center"/>
          </w:tcPr>
          <w:p w14:paraId="7CAE200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0.44</w:t>
            </w:r>
          </w:p>
        </w:tc>
        <w:tc>
          <w:tcPr>
            <w:tcW w:w="0" w:type="auto"/>
            <w:shd w:val="clear" w:color="auto" w:fill="auto"/>
            <w:vAlign w:val="center"/>
          </w:tcPr>
          <w:p w14:paraId="69E19E2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55.88%</w:t>
            </w:r>
          </w:p>
        </w:tc>
        <w:tc>
          <w:tcPr>
            <w:tcW w:w="0" w:type="auto"/>
            <w:shd w:val="clear" w:color="auto" w:fill="auto"/>
            <w:vAlign w:val="center"/>
          </w:tcPr>
          <w:p w14:paraId="0D69880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15</w:t>
            </w:r>
          </w:p>
        </w:tc>
        <w:tc>
          <w:tcPr>
            <w:tcW w:w="0" w:type="auto"/>
            <w:shd w:val="clear" w:color="auto" w:fill="auto"/>
            <w:vAlign w:val="center"/>
          </w:tcPr>
          <w:p w14:paraId="6A2CED8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114.24%</w:t>
            </w:r>
          </w:p>
        </w:tc>
      </w:tr>
      <w:tr w14:paraId="6CB6A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74FEAB8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2D74F14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0.56</w:t>
            </w:r>
          </w:p>
        </w:tc>
        <w:tc>
          <w:tcPr>
            <w:tcW w:w="0" w:type="auto"/>
            <w:shd w:val="clear" w:color="auto" w:fill="auto"/>
            <w:vAlign w:val="center"/>
          </w:tcPr>
          <w:p w14:paraId="0DAB1C7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44.12%</w:t>
            </w:r>
          </w:p>
        </w:tc>
        <w:tc>
          <w:tcPr>
            <w:tcW w:w="0" w:type="auto"/>
            <w:shd w:val="clear" w:color="auto" w:fill="auto"/>
            <w:vAlign w:val="center"/>
          </w:tcPr>
          <w:p w14:paraId="335CA8F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19</w:t>
            </w:r>
          </w:p>
        </w:tc>
        <w:tc>
          <w:tcPr>
            <w:tcW w:w="0" w:type="auto"/>
            <w:shd w:val="clear" w:color="auto" w:fill="auto"/>
            <w:vAlign w:val="center"/>
          </w:tcPr>
          <w:p w14:paraId="48F8803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90.19%</w:t>
            </w:r>
          </w:p>
        </w:tc>
      </w:tr>
    </w:tbl>
    <w:p w14:paraId="5D8AEC94">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2.25 Survey results on the operation of the shaking method</w:t>
      </w:r>
    </w:p>
    <w:p w14:paraId="045A9868">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25 Survey results on the operation of the shaking method</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6C698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6B571BF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7E041A7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07"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07" DrawAspect="Content" ObjectID="_1468075807" r:id="rId98">
                  <o:LockedField>false</o:LockedField>
                </o:OLEObject>
              </w:object>
            </w:r>
          </w:p>
        </w:tc>
        <w:tc>
          <w:tcPr>
            <w:tcW w:w="0" w:type="auto"/>
            <w:shd w:val="clear" w:color="auto" w:fill="auto"/>
            <w:vAlign w:val="center"/>
          </w:tcPr>
          <w:p w14:paraId="108DED7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5A03903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3BB0F8B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169D4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6F793B5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Shaking method: After the needle has been inserted to a certain depth, the practitioner holds the needle handle and shakes the needle according to a certain procedure. This is a method used to transmit needle sensation through a joint. See “4.3.2.1” and “4.3.2.2” for details. 4.3.2.1 Green Dragon Wags Its Tail method: This method is applied after deqi is obtained and needle manipulation is performed in the superficial layer, when transmission of needle sensation is blocked at a joint. The thumb and index finger of the needling hand hold the needle handle as if holding a rudder. Without advancing or withdrawing the needle, the needle is slowly moved left and right, hence the name, as the movement resembles the wagging of a dragon’s tail. The operation may be repeated and should be combined with the following and grasping methods. 4.3.2.2 White Tiger Shakes Its Head method: This method is applied after deqi is obtained and needle manipulation is performed in the deep layer, when transmission of needle sensation is blocked at a joint. The thumb and index finger of the needling hand pinch the needle handle to shake the needle. The needle is first shaken from the lower right to the upper left in a semicircular motion, known as “advancing in a circle”; it is then withdrawn from the upper left to the lower right in a semi-square motion, known as “withdrawing in a square.” When holding the needle handle, force should reach the needle tip. This is a deep and small-amplitude shaking method. During this method, the hand moves as if shaking a bell; when withdrawing in a square, each withdrawal is accompanied by one shake and one vibration. It is named because the movement resembles a tiger shaking its head. The operation may be repeated and should be combined with the following and grasping methods.</w:t>
            </w:r>
          </w:p>
        </w:tc>
        <w:tc>
          <w:tcPr>
            <w:tcW w:w="0" w:type="auto"/>
            <w:shd w:val="clear" w:color="auto" w:fill="auto"/>
            <w:vAlign w:val="center"/>
          </w:tcPr>
          <w:p w14:paraId="778EE4E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0.29</w:t>
            </w:r>
          </w:p>
        </w:tc>
        <w:tc>
          <w:tcPr>
            <w:tcW w:w="0" w:type="auto"/>
            <w:shd w:val="clear" w:color="auto" w:fill="auto"/>
            <w:vAlign w:val="center"/>
          </w:tcPr>
          <w:p w14:paraId="039C26C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70.59%</w:t>
            </w:r>
          </w:p>
        </w:tc>
        <w:tc>
          <w:tcPr>
            <w:tcW w:w="0" w:type="auto"/>
            <w:shd w:val="clear" w:color="auto" w:fill="auto"/>
            <w:vAlign w:val="center"/>
          </w:tcPr>
          <w:p w14:paraId="41B6629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w:t>
            </w:r>
          </w:p>
        </w:tc>
        <w:tc>
          <w:tcPr>
            <w:tcW w:w="0" w:type="auto"/>
            <w:shd w:val="clear" w:color="auto" w:fill="auto"/>
            <w:vAlign w:val="center"/>
          </w:tcPr>
          <w:p w14:paraId="0FC71AB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157.25%</w:t>
            </w:r>
          </w:p>
        </w:tc>
      </w:tr>
      <w:tr w14:paraId="02118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51CE746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364E26A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0.71</w:t>
            </w:r>
          </w:p>
        </w:tc>
        <w:tc>
          <w:tcPr>
            <w:tcW w:w="0" w:type="auto"/>
            <w:shd w:val="clear" w:color="auto" w:fill="auto"/>
            <w:vAlign w:val="center"/>
          </w:tcPr>
          <w:p w14:paraId="025407F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29.41%</w:t>
            </w:r>
          </w:p>
        </w:tc>
        <w:tc>
          <w:tcPr>
            <w:tcW w:w="0" w:type="auto"/>
            <w:shd w:val="clear" w:color="auto" w:fill="auto"/>
            <w:vAlign w:val="center"/>
          </w:tcPr>
          <w:p w14:paraId="187B006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24</w:t>
            </w:r>
          </w:p>
        </w:tc>
        <w:tc>
          <w:tcPr>
            <w:tcW w:w="0" w:type="auto"/>
            <w:shd w:val="clear" w:color="auto" w:fill="auto"/>
            <w:vAlign w:val="center"/>
          </w:tcPr>
          <w:p w14:paraId="60EA4FF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65.52%</w:t>
            </w:r>
          </w:p>
        </w:tc>
      </w:tr>
    </w:tbl>
    <w:p w14:paraId="6F0E1B14">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2.26 Survey results on the operation of the flying method</w:t>
      </w:r>
    </w:p>
    <w:p w14:paraId="095002FC">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26 Survey results on the operation of the flying method</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25733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4DD89D7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4BD3B01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08"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08" DrawAspect="Content" ObjectID="_1468075808" r:id="rId99">
                  <o:LockedField>false</o:LockedField>
                </o:OLEObject>
              </w:object>
            </w:r>
          </w:p>
        </w:tc>
        <w:tc>
          <w:tcPr>
            <w:tcW w:w="0" w:type="auto"/>
            <w:shd w:val="clear" w:color="auto" w:fill="auto"/>
            <w:vAlign w:val="center"/>
          </w:tcPr>
          <w:p w14:paraId="2744092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05C23A2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414DFFA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1D25B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7089B1D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The thumb and index finger of the needling hand are placed opposite each other and move from above the needle tail down to the root of the needle. The root of the needle is then gently pinched, followed by an upward flying-rotating movement, giving the practitioner a finger sensation similar to lifting the needle, while lifting without withdrawing it. The upward rotating-rubbing movement from below is accompanied by a left-to-right, clockwise rotating-rubbing movement, giving the practitioner a finger sensation similar to twirling the needle, while twirling without actually rotating it. The applied force should form a funnel-like pattern that is tight below and loose above. During the procedure, the two fingers alternately pinch and release, resembling a bird spreading its wings; hence the method is called “flying.”</w:t>
            </w:r>
          </w:p>
        </w:tc>
        <w:tc>
          <w:tcPr>
            <w:tcW w:w="0" w:type="auto"/>
            <w:shd w:val="clear" w:color="auto" w:fill="auto"/>
            <w:vAlign w:val="center"/>
          </w:tcPr>
          <w:p w14:paraId="6F94AEC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0.41</w:t>
            </w:r>
          </w:p>
        </w:tc>
        <w:tc>
          <w:tcPr>
            <w:tcW w:w="0" w:type="auto"/>
            <w:shd w:val="clear" w:color="auto" w:fill="auto"/>
            <w:vAlign w:val="center"/>
          </w:tcPr>
          <w:p w14:paraId="1AE923E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58.82%</w:t>
            </w:r>
          </w:p>
        </w:tc>
        <w:tc>
          <w:tcPr>
            <w:tcW w:w="0" w:type="auto"/>
            <w:shd w:val="clear" w:color="auto" w:fill="auto"/>
            <w:vAlign w:val="center"/>
          </w:tcPr>
          <w:p w14:paraId="4C26BCA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14</w:t>
            </w:r>
          </w:p>
        </w:tc>
        <w:tc>
          <w:tcPr>
            <w:tcW w:w="0" w:type="auto"/>
            <w:shd w:val="clear" w:color="auto" w:fill="auto"/>
            <w:vAlign w:val="center"/>
          </w:tcPr>
          <w:p w14:paraId="41A827C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121.32%</w:t>
            </w:r>
          </w:p>
        </w:tc>
      </w:tr>
      <w:tr w14:paraId="7C2B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590EBE9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0CBC7B0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0.59</w:t>
            </w:r>
          </w:p>
        </w:tc>
        <w:tc>
          <w:tcPr>
            <w:tcW w:w="0" w:type="auto"/>
            <w:shd w:val="clear" w:color="auto" w:fill="auto"/>
            <w:vAlign w:val="center"/>
          </w:tcPr>
          <w:p w14:paraId="2EB70AA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41.18%</w:t>
            </w:r>
          </w:p>
        </w:tc>
        <w:tc>
          <w:tcPr>
            <w:tcW w:w="0" w:type="auto"/>
            <w:shd w:val="clear" w:color="auto" w:fill="auto"/>
            <w:vAlign w:val="center"/>
          </w:tcPr>
          <w:p w14:paraId="08662D0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20</w:t>
            </w:r>
          </w:p>
        </w:tc>
        <w:tc>
          <w:tcPr>
            <w:tcW w:w="0" w:type="auto"/>
            <w:shd w:val="clear" w:color="auto" w:fill="auto"/>
            <w:vAlign w:val="center"/>
          </w:tcPr>
          <w:p w14:paraId="1F839EF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84.92%</w:t>
            </w:r>
          </w:p>
        </w:tc>
      </w:tr>
    </w:tbl>
    <w:p w14:paraId="04CAF873">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2.27 Survey results on the naming and operation of the trembling method</w:t>
      </w:r>
    </w:p>
    <w:p w14:paraId="2C5FFA82">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27 Survey results on the naming and operation of the trembling method</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0B87E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5CB597D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7243551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09"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09" DrawAspect="Content" ObjectID="_1468075809" r:id="rId100">
                  <o:LockedField>false</o:LockedField>
                </o:OLEObject>
              </w:object>
            </w:r>
          </w:p>
        </w:tc>
        <w:tc>
          <w:tcPr>
            <w:tcW w:w="0" w:type="auto"/>
            <w:shd w:val="clear" w:color="auto" w:fill="auto"/>
            <w:vAlign w:val="center"/>
          </w:tcPr>
          <w:p w14:paraId="742B639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423CD8D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07338B1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5ED73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3FC402E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Trembling method: The needle handle is held and the needle body is made to tremble. The trembling should be relatively rapid, with a small amplitude and uniform force.</w:t>
            </w:r>
          </w:p>
        </w:tc>
        <w:tc>
          <w:tcPr>
            <w:tcW w:w="0" w:type="auto"/>
            <w:shd w:val="clear" w:color="auto" w:fill="auto"/>
            <w:vAlign w:val="center"/>
          </w:tcPr>
          <w:p w14:paraId="374EC8A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0.35</w:t>
            </w:r>
          </w:p>
        </w:tc>
        <w:tc>
          <w:tcPr>
            <w:tcW w:w="0" w:type="auto"/>
            <w:shd w:val="clear" w:color="auto" w:fill="auto"/>
            <w:vAlign w:val="center"/>
          </w:tcPr>
          <w:p w14:paraId="1324F22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64.71%</w:t>
            </w:r>
          </w:p>
        </w:tc>
        <w:tc>
          <w:tcPr>
            <w:tcW w:w="0" w:type="auto"/>
            <w:shd w:val="clear" w:color="auto" w:fill="auto"/>
            <w:vAlign w:val="center"/>
          </w:tcPr>
          <w:p w14:paraId="6FBAA2A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12</w:t>
            </w:r>
          </w:p>
        </w:tc>
        <w:tc>
          <w:tcPr>
            <w:tcW w:w="0" w:type="auto"/>
            <w:shd w:val="clear" w:color="auto" w:fill="auto"/>
            <w:vAlign w:val="center"/>
          </w:tcPr>
          <w:p w14:paraId="1A244E0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137.44%</w:t>
            </w:r>
          </w:p>
        </w:tc>
      </w:tr>
      <w:tr w14:paraId="256B8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2E84AE4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2E93D5B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0.65</w:t>
            </w:r>
          </w:p>
        </w:tc>
        <w:tc>
          <w:tcPr>
            <w:tcW w:w="0" w:type="auto"/>
            <w:shd w:val="clear" w:color="auto" w:fill="auto"/>
            <w:vAlign w:val="center"/>
          </w:tcPr>
          <w:p w14:paraId="5BE3167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35.29%</w:t>
            </w:r>
          </w:p>
        </w:tc>
        <w:tc>
          <w:tcPr>
            <w:tcW w:w="0" w:type="auto"/>
            <w:shd w:val="clear" w:color="auto" w:fill="auto"/>
            <w:vAlign w:val="center"/>
          </w:tcPr>
          <w:p w14:paraId="0A7A9CD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22</w:t>
            </w:r>
          </w:p>
        </w:tc>
        <w:tc>
          <w:tcPr>
            <w:tcW w:w="0" w:type="auto"/>
            <w:shd w:val="clear" w:color="auto" w:fill="auto"/>
            <w:vAlign w:val="center"/>
          </w:tcPr>
          <w:p w14:paraId="6217697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74.97%</w:t>
            </w:r>
          </w:p>
        </w:tc>
      </w:tr>
    </w:tbl>
    <w:p w14:paraId="549E888B">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2.28 Survey results on the operations of single reinforcing-reducing manipulations</w:t>
      </w:r>
    </w:p>
    <w:p w14:paraId="68824E3E">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28 Survey results on the operations of single reinforcing-reducing manipulations</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3F938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28CBFD8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3966D36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10"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10" DrawAspect="Content" ObjectID="_1468075810" r:id="rId101">
                  <o:LockedField>false</o:LockedField>
                </o:OLEObject>
              </w:object>
            </w:r>
          </w:p>
        </w:tc>
        <w:tc>
          <w:tcPr>
            <w:tcW w:w="0" w:type="auto"/>
            <w:shd w:val="clear" w:color="auto" w:fill="auto"/>
            <w:vAlign w:val="center"/>
          </w:tcPr>
          <w:p w14:paraId="555D4B4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71DD244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467D715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11391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35BC123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Slow–rapid reinforcing and reducing: For reinforcing, after deqi is obtained, the needle is inserted slowly with heavy force. For reducing, after deqi is obtained, the needle is lifted slowly with light force. Lifting–thrusting reinforcing and reducing: For reinforcing, after deqi is obtained, the needle is inserted with heavy force. For reducing, after deqi is obtained, the needle is lifted with light force. Twirling reinforcing and reducing: For reinforcing, after deqi is obtained, the thumb forcefully twirls the needle forward, namely clockwise. For reducing, after deqi is obtained, the thumb gently twirls the needle backward, namely counterclockwise.</w:t>
            </w:r>
          </w:p>
        </w:tc>
        <w:tc>
          <w:tcPr>
            <w:tcW w:w="0" w:type="auto"/>
            <w:shd w:val="clear" w:color="auto" w:fill="auto"/>
            <w:vAlign w:val="center"/>
          </w:tcPr>
          <w:p w14:paraId="4E76240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0.32</w:t>
            </w:r>
          </w:p>
        </w:tc>
        <w:tc>
          <w:tcPr>
            <w:tcW w:w="0" w:type="auto"/>
            <w:shd w:val="clear" w:color="auto" w:fill="auto"/>
            <w:vAlign w:val="center"/>
          </w:tcPr>
          <w:p w14:paraId="5CC50A5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67.65%</w:t>
            </w:r>
          </w:p>
        </w:tc>
        <w:tc>
          <w:tcPr>
            <w:tcW w:w="0" w:type="auto"/>
            <w:shd w:val="clear" w:color="auto" w:fill="auto"/>
            <w:vAlign w:val="center"/>
          </w:tcPr>
          <w:p w14:paraId="65E48EB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11</w:t>
            </w:r>
          </w:p>
        </w:tc>
        <w:tc>
          <w:tcPr>
            <w:tcW w:w="0" w:type="auto"/>
            <w:shd w:val="clear" w:color="auto" w:fill="auto"/>
            <w:vAlign w:val="center"/>
          </w:tcPr>
          <w:p w14:paraId="31485B8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146.77%</w:t>
            </w:r>
          </w:p>
        </w:tc>
      </w:tr>
      <w:tr w14:paraId="118B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73B9342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71D3C6C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0.68</w:t>
            </w:r>
          </w:p>
        </w:tc>
        <w:tc>
          <w:tcPr>
            <w:tcW w:w="0" w:type="auto"/>
            <w:shd w:val="clear" w:color="auto" w:fill="auto"/>
            <w:vAlign w:val="center"/>
          </w:tcPr>
          <w:p w14:paraId="6339436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32.35%</w:t>
            </w:r>
          </w:p>
        </w:tc>
        <w:tc>
          <w:tcPr>
            <w:tcW w:w="0" w:type="auto"/>
            <w:shd w:val="clear" w:color="auto" w:fill="auto"/>
            <w:vAlign w:val="center"/>
          </w:tcPr>
          <w:p w14:paraId="429D94B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23</w:t>
            </w:r>
          </w:p>
        </w:tc>
        <w:tc>
          <w:tcPr>
            <w:tcW w:w="0" w:type="auto"/>
            <w:shd w:val="clear" w:color="auto" w:fill="auto"/>
            <w:vAlign w:val="center"/>
          </w:tcPr>
          <w:p w14:paraId="54A399C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70.20%</w:t>
            </w:r>
          </w:p>
        </w:tc>
      </w:tr>
    </w:tbl>
    <w:p w14:paraId="1677B3AB">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2.29 Survey results on the operating steps for ginger-partitioned moxibustion</w:t>
      </w:r>
    </w:p>
    <w:p w14:paraId="47B41DBF">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29 Survey results on the operating steps for ginger-partitioned moxibustion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6202E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0" w:type="auto"/>
            <w:shd w:val="clear" w:color="auto" w:fill="auto"/>
            <w:vAlign w:val="center"/>
          </w:tcPr>
          <w:p w14:paraId="3181855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69CAFBA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11"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11" DrawAspect="Content" ObjectID="_1468075811" r:id="rId102">
                  <o:LockedField>false</o:LockedField>
                </o:OLEObject>
              </w:object>
            </w:r>
          </w:p>
        </w:tc>
        <w:tc>
          <w:tcPr>
            <w:tcW w:w="0" w:type="auto"/>
            <w:shd w:val="clear" w:color="auto" w:fill="auto"/>
            <w:vAlign w:val="center"/>
          </w:tcPr>
          <w:p w14:paraId="286F624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7EE796D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108F7F6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4BE33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2A42DF3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Ginger-partitioned moxibustion: Fresh ginger is cut into thin slices approximately 2–3 cm in diameter and approximately 0.4–0.6 cm thick. Several holes are pierced in the center with a needle. The ginger slice is then placed on the acupoint or affected site to be moxibusted, and a moxa cone is placed on the ginger slice and ignited for moxibustion. When the moxa cone has burned out, it is replaced with a new one and moxibustion is continued until the prescribed number of cones has been completed. This method is commonly used for vomiting, abdominal pain, diarrhea, wind-cold impediment pain and other conditions caused by cold.</w:t>
            </w:r>
          </w:p>
        </w:tc>
        <w:tc>
          <w:tcPr>
            <w:tcW w:w="0" w:type="auto"/>
            <w:shd w:val="clear" w:color="auto" w:fill="auto"/>
            <w:vAlign w:val="center"/>
          </w:tcPr>
          <w:p w14:paraId="182504D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0.47</w:t>
            </w:r>
          </w:p>
        </w:tc>
        <w:tc>
          <w:tcPr>
            <w:tcW w:w="0" w:type="auto"/>
            <w:shd w:val="clear" w:color="auto" w:fill="auto"/>
            <w:vAlign w:val="center"/>
          </w:tcPr>
          <w:p w14:paraId="128979A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52.94%</w:t>
            </w:r>
          </w:p>
        </w:tc>
        <w:tc>
          <w:tcPr>
            <w:tcW w:w="0" w:type="auto"/>
            <w:shd w:val="clear" w:color="auto" w:fill="auto"/>
            <w:vAlign w:val="center"/>
          </w:tcPr>
          <w:p w14:paraId="598BB78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16</w:t>
            </w:r>
          </w:p>
        </w:tc>
        <w:tc>
          <w:tcPr>
            <w:tcW w:w="0" w:type="auto"/>
            <w:shd w:val="clear" w:color="auto" w:fill="auto"/>
            <w:vAlign w:val="center"/>
          </w:tcPr>
          <w:p w14:paraId="07CFB61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107.66%</w:t>
            </w:r>
          </w:p>
        </w:tc>
      </w:tr>
      <w:tr w14:paraId="2E97C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45F94E6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02EE2F1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0.53</w:t>
            </w:r>
          </w:p>
        </w:tc>
        <w:tc>
          <w:tcPr>
            <w:tcW w:w="0" w:type="auto"/>
            <w:shd w:val="clear" w:color="auto" w:fill="auto"/>
            <w:vAlign w:val="center"/>
          </w:tcPr>
          <w:p w14:paraId="6FBFC38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47.06%</w:t>
            </w:r>
          </w:p>
        </w:tc>
        <w:tc>
          <w:tcPr>
            <w:tcW w:w="0" w:type="auto"/>
            <w:shd w:val="clear" w:color="auto" w:fill="auto"/>
            <w:vAlign w:val="center"/>
          </w:tcPr>
          <w:p w14:paraId="7C55062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18</w:t>
            </w:r>
          </w:p>
        </w:tc>
        <w:tc>
          <w:tcPr>
            <w:tcW w:w="0" w:type="auto"/>
            <w:shd w:val="clear" w:color="auto" w:fill="auto"/>
            <w:vAlign w:val="center"/>
          </w:tcPr>
          <w:p w14:paraId="410EFBC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95.70%</w:t>
            </w:r>
          </w:p>
        </w:tc>
      </w:tr>
    </w:tbl>
    <w:p w14:paraId="1738224A">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2.30 Survey results on the treatment course of Si Feng pricking therapy</w:t>
      </w:r>
    </w:p>
    <w:p w14:paraId="33A0852E">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30 Survey results on the treatment course of Si Feng pricking therapy</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1DBF7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51D5A74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3945057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12"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12" DrawAspect="Content" ObjectID="_1468075812" r:id="rId103">
                  <o:LockedField>false</o:LockedField>
                </o:OLEObject>
              </w:object>
            </w:r>
          </w:p>
        </w:tc>
        <w:tc>
          <w:tcPr>
            <w:tcW w:w="0" w:type="auto"/>
            <w:shd w:val="clear" w:color="auto" w:fill="auto"/>
            <w:vAlign w:val="center"/>
          </w:tcPr>
          <w:p w14:paraId="41B6EDA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4F27A52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581342F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14069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3E0F66E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Pricking may be performed 1–2 times per week. For severe cases, it may be performed once every other day. After the condition improves, the frequency may be reduced to once per week, once every 10 days or once every 15 days, with no more than 10 sessions in total.</w:t>
            </w:r>
          </w:p>
        </w:tc>
        <w:tc>
          <w:tcPr>
            <w:tcW w:w="0" w:type="auto"/>
            <w:shd w:val="clear" w:color="auto" w:fill="auto"/>
            <w:vAlign w:val="center"/>
          </w:tcPr>
          <w:p w14:paraId="36811EE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0.68</w:t>
            </w:r>
          </w:p>
        </w:tc>
        <w:tc>
          <w:tcPr>
            <w:tcW w:w="0" w:type="auto"/>
            <w:shd w:val="clear" w:color="auto" w:fill="auto"/>
            <w:vAlign w:val="center"/>
          </w:tcPr>
          <w:p w14:paraId="022E2AB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32.35%</w:t>
            </w:r>
          </w:p>
        </w:tc>
        <w:tc>
          <w:tcPr>
            <w:tcW w:w="0" w:type="auto"/>
            <w:shd w:val="clear" w:color="auto" w:fill="auto"/>
            <w:vAlign w:val="center"/>
          </w:tcPr>
          <w:p w14:paraId="3A516C3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23</w:t>
            </w:r>
          </w:p>
        </w:tc>
        <w:tc>
          <w:tcPr>
            <w:tcW w:w="0" w:type="auto"/>
            <w:shd w:val="clear" w:color="auto" w:fill="auto"/>
            <w:vAlign w:val="center"/>
          </w:tcPr>
          <w:p w14:paraId="2D5D35C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70.20%</w:t>
            </w:r>
          </w:p>
        </w:tc>
      </w:tr>
      <w:tr w14:paraId="58230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417AAC6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6D23207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0.32</w:t>
            </w:r>
          </w:p>
        </w:tc>
        <w:tc>
          <w:tcPr>
            <w:tcW w:w="0" w:type="auto"/>
            <w:shd w:val="clear" w:color="auto" w:fill="auto"/>
            <w:vAlign w:val="center"/>
          </w:tcPr>
          <w:p w14:paraId="250C758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67.65%</w:t>
            </w:r>
          </w:p>
        </w:tc>
        <w:tc>
          <w:tcPr>
            <w:tcW w:w="0" w:type="auto"/>
            <w:shd w:val="clear" w:color="auto" w:fill="auto"/>
            <w:vAlign w:val="center"/>
          </w:tcPr>
          <w:p w14:paraId="2DD11FB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11</w:t>
            </w:r>
          </w:p>
        </w:tc>
        <w:tc>
          <w:tcPr>
            <w:tcW w:w="0" w:type="auto"/>
            <w:shd w:val="clear" w:color="auto" w:fill="auto"/>
            <w:vAlign w:val="center"/>
          </w:tcPr>
          <w:p w14:paraId="024F2C3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146.77%</w:t>
            </w:r>
          </w:p>
        </w:tc>
      </w:tr>
    </w:tbl>
    <w:p w14:paraId="59CDB774">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2.31 Survey results on the operating steps for salt-partitioned moxibustion</w:t>
      </w:r>
    </w:p>
    <w:p w14:paraId="59D673DB">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31 Survey results on the operating steps for salt-partitioned moxibustion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219E8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10C8622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0B840EC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13"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13" DrawAspect="Content" ObjectID="_1468075813" r:id="rId104">
                  <o:LockedField>false</o:LockedField>
                </o:OLEObject>
              </w:object>
            </w:r>
          </w:p>
        </w:tc>
        <w:tc>
          <w:tcPr>
            <w:tcW w:w="0" w:type="auto"/>
            <w:shd w:val="clear" w:color="auto" w:fill="auto"/>
            <w:vAlign w:val="center"/>
          </w:tcPr>
          <w:p w14:paraId="60CA102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32AB908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420134C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6209B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2B161A1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Pure table salt is filled into and applied over the umbilicus, or a thin slice of ginger is placed over the salt, with a large moxa cone placed on top for moxibustion. When the moxa cone has burned out, it is replaced with a new one and moxibustion is continued until the prescribed number of cones has been completed. This method is mostly used for treating yin patterns of cold damage, simultaneous vomiting and diarrhea, collapse pattern in wind stroke, and similar conditions.</w:t>
            </w:r>
          </w:p>
        </w:tc>
        <w:tc>
          <w:tcPr>
            <w:tcW w:w="0" w:type="auto"/>
            <w:shd w:val="clear" w:color="auto" w:fill="auto"/>
            <w:vAlign w:val="center"/>
          </w:tcPr>
          <w:p w14:paraId="40D76E9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0.35</w:t>
            </w:r>
          </w:p>
        </w:tc>
        <w:tc>
          <w:tcPr>
            <w:tcW w:w="0" w:type="auto"/>
            <w:shd w:val="clear" w:color="auto" w:fill="auto"/>
            <w:vAlign w:val="center"/>
          </w:tcPr>
          <w:p w14:paraId="5E760D7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64.71%</w:t>
            </w:r>
          </w:p>
        </w:tc>
        <w:tc>
          <w:tcPr>
            <w:tcW w:w="0" w:type="auto"/>
            <w:shd w:val="clear" w:color="auto" w:fill="auto"/>
            <w:vAlign w:val="center"/>
          </w:tcPr>
          <w:p w14:paraId="1E1BDC3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12</w:t>
            </w:r>
          </w:p>
        </w:tc>
        <w:tc>
          <w:tcPr>
            <w:tcW w:w="0" w:type="auto"/>
            <w:shd w:val="clear" w:color="auto" w:fill="auto"/>
            <w:vAlign w:val="center"/>
          </w:tcPr>
          <w:p w14:paraId="3502E40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137.44%</w:t>
            </w:r>
          </w:p>
        </w:tc>
      </w:tr>
      <w:tr w14:paraId="37FE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26964DA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5B3D5CD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0.65</w:t>
            </w:r>
          </w:p>
        </w:tc>
        <w:tc>
          <w:tcPr>
            <w:tcW w:w="0" w:type="auto"/>
            <w:shd w:val="clear" w:color="auto" w:fill="auto"/>
            <w:vAlign w:val="center"/>
          </w:tcPr>
          <w:p w14:paraId="064B8F5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35.29%</w:t>
            </w:r>
          </w:p>
        </w:tc>
        <w:tc>
          <w:tcPr>
            <w:tcW w:w="0" w:type="auto"/>
            <w:shd w:val="clear" w:color="auto" w:fill="auto"/>
            <w:vAlign w:val="center"/>
          </w:tcPr>
          <w:p w14:paraId="618F3C0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22</w:t>
            </w:r>
          </w:p>
        </w:tc>
        <w:tc>
          <w:tcPr>
            <w:tcW w:w="0" w:type="auto"/>
            <w:shd w:val="clear" w:color="auto" w:fill="auto"/>
            <w:vAlign w:val="center"/>
          </w:tcPr>
          <w:p w14:paraId="2CCC91F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74.97%</w:t>
            </w:r>
          </w:p>
        </w:tc>
      </w:tr>
    </w:tbl>
    <w:p w14:paraId="331F234F">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2.32 Survey results on the name and operating steps of aconite-cake-partitioned moxibustion</w:t>
      </w:r>
    </w:p>
    <w:p w14:paraId="15D4E05A">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32 Survey results on the name and operating steps of aconite-cake-partitioned moxibustion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65CDD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blHeader/>
        </w:trPr>
        <w:tc>
          <w:tcPr>
            <w:tcW w:w="0" w:type="auto"/>
            <w:shd w:val="clear" w:color="auto" w:fill="auto"/>
            <w:vAlign w:val="center"/>
          </w:tcPr>
          <w:p w14:paraId="337BE1D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36A520E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14"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14" DrawAspect="Content" ObjectID="_1468075814" r:id="rId105">
                  <o:LockedField>false</o:LockedField>
                </o:OLEObject>
              </w:object>
            </w:r>
          </w:p>
        </w:tc>
        <w:tc>
          <w:tcPr>
            <w:tcW w:w="0" w:type="auto"/>
            <w:shd w:val="clear" w:color="auto" w:fill="auto"/>
            <w:vAlign w:val="center"/>
          </w:tcPr>
          <w:p w14:paraId="4ADE835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1ED9F6D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0530DEA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2F138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05384C4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Aconite-cake-partitioned moxibustion: Aconite is ground into powder and mixed with wine to make thin cakes approximately 0.2–0.3 cm in diameter and 0.5–0.8 cm thick. Several holes are pierced in the center with a needle. The aconite cake is then placed on the acupoint or affected site to be moxibusted, and a moxa cone is placed on the aconite cake and ignited for moxibustion. When the moxa cone has burned out, it is replaced with a new one and moxibustion is continued until the prescribed number of cones has been completed.</w:t>
            </w:r>
          </w:p>
        </w:tc>
        <w:tc>
          <w:tcPr>
            <w:tcW w:w="0" w:type="auto"/>
            <w:shd w:val="clear" w:color="auto" w:fill="auto"/>
            <w:vAlign w:val="center"/>
          </w:tcPr>
          <w:p w14:paraId="38FD4ED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0.45</w:t>
            </w:r>
          </w:p>
        </w:tc>
        <w:tc>
          <w:tcPr>
            <w:tcW w:w="0" w:type="auto"/>
            <w:shd w:val="clear" w:color="auto" w:fill="auto"/>
            <w:vAlign w:val="center"/>
          </w:tcPr>
          <w:p w14:paraId="170FA37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52.94%</w:t>
            </w:r>
          </w:p>
        </w:tc>
        <w:tc>
          <w:tcPr>
            <w:tcW w:w="0" w:type="auto"/>
            <w:shd w:val="clear" w:color="auto" w:fill="auto"/>
            <w:vAlign w:val="center"/>
          </w:tcPr>
          <w:p w14:paraId="5FF30D6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15</w:t>
            </w:r>
          </w:p>
        </w:tc>
        <w:tc>
          <w:tcPr>
            <w:tcW w:w="0" w:type="auto"/>
            <w:shd w:val="clear" w:color="auto" w:fill="auto"/>
            <w:vAlign w:val="center"/>
          </w:tcPr>
          <w:p w14:paraId="19A74DB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110.88%</w:t>
            </w:r>
          </w:p>
        </w:tc>
      </w:tr>
      <w:tr w14:paraId="5097D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2D85D4D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759A31F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0.55</w:t>
            </w:r>
          </w:p>
        </w:tc>
        <w:tc>
          <w:tcPr>
            <w:tcW w:w="0" w:type="auto"/>
            <w:shd w:val="clear" w:color="auto" w:fill="auto"/>
            <w:vAlign w:val="center"/>
          </w:tcPr>
          <w:p w14:paraId="28A522F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44.12%</w:t>
            </w:r>
          </w:p>
        </w:tc>
        <w:tc>
          <w:tcPr>
            <w:tcW w:w="0" w:type="auto"/>
            <w:shd w:val="clear" w:color="auto" w:fill="auto"/>
            <w:vAlign w:val="center"/>
          </w:tcPr>
          <w:p w14:paraId="6C2B5B0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18</w:t>
            </w:r>
          </w:p>
        </w:tc>
        <w:tc>
          <w:tcPr>
            <w:tcW w:w="0" w:type="auto"/>
            <w:shd w:val="clear" w:color="auto" w:fill="auto"/>
            <w:vAlign w:val="center"/>
          </w:tcPr>
          <w:p w14:paraId="3F4652D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92.88%</w:t>
            </w:r>
          </w:p>
        </w:tc>
      </w:tr>
    </w:tbl>
    <w:p w14:paraId="22C720D0">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2.33 Survey results on the operation of Lei Huo Shen Zhen</w:t>
      </w:r>
    </w:p>
    <w:p w14:paraId="10F9393D">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33 Survey results on the operation of Lei Huo Shen Zhen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3911A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0EE1672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412AFD5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15"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15" DrawAspect="Content" ObjectID="_1468075815" r:id="rId106">
                  <o:LockedField>false</o:LockedField>
                </o:OLEObject>
              </w:object>
            </w:r>
          </w:p>
        </w:tc>
        <w:tc>
          <w:tcPr>
            <w:tcW w:w="0" w:type="auto"/>
            <w:shd w:val="clear" w:color="auto" w:fill="auto"/>
            <w:vAlign w:val="center"/>
          </w:tcPr>
          <w:p w14:paraId="0806635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67135B8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3F76FA1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4C1C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5722AB4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Take 94 g of moxa floss; 9 g each of agarwood, Aucklandia root, frankincense, capillary artemisia, Notopterygium root and rhizome, and dried ginger; and a small amount of musk. Grind them into powder and mix evenly. Spread the medicines flat on mulberry bark paper, roll tightly into a firecracker-like shape, and then roll and tighten further with a wooden board. Coat the outside with egg white, dry in the shade, and store for later use.</w:t>
            </w:r>
          </w:p>
        </w:tc>
        <w:tc>
          <w:tcPr>
            <w:tcW w:w="0" w:type="auto"/>
            <w:shd w:val="clear" w:color="auto" w:fill="auto"/>
            <w:vAlign w:val="center"/>
          </w:tcPr>
          <w:p w14:paraId="370FCB3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0.94</w:t>
            </w:r>
          </w:p>
        </w:tc>
        <w:tc>
          <w:tcPr>
            <w:tcW w:w="0" w:type="auto"/>
            <w:shd w:val="clear" w:color="auto" w:fill="auto"/>
            <w:vAlign w:val="center"/>
          </w:tcPr>
          <w:p w14:paraId="00EC9C3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5.88%</w:t>
            </w:r>
          </w:p>
        </w:tc>
        <w:tc>
          <w:tcPr>
            <w:tcW w:w="0" w:type="auto"/>
            <w:shd w:val="clear" w:color="auto" w:fill="auto"/>
            <w:vAlign w:val="center"/>
          </w:tcPr>
          <w:p w14:paraId="114A3C2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32</w:t>
            </w:r>
          </w:p>
        </w:tc>
        <w:tc>
          <w:tcPr>
            <w:tcW w:w="0" w:type="auto"/>
            <w:shd w:val="clear" w:color="auto" w:fill="auto"/>
            <w:vAlign w:val="center"/>
          </w:tcPr>
          <w:p w14:paraId="3FB2E03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25.38%</w:t>
            </w:r>
          </w:p>
        </w:tc>
      </w:tr>
      <w:tr w14:paraId="1B43B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6EFE1E5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7B89B5E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0.06</w:t>
            </w:r>
          </w:p>
        </w:tc>
        <w:tc>
          <w:tcPr>
            <w:tcW w:w="0" w:type="auto"/>
            <w:shd w:val="clear" w:color="auto" w:fill="auto"/>
            <w:vAlign w:val="center"/>
          </w:tcPr>
          <w:p w14:paraId="5080F42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94.12%</w:t>
            </w:r>
          </w:p>
        </w:tc>
        <w:tc>
          <w:tcPr>
            <w:tcW w:w="0" w:type="auto"/>
            <w:shd w:val="clear" w:color="auto" w:fill="auto"/>
            <w:vAlign w:val="center"/>
          </w:tcPr>
          <w:p w14:paraId="6A772D2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w:t>
            </w:r>
          </w:p>
        </w:tc>
        <w:tc>
          <w:tcPr>
            <w:tcW w:w="0" w:type="auto"/>
            <w:shd w:val="clear" w:color="auto" w:fill="auto"/>
            <w:vAlign w:val="center"/>
          </w:tcPr>
          <w:p w14:paraId="380F250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406.02%</w:t>
            </w:r>
          </w:p>
        </w:tc>
      </w:tr>
    </w:tbl>
    <w:p w14:paraId="3159182A">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2.34 Survey results on the composition and preparation method of Taiyi Shen Zhen</w:t>
      </w:r>
    </w:p>
    <w:p w14:paraId="7F9EB622">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34 Survey results on the composition and preparation method of Taiyi Shen Zhen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36E82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328CE64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28F33DC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16"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16" DrawAspect="Content" ObjectID="_1468075816" r:id="rId107">
                  <o:LockedField>false</o:LockedField>
                </o:OLEObject>
              </w:object>
            </w:r>
          </w:p>
        </w:tc>
        <w:tc>
          <w:tcPr>
            <w:tcW w:w="0" w:type="auto"/>
            <w:shd w:val="clear" w:color="auto" w:fill="auto"/>
            <w:vAlign w:val="center"/>
          </w:tcPr>
          <w:p w14:paraId="3612839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044662D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1B33710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7B95A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730F354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Taiyi Shen Zhen: Its medicinal formula has been recorded differently by physicians throughout history. The modern prescription is as follows: 250 g of ginseng, 250 g of Panax notoginseng, 62.5 g of goat blood, 500 g of Homalomena rhizome, 500 g of Zuandifeng, 500 g of cinnamon bark, 500 g of Sichuan pepper, 500 g of frankincense, 500 g of myrrh, 250 g of processed Chuan Shan Jia, 500 g of fennel, 2,000 g of Qiai, 1,000 g of licorice, 2,000 g of Saposhnikovia root, and a small amount of artificial musk. After processing, all ingredients are ground into powder. The medicinal powder is mixed into moxa floss, with 25 g of medicinal powder added to each moxa stick.</w:t>
            </w:r>
          </w:p>
        </w:tc>
        <w:tc>
          <w:tcPr>
            <w:tcW w:w="0" w:type="auto"/>
            <w:shd w:val="clear" w:color="auto" w:fill="auto"/>
            <w:vAlign w:val="center"/>
          </w:tcPr>
          <w:p w14:paraId="786D538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0.39</w:t>
            </w:r>
          </w:p>
        </w:tc>
        <w:tc>
          <w:tcPr>
            <w:tcW w:w="0" w:type="auto"/>
            <w:shd w:val="clear" w:color="auto" w:fill="auto"/>
            <w:vAlign w:val="center"/>
          </w:tcPr>
          <w:p w14:paraId="44E1580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58.82%</w:t>
            </w:r>
          </w:p>
        </w:tc>
        <w:tc>
          <w:tcPr>
            <w:tcW w:w="0" w:type="auto"/>
            <w:shd w:val="clear" w:color="auto" w:fill="auto"/>
            <w:vAlign w:val="center"/>
          </w:tcPr>
          <w:p w14:paraId="6A069BD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13</w:t>
            </w:r>
          </w:p>
        </w:tc>
        <w:tc>
          <w:tcPr>
            <w:tcW w:w="0" w:type="auto"/>
            <w:shd w:val="clear" w:color="auto" w:fill="auto"/>
            <w:vAlign w:val="center"/>
          </w:tcPr>
          <w:p w14:paraId="19E9191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125.96%</w:t>
            </w:r>
          </w:p>
        </w:tc>
      </w:tr>
      <w:tr w14:paraId="310A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59A3828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0152A7E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0.61</w:t>
            </w:r>
          </w:p>
        </w:tc>
        <w:tc>
          <w:tcPr>
            <w:tcW w:w="0" w:type="auto"/>
            <w:shd w:val="clear" w:color="auto" w:fill="auto"/>
            <w:vAlign w:val="center"/>
          </w:tcPr>
          <w:p w14:paraId="2CA1DEF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38.24%</w:t>
            </w:r>
          </w:p>
        </w:tc>
        <w:tc>
          <w:tcPr>
            <w:tcW w:w="0" w:type="auto"/>
            <w:shd w:val="clear" w:color="auto" w:fill="auto"/>
            <w:vAlign w:val="center"/>
          </w:tcPr>
          <w:p w14:paraId="4741751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20</w:t>
            </w:r>
          </w:p>
        </w:tc>
        <w:tc>
          <w:tcPr>
            <w:tcW w:w="0" w:type="auto"/>
            <w:shd w:val="clear" w:color="auto" w:fill="auto"/>
            <w:vAlign w:val="center"/>
          </w:tcPr>
          <w:p w14:paraId="2A3211B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82.43%</w:t>
            </w:r>
          </w:p>
        </w:tc>
      </w:tr>
    </w:tbl>
    <w:p w14:paraId="67336729">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2.35 Survey results on treatment duration and course of moxibustion</w:t>
      </w:r>
    </w:p>
    <w:p w14:paraId="3814FF0C">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35 Survey results on treatment duration and course of moxibustion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769ED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7FB0B43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07E2320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17"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17" DrawAspect="Content" ObjectID="_1468075817" r:id="rId108">
                  <o:LockedField>false</o:LockedField>
                </o:OLEObject>
              </w:object>
            </w:r>
          </w:p>
        </w:tc>
        <w:tc>
          <w:tcPr>
            <w:tcW w:w="0" w:type="auto"/>
            <w:shd w:val="clear" w:color="auto" w:fill="auto"/>
            <w:vAlign w:val="center"/>
          </w:tcPr>
          <w:p w14:paraId="5A00C85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48ACD09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1B753A4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20DAF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209900E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The duration of moxibustion should not be excessively long; 3–10 min for each acupoint is appropriate. The duration should be shorter in summer and may be slightly longer in winter. The frequency and course of moxibustion should be determined according to the child’s condition, and moxibustion may be performed once daily, once every other day, or once every 3 days.</w:t>
            </w:r>
          </w:p>
        </w:tc>
        <w:tc>
          <w:tcPr>
            <w:tcW w:w="0" w:type="auto"/>
            <w:shd w:val="clear" w:color="auto" w:fill="auto"/>
            <w:vAlign w:val="center"/>
          </w:tcPr>
          <w:p w14:paraId="140B5D3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0.74</w:t>
            </w:r>
          </w:p>
        </w:tc>
        <w:tc>
          <w:tcPr>
            <w:tcW w:w="0" w:type="auto"/>
            <w:shd w:val="clear" w:color="auto" w:fill="auto"/>
            <w:vAlign w:val="center"/>
          </w:tcPr>
          <w:p w14:paraId="3764081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26.47%</w:t>
            </w:r>
          </w:p>
        </w:tc>
        <w:tc>
          <w:tcPr>
            <w:tcW w:w="0" w:type="auto"/>
            <w:shd w:val="clear" w:color="auto" w:fill="auto"/>
            <w:vAlign w:val="center"/>
          </w:tcPr>
          <w:p w14:paraId="58809F4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25</w:t>
            </w:r>
          </w:p>
        </w:tc>
        <w:tc>
          <w:tcPr>
            <w:tcW w:w="0" w:type="auto"/>
            <w:shd w:val="clear" w:color="auto" w:fill="auto"/>
            <w:vAlign w:val="center"/>
          </w:tcPr>
          <w:p w14:paraId="6239547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60.90%</w:t>
            </w:r>
          </w:p>
        </w:tc>
      </w:tr>
      <w:tr w14:paraId="5A37E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4EE021D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6A05D62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0.26</w:t>
            </w:r>
          </w:p>
        </w:tc>
        <w:tc>
          <w:tcPr>
            <w:tcW w:w="0" w:type="auto"/>
            <w:shd w:val="clear" w:color="auto" w:fill="auto"/>
            <w:vAlign w:val="center"/>
          </w:tcPr>
          <w:p w14:paraId="2BBB887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73.53%</w:t>
            </w:r>
          </w:p>
        </w:tc>
        <w:tc>
          <w:tcPr>
            <w:tcW w:w="0" w:type="auto"/>
            <w:shd w:val="clear" w:color="auto" w:fill="auto"/>
            <w:vAlign w:val="center"/>
          </w:tcPr>
          <w:p w14:paraId="6D847EA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w:t>
            </w:r>
          </w:p>
        </w:tc>
        <w:tc>
          <w:tcPr>
            <w:tcW w:w="0" w:type="auto"/>
            <w:shd w:val="clear" w:color="auto" w:fill="auto"/>
            <w:vAlign w:val="center"/>
          </w:tcPr>
          <w:p w14:paraId="3BDBC4E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169.17%</w:t>
            </w:r>
          </w:p>
        </w:tc>
      </w:tr>
    </w:tbl>
    <w:p w14:paraId="29DCBE5E">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2.36 Survey results on acupuncture operation near the fontanelle in children</w:t>
      </w:r>
    </w:p>
    <w:p w14:paraId="1617DD48">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36 Survey results on acupuncture operation near the fontanelle in children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27840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0" w:type="auto"/>
            <w:shd w:val="clear" w:color="auto" w:fill="auto"/>
            <w:vAlign w:val="center"/>
          </w:tcPr>
          <w:p w14:paraId="235DA94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263F64E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18"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18" DrawAspect="Content" ObjectID="_1468075818" r:id="rId109">
                  <o:LockedField>false</o:LockedField>
                </o:OLEObject>
              </w:object>
            </w:r>
          </w:p>
        </w:tc>
        <w:tc>
          <w:tcPr>
            <w:tcW w:w="0" w:type="auto"/>
            <w:shd w:val="clear" w:color="auto" w:fill="auto"/>
            <w:vAlign w:val="center"/>
          </w:tcPr>
          <w:p w14:paraId="5844A34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36813E1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41D16FD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42A45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2BC9AF0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When the fontanelle in children has not yet closed, acupoints near the fontanelle should not be needled.</w:t>
            </w:r>
          </w:p>
        </w:tc>
        <w:tc>
          <w:tcPr>
            <w:tcW w:w="0" w:type="auto"/>
            <w:shd w:val="clear" w:color="auto" w:fill="auto"/>
            <w:vAlign w:val="center"/>
          </w:tcPr>
          <w:p w14:paraId="343EADD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0.74</w:t>
            </w:r>
          </w:p>
        </w:tc>
        <w:tc>
          <w:tcPr>
            <w:tcW w:w="0" w:type="auto"/>
            <w:shd w:val="clear" w:color="auto" w:fill="auto"/>
            <w:vAlign w:val="center"/>
          </w:tcPr>
          <w:p w14:paraId="38E4212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26.47%</w:t>
            </w:r>
          </w:p>
        </w:tc>
        <w:tc>
          <w:tcPr>
            <w:tcW w:w="0" w:type="auto"/>
            <w:shd w:val="clear" w:color="auto" w:fill="auto"/>
            <w:vAlign w:val="center"/>
          </w:tcPr>
          <w:p w14:paraId="1D9B635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25</w:t>
            </w:r>
          </w:p>
        </w:tc>
        <w:tc>
          <w:tcPr>
            <w:tcW w:w="0" w:type="auto"/>
            <w:shd w:val="clear" w:color="auto" w:fill="auto"/>
            <w:vAlign w:val="center"/>
          </w:tcPr>
          <w:p w14:paraId="22392FC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60.90%</w:t>
            </w:r>
          </w:p>
        </w:tc>
      </w:tr>
      <w:tr w14:paraId="1B5EA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6590484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4383E75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0.26</w:t>
            </w:r>
          </w:p>
        </w:tc>
        <w:tc>
          <w:tcPr>
            <w:tcW w:w="0" w:type="auto"/>
            <w:shd w:val="clear" w:color="auto" w:fill="auto"/>
            <w:vAlign w:val="center"/>
          </w:tcPr>
          <w:p w14:paraId="709F65A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73.53%</w:t>
            </w:r>
          </w:p>
        </w:tc>
        <w:tc>
          <w:tcPr>
            <w:tcW w:w="0" w:type="auto"/>
            <w:shd w:val="clear" w:color="auto" w:fill="auto"/>
            <w:vAlign w:val="center"/>
          </w:tcPr>
          <w:p w14:paraId="407AF4D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w:t>
            </w:r>
          </w:p>
        </w:tc>
        <w:tc>
          <w:tcPr>
            <w:tcW w:w="0" w:type="auto"/>
            <w:shd w:val="clear" w:color="auto" w:fill="auto"/>
            <w:vAlign w:val="center"/>
          </w:tcPr>
          <w:p w14:paraId="4FD8E81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169.17%</w:t>
            </w:r>
          </w:p>
        </w:tc>
      </w:tr>
    </w:tbl>
    <w:p w14:paraId="1C9BE619">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lang w:eastAsia="zh-CN"/>
        </w:rPr>
        <w:t>2.</w:t>
      </w:r>
      <w:r>
        <w:rPr>
          <w:rFonts w:hint="default" w:ascii="Cambria" w:hAnsi="Cambria" w:eastAsia="仿宋" w:cs="Cambria"/>
          <w:b/>
          <w:bCs/>
          <w:szCs w:val="21"/>
        </w:rPr>
        <w:t>37 Survey results on revising “1 Scope”</w:t>
      </w:r>
    </w:p>
    <w:p w14:paraId="4D179968">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37 Survey results on revising “1 Scope”</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2323"/>
        <w:gridCol w:w="2714"/>
        <w:gridCol w:w="1297"/>
        <w:gridCol w:w="489"/>
        <w:gridCol w:w="1514"/>
      </w:tblGrid>
      <w:tr w14:paraId="6B094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1363" w:type="pct"/>
            <w:shd w:val="clear" w:color="auto" w:fill="auto"/>
            <w:vAlign w:val="center"/>
          </w:tcPr>
          <w:p w14:paraId="48026C9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1592" w:type="pct"/>
            <w:shd w:val="clear" w:color="auto" w:fill="auto"/>
            <w:vAlign w:val="center"/>
          </w:tcPr>
          <w:p w14:paraId="7A31DBC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19"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19" DrawAspect="Content" ObjectID="_1468075819" r:id="rId110">
                  <o:LockedField>false</o:LockedField>
                </o:OLEObject>
              </w:object>
            </w:r>
          </w:p>
        </w:tc>
        <w:tc>
          <w:tcPr>
            <w:tcW w:w="761" w:type="pct"/>
            <w:shd w:val="clear" w:color="auto" w:fill="auto"/>
            <w:vAlign w:val="center"/>
          </w:tcPr>
          <w:p w14:paraId="070414E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287" w:type="pct"/>
            <w:shd w:val="clear" w:color="auto" w:fill="auto"/>
            <w:vAlign w:val="center"/>
          </w:tcPr>
          <w:p w14:paraId="5CFD56E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888" w:type="pct"/>
            <w:shd w:val="clear" w:color="auto" w:fill="auto"/>
            <w:vAlign w:val="center"/>
          </w:tcPr>
          <w:p w14:paraId="2F4637A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4379A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63" w:type="pct"/>
            <w:shd w:val="clear" w:color="auto" w:fill="auto"/>
            <w:vAlign w:val="center"/>
          </w:tcPr>
          <w:p w14:paraId="1D5074E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1592" w:type="pct"/>
            <w:shd w:val="clear" w:color="auto" w:fill="auto"/>
            <w:vAlign w:val="center"/>
          </w:tcPr>
          <w:p w14:paraId="41A7E85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0.97</w:t>
            </w:r>
          </w:p>
        </w:tc>
        <w:tc>
          <w:tcPr>
            <w:tcW w:w="761" w:type="pct"/>
            <w:shd w:val="clear" w:color="auto" w:fill="auto"/>
            <w:vAlign w:val="center"/>
          </w:tcPr>
          <w:p w14:paraId="59CC5F6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2.94%</w:t>
            </w:r>
          </w:p>
        </w:tc>
        <w:tc>
          <w:tcPr>
            <w:tcW w:w="287" w:type="pct"/>
            <w:shd w:val="clear" w:color="auto" w:fill="auto"/>
            <w:vAlign w:val="center"/>
          </w:tcPr>
          <w:p w14:paraId="37075C8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33</w:t>
            </w:r>
          </w:p>
        </w:tc>
        <w:tc>
          <w:tcPr>
            <w:tcW w:w="888" w:type="pct"/>
            <w:shd w:val="clear" w:color="auto" w:fill="auto"/>
            <w:vAlign w:val="center"/>
          </w:tcPr>
          <w:p w14:paraId="2DCAA55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17.67%</w:t>
            </w:r>
          </w:p>
        </w:tc>
      </w:tr>
      <w:tr w14:paraId="4DDCA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63" w:type="pct"/>
            <w:shd w:val="clear" w:color="auto" w:fill="auto"/>
            <w:vAlign w:val="center"/>
          </w:tcPr>
          <w:p w14:paraId="61A4154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Disagree</w:t>
            </w:r>
          </w:p>
        </w:tc>
        <w:tc>
          <w:tcPr>
            <w:tcW w:w="1592" w:type="pct"/>
            <w:shd w:val="clear" w:color="auto" w:fill="auto"/>
            <w:vAlign w:val="center"/>
          </w:tcPr>
          <w:p w14:paraId="7CB87C0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0.03</w:t>
            </w:r>
          </w:p>
        </w:tc>
        <w:tc>
          <w:tcPr>
            <w:tcW w:w="761" w:type="pct"/>
            <w:shd w:val="clear" w:color="auto" w:fill="auto"/>
            <w:vAlign w:val="center"/>
          </w:tcPr>
          <w:p w14:paraId="6DC916B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97.06%</w:t>
            </w:r>
          </w:p>
        </w:tc>
        <w:tc>
          <w:tcPr>
            <w:tcW w:w="287" w:type="pct"/>
            <w:shd w:val="clear" w:color="auto" w:fill="auto"/>
            <w:vAlign w:val="center"/>
          </w:tcPr>
          <w:p w14:paraId="3862DB8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w:t>
            </w:r>
          </w:p>
        </w:tc>
        <w:tc>
          <w:tcPr>
            <w:tcW w:w="888" w:type="pct"/>
            <w:shd w:val="clear" w:color="auto" w:fill="auto"/>
            <w:vAlign w:val="center"/>
          </w:tcPr>
          <w:p w14:paraId="308C3CB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583.10%</w:t>
            </w:r>
          </w:p>
        </w:tc>
      </w:tr>
    </w:tbl>
    <w:p w14:paraId="063826E4">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lang w:eastAsia="zh-CN"/>
        </w:rPr>
        <w:t>2.</w:t>
      </w:r>
      <w:r>
        <w:rPr>
          <w:rFonts w:hint="default" w:ascii="Cambria" w:hAnsi="Cambria" w:eastAsia="仿宋" w:cs="Cambria"/>
          <w:b/>
          <w:bCs/>
          <w:szCs w:val="21"/>
        </w:rPr>
        <w:t>38 Survey results on revising “2 Normative references”</w:t>
      </w:r>
    </w:p>
    <w:p w14:paraId="7A9890E9">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38 Survey results on revising “2 Normative references”</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2323"/>
        <w:gridCol w:w="2714"/>
        <w:gridCol w:w="1297"/>
        <w:gridCol w:w="489"/>
        <w:gridCol w:w="1514"/>
      </w:tblGrid>
      <w:tr w14:paraId="2167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1363" w:type="pct"/>
            <w:shd w:val="clear" w:color="auto" w:fill="auto"/>
            <w:vAlign w:val="center"/>
          </w:tcPr>
          <w:p w14:paraId="1BD7ED1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1592" w:type="pct"/>
            <w:shd w:val="clear" w:color="auto" w:fill="auto"/>
            <w:vAlign w:val="center"/>
          </w:tcPr>
          <w:p w14:paraId="3764792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20"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20" DrawAspect="Content" ObjectID="_1468075820" r:id="rId111">
                  <o:LockedField>false</o:LockedField>
                </o:OLEObject>
              </w:object>
            </w:r>
          </w:p>
        </w:tc>
        <w:tc>
          <w:tcPr>
            <w:tcW w:w="761" w:type="pct"/>
            <w:shd w:val="clear" w:color="auto" w:fill="auto"/>
            <w:vAlign w:val="center"/>
          </w:tcPr>
          <w:p w14:paraId="6667545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287" w:type="pct"/>
            <w:shd w:val="clear" w:color="auto" w:fill="auto"/>
            <w:vAlign w:val="center"/>
          </w:tcPr>
          <w:p w14:paraId="7E30857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888" w:type="pct"/>
            <w:shd w:val="clear" w:color="auto" w:fill="auto"/>
            <w:vAlign w:val="center"/>
          </w:tcPr>
          <w:p w14:paraId="4DBAED9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5B540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1363" w:type="pct"/>
            <w:shd w:val="clear" w:color="auto" w:fill="auto"/>
            <w:vAlign w:val="center"/>
          </w:tcPr>
          <w:p w14:paraId="10DA32F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1592" w:type="pct"/>
            <w:shd w:val="clear" w:color="auto" w:fill="auto"/>
            <w:vAlign w:val="center"/>
          </w:tcPr>
          <w:p w14:paraId="6D6FC7D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0.97</w:t>
            </w:r>
          </w:p>
        </w:tc>
        <w:tc>
          <w:tcPr>
            <w:tcW w:w="761" w:type="pct"/>
            <w:shd w:val="clear" w:color="auto" w:fill="auto"/>
            <w:vAlign w:val="center"/>
          </w:tcPr>
          <w:p w14:paraId="530C36A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2.94%</w:t>
            </w:r>
          </w:p>
        </w:tc>
        <w:tc>
          <w:tcPr>
            <w:tcW w:w="287" w:type="pct"/>
            <w:shd w:val="clear" w:color="auto" w:fill="auto"/>
            <w:vAlign w:val="center"/>
          </w:tcPr>
          <w:p w14:paraId="33854B7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33</w:t>
            </w:r>
          </w:p>
        </w:tc>
        <w:tc>
          <w:tcPr>
            <w:tcW w:w="888" w:type="pct"/>
            <w:shd w:val="clear" w:color="auto" w:fill="auto"/>
            <w:vAlign w:val="center"/>
          </w:tcPr>
          <w:p w14:paraId="4B85967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17.67%</w:t>
            </w:r>
          </w:p>
        </w:tc>
      </w:tr>
      <w:tr w14:paraId="46216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1363" w:type="pct"/>
            <w:shd w:val="clear" w:color="auto" w:fill="auto"/>
            <w:vAlign w:val="center"/>
          </w:tcPr>
          <w:p w14:paraId="11193F0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Disagree</w:t>
            </w:r>
          </w:p>
        </w:tc>
        <w:tc>
          <w:tcPr>
            <w:tcW w:w="1592" w:type="pct"/>
            <w:shd w:val="clear" w:color="auto" w:fill="auto"/>
            <w:vAlign w:val="center"/>
          </w:tcPr>
          <w:p w14:paraId="0F6953D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0.03</w:t>
            </w:r>
          </w:p>
        </w:tc>
        <w:tc>
          <w:tcPr>
            <w:tcW w:w="761" w:type="pct"/>
            <w:shd w:val="clear" w:color="auto" w:fill="auto"/>
            <w:vAlign w:val="center"/>
          </w:tcPr>
          <w:p w14:paraId="3C5206D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97.06%</w:t>
            </w:r>
          </w:p>
        </w:tc>
        <w:tc>
          <w:tcPr>
            <w:tcW w:w="287" w:type="pct"/>
            <w:shd w:val="clear" w:color="auto" w:fill="auto"/>
            <w:vAlign w:val="center"/>
          </w:tcPr>
          <w:p w14:paraId="64DE07F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w:t>
            </w:r>
          </w:p>
        </w:tc>
        <w:tc>
          <w:tcPr>
            <w:tcW w:w="888" w:type="pct"/>
            <w:shd w:val="clear" w:color="auto" w:fill="auto"/>
            <w:vAlign w:val="center"/>
          </w:tcPr>
          <w:p w14:paraId="465F237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583.10%</w:t>
            </w:r>
          </w:p>
        </w:tc>
      </w:tr>
    </w:tbl>
    <w:p w14:paraId="20F1E969">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lang w:eastAsia="zh-CN"/>
        </w:rPr>
        <w:t>2.</w:t>
      </w:r>
      <w:r>
        <w:rPr>
          <w:rFonts w:hint="default" w:ascii="Cambria" w:hAnsi="Cambria" w:eastAsia="仿宋" w:cs="Cambria"/>
          <w:b/>
          <w:bCs/>
          <w:szCs w:val="21"/>
        </w:rPr>
        <w:t>39 Survey results on revising “4.1.5 Acupoints”</w:t>
      </w:r>
    </w:p>
    <w:p w14:paraId="145A4AF2">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39 Survey results on revising “4.1.5 Acupoints”</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2380"/>
        <w:gridCol w:w="2781"/>
        <w:gridCol w:w="1538"/>
        <w:gridCol w:w="501"/>
        <w:gridCol w:w="1137"/>
      </w:tblGrid>
      <w:tr w14:paraId="4544C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1396" w:type="pct"/>
            <w:shd w:val="clear" w:color="auto" w:fill="auto"/>
            <w:vAlign w:val="center"/>
          </w:tcPr>
          <w:p w14:paraId="7BAB1B0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1631" w:type="pct"/>
            <w:shd w:val="clear" w:color="auto" w:fill="auto"/>
            <w:vAlign w:val="center"/>
          </w:tcPr>
          <w:p w14:paraId="7F8B46C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21"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21" DrawAspect="Content" ObjectID="_1468075821" r:id="rId112">
                  <o:LockedField>false</o:LockedField>
                </o:OLEObject>
              </w:object>
            </w:r>
          </w:p>
        </w:tc>
        <w:tc>
          <w:tcPr>
            <w:tcW w:w="902" w:type="pct"/>
            <w:shd w:val="clear" w:color="auto" w:fill="auto"/>
            <w:vAlign w:val="center"/>
          </w:tcPr>
          <w:p w14:paraId="106FE27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294" w:type="pct"/>
            <w:shd w:val="clear" w:color="auto" w:fill="auto"/>
            <w:vAlign w:val="center"/>
          </w:tcPr>
          <w:p w14:paraId="4E2F6FC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667" w:type="pct"/>
            <w:shd w:val="clear" w:color="auto" w:fill="auto"/>
            <w:vAlign w:val="center"/>
          </w:tcPr>
          <w:p w14:paraId="530D5F9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64468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96" w:type="pct"/>
            <w:shd w:val="clear" w:color="auto" w:fill="auto"/>
            <w:vAlign w:val="center"/>
          </w:tcPr>
          <w:p w14:paraId="187C9DA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1631" w:type="pct"/>
            <w:shd w:val="clear" w:color="auto" w:fill="auto"/>
            <w:vAlign w:val="center"/>
          </w:tcPr>
          <w:p w14:paraId="39BD1A9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1.00</w:t>
            </w:r>
          </w:p>
        </w:tc>
        <w:tc>
          <w:tcPr>
            <w:tcW w:w="902" w:type="pct"/>
            <w:shd w:val="clear" w:color="auto" w:fill="auto"/>
            <w:vAlign w:val="center"/>
          </w:tcPr>
          <w:p w14:paraId="3769B32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0.00%</w:t>
            </w:r>
          </w:p>
        </w:tc>
        <w:tc>
          <w:tcPr>
            <w:tcW w:w="294" w:type="pct"/>
            <w:shd w:val="clear" w:color="auto" w:fill="auto"/>
            <w:vAlign w:val="center"/>
          </w:tcPr>
          <w:p w14:paraId="4A56A81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34</w:t>
            </w:r>
          </w:p>
        </w:tc>
        <w:tc>
          <w:tcPr>
            <w:tcW w:w="667" w:type="pct"/>
            <w:shd w:val="clear" w:color="auto" w:fill="auto"/>
            <w:vAlign w:val="center"/>
          </w:tcPr>
          <w:p w14:paraId="59CB503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0.00%</w:t>
            </w:r>
          </w:p>
        </w:tc>
      </w:tr>
      <w:tr w14:paraId="0E9BB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96" w:type="pct"/>
            <w:shd w:val="clear" w:color="auto" w:fill="auto"/>
            <w:vAlign w:val="center"/>
          </w:tcPr>
          <w:p w14:paraId="49DB80F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Disagree</w:t>
            </w:r>
          </w:p>
        </w:tc>
        <w:tc>
          <w:tcPr>
            <w:tcW w:w="1631" w:type="pct"/>
            <w:shd w:val="clear" w:color="auto" w:fill="auto"/>
            <w:vAlign w:val="center"/>
          </w:tcPr>
          <w:p w14:paraId="7227619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0.00</w:t>
            </w:r>
          </w:p>
        </w:tc>
        <w:tc>
          <w:tcPr>
            <w:tcW w:w="902" w:type="pct"/>
            <w:shd w:val="clear" w:color="auto" w:fill="auto"/>
            <w:vAlign w:val="center"/>
          </w:tcPr>
          <w:p w14:paraId="3FABB88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100.00%</w:t>
            </w:r>
          </w:p>
        </w:tc>
        <w:tc>
          <w:tcPr>
            <w:tcW w:w="294" w:type="pct"/>
            <w:shd w:val="clear" w:color="auto" w:fill="auto"/>
            <w:vAlign w:val="center"/>
          </w:tcPr>
          <w:p w14:paraId="5DCA2C3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w:t>
            </w:r>
          </w:p>
        </w:tc>
        <w:tc>
          <w:tcPr>
            <w:tcW w:w="667" w:type="pct"/>
            <w:shd w:val="clear" w:color="auto" w:fill="auto"/>
            <w:vAlign w:val="center"/>
          </w:tcPr>
          <w:p w14:paraId="4442584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w:t>
            </w:r>
          </w:p>
        </w:tc>
      </w:tr>
    </w:tbl>
    <w:p w14:paraId="0C80DED8">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lang w:eastAsia="zh-CN"/>
        </w:rPr>
        <w:t>2.</w:t>
      </w:r>
      <w:r>
        <w:rPr>
          <w:rFonts w:hint="default" w:ascii="Cambria" w:hAnsi="Cambria" w:eastAsia="仿宋" w:cs="Cambria"/>
          <w:b/>
          <w:bCs/>
          <w:szCs w:val="21"/>
        </w:rPr>
        <w:t>40 Survey results on revising “4.2.1 Needle insertion methods”</w:t>
      </w:r>
    </w:p>
    <w:p w14:paraId="01405039">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40 Survey results on revising “4.2.1 Needle insertion methods”</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2380"/>
        <w:gridCol w:w="2781"/>
        <w:gridCol w:w="1538"/>
        <w:gridCol w:w="501"/>
        <w:gridCol w:w="1137"/>
      </w:tblGrid>
      <w:tr w14:paraId="719AF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1396" w:type="pct"/>
            <w:shd w:val="clear" w:color="auto" w:fill="auto"/>
            <w:vAlign w:val="center"/>
          </w:tcPr>
          <w:p w14:paraId="6809F24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1631" w:type="pct"/>
            <w:shd w:val="clear" w:color="auto" w:fill="auto"/>
            <w:vAlign w:val="center"/>
          </w:tcPr>
          <w:p w14:paraId="2FC7E03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22"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22" DrawAspect="Content" ObjectID="_1468075822" r:id="rId113">
                  <o:LockedField>false</o:LockedField>
                </o:OLEObject>
              </w:object>
            </w:r>
          </w:p>
        </w:tc>
        <w:tc>
          <w:tcPr>
            <w:tcW w:w="902" w:type="pct"/>
            <w:shd w:val="clear" w:color="auto" w:fill="auto"/>
            <w:vAlign w:val="center"/>
          </w:tcPr>
          <w:p w14:paraId="2C1C145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294" w:type="pct"/>
            <w:shd w:val="clear" w:color="auto" w:fill="auto"/>
            <w:vAlign w:val="center"/>
          </w:tcPr>
          <w:p w14:paraId="71A1A4C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667" w:type="pct"/>
            <w:shd w:val="clear" w:color="auto" w:fill="auto"/>
            <w:vAlign w:val="center"/>
          </w:tcPr>
          <w:p w14:paraId="4E706F2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383E3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96" w:type="pct"/>
            <w:shd w:val="clear" w:color="auto" w:fill="auto"/>
            <w:vAlign w:val="center"/>
          </w:tcPr>
          <w:p w14:paraId="5B932F5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1631" w:type="pct"/>
            <w:shd w:val="clear" w:color="auto" w:fill="auto"/>
            <w:vAlign w:val="center"/>
          </w:tcPr>
          <w:p w14:paraId="10C5585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1.00</w:t>
            </w:r>
          </w:p>
        </w:tc>
        <w:tc>
          <w:tcPr>
            <w:tcW w:w="902" w:type="pct"/>
            <w:shd w:val="clear" w:color="auto" w:fill="auto"/>
            <w:vAlign w:val="center"/>
          </w:tcPr>
          <w:p w14:paraId="6C6B42B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0.00%</w:t>
            </w:r>
          </w:p>
        </w:tc>
        <w:tc>
          <w:tcPr>
            <w:tcW w:w="294" w:type="pct"/>
            <w:shd w:val="clear" w:color="auto" w:fill="auto"/>
            <w:vAlign w:val="center"/>
          </w:tcPr>
          <w:p w14:paraId="4D548FF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34</w:t>
            </w:r>
          </w:p>
        </w:tc>
        <w:tc>
          <w:tcPr>
            <w:tcW w:w="667" w:type="pct"/>
            <w:shd w:val="clear" w:color="auto" w:fill="auto"/>
            <w:vAlign w:val="center"/>
          </w:tcPr>
          <w:p w14:paraId="201D2F1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0.00%</w:t>
            </w:r>
          </w:p>
        </w:tc>
      </w:tr>
      <w:tr w14:paraId="1D96C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96" w:type="pct"/>
            <w:shd w:val="clear" w:color="auto" w:fill="auto"/>
            <w:vAlign w:val="center"/>
          </w:tcPr>
          <w:p w14:paraId="5997F5E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Disagree</w:t>
            </w:r>
          </w:p>
        </w:tc>
        <w:tc>
          <w:tcPr>
            <w:tcW w:w="1631" w:type="pct"/>
            <w:shd w:val="clear" w:color="auto" w:fill="auto"/>
            <w:vAlign w:val="center"/>
          </w:tcPr>
          <w:p w14:paraId="58F10D2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0.00</w:t>
            </w:r>
          </w:p>
        </w:tc>
        <w:tc>
          <w:tcPr>
            <w:tcW w:w="902" w:type="pct"/>
            <w:shd w:val="clear" w:color="auto" w:fill="auto"/>
            <w:vAlign w:val="center"/>
          </w:tcPr>
          <w:p w14:paraId="77BC016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100.00%</w:t>
            </w:r>
          </w:p>
        </w:tc>
        <w:tc>
          <w:tcPr>
            <w:tcW w:w="294" w:type="pct"/>
            <w:shd w:val="clear" w:color="auto" w:fill="auto"/>
            <w:vAlign w:val="center"/>
          </w:tcPr>
          <w:p w14:paraId="1446F55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w:t>
            </w:r>
          </w:p>
        </w:tc>
        <w:tc>
          <w:tcPr>
            <w:tcW w:w="667" w:type="pct"/>
            <w:shd w:val="clear" w:color="auto" w:fill="auto"/>
            <w:vAlign w:val="center"/>
          </w:tcPr>
          <w:p w14:paraId="67D2D5F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w:t>
            </w:r>
          </w:p>
        </w:tc>
      </w:tr>
    </w:tbl>
    <w:p w14:paraId="6868CB0C">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lang w:eastAsia="zh-CN"/>
        </w:rPr>
        <w:t>2.</w:t>
      </w:r>
      <w:r>
        <w:rPr>
          <w:rFonts w:hint="default" w:ascii="Cambria" w:hAnsi="Cambria" w:eastAsia="仿宋" w:cs="Cambria"/>
          <w:b/>
          <w:bCs/>
          <w:szCs w:val="21"/>
        </w:rPr>
        <w:t>41 Survey results on revising “4.2.1.2.5 Needle-tube insertion method”</w:t>
      </w:r>
    </w:p>
    <w:p w14:paraId="573DB84C">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41 Survey results on revising “4.2.1.2.5 Needle-tube insertion method”</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2323"/>
        <w:gridCol w:w="2714"/>
        <w:gridCol w:w="1297"/>
        <w:gridCol w:w="489"/>
        <w:gridCol w:w="1514"/>
      </w:tblGrid>
      <w:tr w14:paraId="1E56A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1363" w:type="pct"/>
            <w:shd w:val="clear" w:color="auto" w:fill="auto"/>
            <w:vAlign w:val="center"/>
          </w:tcPr>
          <w:p w14:paraId="6639375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1592" w:type="pct"/>
            <w:shd w:val="clear" w:color="auto" w:fill="auto"/>
            <w:vAlign w:val="center"/>
          </w:tcPr>
          <w:p w14:paraId="5F166BE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23"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23" DrawAspect="Content" ObjectID="_1468075823" r:id="rId114">
                  <o:LockedField>false</o:LockedField>
                </o:OLEObject>
              </w:object>
            </w:r>
          </w:p>
        </w:tc>
        <w:tc>
          <w:tcPr>
            <w:tcW w:w="761" w:type="pct"/>
            <w:shd w:val="clear" w:color="auto" w:fill="auto"/>
            <w:vAlign w:val="center"/>
          </w:tcPr>
          <w:p w14:paraId="5529B49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287" w:type="pct"/>
            <w:shd w:val="clear" w:color="auto" w:fill="auto"/>
            <w:vAlign w:val="center"/>
          </w:tcPr>
          <w:p w14:paraId="3EA154A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888" w:type="pct"/>
            <w:shd w:val="clear" w:color="auto" w:fill="auto"/>
            <w:vAlign w:val="center"/>
          </w:tcPr>
          <w:p w14:paraId="09091DA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69312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63" w:type="pct"/>
            <w:shd w:val="clear" w:color="auto" w:fill="auto"/>
            <w:vAlign w:val="center"/>
          </w:tcPr>
          <w:p w14:paraId="4A21F8D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1592" w:type="pct"/>
            <w:shd w:val="clear" w:color="auto" w:fill="auto"/>
            <w:vAlign w:val="center"/>
          </w:tcPr>
          <w:p w14:paraId="331D92F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0.97</w:t>
            </w:r>
          </w:p>
        </w:tc>
        <w:tc>
          <w:tcPr>
            <w:tcW w:w="761" w:type="pct"/>
            <w:shd w:val="clear" w:color="auto" w:fill="auto"/>
            <w:vAlign w:val="center"/>
          </w:tcPr>
          <w:p w14:paraId="4207B9B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2.94%</w:t>
            </w:r>
          </w:p>
        </w:tc>
        <w:tc>
          <w:tcPr>
            <w:tcW w:w="287" w:type="pct"/>
            <w:shd w:val="clear" w:color="auto" w:fill="auto"/>
            <w:vAlign w:val="center"/>
          </w:tcPr>
          <w:p w14:paraId="4672FA4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33</w:t>
            </w:r>
          </w:p>
        </w:tc>
        <w:tc>
          <w:tcPr>
            <w:tcW w:w="888" w:type="pct"/>
            <w:shd w:val="clear" w:color="auto" w:fill="auto"/>
            <w:vAlign w:val="center"/>
          </w:tcPr>
          <w:p w14:paraId="5E707E5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17.67%</w:t>
            </w:r>
          </w:p>
        </w:tc>
      </w:tr>
      <w:tr w14:paraId="37B2B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1363" w:type="pct"/>
            <w:shd w:val="clear" w:color="auto" w:fill="auto"/>
            <w:vAlign w:val="center"/>
          </w:tcPr>
          <w:p w14:paraId="43B0518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Disagree</w:t>
            </w:r>
          </w:p>
        </w:tc>
        <w:tc>
          <w:tcPr>
            <w:tcW w:w="1592" w:type="pct"/>
            <w:shd w:val="clear" w:color="auto" w:fill="auto"/>
            <w:vAlign w:val="center"/>
          </w:tcPr>
          <w:p w14:paraId="366F6EF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0.03</w:t>
            </w:r>
          </w:p>
        </w:tc>
        <w:tc>
          <w:tcPr>
            <w:tcW w:w="761" w:type="pct"/>
            <w:shd w:val="clear" w:color="auto" w:fill="auto"/>
            <w:vAlign w:val="center"/>
          </w:tcPr>
          <w:p w14:paraId="6E6BE57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97.06%</w:t>
            </w:r>
          </w:p>
        </w:tc>
        <w:tc>
          <w:tcPr>
            <w:tcW w:w="287" w:type="pct"/>
            <w:shd w:val="clear" w:color="auto" w:fill="auto"/>
            <w:vAlign w:val="center"/>
          </w:tcPr>
          <w:p w14:paraId="3A4F476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w:t>
            </w:r>
          </w:p>
        </w:tc>
        <w:tc>
          <w:tcPr>
            <w:tcW w:w="888" w:type="pct"/>
            <w:shd w:val="clear" w:color="auto" w:fill="auto"/>
            <w:vAlign w:val="center"/>
          </w:tcPr>
          <w:p w14:paraId="36702A6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583.10%</w:t>
            </w:r>
          </w:p>
        </w:tc>
      </w:tr>
    </w:tbl>
    <w:p w14:paraId="4E79C088">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lang w:eastAsia="zh-CN"/>
        </w:rPr>
        <w:t>2.</w:t>
      </w:r>
      <w:r>
        <w:rPr>
          <w:rFonts w:hint="default" w:ascii="Cambria" w:hAnsi="Cambria" w:eastAsia="仿宋" w:cs="Cambria"/>
          <w:b/>
          <w:bCs/>
          <w:szCs w:val="21"/>
        </w:rPr>
        <w:t>42 Survey results on revising “5.1.2.1 Needles”</w:t>
      </w:r>
    </w:p>
    <w:p w14:paraId="76E70813">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42 Survey results on revising “5.1.2.1 Needles”</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071"/>
        <w:gridCol w:w="426"/>
        <w:gridCol w:w="730"/>
        <w:gridCol w:w="267"/>
        <w:gridCol w:w="846"/>
      </w:tblGrid>
      <w:tr w14:paraId="34353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528EAED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0" w:type="auto"/>
            <w:shd w:val="clear" w:color="auto" w:fill="auto"/>
            <w:vAlign w:val="center"/>
          </w:tcPr>
          <w:p w14:paraId="17CC8C3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24"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24" DrawAspect="Content" ObjectID="_1468075824" r:id="rId115">
                  <o:LockedField>false</o:LockedField>
                </o:OLEObject>
              </w:object>
            </w:r>
          </w:p>
        </w:tc>
        <w:tc>
          <w:tcPr>
            <w:tcW w:w="0" w:type="auto"/>
            <w:shd w:val="clear" w:color="auto" w:fill="auto"/>
            <w:vAlign w:val="center"/>
          </w:tcPr>
          <w:p w14:paraId="3DBEA5B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0" w:type="auto"/>
            <w:shd w:val="clear" w:color="auto" w:fill="auto"/>
            <w:vAlign w:val="center"/>
          </w:tcPr>
          <w:p w14:paraId="51351CD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0" w:type="auto"/>
            <w:shd w:val="clear" w:color="auto" w:fill="auto"/>
            <w:vAlign w:val="center"/>
          </w:tcPr>
          <w:p w14:paraId="294BCD5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26CDA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58184EB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Disposable three-edge needles should be selected; disposable blood lancets or sterile injection needles may also be used.</w:t>
            </w:r>
          </w:p>
        </w:tc>
        <w:tc>
          <w:tcPr>
            <w:tcW w:w="0" w:type="auto"/>
            <w:shd w:val="clear" w:color="auto" w:fill="auto"/>
            <w:vAlign w:val="center"/>
          </w:tcPr>
          <w:p w14:paraId="6929084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0.76</w:t>
            </w:r>
          </w:p>
        </w:tc>
        <w:tc>
          <w:tcPr>
            <w:tcW w:w="0" w:type="auto"/>
            <w:shd w:val="clear" w:color="auto" w:fill="auto"/>
            <w:vAlign w:val="center"/>
          </w:tcPr>
          <w:p w14:paraId="7F90656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23.53%</w:t>
            </w:r>
          </w:p>
        </w:tc>
        <w:tc>
          <w:tcPr>
            <w:tcW w:w="0" w:type="auto"/>
            <w:shd w:val="clear" w:color="auto" w:fill="auto"/>
            <w:vAlign w:val="center"/>
          </w:tcPr>
          <w:p w14:paraId="09D97D0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25</w:t>
            </w:r>
          </w:p>
        </w:tc>
        <w:tc>
          <w:tcPr>
            <w:tcW w:w="0" w:type="auto"/>
            <w:shd w:val="clear" w:color="auto" w:fill="auto"/>
            <w:vAlign w:val="center"/>
          </w:tcPr>
          <w:p w14:paraId="3D5756A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59.11%</w:t>
            </w:r>
          </w:p>
        </w:tc>
      </w:tr>
      <w:tr w14:paraId="690C3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16197E8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standard.</w:t>
            </w:r>
          </w:p>
        </w:tc>
        <w:tc>
          <w:tcPr>
            <w:tcW w:w="0" w:type="auto"/>
            <w:shd w:val="clear" w:color="auto" w:fill="auto"/>
            <w:vAlign w:val="center"/>
          </w:tcPr>
          <w:p w14:paraId="7272FE2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0.24</w:t>
            </w:r>
          </w:p>
        </w:tc>
        <w:tc>
          <w:tcPr>
            <w:tcW w:w="0" w:type="auto"/>
            <w:shd w:val="clear" w:color="auto" w:fill="auto"/>
            <w:vAlign w:val="center"/>
          </w:tcPr>
          <w:p w14:paraId="1DA0123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73.53%</w:t>
            </w:r>
          </w:p>
        </w:tc>
        <w:tc>
          <w:tcPr>
            <w:tcW w:w="0" w:type="auto"/>
            <w:shd w:val="clear" w:color="auto" w:fill="auto"/>
            <w:vAlign w:val="center"/>
          </w:tcPr>
          <w:p w14:paraId="7FB1520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8</w:t>
            </w:r>
          </w:p>
        </w:tc>
        <w:tc>
          <w:tcPr>
            <w:tcW w:w="0" w:type="auto"/>
            <w:shd w:val="clear" w:color="auto" w:fill="auto"/>
            <w:vAlign w:val="center"/>
          </w:tcPr>
          <w:p w14:paraId="177E9C1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177.61%</w:t>
            </w:r>
          </w:p>
        </w:tc>
      </w:tr>
    </w:tbl>
    <w:p w14:paraId="488AD5F5">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lang w:eastAsia="zh-CN"/>
        </w:rPr>
        <w:t>2.</w:t>
      </w:r>
      <w:r>
        <w:rPr>
          <w:rFonts w:hint="default" w:ascii="Cambria" w:hAnsi="Cambria" w:eastAsia="仿宋" w:cs="Cambria"/>
          <w:b/>
          <w:bCs/>
          <w:szCs w:val="21"/>
        </w:rPr>
        <w:t>43 Survey results on revising “6.1.5 Acupoints”</w:t>
      </w:r>
    </w:p>
    <w:p w14:paraId="2368C11E">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43 Survey results on revising “6.1.5 Acupoints”</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2380"/>
        <w:gridCol w:w="2781"/>
        <w:gridCol w:w="1538"/>
        <w:gridCol w:w="501"/>
        <w:gridCol w:w="1137"/>
      </w:tblGrid>
      <w:tr w14:paraId="2D44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1396" w:type="pct"/>
            <w:shd w:val="clear" w:color="auto" w:fill="auto"/>
            <w:vAlign w:val="center"/>
          </w:tcPr>
          <w:p w14:paraId="079A7AD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1631" w:type="pct"/>
            <w:shd w:val="clear" w:color="auto" w:fill="auto"/>
            <w:vAlign w:val="center"/>
          </w:tcPr>
          <w:p w14:paraId="4E93066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25"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25" DrawAspect="Content" ObjectID="_1468075825" r:id="rId116">
                  <o:LockedField>false</o:LockedField>
                </o:OLEObject>
              </w:object>
            </w:r>
          </w:p>
        </w:tc>
        <w:tc>
          <w:tcPr>
            <w:tcW w:w="902" w:type="pct"/>
            <w:shd w:val="clear" w:color="auto" w:fill="auto"/>
            <w:vAlign w:val="center"/>
          </w:tcPr>
          <w:p w14:paraId="76F382D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294" w:type="pct"/>
            <w:shd w:val="clear" w:color="auto" w:fill="auto"/>
            <w:vAlign w:val="center"/>
          </w:tcPr>
          <w:p w14:paraId="3BCD1C9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667" w:type="pct"/>
            <w:shd w:val="clear" w:color="auto" w:fill="auto"/>
            <w:vAlign w:val="center"/>
          </w:tcPr>
          <w:p w14:paraId="5D4BFBD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70E07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96" w:type="pct"/>
            <w:shd w:val="clear" w:color="auto" w:fill="auto"/>
            <w:vAlign w:val="center"/>
          </w:tcPr>
          <w:p w14:paraId="4322EC1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1631" w:type="pct"/>
            <w:shd w:val="clear" w:color="auto" w:fill="auto"/>
            <w:vAlign w:val="center"/>
          </w:tcPr>
          <w:p w14:paraId="0932BB1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1.00</w:t>
            </w:r>
          </w:p>
        </w:tc>
        <w:tc>
          <w:tcPr>
            <w:tcW w:w="902" w:type="pct"/>
            <w:shd w:val="clear" w:color="auto" w:fill="auto"/>
            <w:vAlign w:val="center"/>
          </w:tcPr>
          <w:p w14:paraId="156035D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0.00%</w:t>
            </w:r>
          </w:p>
        </w:tc>
        <w:tc>
          <w:tcPr>
            <w:tcW w:w="294" w:type="pct"/>
            <w:shd w:val="clear" w:color="auto" w:fill="auto"/>
            <w:vAlign w:val="center"/>
          </w:tcPr>
          <w:p w14:paraId="3746A0F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34</w:t>
            </w:r>
          </w:p>
        </w:tc>
        <w:tc>
          <w:tcPr>
            <w:tcW w:w="667" w:type="pct"/>
            <w:shd w:val="clear" w:color="auto" w:fill="auto"/>
            <w:vAlign w:val="center"/>
          </w:tcPr>
          <w:p w14:paraId="6793FE0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0.00%</w:t>
            </w:r>
          </w:p>
        </w:tc>
      </w:tr>
      <w:tr w14:paraId="2581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96" w:type="pct"/>
            <w:shd w:val="clear" w:color="auto" w:fill="auto"/>
            <w:vAlign w:val="center"/>
          </w:tcPr>
          <w:p w14:paraId="77CC0F4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Disagree</w:t>
            </w:r>
          </w:p>
        </w:tc>
        <w:tc>
          <w:tcPr>
            <w:tcW w:w="1631" w:type="pct"/>
            <w:shd w:val="clear" w:color="auto" w:fill="auto"/>
            <w:vAlign w:val="center"/>
          </w:tcPr>
          <w:p w14:paraId="592EF0E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0.00</w:t>
            </w:r>
          </w:p>
        </w:tc>
        <w:tc>
          <w:tcPr>
            <w:tcW w:w="902" w:type="pct"/>
            <w:shd w:val="clear" w:color="auto" w:fill="auto"/>
            <w:vAlign w:val="center"/>
          </w:tcPr>
          <w:p w14:paraId="1EEA5CD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100.00%</w:t>
            </w:r>
          </w:p>
        </w:tc>
        <w:tc>
          <w:tcPr>
            <w:tcW w:w="294" w:type="pct"/>
            <w:shd w:val="clear" w:color="auto" w:fill="auto"/>
            <w:vAlign w:val="center"/>
          </w:tcPr>
          <w:p w14:paraId="743FE4F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w:t>
            </w:r>
          </w:p>
        </w:tc>
        <w:tc>
          <w:tcPr>
            <w:tcW w:w="667" w:type="pct"/>
            <w:shd w:val="clear" w:color="auto" w:fill="auto"/>
            <w:vAlign w:val="center"/>
          </w:tcPr>
          <w:p w14:paraId="530D4A9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w:t>
            </w:r>
          </w:p>
        </w:tc>
      </w:tr>
    </w:tbl>
    <w:p w14:paraId="77E644E0">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lang w:eastAsia="zh-CN"/>
        </w:rPr>
        <w:t>2.</w:t>
      </w:r>
      <w:r>
        <w:rPr>
          <w:rFonts w:hint="default" w:ascii="Cambria" w:hAnsi="Cambria" w:eastAsia="仿宋" w:cs="Cambria"/>
          <w:b/>
          <w:bCs/>
          <w:szCs w:val="21"/>
        </w:rPr>
        <w:t>44 Survey results on revising “6.3 Post-procedural management”</w:t>
      </w:r>
    </w:p>
    <w:p w14:paraId="7511B3E0">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44 Survey results on revising “6.3 Post-procedural management”</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2323"/>
        <w:gridCol w:w="2714"/>
        <w:gridCol w:w="1297"/>
        <w:gridCol w:w="489"/>
        <w:gridCol w:w="1514"/>
      </w:tblGrid>
      <w:tr w14:paraId="6F46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1363" w:type="pct"/>
            <w:shd w:val="clear" w:color="auto" w:fill="auto"/>
            <w:vAlign w:val="center"/>
          </w:tcPr>
          <w:p w14:paraId="43D6D1C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1592" w:type="pct"/>
            <w:shd w:val="clear" w:color="auto" w:fill="auto"/>
            <w:vAlign w:val="center"/>
          </w:tcPr>
          <w:p w14:paraId="0862A5D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26"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26" DrawAspect="Content" ObjectID="_1468075826" r:id="rId117">
                  <o:LockedField>false</o:LockedField>
                </o:OLEObject>
              </w:object>
            </w:r>
          </w:p>
        </w:tc>
        <w:tc>
          <w:tcPr>
            <w:tcW w:w="761" w:type="pct"/>
            <w:shd w:val="clear" w:color="auto" w:fill="auto"/>
            <w:vAlign w:val="center"/>
          </w:tcPr>
          <w:p w14:paraId="106DA22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287" w:type="pct"/>
            <w:shd w:val="clear" w:color="auto" w:fill="auto"/>
            <w:vAlign w:val="center"/>
          </w:tcPr>
          <w:p w14:paraId="467CB4B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888" w:type="pct"/>
            <w:shd w:val="clear" w:color="auto" w:fill="auto"/>
            <w:vAlign w:val="center"/>
          </w:tcPr>
          <w:p w14:paraId="3ABAD89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4BD8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63" w:type="pct"/>
            <w:shd w:val="clear" w:color="auto" w:fill="auto"/>
            <w:vAlign w:val="center"/>
          </w:tcPr>
          <w:p w14:paraId="3C221B8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1592" w:type="pct"/>
            <w:shd w:val="clear" w:color="auto" w:fill="auto"/>
            <w:vAlign w:val="center"/>
          </w:tcPr>
          <w:p w14:paraId="0F56766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0.94</w:t>
            </w:r>
          </w:p>
        </w:tc>
        <w:tc>
          <w:tcPr>
            <w:tcW w:w="761" w:type="pct"/>
            <w:shd w:val="clear" w:color="auto" w:fill="auto"/>
            <w:vAlign w:val="center"/>
          </w:tcPr>
          <w:p w14:paraId="71391FC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5.88%</w:t>
            </w:r>
          </w:p>
        </w:tc>
        <w:tc>
          <w:tcPr>
            <w:tcW w:w="287" w:type="pct"/>
            <w:shd w:val="clear" w:color="auto" w:fill="auto"/>
            <w:vAlign w:val="center"/>
          </w:tcPr>
          <w:p w14:paraId="64DC167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31</w:t>
            </w:r>
          </w:p>
        </w:tc>
        <w:tc>
          <w:tcPr>
            <w:tcW w:w="888" w:type="pct"/>
            <w:shd w:val="clear" w:color="auto" w:fill="auto"/>
            <w:vAlign w:val="center"/>
          </w:tcPr>
          <w:p w14:paraId="2895462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30.65%</w:t>
            </w:r>
          </w:p>
        </w:tc>
      </w:tr>
      <w:tr w14:paraId="03E53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63" w:type="pct"/>
            <w:shd w:val="clear" w:color="auto" w:fill="auto"/>
            <w:vAlign w:val="center"/>
          </w:tcPr>
          <w:p w14:paraId="53FB51B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Disagree</w:t>
            </w:r>
          </w:p>
        </w:tc>
        <w:tc>
          <w:tcPr>
            <w:tcW w:w="1592" w:type="pct"/>
            <w:shd w:val="clear" w:color="auto" w:fill="auto"/>
            <w:vAlign w:val="center"/>
          </w:tcPr>
          <w:p w14:paraId="217894F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0.06</w:t>
            </w:r>
          </w:p>
        </w:tc>
        <w:tc>
          <w:tcPr>
            <w:tcW w:w="761" w:type="pct"/>
            <w:shd w:val="clear" w:color="auto" w:fill="auto"/>
            <w:vAlign w:val="center"/>
          </w:tcPr>
          <w:p w14:paraId="501BB03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91.18%</w:t>
            </w:r>
          </w:p>
        </w:tc>
        <w:tc>
          <w:tcPr>
            <w:tcW w:w="287" w:type="pct"/>
            <w:shd w:val="clear" w:color="auto" w:fill="auto"/>
            <w:vAlign w:val="center"/>
          </w:tcPr>
          <w:p w14:paraId="08A84C9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w:t>
            </w:r>
          </w:p>
        </w:tc>
        <w:tc>
          <w:tcPr>
            <w:tcW w:w="888" w:type="pct"/>
            <w:shd w:val="clear" w:color="auto" w:fill="auto"/>
            <w:vAlign w:val="center"/>
          </w:tcPr>
          <w:p w14:paraId="2846714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394.07%</w:t>
            </w:r>
          </w:p>
        </w:tc>
      </w:tr>
    </w:tbl>
    <w:p w14:paraId="1CBA08C7">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lang w:eastAsia="zh-CN"/>
        </w:rPr>
        <w:t>2.</w:t>
      </w:r>
      <w:r>
        <w:rPr>
          <w:rFonts w:hint="default" w:ascii="Cambria" w:hAnsi="Cambria" w:eastAsia="仿宋" w:cs="Cambria"/>
          <w:b/>
          <w:bCs/>
          <w:szCs w:val="21"/>
        </w:rPr>
        <w:t>45 Survey results on adding a description of mild moxibustion to “7.2.1.1 Suspended moxibustion”</w:t>
      </w:r>
    </w:p>
    <w:p w14:paraId="5D56B58E">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45 Survey results on adding a description of mild moxibustion to “7.2.1.1 Suspended moxibustion”</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2323"/>
        <w:gridCol w:w="2714"/>
        <w:gridCol w:w="1297"/>
        <w:gridCol w:w="489"/>
        <w:gridCol w:w="1514"/>
      </w:tblGrid>
      <w:tr w14:paraId="25FF5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1363" w:type="pct"/>
            <w:shd w:val="clear" w:color="auto" w:fill="auto"/>
            <w:vAlign w:val="center"/>
          </w:tcPr>
          <w:p w14:paraId="741A30C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1592" w:type="pct"/>
            <w:shd w:val="clear" w:color="auto" w:fill="auto"/>
            <w:vAlign w:val="center"/>
          </w:tcPr>
          <w:p w14:paraId="6FB591A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27"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27" DrawAspect="Content" ObjectID="_1468075827" r:id="rId118">
                  <o:LockedField>false</o:LockedField>
                </o:OLEObject>
              </w:object>
            </w:r>
          </w:p>
        </w:tc>
        <w:tc>
          <w:tcPr>
            <w:tcW w:w="761" w:type="pct"/>
            <w:shd w:val="clear" w:color="auto" w:fill="auto"/>
            <w:vAlign w:val="center"/>
          </w:tcPr>
          <w:p w14:paraId="191B3B1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287" w:type="pct"/>
            <w:shd w:val="clear" w:color="auto" w:fill="auto"/>
            <w:vAlign w:val="center"/>
          </w:tcPr>
          <w:p w14:paraId="5F269BA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888" w:type="pct"/>
            <w:shd w:val="clear" w:color="auto" w:fill="auto"/>
            <w:vAlign w:val="center"/>
          </w:tcPr>
          <w:p w14:paraId="3D9255C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303A4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63" w:type="pct"/>
            <w:shd w:val="clear" w:color="auto" w:fill="auto"/>
            <w:vAlign w:val="center"/>
          </w:tcPr>
          <w:p w14:paraId="34F27B0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1592" w:type="pct"/>
            <w:shd w:val="clear" w:color="auto" w:fill="auto"/>
            <w:vAlign w:val="center"/>
          </w:tcPr>
          <w:p w14:paraId="42B03E4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0.97</w:t>
            </w:r>
          </w:p>
        </w:tc>
        <w:tc>
          <w:tcPr>
            <w:tcW w:w="761" w:type="pct"/>
            <w:shd w:val="clear" w:color="auto" w:fill="auto"/>
            <w:vAlign w:val="center"/>
          </w:tcPr>
          <w:p w14:paraId="1991116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2.94%</w:t>
            </w:r>
          </w:p>
        </w:tc>
        <w:tc>
          <w:tcPr>
            <w:tcW w:w="287" w:type="pct"/>
            <w:shd w:val="clear" w:color="auto" w:fill="auto"/>
            <w:vAlign w:val="center"/>
          </w:tcPr>
          <w:p w14:paraId="7368486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33</w:t>
            </w:r>
          </w:p>
        </w:tc>
        <w:tc>
          <w:tcPr>
            <w:tcW w:w="888" w:type="pct"/>
            <w:shd w:val="clear" w:color="auto" w:fill="auto"/>
            <w:vAlign w:val="center"/>
          </w:tcPr>
          <w:p w14:paraId="5C37F93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17.67%</w:t>
            </w:r>
          </w:p>
        </w:tc>
      </w:tr>
      <w:tr w14:paraId="700DC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1363" w:type="pct"/>
            <w:shd w:val="clear" w:color="auto" w:fill="auto"/>
            <w:vAlign w:val="center"/>
          </w:tcPr>
          <w:p w14:paraId="43DB2F8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Disagree</w:t>
            </w:r>
          </w:p>
        </w:tc>
        <w:tc>
          <w:tcPr>
            <w:tcW w:w="1592" w:type="pct"/>
            <w:shd w:val="clear" w:color="auto" w:fill="auto"/>
            <w:vAlign w:val="center"/>
          </w:tcPr>
          <w:p w14:paraId="2028C78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0.03</w:t>
            </w:r>
          </w:p>
        </w:tc>
        <w:tc>
          <w:tcPr>
            <w:tcW w:w="761" w:type="pct"/>
            <w:shd w:val="clear" w:color="auto" w:fill="auto"/>
            <w:vAlign w:val="center"/>
          </w:tcPr>
          <w:p w14:paraId="7344802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97.06%</w:t>
            </w:r>
          </w:p>
        </w:tc>
        <w:tc>
          <w:tcPr>
            <w:tcW w:w="287" w:type="pct"/>
            <w:shd w:val="clear" w:color="auto" w:fill="auto"/>
            <w:vAlign w:val="center"/>
          </w:tcPr>
          <w:p w14:paraId="28F14E0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w:t>
            </w:r>
          </w:p>
        </w:tc>
        <w:tc>
          <w:tcPr>
            <w:tcW w:w="888" w:type="pct"/>
            <w:shd w:val="clear" w:color="auto" w:fill="auto"/>
            <w:vAlign w:val="center"/>
          </w:tcPr>
          <w:p w14:paraId="26AB23E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583.10%</w:t>
            </w:r>
          </w:p>
        </w:tc>
      </w:tr>
    </w:tbl>
    <w:p w14:paraId="4FF4EC84">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lang w:eastAsia="zh-CN"/>
        </w:rPr>
        <w:t>2.</w:t>
      </w:r>
      <w:r>
        <w:rPr>
          <w:rFonts w:hint="default" w:ascii="Cambria" w:hAnsi="Cambria" w:eastAsia="仿宋" w:cs="Cambria"/>
          <w:b/>
          <w:bCs/>
          <w:szCs w:val="21"/>
        </w:rPr>
        <w:t>46 Survey results on adding details of moxibustion operation to “7.2.1.1 Suspended moxibustion”</w:t>
      </w:r>
    </w:p>
    <w:p w14:paraId="3D3660D9">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46 Survey results on adding details of moxibustion operation to “7.2.1.1 Suspended moxibustion”</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2323"/>
        <w:gridCol w:w="2714"/>
        <w:gridCol w:w="1297"/>
        <w:gridCol w:w="489"/>
        <w:gridCol w:w="1514"/>
      </w:tblGrid>
      <w:tr w14:paraId="29AD9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1363" w:type="pct"/>
            <w:shd w:val="clear" w:color="auto" w:fill="auto"/>
            <w:vAlign w:val="center"/>
          </w:tcPr>
          <w:p w14:paraId="03B1BC2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1592" w:type="pct"/>
            <w:shd w:val="clear" w:color="auto" w:fill="auto"/>
            <w:vAlign w:val="center"/>
          </w:tcPr>
          <w:p w14:paraId="4BE5D5C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28"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28" DrawAspect="Content" ObjectID="_1468075828" r:id="rId119">
                  <o:LockedField>false</o:LockedField>
                </o:OLEObject>
              </w:object>
            </w:r>
          </w:p>
        </w:tc>
        <w:tc>
          <w:tcPr>
            <w:tcW w:w="761" w:type="pct"/>
            <w:shd w:val="clear" w:color="auto" w:fill="auto"/>
            <w:vAlign w:val="center"/>
          </w:tcPr>
          <w:p w14:paraId="5F722C5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287" w:type="pct"/>
            <w:shd w:val="clear" w:color="auto" w:fill="auto"/>
            <w:vAlign w:val="center"/>
          </w:tcPr>
          <w:p w14:paraId="7611C20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888" w:type="pct"/>
            <w:shd w:val="clear" w:color="auto" w:fill="auto"/>
            <w:vAlign w:val="center"/>
          </w:tcPr>
          <w:p w14:paraId="62F8F36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32532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63" w:type="pct"/>
            <w:shd w:val="clear" w:color="auto" w:fill="auto"/>
            <w:vAlign w:val="center"/>
          </w:tcPr>
          <w:p w14:paraId="6577DE5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1592" w:type="pct"/>
            <w:shd w:val="clear" w:color="auto" w:fill="auto"/>
            <w:vAlign w:val="center"/>
          </w:tcPr>
          <w:p w14:paraId="3A5418E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0.97</w:t>
            </w:r>
          </w:p>
        </w:tc>
        <w:tc>
          <w:tcPr>
            <w:tcW w:w="761" w:type="pct"/>
            <w:shd w:val="clear" w:color="auto" w:fill="auto"/>
            <w:vAlign w:val="center"/>
          </w:tcPr>
          <w:p w14:paraId="4B63047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2.94%</w:t>
            </w:r>
          </w:p>
        </w:tc>
        <w:tc>
          <w:tcPr>
            <w:tcW w:w="287" w:type="pct"/>
            <w:shd w:val="clear" w:color="auto" w:fill="auto"/>
            <w:vAlign w:val="center"/>
          </w:tcPr>
          <w:p w14:paraId="5A2EB4D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33</w:t>
            </w:r>
          </w:p>
        </w:tc>
        <w:tc>
          <w:tcPr>
            <w:tcW w:w="888" w:type="pct"/>
            <w:shd w:val="clear" w:color="auto" w:fill="auto"/>
            <w:vAlign w:val="center"/>
          </w:tcPr>
          <w:p w14:paraId="1F20C3D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17.67%</w:t>
            </w:r>
          </w:p>
        </w:tc>
      </w:tr>
      <w:tr w14:paraId="2C6E5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63" w:type="pct"/>
            <w:shd w:val="clear" w:color="auto" w:fill="auto"/>
            <w:vAlign w:val="center"/>
          </w:tcPr>
          <w:p w14:paraId="4B75B6B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Disagree</w:t>
            </w:r>
          </w:p>
        </w:tc>
        <w:tc>
          <w:tcPr>
            <w:tcW w:w="1592" w:type="pct"/>
            <w:shd w:val="clear" w:color="auto" w:fill="auto"/>
            <w:vAlign w:val="center"/>
          </w:tcPr>
          <w:p w14:paraId="2A17CE6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0.03</w:t>
            </w:r>
          </w:p>
        </w:tc>
        <w:tc>
          <w:tcPr>
            <w:tcW w:w="761" w:type="pct"/>
            <w:shd w:val="clear" w:color="auto" w:fill="auto"/>
            <w:vAlign w:val="center"/>
          </w:tcPr>
          <w:p w14:paraId="07E4756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97.06%</w:t>
            </w:r>
          </w:p>
        </w:tc>
        <w:tc>
          <w:tcPr>
            <w:tcW w:w="287" w:type="pct"/>
            <w:shd w:val="clear" w:color="auto" w:fill="auto"/>
            <w:vAlign w:val="center"/>
          </w:tcPr>
          <w:p w14:paraId="4388F30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w:t>
            </w:r>
          </w:p>
        </w:tc>
        <w:tc>
          <w:tcPr>
            <w:tcW w:w="888" w:type="pct"/>
            <w:shd w:val="clear" w:color="auto" w:fill="auto"/>
            <w:vAlign w:val="center"/>
          </w:tcPr>
          <w:p w14:paraId="7D46EFB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583.10%</w:t>
            </w:r>
          </w:p>
        </w:tc>
      </w:tr>
    </w:tbl>
    <w:p w14:paraId="15F0D59A">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lang w:eastAsia="zh-CN"/>
        </w:rPr>
        <w:t>2.</w:t>
      </w:r>
      <w:r>
        <w:rPr>
          <w:rFonts w:hint="default" w:ascii="Cambria" w:hAnsi="Cambria" w:eastAsia="仿宋" w:cs="Cambria"/>
          <w:b/>
          <w:bCs/>
          <w:szCs w:val="21"/>
        </w:rPr>
        <w:t>47 Survey results on revising the technical key points of “B.2.2.1 Setting-the-mountain-on-fire method”</w:t>
      </w:r>
    </w:p>
    <w:p w14:paraId="20BF25D4">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47 Survey results on revising the technical key points of “B.2.2.1 Setting-the-mountain-on-fire method”</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2323"/>
        <w:gridCol w:w="2714"/>
        <w:gridCol w:w="1297"/>
        <w:gridCol w:w="489"/>
        <w:gridCol w:w="1514"/>
      </w:tblGrid>
      <w:tr w14:paraId="122BC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1363" w:type="pct"/>
            <w:shd w:val="clear" w:color="auto" w:fill="auto"/>
            <w:vAlign w:val="center"/>
          </w:tcPr>
          <w:p w14:paraId="0E8B481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1592" w:type="pct"/>
            <w:shd w:val="clear" w:color="auto" w:fill="auto"/>
            <w:vAlign w:val="center"/>
          </w:tcPr>
          <w:p w14:paraId="369C1E6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29"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29" DrawAspect="Content" ObjectID="_1468075829" r:id="rId120">
                  <o:LockedField>false</o:LockedField>
                </o:OLEObject>
              </w:object>
            </w:r>
          </w:p>
        </w:tc>
        <w:tc>
          <w:tcPr>
            <w:tcW w:w="761" w:type="pct"/>
            <w:shd w:val="clear" w:color="auto" w:fill="auto"/>
            <w:vAlign w:val="center"/>
          </w:tcPr>
          <w:p w14:paraId="0FF5EBA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287" w:type="pct"/>
            <w:shd w:val="clear" w:color="auto" w:fill="auto"/>
            <w:vAlign w:val="center"/>
          </w:tcPr>
          <w:p w14:paraId="0729A12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888" w:type="pct"/>
            <w:shd w:val="clear" w:color="auto" w:fill="auto"/>
            <w:vAlign w:val="center"/>
          </w:tcPr>
          <w:p w14:paraId="5AA12F8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16D90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63" w:type="pct"/>
            <w:shd w:val="clear" w:color="auto" w:fill="auto"/>
            <w:vAlign w:val="center"/>
          </w:tcPr>
          <w:p w14:paraId="6AE9A22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1592" w:type="pct"/>
            <w:shd w:val="clear" w:color="auto" w:fill="auto"/>
            <w:vAlign w:val="center"/>
          </w:tcPr>
          <w:p w14:paraId="615DCB0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0.91</w:t>
            </w:r>
          </w:p>
        </w:tc>
        <w:tc>
          <w:tcPr>
            <w:tcW w:w="761" w:type="pct"/>
            <w:shd w:val="clear" w:color="auto" w:fill="auto"/>
            <w:vAlign w:val="center"/>
          </w:tcPr>
          <w:p w14:paraId="5882E24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8.82%</w:t>
            </w:r>
          </w:p>
        </w:tc>
        <w:tc>
          <w:tcPr>
            <w:tcW w:w="287" w:type="pct"/>
            <w:shd w:val="clear" w:color="auto" w:fill="auto"/>
            <w:vAlign w:val="center"/>
          </w:tcPr>
          <w:p w14:paraId="5544C67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30</w:t>
            </w:r>
          </w:p>
        </w:tc>
        <w:tc>
          <w:tcPr>
            <w:tcW w:w="888" w:type="pct"/>
            <w:shd w:val="clear" w:color="auto" w:fill="auto"/>
            <w:vAlign w:val="center"/>
          </w:tcPr>
          <w:p w14:paraId="0CC19C8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35.97%</w:t>
            </w:r>
          </w:p>
        </w:tc>
      </w:tr>
      <w:tr w14:paraId="630B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63" w:type="pct"/>
            <w:shd w:val="clear" w:color="auto" w:fill="auto"/>
            <w:vAlign w:val="center"/>
          </w:tcPr>
          <w:p w14:paraId="38E0083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Disagree</w:t>
            </w:r>
          </w:p>
        </w:tc>
        <w:tc>
          <w:tcPr>
            <w:tcW w:w="1592" w:type="pct"/>
            <w:shd w:val="clear" w:color="auto" w:fill="auto"/>
            <w:vAlign w:val="center"/>
          </w:tcPr>
          <w:p w14:paraId="1A34E4D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0.09</w:t>
            </w:r>
          </w:p>
        </w:tc>
        <w:tc>
          <w:tcPr>
            <w:tcW w:w="761" w:type="pct"/>
            <w:shd w:val="clear" w:color="auto" w:fill="auto"/>
            <w:vAlign w:val="center"/>
          </w:tcPr>
          <w:p w14:paraId="2500438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88.24%</w:t>
            </w:r>
          </w:p>
        </w:tc>
        <w:tc>
          <w:tcPr>
            <w:tcW w:w="287" w:type="pct"/>
            <w:shd w:val="clear" w:color="auto" w:fill="auto"/>
            <w:vAlign w:val="center"/>
          </w:tcPr>
          <w:p w14:paraId="0FA631A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w:t>
            </w:r>
          </w:p>
        </w:tc>
        <w:tc>
          <w:tcPr>
            <w:tcW w:w="888" w:type="pct"/>
            <w:shd w:val="clear" w:color="auto" w:fill="auto"/>
            <w:vAlign w:val="center"/>
          </w:tcPr>
          <w:p w14:paraId="06997AF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316.69%</w:t>
            </w:r>
          </w:p>
        </w:tc>
      </w:tr>
    </w:tbl>
    <w:p w14:paraId="13D85B0F">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lang w:eastAsia="zh-CN"/>
        </w:rPr>
        <w:t>2.</w:t>
      </w:r>
      <w:r>
        <w:rPr>
          <w:rFonts w:hint="default" w:ascii="Cambria" w:hAnsi="Cambria" w:eastAsia="仿宋" w:cs="Cambria"/>
          <w:b/>
          <w:bCs/>
          <w:szCs w:val="21"/>
        </w:rPr>
        <w:t>48 Survey results on adding details of technical operation to “B.2.2.1 Setting-the-mountain-on-fire method”</w:t>
      </w:r>
    </w:p>
    <w:p w14:paraId="37A8CE0E">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48 Survey results on adding details of technical operation to “B.2.2.1 Setting-the-mountain-on-fire method”</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2323"/>
        <w:gridCol w:w="2714"/>
        <w:gridCol w:w="1297"/>
        <w:gridCol w:w="489"/>
        <w:gridCol w:w="1514"/>
      </w:tblGrid>
      <w:tr w14:paraId="3E65D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1363" w:type="pct"/>
            <w:shd w:val="clear" w:color="auto" w:fill="auto"/>
            <w:vAlign w:val="center"/>
          </w:tcPr>
          <w:p w14:paraId="6FEDC17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1592" w:type="pct"/>
            <w:shd w:val="clear" w:color="auto" w:fill="auto"/>
            <w:vAlign w:val="center"/>
          </w:tcPr>
          <w:p w14:paraId="0E9ADD0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30"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30" DrawAspect="Content" ObjectID="_1468075830" r:id="rId121">
                  <o:LockedField>false</o:LockedField>
                </o:OLEObject>
              </w:object>
            </w:r>
          </w:p>
        </w:tc>
        <w:tc>
          <w:tcPr>
            <w:tcW w:w="761" w:type="pct"/>
            <w:shd w:val="clear" w:color="auto" w:fill="auto"/>
            <w:vAlign w:val="center"/>
          </w:tcPr>
          <w:p w14:paraId="3CE3CE0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287" w:type="pct"/>
            <w:shd w:val="clear" w:color="auto" w:fill="auto"/>
            <w:vAlign w:val="center"/>
          </w:tcPr>
          <w:p w14:paraId="0D8E706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888" w:type="pct"/>
            <w:shd w:val="clear" w:color="auto" w:fill="auto"/>
            <w:vAlign w:val="center"/>
          </w:tcPr>
          <w:p w14:paraId="4831873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5D010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1363" w:type="pct"/>
            <w:shd w:val="clear" w:color="auto" w:fill="auto"/>
            <w:vAlign w:val="center"/>
          </w:tcPr>
          <w:p w14:paraId="083DA62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1592" w:type="pct"/>
            <w:shd w:val="clear" w:color="auto" w:fill="auto"/>
            <w:vAlign w:val="center"/>
          </w:tcPr>
          <w:p w14:paraId="07ADA73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0.97</w:t>
            </w:r>
          </w:p>
        </w:tc>
        <w:tc>
          <w:tcPr>
            <w:tcW w:w="761" w:type="pct"/>
            <w:shd w:val="clear" w:color="auto" w:fill="auto"/>
            <w:vAlign w:val="center"/>
          </w:tcPr>
          <w:p w14:paraId="59CF8E7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2.94%</w:t>
            </w:r>
          </w:p>
        </w:tc>
        <w:tc>
          <w:tcPr>
            <w:tcW w:w="287" w:type="pct"/>
            <w:shd w:val="clear" w:color="auto" w:fill="auto"/>
            <w:vAlign w:val="center"/>
          </w:tcPr>
          <w:p w14:paraId="3F5A785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33</w:t>
            </w:r>
          </w:p>
        </w:tc>
        <w:tc>
          <w:tcPr>
            <w:tcW w:w="888" w:type="pct"/>
            <w:shd w:val="clear" w:color="auto" w:fill="auto"/>
            <w:vAlign w:val="center"/>
          </w:tcPr>
          <w:p w14:paraId="2F7F160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17.67%</w:t>
            </w:r>
          </w:p>
        </w:tc>
      </w:tr>
      <w:tr w14:paraId="479B4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63" w:type="pct"/>
            <w:shd w:val="clear" w:color="auto" w:fill="auto"/>
            <w:vAlign w:val="center"/>
          </w:tcPr>
          <w:p w14:paraId="46FF459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Disagree</w:t>
            </w:r>
          </w:p>
        </w:tc>
        <w:tc>
          <w:tcPr>
            <w:tcW w:w="1592" w:type="pct"/>
            <w:shd w:val="clear" w:color="auto" w:fill="auto"/>
            <w:vAlign w:val="center"/>
          </w:tcPr>
          <w:p w14:paraId="2D5F9C3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0.03</w:t>
            </w:r>
          </w:p>
        </w:tc>
        <w:tc>
          <w:tcPr>
            <w:tcW w:w="761" w:type="pct"/>
            <w:shd w:val="clear" w:color="auto" w:fill="auto"/>
            <w:vAlign w:val="center"/>
          </w:tcPr>
          <w:p w14:paraId="29CAA59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97.06%</w:t>
            </w:r>
          </w:p>
        </w:tc>
        <w:tc>
          <w:tcPr>
            <w:tcW w:w="287" w:type="pct"/>
            <w:shd w:val="clear" w:color="auto" w:fill="auto"/>
            <w:vAlign w:val="center"/>
          </w:tcPr>
          <w:p w14:paraId="07919B4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w:t>
            </w:r>
          </w:p>
        </w:tc>
        <w:tc>
          <w:tcPr>
            <w:tcW w:w="888" w:type="pct"/>
            <w:shd w:val="clear" w:color="auto" w:fill="auto"/>
            <w:vAlign w:val="center"/>
          </w:tcPr>
          <w:p w14:paraId="5935E9A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583.10%</w:t>
            </w:r>
          </w:p>
        </w:tc>
      </w:tr>
    </w:tbl>
    <w:p w14:paraId="6C73DFB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eastAsia="zh-CN"/>
        </w:rPr>
        <w:t>2.</w:t>
      </w:r>
      <w:r>
        <w:rPr>
          <w:rFonts w:hint="default" w:ascii="Cambria" w:hAnsi="Cambria" w:eastAsia="仿宋" w:cs="Cambria"/>
          <w:b w:val="0"/>
          <w:bCs w:val="0"/>
          <w:szCs w:val="21"/>
        </w:rPr>
        <w:t>49 Survey results on revising “B.2.2.2 Penetrating-heaven-coolness method”</w:t>
      </w:r>
    </w:p>
    <w:p w14:paraId="1F49A05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rPr>
        <w:t>Table 49 Survey results on revising “B.2.2.2 Penetrating-heaven-coolness method”</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2323"/>
        <w:gridCol w:w="2714"/>
        <w:gridCol w:w="1297"/>
        <w:gridCol w:w="489"/>
        <w:gridCol w:w="1514"/>
      </w:tblGrid>
      <w:tr w14:paraId="2449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1363" w:type="pct"/>
            <w:shd w:val="clear" w:color="auto" w:fill="auto"/>
            <w:vAlign w:val="center"/>
          </w:tcPr>
          <w:p w14:paraId="6FB8E19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1592" w:type="pct"/>
            <w:shd w:val="clear" w:color="auto" w:fill="auto"/>
            <w:vAlign w:val="center"/>
          </w:tcPr>
          <w:p w14:paraId="1F925D4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31"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31" DrawAspect="Content" ObjectID="_1468075831" r:id="rId122">
                  <o:LockedField>false</o:LockedField>
                </o:OLEObject>
              </w:object>
            </w:r>
          </w:p>
        </w:tc>
        <w:tc>
          <w:tcPr>
            <w:tcW w:w="761" w:type="pct"/>
            <w:shd w:val="clear" w:color="auto" w:fill="auto"/>
            <w:vAlign w:val="center"/>
          </w:tcPr>
          <w:p w14:paraId="4955938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287" w:type="pct"/>
            <w:shd w:val="clear" w:color="auto" w:fill="auto"/>
            <w:vAlign w:val="center"/>
          </w:tcPr>
          <w:p w14:paraId="2B1EEFA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888" w:type="pct"/>
            <w:shd w:val="clear" w:color="auto" w:fill="auto"/>
            <w:vAlign w:val="center"/>
          </w:tcPr>
          <w:p w14:paraId="7ECD6D6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1C601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63" w:type="pct"/>
            <w:shd w:val="clear" w:color="auto" w:fill="auto"/>
            <w:vAlign w:val="center"/>
          </w:tcPr>
          <w:p w14:paraId="0287069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1592" w:type="pct"/>
            <w:shd w:val="clear" w:color="auto" w:fill="auto"/>
            <w:vAlign w:val="center"/>
          </w:tcPr>
          <w:p w14:paraId="09C5BFC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0.97</w:t>
            </w:r>
          </w:p>
        </w:tc>
        <w:tc>
          <w:tcPr>
            <w:tcW w:w="761" w:type="pct"/>
            <w:shd w:val="clear" w:color="auto" w:fill="auto"/>
            <w:vAlign w:val="center"/>
          </w:tcPr>
          <w:p w14:paraId="5CD69B1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2.94%</w:t>
            </w:r>
          </w:p>
        </w:tc>
        <w:tc>
          <w:tcPr>
            <w:tcW w:w="287" w:type="pct"/>
            <w:shd w:val="clear" w:color="auto" w:fill="auto"/>
            <w:vAlign w:val="center"/>
          </w:tcPr>
          <w:p w14:paraId="2C09264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32</w:t>
            </w:r>
          </w:p>
        </w:tc>
        <w:tc>
          <w:tcPr>
            <w:tcW w:w="888" w:type="pct"/>
            <w:shd w:val="clear" w:color="auto" w:fill="auto"/>
            <w:vAlign w:val="center"/>
          </w:tcPr>
          <w:p w14:paraId="2B32F70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17.95%</w:t>
            </w:r>
          </w:p>
        </w:tc>
      </w:tr>
      <w:tr w14:paraId="2B042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63" w:type="pct"/>
            <w:shd w:val="clear" w:color="auto" w:fill="auto"/>
            <w:vAlign w:val="center"/>
          </w:tcPr>
          <w:p w14:paraId="5EDF0F7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Disagree</w:t>
            </w:r>
          </w:p>
        </w:tc>
        <w:tc>
          <w:tcPr>
            <w:tcW w:w="1592" w:type="pct"/>
            <w:shd w:val="clear" w:color="auto" w:fill="auto"/>
            <w:vAlign w:val="center"/>
          </w:tcPr>
          <w:p w14:paraId="52AAB51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0.03</w:t>
            </w:r>
          </w:p>
        </w:tc>
        <w:tc>
          <w:tcPr>
            <w:tcW w:w="761" w:type="pct"/>
            <w:shd w:val="clear" w:color="auto" w:fill="auto"/>
            <w:vAlign w:val="center"/>
          </w:tcPr>
          <w:p w14:paraId="310DAD8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94.12%</w:t>
            </w:r>
          </w:p>
        </w:tc>
        <w:tc>
          <w:tcPr>
            <w:tcW w:w="287" w:type="pct"/>
            <w:shd w:val="clear" w:color="auto" w:fill="auto"/>
            <w:vAlign w:val="center"/>
          </w:tcPr>
          <w:p w14:paraId="4D994D2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w:t>
            </w:r>
          </w:p>
        </w:tc>
        <w:tc>
          <w:tcPr>
            <w:tcW w:w="888" w:type="pct"/>
            <w:shd w:val="clear" w:color="auto" w:fill="auto"/>
            <w:vAlign w:val="center"/>
          </w:tcPr>
          <w:p w14:paraId="1537228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565.95%</w:t>
            </w:r>
          </w:p>
        </w:tc>
      </w:tr>
    </w:tbl>
    <w:p w14:paraId="6F448F46">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lang w:eastAsia="zh-CN"/>
        </w:rPr>
        <w:t>2.</w:t>
      </w:r>
      <w:r>
        <w:rPr>
          <w:rFonts w:hint="default" w:ascii="Cambria" w:hAnsi="Cambria" w:eastAsia="仿宋" w:cs="Cambria"/>
          <w:b/>
          <w:bCs/>
          <w:szCs w:val="21"/>
        </w:rPr>
        <w:t>50 Survey results on deleting “Annex C (informative) Calculation of bleeding volume in three-edge needle treatment”</w:t>
      </w:r>
    </w:p>
    <w:p w14:paraId="6CA23BDB">
      <w:pPr>
        <w:widowControl/>
        <w:spacing w:line="276" w:lineRule="auto"/>
        <w:ind w:firstLine="0" w:firstLineChars="0"/>
        <w:jc w:val="center"/>
        <w:rPr>
          <w:rFonts w:hint="default" w:ascii="Cambria" w:hAnsi="Cambria" w:eastAsia="仿宋" w:cs="Cambria"/>
          <w:b w:val="0"/>
          <w:bCs w:val="0"/>
          <w:szCs w:val="21"/>
        </w:rPr>
      </w:pPr>
      <w:r>
        <w:rPr>
          <w:rFonts w:hint="default" w:ascii="Cambria" w:hAnsi="Cambria" w:eastAsia="仿宋" w:cs="Cambria"/>
          <w:b w:val="0"/>
          <w:bCs w:val="0"/>
          <w:szCs w:val="21"/>
        </w:rPr>
        <w:t>Table 50 Survey results on deleting “Annex C (informative) Calculation of bleeding volume in three-edge needle treatment”</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2323"/>
        <w:gridCol w:w="2714"/>
        <w:gridCol w:w="1297"/>
        <w:gridCol w:w="489"/>
        <w:gridCol w:w="1514"/>
      </w:tblGrid>
      <w:tr w14:paraId="22C66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1363" w:type="pct"/>
            <w:shd w:val="clear" w:color="auto" w:fill="auto"/>
            <w:vAlign w:val="center"/>
          </w:tcPr>
          <w:p w14:paraId="61EB9EC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w:t>
            </w:r>
          </w:p>
        </w:tc>
        <w:tc>
          <w:tcPr>
            <w:tcW w:w="1592" w:type="pct"/>
            <w:shd w:val="clear" w:color="auto" w:fill="auto"/>
            <w:vAlign w:val="center"/>
          </w:tcPr>
          <w:p w14:paraId="5A80EB7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object>
                <v:shape id="_x0000_i1132"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32" DrawAspect="Content" ObjectID="_1468075832" r:id="rId123">
                  <o:LockedField>false</o:LockedField>
                </o:OLEObject>
              </w:object>
            </w:r>
          </w:p>
        </w:tc>
        <w:tc>
          <w:tcPr>
            <w:tcW w:w="761" w:type="pct"/>
            <w:shd w:val="clear" w:color="auto" w:fill="auto"/>
            <w:vAlign w:val="center"/>
          </w:tcPr>
          <w:p w14:paraId="49EEE6D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R</w:t>
            </w:r>
          </w:p>
        </w:tc>
        <w:tc>
          <w:tcPr>
            <w:tcW w:w="287" w:type="pct"/>
            <w:shd w:val="clear" w:color="auto" w:fill="auto"/>
            <w:vAlign w:val="center"/>
          </w:tcPr>
          <w:p w14:paraId="32FA263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w:t>
            </w:r>
          </w:p>
        </w:tc>
        <w:tc>
          <w:tcPr>
            <w:tcW w:w="888" w:type="pct"/>
            <w:shd w:val="clear" w:color="auto" w:fill="auto"/>
            <w:vAlign w:val="center"/>
          </w:tcPr>
          <w:p w14:paraId="4B5D24D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CV</w:t>
            </w:r>
          </w:p>
        </w:tc>
      </w:tr>
      <w:tr w14:paraId="25C65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63" w:type="pct"/>
            <w:shd w:val="clear" w:color="auto" w:fill="auto"/>
            <w:vAlign w:val="center"/>
          </w:tcPr>
          <w:p w14:paraId="21B1BBC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1592" w:type="pct"/>
            <w:shd w:val="clear" w:color="auto" w:fill="auto"/>
            <w:vAlign w:val="center"/>
          </w:tcPr>
          <w:p w14:paraId="443EB7F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0.97</w:t>
            </w:r>
          </w:p>
        </w:tc>
        <w:tc>
          <w:tcPr>
            <w:tcW w:w="761" w:type="pct"/>
            <w:shd w:val="clear" w:color="auto" w:fill="auto"/>
            <w:vAlign w:val="center"/>
          </w:tcPr>
          <w:p w14:paraId="7A40978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2.94%</w:t>
            </w:r>
          </w:p>
        </w:tc>
        <w:tc>
          <w:tcPr>
            <w:tcW w:w="287" w:type="pct"/>
            <w:shd w:val="clear" w:color="auto" w:fill="auto"/>
            <w:vAlign w:val="center"/>
          </w:tcPr>
          <w:p w14:paraId="088C931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33</w:t>
            </w:r>
          </w:p>
        </w:tc>
        <w:tc>
          <w:tcPr>
            <w:tcW w:w="888" w:type="pct"/>
            <w:shd w:val="clear" w:color="auto" w:fill="auto"/>
            <w:vAlign w:val="center"/>
          </w:tcPr>
          <w:p w14:paraId="131EC4D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17.67%</w:t>
            </w:r>
          </w:p>
        </w:tc>
      </w:tr>
      <w:tr w14:paraId="09128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63" w:type="pct"/>
            <w:shd w:val="clear" w:color="auto" w:fill="auto"/>
            <w:vAlign w:val="center"/>
          </w:tcPr>
          <w:p w14:paraId="76DCB9E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Disagree</w:t>
            </w:r>
          </w:p>
        </w:tc>
        <w:tc>
          <w:tcPr>
            <w:tcW w:w="1592" w:type="pct"/>
            <w:shd w:val="clear" w:color="auto" w:fill="auto"/>
            <w:vAlign w:val="center"/>
          </w:tcPr>
          <w:p w14:paraId="3B48E87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0.03</w:t>
            </w:r>
          </w:p>
        </w:tc>
        <w:tc>
          <w:tcPr>
            <w:tcW w:w="761" w:type="pct"/>
            <w:shd w:val="clear" w:color="auto" w:fill="auto"/>
            <w:vAlign w:val="center"/>
          </w:tcPr>
          <w:p w14:paraId="710F88D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97.06%</w:t>
            </w:r>
          </w:p>
        </w:tc>
        <w:tc>
          <w:tcPr>
            <w:tcW w:w="287" w:type="pct"/>
            <w:shd w:val="clear" w:color="auto" w:fill="auto"/>
            <w:vAlign w:val="center"/>
          </w:tcPr>
          <w:p w14:paraId="28DE798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w:t>
            </w:r>
          </w:p>
        </w:tc>
        <w:tc>
          <w:tcPr>
            <w:tcW w:w="888" w:type="pct"/>
            <w:shd w:val="clear" w:color="auto" w:fill="auto"/>
            <w:vAlign w:val="center"/>
          </w:tcPr>
          <w:p w14:paraId="16D2710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583.10%</w:t>
            </w:r>
          </w:p>
        </w:tc>
      </w:tr>
    </w:tbl>
    <w:p w14:paraId="3F7ED18D">
      <w:pPr>
        <w:autoSpaceDE/>
        <w:autoSpaceDN/>
        <w:adjustRightInd w:val="0"/>
        <w:spacing w:line="276" w:lineRule="auto"/>
        <w:ind w:firstLine="0" w:firstLineChars="0"/>
        <w:jc w:val="left"/>
        <w:outlineLvl w:val="3"/>
        <w:rPr>
          <w:rFonts w:hint="default" w:ascii="Cambria" w:hAnsi="Cambria" w:eastAsia="仿宋" w:cs="Cambria"/>
          <w:b/>
          <w:bCs/>
          <w:kern w:val="0"/>
          <w:szCs w:val="21"/>
        </w:rPr>
      </w:pPr>
      <w:r>
        <w:rPr>
          <w:rFonts w:hint="default" w:ascii="Cambria" w:hAnsi="Cambria" w:eastAsia="仿宋" w:cs="Cambria"/>
          <w:b/>
          <w:bCs/>
          <w:kern w:val="0"/>
          <w:szCs w:val="21"/>
          <w:lang w:eastAsia="zh-CN"/>
        </w:rPr>
        <w:t>2.</w:t>
      </w:r>
      <w:r>
        <w:rPr>
          <w:rFonts w:hint="default" w:ascii="Cambria" w:hAnsi="Cambria" w:eastAsia="仿宋" w:cs="Cambria"/>
          <w:b/>
          <w:bCs/>
          <w:kern w:val="0"/>
          <w:szCs w:val="21"/>
        </w:rPr>
        <w:t>51 Survey results on revising “E.1 Ginger-partitioned moxibustion”</w:t>
      </w:r>
    </w:p>
    <w:p w14:paraId="2229C179">
      <w:pPr>
        <w:autoSpaceDE/>
        <w:autoSpaceDN/>
        <w:adjustRightInd w:val="0"/>
        <w:spacing w:line="276" w:lineRule="auto"/>
        <w:ind w:firstLine="0" w:firstLineChars="0"/>
        <w:jc w:val="center"/>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rPr>
        <w:t>Table 51 Survey results on revising “E.1 Ginger-partitioned moxibustion”</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2380"/>
        <w:gridCol w:w="2781"/>
        <w:gridCol w:w="1538"/>
        <w:gridCol w:w="501"/>
        <w:gridCol w:w="1137"/>
      </w:tblGrid>
      <w:tr w14:paraId="08D44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1396" w:type="pct"/>
            <w:shd w:val="clear" w:color="auto" w:fill="auto"/>
            <w:vAlign w:val="center"/>
          </w:tcPr>
          <w:p w14:paraId="5514D689">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Option</w:t>
            </w:r>
          </w:p>
        </w:tc>
        <w:tc>
          <w:tcPr>
            <w:tcW w:w="1631" w:type="pct"/>
            <w:shd w:val="clear" w:color="auto" w:fill="auto"/>
            <w:vAlign w:val="center"/>
          </w:tcPr>
          <w:p w14:paraId="2D9BA787">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szCs w:val="21"/>
                <w:lang w:val="en-US" w:eastAsia="zh-CN"/>
              </w:rPr>
              <w:object>
                <v:shape id="_x0000_i1133"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33" DrawAspect="Content" ObjectID="_1468075833" r:id="rId124">
                  <o:LockedField>false</o:LockedField>
                </o:OLEObject>
              </w:object>
            </w:r>
          </w:p>
        </w:tc>
        <w:tc>
          <w:tcPr>
            <w:tcW w:w="902" w:type="pct"/>
            <w:shd w:val="clear" w:color="auto" w:fill="auto"/>
            <w:vAlign w:val="center"/>
          </w:tcPr>
          <w:p w14:paraId="5EBC0240">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R</w:t>
            </w:r>
          </w:p>
        </w:tc>
        <w:tc>
          <w:tcPr>
            <w:tcW w:w="294" w:type="pct"/>
            <w:shd w:val="clear" w:color="auto" w:fill="auto"/>
            <w:vAlign w:val="center"/>
          </w:tcPr>
          <w:p w14:paraId="45DAC5BB">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S</w:t>
            </w:r>
          </w:p>
        </w:tc>
        <w:tc>
          <w:tcPr>
            <w:tcW w:w="667" w:type="pct"/>
            <w:shd w:val="clear" w:color="auto" w:fill="auto"/>
            <w:vAlign w:val="center"/>
          </w:tcPr>
          <w:p w14:paraId="31730BD5">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CV</w:t>
            </w:r>
          </w:p>
        </w:tc>
      </w:tr>
      <w:tr w14:paraId="2385F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96" w:type="pct"/>
            <w:shd w:val="clear" w:color="auto" w:fill="auto"/>
            <w:vAlign w:val="center"/>
          </w:tcPr>
          <w:p w14:paraId="1D2AE0E3">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A. Agree</w:t>
            </w:r>
          </w:p>
        </w:tc>
        <w:tc>
          <w:tcPr>
            <w:tcW w:w="1631" w:type="pct"/>
            <w:shd w:val="clear" w:color="auto" w:fill="auto"/>
            <w:vAlign w:val="center"/>
          </w:tcPr>
          <w:p w14:paraId="1B792F6C">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1.00</w:t>
            </w:r>
          </w:p>
        </w:tc>
        <w:tc>
          <w:tcPr>
            <w:tcW w:w="902" w:type="pct"/>
            <w:shd w:val="clear" w:color="auto" w:fill="auto"/>
            <w:vAlign w:val="center"/>
          </w:tcPr>
          <w:p w14:paraId="71541B89">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0.00%</w:t>
            </w:r>
          </w:p>
        </w:tc>
        <w:tc>
          <w:tcPr>
            <w:tcW w:w="294" w:type="pct"/>
            <w:shd w:val="clear" w:color="auto" w:fill="auto"/>
            <w:vAlign w:val="center"/>
          </w:tcPr>
          <w:p w14:paraId="4F2716D8">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34</w:t>
            </w:r>
          </w:p>
        </w:tc>
        <w:tc>
          <w:tcPr>
            <w:tcW w:w="667" w:type="pct"/>
            <w:shd w:val="clear" w:color="auto" w:fill="auto"/>
            <w:vAlign w:val="center"/>
          </w:tcPr>
          <w:p w14:paraId="6358CA5C">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0.00%</w:t>
            </w:r>
          </w:p>
        </w:tc>
      </w:tr>
      <w:tr w14:paraId="2934B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96" w:type="pct"/>
            <w:shd w:val="clear" w:color="auto" w:fill="auto"/>
            <w:vAlign w:val="center"/>
          </w:tcPr>
          <w:p w14:paraId="252274A9">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B. Disagree</w:t>
            </w:r>
          </w:p>
        </w:tc>
        <w:tc>
          <w:tcPr>
            <w:tcW w:w="1631" w:type="pct"/>
            <w:shd w:val="clear" w:color="auto" w:fill="auto"/>
            <w:vAlign w:val="center"/>
          </w:tcPr>
          <w:p w14:paraId="186AC7A5">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0.00</w:t>
            </w:r>
          </w:p>
        </w:tc>
        <w:tc>
          <w:tcPr>
            <w:tcW w:w="902" w:type="pct"/>
            <w:shd w:val="clear" w:color="auto" w:fill="auto"/>
            <w:vAlign w:val="center"/>
          </w:tcPr>
          <w:p w14:paraId="40F87FAE">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100.00%</w:t>
            </w:r>
          </w:p>
        </w:tc>
        <w:tc>
          <w:tcPr>
            <w:tcW w:w="294" w:type="pct"/>
            <w:shd w:val="clear" w:color="auto" w:fill="auto"/>
            <w:vAlign w:val="center"/>
          </w:tcPr>
          <w:p w14:paraId="1A39A4ED">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0</w:t>
            </w:r>
          </w:p>
        </w:tc>
        <w:tc>
          <w:tcPr>
            <w:tcW w:w="667" w:type="pct"/>
            <w:shd w:val="clear" w:color="auto" w:fill="auto"/>
            <w:vAlign w:val="center"/>
          </w:tcPr>
          <w:p w14:paraId="086D5DBB">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w:t>
            </w:r>
          </w:p>
        </w:tc>
      </w:tr>
    </w:tbl>
    <w:p w14:paraId="5B31A12A">
      <w:pPr>
        <w:autoSpaceDE/>
        <w:autoSpaceDN/>
        <w:adjustRightInd w:val="0"/>
        <w:spacing w:line="276" w:lineRule="auto"/>
        <w:ind w:firstLine="0" w:firstLineChars="0"/>
        <w:jc w:val="left"/>
        <w:outlineLvl w:val="3"/>
        <w:rPr>
          <w:rFonts w:hint="default" w:ascii="Cambria" w:hAnsi="Cambria" w:eastAsia="仿宋" w:cs="Cambria"/>
          <w:b/>
          <w:bCs/>
          <w:kern w:val="0"/>
          <w:szCs w:val="21"/>
        </w:rPr>
      </w:pPr>
      <w:r>
        <w:rPr>
          <w:rFonts w:hint="default" w:ascii="Cambria" w:hAnsi="Cambria" w:eastAsia="仿宋" w:cs="Cambria"/>
          <w:b/>
          <w:bCs/>
          <w:kern w:val="0"/>
          <w:szCs w:val="21"/>
          <w:lang w:eastAsia="zh-CN"/>
        </w:rPr>
        <w:t>2.</w:t>
      </w:r>
      <w:r>
        <w:rPr>
          <w:rFonts w:hint="default" w:ascii="Cambria" w:hAnsi="Cambria" w:eastAsia="仿宋" w:cs="Cambria"/>
          <w:b/>
          <w:bCs/>
          <w:kern w:val="0"/>
          <w:szCs w:val="21"/>
        </w:rPr>
        <w:t>52 Survey results on revising “E.2 Garlic-partitioned moxibustion”</w:t>
      </w:r>
    </w:p>
    <w:p w14:paraId="3C4A8C5D">
      <w:pPr>
        <w:autoSpaceDE/>
        <w:autoSpaceDN/>
        <w:adjustRightInd w:val="0"/>
        <w:spacing w:line="276" w:lineRule="auto"/>
        <w:ind w:firstLine="0" w:firstLineChars="0"/>
        <w:jc w:val="center"/>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rPr>
        <w:t>Table 52 Survey results on revising “E.2 Garlic-partitioned moxibustion”</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2323"/>
        <w:gridCol w:w="2714"/>
        <w:gridCol w:w="1297"/>
        <w:gridCol w:w="489"/>
        <w:gridCol w:w="1514"/>
      </w:tblGrid>
      <w:tr w14:paraId="2820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1363" w:type="pct"/>
            <w:shd w:val="clear" w:color="auto" w:fill="auto"/>
            <w:vAlign w:val="center"/>
          </w:tcPr>
          <w:p w14:paraId="72319471">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Option</w:t>
            </w:r>
          </w:p>
        </w:tc>
        <w:tc>
          <w:tcPr>
            <w:tcW w:w="1592" w:type="pct"/>
            <w:shd w:val="clear" w:color="auto" w:fill="auto"/>
            <w:vAlign w:val="center"/>
          </w:tcPr>
          <w:p w14:paraId="3F0E10BC">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szCs w:val="21"/>
                <w:lang w:val="en-US" w:eastAsia="zh-CN"/>
              </w:rPr>
              <w:object>
                <v:shape id="_x0000_i1134"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34" DrawAspect="Content" ObjectID="_1468075834" r:id="rId125">
                  <o:LockedField>false</o:LockedField>
                </o:OLEObject>
              </w:object>
            </w:r>
          </w:p>
        </w:tc>
        <w:tc>
          <w:tcPr>
            <w:tcW w:w="761" w:type="pct"/>
            <w:shd w:val="clear" w:color="auto" w:fill="auto"/>
            <w:vAlign w:val="center"/>
          </w:tcPr>
          <w:p w14:paraId="4A8CEB86">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R</w:t>
            </w:r>
          </w:p>
        </w:tc>
        <w:tc>
          <w:tcPr>
            <w:tcW w:w="287" w:type="pct"/>
            <w:shd w:val="clear" w:color="auto" w:fill="auto"/>
            <w:vAlign w:val="center"/>
          </w:tcPr>
          <w:p w14:paraId="1201EF2A">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S</w:t>
            </w:r>
          </w:p>
        </w:tc>
        <w:tc>
          <w:tcPr>
            <w:tcW w:w="888" w:type="pct"/>
            <w:shd w:val="clear" w:color="auto" w:fill="auto"/>
            <w:vAlign w:val="center"/>
          </w:tcPr>
          <w:p w14:paraId="479D13E7">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CV</w:t>
            </w:r>
          </w:p>
        </w:tc>
      </w:tr>
      <w:tr w14:paraId="29648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63" w:type="pct"/>
            <w:shd w:val="clear" w:color="auto" w:fill="auto"/>
            <w:vAlign w:val="center"/>
          </w:tcPr>
          <w:p w14:paraId="0CB5D6CB">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A. Agree</w:t>
            </w:r>
          </w:p>
        </w:tc>
        <w:tc>
          <w:tcPr>
            <w:tcW w:w="1592" w:type="pct"/>
            <w:shd w:val="clear" w:color="auto" w:fill="auto"/>
            <w:vAlign w:val="center"/>
          </w:tcPr>
          <w:p w14:paraId="52D14AC7">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0.91</w:t>
            </w:r>
          </w:p>
        </w:tc>
        <w:tc>
          <w:tcPr>
            <w:tcW w:w="761" w:type="pct"/>
            <w:shd w:val="clear" w:color="auto" w:fill="auto"/>
            <w:vAlign w:val="center"/>
          </w:tcPr>
          <w:p w14:paraId="087544F9">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8.82%</w:t>
            </w:r>
          </w:p>
        </w:tc>
        <w:tc>
          <w:tcPr>
            <w:tcW w:w="287" w:type="pct"/>
            <w:shd w:val="clear" w:color="auto" w:fill="auto"/>
            <w:vAlign w:val="center"/>
          </w:tcPr>
          <w:p w14:paraId="0BB1E1CA">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31</w:t>
            </w:r>
          </w:p>
        </w:tc>
        <w:tc>
          <w:tcPr>
            <w:tcW w:w="888" w:type="pct"/>
            <w:shd w:val="clear" w:color="auto" w:fill="auto"/>
            <w:vAlign w:val="center"/>
          </w:tcPr>
          <w:p w14:paraId="0C8474EA">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31.58%</w:t>
            </w:r>
          </w:p>
        </w:tc>
      </w:tr>
      <w:tr w14:paraId="05CD6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63" w:type="pct"/>
            <w:shd w:val="clear" w:color="auto" w:fill="auto"/>
            <w:vAlign w:val="center"/>
          </w:tcPr>
          <w:p w14:paraId="0FDF96EE">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B. Disagree</w:t>
            </w:r>
          </w:p>
        </w:tc>
        <w:tc>
          <w:tcPr>
            <w:tcW w:w="1592" w:type="pct"/>
            <w:shd w:val="clear" w:color="auto" w:fill="auto"/>
            <w:vAlign w:val="center"/>
          </w:tcPr>
          <w:p w14:paraId="004151B1">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0.09</w:t>
            </w:r>
          </w:p>
        </w:tc>
        <w:tc>
          <w:tcPr>
            <w:tcW w:w="761" w:type="pct"/>
            <w:shd w:val="clear" w:color="auto" w:fill="auto"/>
            <w:vAlign w:val="center"/>
          </w:tcPr>
          <w:p w14:paraId="2335997D">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91.18%</w:t>
            </w:r>
          </w:p>
        </w:tc>
        <w:tc>
          <w:tcPr>
            <w:tcW w:w="287" w:type="pct"/>
            <w:shd w:val="clear" w:color="auto" w:fill="auto"/>
            <w:vAlign w:val="center"/>
          </w:tcPr>
          <w:p w14:paraId="66F11645">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3</w:t>
            </w:r>
          </w:p>
        </w:tc>
        <w:tc>
          <w:tcPr>
            <w:tcW w:w="888" w:type="pct"/>
            <w:shd w:val="clear" w:color="auto" w:fill="auto"/>
            <w:vAlign w:val="center"/>
          </w:tcPr>
          <w:p w14:paraId="14266199">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326.29%</w:t>
            </w:r>
          </w:p>
        </w:tc>
      </w:tr>
    </w:tbl>
    <w:p w14:paraId="54F38211">
      <w:pPr>
        <w:autoSpaceDE/>
        <w:autoSpaceDN/>
        <w:adjustRightInd w:val="0"/>
        <w:spacing w:line="276" w:lineRule="auto"/>
        <w:ind w:firstLine="0" w:firstLineChars="0"/>
        <w:jc w:val="left"/>
        <w:outlineLvl w:val="3"/>
        <w:rPr>
          <w:rFonts w:hint="default" w:ascii="Cambria" w:hAnsi="Cambria" w:eastAsia="仿宋" w:cs="Cambria"/>
          <w:b/>
          <w:bCs/>
          <w:kern w:val="0"/>
          <w:szCs w:val="21"/>
        </w:rPr>
      </w:pPr>
      <w:r>
        <w:rPr>
          <w:rFonts w:hint="default" w:ascii="Cambria" w:hAnsi="Cambria" w:eastAsia="仿宋" w:cs="Cambria"/>
          <w:b/>
          <w:bCs/>
          <w:kern w:val="0"/>
          <w:szCs w:val="21"/>
          <w:lang w:eastAsia="zh-CN"/>
        </w:rPr>
        <w:t>2.</w:t>
      </w:r>
      <w:r>
        <w:rPr>
          <w:rFonts w:hint="default" w:ascii="Cambria" w:hAnsi="Cambria" w:eastAsia="仿宋" w:cs="Cambria"/>
          <w:b/>
          <w:bCs/>
          <w:kern w:val="0"/>
          <w:szCs w:val="21"/>
        </w:rPr>
        <w:t>53 Survey results on deleting “E.6 Yellow-soil-partitioned moxibustion”</w:t>
      </w:r>
    </w:p>
    <w:p w14:paraId="7EF6AC80">
      <w:pPr>
        <w:autoSpaceDE/>
        <w:autoSpaceDN/>
        <w:adjustRightInd w:val="0"/>
        <w:spacing w:line="276" w:lineRule="auto"/>
        <w:ind w:firstLine="0" w:firstLineChars="0"/>
        <w:jc w:val="center"/>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rPr>
        <w:t>Table 53 Survey results on deleting “E.6 Yellow-soil-partitioned moxibustion”</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2323"/>
        <w:gridCol w:w="2714"/>
        <w:gridCol w:w="1297"/>
        <w:gridCol w:w="489"/>
        <w:gridCol w:w="1514"/>
      </w:tblGrid>
      <w:tr w14:paraId="737B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1363" w:type="pct"/>
            <w:shd w:val="clear" w:color="auto" w:fill="auto"/>
            <w:vAlign w:val="center"/>
          </w:tcPr>
          <w:p w14:paraId="37BA8D64">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Option</w:t>
            </w:r>
          </w:p>
        </w:tc>
        <w:tc>
          <w:tcPr>
            <w:tcW w:w="1592" w:type="pct"/>
            <w:shd w:val="clear" w:color="auto" w:fill="auto"/>
            <w:vAlign w:val="center"/>
          </w:tcPr>
          <w:p w14:paraId="30E39461">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szCs w:val="21"/>
                <w:lang w:val="en-US" w:eastAsia="zh-CN"/>
              </w:rPr>
              <w:object>
                <v:shape id="_x0000_i1135"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35" DrawAspect="Content" ObjectID="_1468075835" r:id="rId126">
                  <o:LockedField>false</o:LockedField>
                </o:OLEObject>
              </w:object>
            </w:r>
          </w:p>
        </w:tc>
        <w:tc>
          <w:tcPr>
            <w:tcW w:w="761" w:type="pct"/>
            <w:shd w:val="clear" w:color="auto" w:fill="auto"/>
            <w:vAlign w:val="center"/>
          </w:tcPr>
          <w:p w14:paraId="43142E24">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R</w:t>
            </w:r>
          </w:p>
        </w:tc>
        <w:tc>
          <w:tcPr>
            <w:tcW w:w="287" w:type="pct"/>
            <w:shd w:val="clear" w:color="auto" w:fill="auto"/>
            <w:vAlign w:val="center"/>
          </w:tcPr>
          <w:p w14:paraId="6CA7A53F">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S</w:t>
            </w:r>
          </w:p>
        </w:tc>
        <w:tc>
          <w:tcPr>
            <w:tcW w:w="888" w:type="pct"/>
            <w:shd w:val="clear" w:color="auto" w:fill="auto"/>
            <w:vAlign w:val="center"/>
          </w:tcPr>
          <w:p w14:paraId="0BFB4360">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CV</w:t>
            </w:r>
          </w:p>
        </w:tc>
      </w:tr>
      <w:tr w14:paraId="68D4E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63" w:type="pct"/>
            <w:shd w:val="clear" w:color="auto" w:fill="auto"/>
            <w:vAlign w:val="center"/>
          </w:tcPr>
          <w:p w14:paraId="214866F3">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A. Agree</w:t>
            </w:r>
          </w:p>
        </w:tc>
        <w:tc>
          <w:tcPr>
            <w:tcW w:w="1592" w:type="pct"/>
            <w:shd w:val="clear" w:color="auto" w:fill="auto"/>
            <w:vAlign w:val="center"/>
          </w:tcPr>
          <w:p w14:paraId="2DBFDB2A">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0.97</w:t>
            </w:r>
          </w:p>
        </w:tc>
        <w:tc>
          <w:tcPr>
            <w:tcW w:w="761" w:type="pct"/>
            <w:shd w:val="clear" w:color="auto" w:fill="auto"/>
            <w:vAlign w:val="center"/>
          </w:tcPr>
          <w:p w14:paraId="3063D8BC">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2.94%</w:t>
            </w:r>
          </w:p>
        </w:tc>
        <w:tc>
          <w:tcPr>
            <w:tcW w:w="287" w:type="pct"/>
            <w:shd w:val="clear" w:color="auto" w:fill="auto"/>
            <w:vAlign w:val="center"/>
          </w:tcPr>
          <w:p w14:paraId="72F97498">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33</w:t>
            </w:r>
          </w:p>
        </w:tc>
        <w:tc>
          <w:tcPr>
            <w:tcW w:w="888" w:type="pct"/>
            <w:shd w:val="clear" w:color="auto" w:fill="auto"/>
            <w:vAlign w:val="center"/>
          </w:tcPr>
          <w:p w14:paraId="295E36BE">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17.67%</w:t>
            </w:r>
          </w:p>
        </w:tc>
      </w:tr>
      <w:tr w14:paraId="2DF14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63" w:type="pct"/>
            <w:shd w:val="clear" w:color="auto" w:fill="auto"/>
            <w:vAlign w:val="center"/>
          </w:tcPr>
          <w:p w14:paraId="1D69D3C8">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B. Disagree</w:t>
            </w:r>
          </w:p>
        </w:tc>
        <w:tc>
          <w:tcPr>
            <w:tcW w:w="1592" w:type="pct"/>
            <w:shd w:val="clear" w:color="auto" w:fill="auto"/>
            <w:vAlign w:val="center"/>
          </w:tcPr>
          <w:p w14:paraId="77763628">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0.03</w:t>
            </w:r>
          </w:p>
        </w:tc>
        <w:tc>
          <w:tcPr>
            <w:tcW w:w="761" w:type="pct"/>
            <w:shd w:val="clear" w:color="auto" w:fill="auto"/>
            <w:vAlign w:val="center"/>
          </w:tcPr>
          <w:p w14:paraId="12FD63D5">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97.06%</w:t>
            </w:r>
          </w:p>
        </w:tc>
        <w:tc>
          <w:tcPr>
            <w:tcW w:w="287" w:type="pct"/>
            <w:shd w:val="clear" w:color="auto" w:fill="auto"/>
            <w:vAlign w:val="center"/>
          </w:tcPr>
          <w:p w14:paraId="1445F6C5">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1</w:t>
            </w:r>
          </w:p>
        </w:tc>
        <w:tc>
          <w:tcPr>
            <w:tcW w:w="888" w:type="pct"/>
            <w:shd w:val="clear" w:color="auto" w:fill="auto"/>
            <w:vAlign w:val="center"/>
          </w:tcPr>
          <w:p w14:paraId="7A441DA5">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583.10%</w:t>
            </w:r>
          </w:p>
        </w:tc>
      </w:tr>
    </w:tbl>
    <w:p w14:paraId="4868BDDC">
      <w:pPr>
        <w:autoSpaceDE/>
        <w:autoSpaceDN/>
        <w:adjustRightInd w:val="0"/>
        <w:spacing w:line="276" w:lineRule="auto"/>
        <w:ind w:firstLine="0" w:firstLineChars="0"/>
        <w:jc w:val="left"/>
        <w:outlineLvl w:val="3"/>
        <w:rPr>
          <w:rFonts w:hint="default" w:ascii="Cambria" w:hAnsi="Cambria" w:eastAsia="仿宋" w:cs="Cambria"/>
          <w:b/>
          <w:bCs/>
          <w:kern w:val="0"/>
          <w:szCs w:val="21"/>
        </w:rPr>
      </w:pPr>
      <w:r>
        <w:rPr>
          <w:rFonts w:hint="default" w:ascii="Cambria" w:hAnsi="Cambria" w:eastAsia="仿宋" w:cs="Cambria"/>
          <w:b/>
          <w:bCs/>
          <w:kern w:val="0"/>
          <w:szCs w:val="21"/>
          <w:lang w:eastAsia="zh-CN"/>
        </w:rPr>
        <w:t>2.</w:t>
      </w:r>
      <w:r>
        <w:rPr>
          <w:rFonts w:hint="default" w:ascii="Cambria" w:hAnsi="Cambria" w:eastAsia="仿宋" w:cs="Cambria"/>
          <w:b/>
          <w:bCs/>
          <w:kern w:val="0"/>
          <w:szCs w:val="21"/>
        </w:rPr>
        <w:t>54 Survey results on deleting “E.7 Pepper-cake-partitioned moxibustion”</w:t>
      </w:r>
    </w:p>
    <w:p w14:paraId="6F0A15E1">
      <w:pPr>
        <w:autoSpaceDE/>
        <w:autoSpaceDN/>
        <w:adjustRightInd w:val="0"/>
        <w:spacing w:line="276" w:lineRule="auto"/>
        <w:ind w:firstLine="0" w:firstLineChars="0"/>
        <w:jc w:val="center"/>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rPr>
        <w:t>Table 54 Survey results on deleting “E.7 Pepper-cake-partitioned moxibustion”</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2323"/>
        <w:gridCol w:w="2714"/>
        <w:gridCol w:w="1297"/>
        <w:gridCol w:w="489"/>
        <w:gridCol w:w="1514"/>
      </w:tblGrid>
      <w:tr w14:paraId="6E69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1363" w:type="pct"/>
            <w:shd w:val="clear" w:color="auto" w:fill="auto"/>
            <w:vAlign w:val="center"/>
          </w:tcPr>
          <w:p w14:paraId="08166791">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Option</w:t>
            </w:r>
          </w:p>
        </w:tc>
        <w:tc>
          <w:tcPr>
            <w:tcW w:w="1592" w:type="pct"/>
            <w:shd w:val="clear" w:color="auto" w:fill="auto"/>
            <w:vAlign w:val="center"/>
          </w:tcPr>
          <w:p w14:paraId="6D0F0DE5">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szCs w:val="21"/>
                <w:lang w:val="en-US" w:eastAsia="zh-CN"/>
              </w:rPr>
              <w:object>
                <v:shape id="_x0000_i1136" o:spt="75" type="#_x0000_t75" style="height:18.25pt;width:12pt;" o:ole="t" filled="f" o:preferrelative="t" stroked="f" coordsize="21600,21600">
                  <v:path/>
                  <v:fill on="f" focussize="0,0"/>
                  <v:stroke on="f" joinstyle="miter"/>
                  <v:imagedata r:id="rId10" o:title=""/>
                  <o:lock v:ext="edit" aspectratio="t"/>
                  <w10:wrap type="none"/>
                  <w10:anchorlock/>
                </v:shape>
                <o:OLEObject Type="Embed" ProgID="Equation.3" ShapeID="_x0000_i1136" DrawAspect="Content" ObjectID="_1468075836" r:id="rId127">
                  <o:LockedField>false</o:LockedField>
                </o:OLEObject>
              </w:object>
            </w:r>
          </w:p>
        </w:tc>
        <w:tc>
          <w:tcPr>
            <w:tcW w:w="761" w:type="pct"/>
            <w:shd w:val="clear" w:color="auto" w:fill="auto"/>
            <w:vAlign w:val="center"/>
          </w:tcPr>
          <w:p w14:paraId="541F99E3">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R</w:t>
            </w:r>
          </w:p>
        </w:tc>
        <w:tc>
          <w:tcPr>
            <w:tcW w:w="287" w:type="pct"/>
            <w:shd w:val="clear" w:color="auto" w:fill="auto"/>
            <w:vAlign w:val="center"/>
          </w:tcPr>
          <w:p w14:paraId="65325F8E">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S</w:t>
            </w:r>
          </w:p>
        </w:tc>
        <w:tc>
          <w:tcPr>
            <w:tcW w:w="888" w:type="pct"/>
            <w:shd w:val="clear" w:color="auto" w:fill="auto"/>
            <w:vAlign w:val="center"/>
          </w:tcPr>
          <w:p w14:paraId="2A10343D">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CV</w:t>
            </w:r>
          </w:p>
        </w:tc>
      </w:tr>
      <w:tr w14:paraId="70B93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63" w:type="pct"/>
            <w:shd w:val="clear" w:color="auto" w:fill="auto"/>
            <w:vAlign w:val="center"/>
          </w:tcPr>
          <w:p w14:paraId="423E717A">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A. Agree</w:t>
            </w:r>
          </w:p>
        </w:tc>
        <w:tc>
          <w:tcPr>
            <w:tcW w:w="1592" w:type="pct"/>
            <w:shd w:val="clear" w:color="auto" w:fill="auto"/>
            <w:vAlign w:val="center"/>
          </w:tcPr>
          <w:p w14:paraId="65957C5D">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0.88</w:t>
            </w:r>
          </w:p>
        </w:tc>
        <w:tc>
          <w:tcPr>
            <w:tcW w:w="761" w:type="pct"/>
            <w:shd w:val="clear" w:color="auto" w:fill="auto"/>
            <w:vAlign w:val="center"/>
          </w:tcPr>
          <w:p w14:paraId="1C1A063F">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11.76%</w:t>
            </w:r>
          </w:p>
        </w:tc>
        <w:tc>
          <w:tcPr>
            <w:tcW w:w="287" w:type="pct"/>
            <w:shd w:val="clear" w:color="auto" w:fill="auto"/>
            <w:vAlign w:val="center"/>
          </w:tcPr>
          <w:p w14:paraId="2E0C7B6D">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30</w:t>
            </w:r>
          </w:p>
        </w:tc>
        <w:tc>
          <w:tcPr>
            <w:tcW w:w="888" w:type="pct"/>
            <w:shd w:val="clear" w:color="auto" w:fill="auto"/>
            <w:vAlign w:val="center"/>
          </w:tcPr>
          <w:p w14:paraId="5F11FB9F">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37.06%</w:t>
            </w:r>
          </w:p>
        </w:tc>
      </w:tr>
      <w:tr w14:paraId="2344A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1363" w:type="pct"/>
            <w:shd w:val="clear" w:color="auto" w:fill="auto"/>
            <w:vAlign w:val="center"/>
          </w:tcPr>
          <w:p w14:paraId="05260FC7">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B. Disagree</w:t>
            </w:r>
          </w:p>
        </w:tc>
        <w:tc>
          <w:tcPr>
            <w:tcW w:w="1592" w:type="pct"/>
            <w:shd w:val="clear" w:color="auto" w:fill="auto"/>
            <w:vAlign w:val="center"/>
          </w:tcPr>
          <w:p w14:paraId="66FFE8CF">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0.12</w:t>
            </w:r>
          </w:p>
        </w:tc>
        <w:tc>
          <w:tcPr>
            <w:tcW w:w="761" w:type="pct"/>
            <w:shd w:val="clear" w:color="auto" w:fill="auto"/>
            <w:vAlign w:val="center"/>
          </w:tcPr>
          <w:p w14:paraId="0077B554">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88.24%</w:t>
            </w:r>
          </w:p>
        </w:tc>
        <w:tc>
          <w:tcPr>
            <w:tcW w:w="287" w:type="pct"/>
            <w:shd w:val="clear" w:color="auto" w:fill="auto"/>
            <w:vAlign w:val="center"/>
          </w:tcPr>
          <w:p w14:paraId="6DBDD9BD">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4</w:t>
            </w:r>
          </w:p>
        </w:tc>
        <w:tc>
          <w:tcPr>
            <w:tcW w:w="888" w:type="pct"/>
            <w:shd w:val="clear" w:color="auto" w:fill="auto"/>
            <w:vAlign w:val="center"/>
          </w:tcPr>
          <w:p w14:paraId="675190C1">
            <w:pPr>
              <w:autoSpaceDE/>
              <w:autoSpaceDN/>
              <w:adjustRightInd w:val="0"/>
              <w:spacing w:line="276" w:lineRule="auto"/>
              <w:ind w:firstLine="0" w:firstLineChars="0"/>
              <w:jc w:val="left"/>
              <w:outlineLvl w:val="3"/>
              <w:rPr>
                <w:rFonts w:hint="default" w:ascii="Cambria" w:hAnsi="Cambria" w:eastAsia="仿宋" w:cs="Cambria"/>
                <w:b w:val="0"/>
                <w:bCs w:val="0"/>
                <w:kern w:val="0"/>
                <w:szCs w:val="21"/>
              </w:rPr>
            </w:pPr>
            <w:r>
              <w:rPr>
                <w:rFonts w:hint="default" w:ascii="Cambria" w:hAnsi="Cambria" w:eastAsia="仿宋" w:cs="Cambria"/>
                <w:b w:val="0"/>
                <w:bCs w:val="0"/>
                <w:kern w:val="0"/>
                <w:szCs w:val="21"/>
                <w:lang w:val="en-US" w:eastAsia="zh-CN"/>
              </w:rPr>
              <w:t>277.98%</w:t>
            </w:r>
          </w:p>
        </w:tc>
      </w:tr>
    </w:tbl>
    <w:p w14:paraId="5C7582E9">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3 Handling and analysis of questionnaire results</w:t>
      </w:r>
    </w:p>
    <w:p w14:paraId="7275EA10">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3.1 Direct acceptance of revision comments</w:t>
      </w:r>
    </w:p>
    <w:p w14:paraId="0102D82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rPr>
        <w:t>Options supported by more than 50% of experts, namely those with a rank sum greater than half of the total number of valid questionnaires, were retained as items for which revision comments were directly accepted. The list of options for items directly accepting revision comments is summarized as follows.</w:t>
      </w:r>
    </w:p>
    <w:p w14:paraId="0DED1474">
      <w:pPr>
        <w:widowControl/>
        <w:spacing w:line="276" w:lineRule="auto"/>
        <w:ind w:firstLine="0" w:firstLineChars="0"/>
        <w:rPr>
          <w:rFonts w:hint="default" w:ascii="Cambria" w:hAnsi="Cambria" w:eastAsia="仿宋" w:cs="Cambria"/>
          <w:b/>
          <w:bCs/>
          <w:szCs w:val="21"/>
        </w:rPr>
      </w:pPr>
      <w:r>
        <w:rPr>
          <w:rFonts w:hint="default" w:ascii="Cambria" w:hAnsi="Cambria" w:eastAsia="仿宋" w:cs="Cambria"/>
          <w:b/>
          <w:bCs/>
          <w:szCs w:val="21"/>
        </w:rPr>
        <w:t>3.1.1 Items involving revision of provision wording</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799"/>
        <w:gridCol w:w="2133"/>
        <w:gridCol w:w="3402"/>
        <w:gridCol w:w="978"/>
        <w:gridCol w:w="1028"/>
      </w:tblGrid>
      <w:tr w14:paraId="7E66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2106098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Original item No.</w:t>
            </w:r>
          </w:p>
        </w:tc>
        <w:tc>
          <w:tcPr>
            <w:tcW w:w="0" w:type="auto"/>
            <w:shd w:val="clear" w:color="auto" w:fill="auto"/>
            <w:vAlign w:val="center"/>
          </w:tcPr>
          <w:p w14:paraId="1428F47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Item</w:t>
            </w:r>
          </w:p>
        </w:tc>
        <w:tc>
          <w:tcPr>
            <w:tcW w:w="0" w:type="auto"/>
            <w:shd w:val="clear" w:color="auto" w:fill="auto"/>
            <w:vAlign w:val="center"/>
          </w:tcPr>
          <w:p w14:paraId="79C0717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 with the highest support</w:t>
            </w:r>
          </w:p>
        </w:tc>
        <w:tc>
          <w:tcPr>
            <w:tcW w:w="0" w:type="auto"/>
            <w:shd w:val="clear" w:color="auto" w:fill="auto"/>
            <w:vAlign w:val="center"/>
          </w:tcPr>
          <w:p w14:paraId="62A6149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Frequency</w:t>
            </w:r>
          </w:p>
        </w:tc>
        <w:tc>
          <w:tcPr>
            <w:tcW w:w="0" w:type="auto"/>
            <w:shd w:val="clear" w:color="auto" w:fill="auto"/>
            <w:vAlign w:val="center"/>
          </w:tcPr>
          <w:p w14:paraId="78A3D6C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Percentage</w:t>
            </w:r>
          </w:p>
        </w:tc>
      </w:tr>
      <w:tr w14:paraId="37EBF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1F899DF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w:t>
            </w:r>
          </w:p>
        </w:tc>
        <w:tc>
          <w:tcPr>
            <w:tcW w:w="0" w:type="auto"/>
            <w:shd w:val="clear" w:color="auto" w:fill="auto"/>
            <w:vAlign w:val="center"/>
          </w:tcPr>
          <w:p w14:paraId="63243A4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Definition of deqi</w:t>
            </w:r>
          </w:p>
        </w:tc>
        <w:tc>
          <w:tcPr>
            <w:tcW w:w="0" w:type="auto"/>
            <w:shd w:val="clear" w:color="auto" w:fill="auto"/>
            <w:vAlign w:val="center"/>
          </w:tcPr>
          <w:p w14:paraId="2342F2F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Deqi refers to sensations such as soreness, numbness, distension and heaviness produced at the acupoint site after insertion of a filiform needle. It is also known as needle sensation or acupuncture response, indicating that the qi of the meridian has arrived beneath the needle. Source: GB/T 21709.20—2009 Standardized manipulations of acupuncture and moxibustion — Part 20: Basic techniques of filiform needle</w:t>
            </w:r>
          </w:p>
        </w:tc>
        <w:tc>
          <w:tcPr>
            <w:tcW w:w="0" w:type="auto"/>
            <w:shd w:val="clear" w:color="auto" w:fill="auto"/>
            <w:vAlign w:val="center"/>
          </w:tcPr>
          <w:p w14:paraId="551FF83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30</w:t>
            </w:r>
          </w:p>
        </w:tc>
        <w:tc>
          <w:tcPr>
            <w:tcW w:w="0" w:type="auto"/>
            <w:shd w:val="clear" w:color="auto" w:fill="auto"/>
            <w:vAlign w:val="center"/>
          </w:tcPr>
          <w:p w14:paraId="0D1442F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88.24%</w:t>
            </w:r>
          </w:p>
        </w:tc>
      </w:tr>
      <w:tr w14:paraId="3F27D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6A2A74E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w:t>
            </w:r>
          </w:p>
        </w:tc>
        <w:tc>
          <w:tcPr>
            <w:tcW w:w="0" w:type="auto"/>
            <w:shd w:val="clear" w:color="auto" w:fill="auto"/>
            <w:vAlign w:val="center"/>
          </w:tcPr>
          <w:p w14:paraId="26E2D8A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Definition of fainting during acupuncture</w:t>
            </w:r>
          </w:p>
        </w:tc>
        <w:tc>
          <w:tcPr>
            <w:tcW w:w="0" w:type="auto"/>
            <w:shd w:val="clear" w:color="auto" w:fill="auto"/>
            <w:vAlign w:val="center"/>
          </w:tcPr>
          <w:p w14:paraId="5929784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59C4AC0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21</w:t>
            </w:r>
          </w:p>
        </w:tc>
        <w:tc>
          <w:tcPr>
            <w:tcW w:w="0" w:type="auto"/>
            <w:shd w:val="clear" w:color="auto" w:fill="auto"/>
            <w:vAlign w:val="center"/>
          </w:tcPr>
          <w:p w14:paraId="54B2EEB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61.76%</w:t>
            </w:r>
          </w:p>
        </w:tc>
      </w:tr>
      <w:tr w14:paraId="6EB3B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106EFB1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w:t>
            </w:r>
          </w:p>
        </w:tc>
        <w:tc>
          <w:tcPr>
            <w:tcW w:w="0" w:type="auto"/>
            <w:shd w:val="clear" w:color="auto" w:fill="auto"/>
            <w:vAlign w:val="center"/>
          </w:tcPr>
          <w:p w14:paraId="79E5CF6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Position selection</w:t>
            </w:r>
          </w:p>
        </w:tc>
        <w:tc>
          <w:tcPr>
            <w:tcW w:w="0" w:type="auto"/>
            <w:shd w:val="clear" w:color="auto" w:fill="auto"/>
            <w:vAlign w:val="center"/>
          </w:tcPr>
          <w:p w14:paraId="63CBB83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3FB38FD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19</w:t>
            </w:r>
          </w:p>
        </w:tc>
        <w:tc>
          <w:tcPr>
            <w:tcW w:w="0" w:type="auto"/>
            <w:shd w:val="clear" w:color="auto" w:fill="auto"/>
            <w:vAlign w:val="center"/>
          </w:tcPr>
          <w:p w14:paraId="48C2867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55.88%</w:t>
            </w:r>
          </w:p>
        </w:tc>
      </w:tr>
      <w:tr w14:paraId="6A61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0C64728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4</w:t>
            </w:r>
          </w:p>
        </w:tc>
        <w:tc>
          <w:tcPr>
            <w:tcW w:w="0" w:type="auto"/>
            <w:shd w:val="clear" w:color="auto" w:fill="auto"/>
            <w:vAlign w:val="center"/>
          </w:tcPr>
          <w:p w14:paraId="29A457C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Definition of clamping needle insertion method</w:t>
            </w:r>
          </w:p>
        </w:tc>
        <w:tc>
          <w:tcPr>
            <w:tcW w:w="0" w:type="auto"/>
            <w:shd w:val="clear" w:color="auto" w:fill="auto"/>
            <w:vAlign w:val="center"/>
          </w:tcPr>
          <w:p w14:paraId="6FE7EF6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7A8945D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w:t>
            </w:r>
          </w:p>
        </w:tc>
        <w:tc>
          <w:tcPr>
            <w:tcW w:w="0" w:type="auto"/>
            <w:shd w:val="clear" w:color="auto" w:fill="auto"/>
            <w:vAlign w:val="center"/>
          </w:tcPr>
          <w:p w14:paraId="30483D6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51.52%</w:t>
            </w:r>
          </w:p>
        </w:tc>
      </w:tr>
      <w:tr w14:paraId="5D0A4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0442B90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w:t>
            </w:r>
          </w:p>
        </w:tc>
        <w:tc>
          <w:tcPr>
            <w:tcW w:w="0" w:type="auto"/>
            <w:shd w:val="clear" w:color="auto" w:fill="auto"/>
            <w:vAlign w:val="center"/>
          </w:tcPr>
          <w:p w14:paraId="04CE9B8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Definition of stretching needle insertion method</w:t>
            </w:r>
          </w:p>
        </w:tc>
        <w:tc>
          <w:tcPr>
            <w:tcW w:w="0" w:type="auto"/>
            <w:shd w:val="clear" w:color="auto" w:fill="auto"/>
            <w:vAlign w:val="center"/>
          </w:tcPr>
          <w:p w14:paraId="6F81842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Stretching needle insertion method: The index and middle fingers, or the thumb and middle finger, of the assisting hand stretch and tighten the skin at the acupoint site to be needled, while the needling hand holds the needle and inserts it. This method is used for needle insertion at sites where the skin is relatively loose and soft.</w:t>
            </w:r>
          </w:p>
        </w:tc>
        <w:tc>
          <w:tcPr>
            <w:tcW w:w="0" w:type="auto"/>
            <w:shd w:val="clear" w:color="auto" w:fill="auto"/>
            <w:vAlign w:val="center"/>
          </w:tcPr>
          <w:p w14:paraId="59147C0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18</w:t>
            </w:r>
          </w:p>
        </w:tc>
        <w:tc>
          <w:tcPr>
            <w:tcW w:w="0" w:type="auto"/>
            <w:shd w:val="clear" w:color="auto" w:fill="auto"/>
            <w:vAlign w:val="center"/>
          </w:tcPr>
          <w:p w14:paraId="4A48E38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52.94%</w:t>
            </w:r>
          </w:p>
        </w:tc>
      </w:tr>
      <w:tr w14:paraId="7A8A9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4D34965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6</w:t>
            </w:r>
          </w:p>
        </w:tc>
        <w:tc>
          <w:tcPr>
            <w:tcW w:w="0" w:type="auto"/>
            <w:shd w:val="clear" w:color="auto" w:fill="auto"/>
            <w:vAlign w:val="center"/>
          </w:tcPr>
          <w:p w14:paraId="1125919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Definition of pinching needle insertion method</w:t>
            </w:r>
          </w:p>
        </w:tc>
        <w:tc>
          <w:tcPr>
            <w:tcW w:w="0" w:type="auto"/>
            <w:shd w:val="clear" w:color="auto" w:fill="auto"/>
            <w:vAlign w:val="center"/>
          </w:tcPr>
          <w:p w14:paraId="75C1122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Pinching needle insertion method: The thumb and index finger of the assisting hand pinch and lift the skin on both sides of the acupoint to be needled, while the needling hand holds the needle and inserts it into the pinched acupoint site. This method is used for needle insertion at sites where the skin and flesh are thin.</w:t>
            </w:r>
          </w:p>
        </w:tc>
        <w:tc>
          <w:tcPr>
            <w:tcW w:w="0" w:type="auto"/>
            <w:shd w:val="clear" w:color="auto" w:fill="auto"/>
            <w:vAlign w:val="center"/>
          </w:tcPr>
          <w:p w14:paraId="5A060F2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18</w:t>
            </w:r>
          </w:p>
        </w:tc>
        <w:tc>
          <w:tcPr>
            <w:tcW w:w="0" w:type="auto"/>
            <w:shd w:val="clear" w:color="auto" w:fill="auto"/>
            <w:vAlign w:val="center"/>
          </w:tcPr>
          <w:p w14:paraId="720D838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52.94%</w:t>
            </w:r>
          </w:p>
        </w:tc>
      </w:tr>
      <w:tr w14:paraId="740E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77F8405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7</w:t>
            </w:r>
          </w:p>
        </w:tc>
        <w:tc>
          <w:tcPr>
            <w:tcW w:w="0" w:type="auto"/>
            <w:shd w:val="clear" w:color="auto" w:fill="auto"/>
            <w:vAlign w:val="center"/>
          </w:tcPr>
          <w:p w14:paraId="740EF87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Naming and definition of finger-pressing needle insertion method</w:t>
            </w:r>
          </w:p>
        </w:tc>
        <w:tc>
          <w:tcPr>
            <w:tcW w:w="0" w:type="auto"/>
            <w:shd w:val="clear" w:color="auto" w:fill="auto"/>
            <w:vAlign w:val="center"/>
          </w:tcPr>
          <w:p w14:paraId="0FF95C3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Fingernail-pressing needle insertion method: The fingernail of the thumb or index finger of the assisting hand presses and cuts the skin at the acupoint. The needling hand holds the needle, and the needle tip is rapidly inserted close to the fingernail edge of the assisting hand.</w:t>
            </w:r>
          </w:p>
        </w:tc>
        <w:tc>
          <w:tcPr>
            <w:tcW w:w="0" w:type="auto"/>
            <w:shd w:val="clear" w:color="auto" w:fill="auto"/>
            <w:vAlign w:val="center"/>
          </w:tcPr>
          <w:p w14:paraId="13ED338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18</w:t>
            </w:r>
          </w:p>
        </w:tc>
        <w:tc>
          <w:tcPr>
            <w:tcW w:w="0" w:type="auto"/>
            <w:shd w:val="clear" w:color="auto" w:fill="auto"/>
            <w:vAlign w:val="center"/>
          </w:tcPr>
          <w:p w14:paraId="44564D5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54.55%</w:t>
            </w:r>
          </w:p>
        </w:tc>
      </w:tr>
      <w:tr w14:paraId="24DF7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5BAEACC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8</w:t>
            </w:r>
          </w:p>
        </w:tc>
        <w:tc>
          <w:tcPr>
            <w:tcW w:w="0" w:type="auto"/>
            <w:shd w:val="clear" w:color="auto" w:fill="auto"/>
            <w:vAlign w:val="center"/>
          </w:tcPr>
          <w:p w14:paraId="27D7197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Naming and definition of needle-tube insertion method</w:t>
            </w:r>
          </w:p>
        </w:tc>
        <w:tc>
          <w:tcPr>
            <w:tcW w:w="0" w:type="auto"/>
            <w:shd w:val="clear" w:color="auto" w:fill="auto"/>
            <w:vAlign w:val="center"/>
          </w:tcPr>
          <w:p w14:paraId="4AA434D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Guide-tube needle insertion method: The needle is first inserted into a short guide tube made of glass, plastic or metal, which is 7.5 mm, or 3 fen, shorter than the needle, and the tube is placed in contact with the skin surface at the acupoint. The assisting hand presses the guide tube firmly, while the index finger of the needling hand flicks the needle tail so that the needle tip rapidly penetrates the skin. The guide tube is then removed, and the needle is further inserted into the acupoint.</w:t>
            </w:r>
          </w:p>
        </w:tc>
        <w:tc>
          <w:tcPr>
            <w:tcW w:w="0" w:type="auto"/>
            <w:shd w:val="clear" w:color="auto" w:fill="auto"/>
            <w:vAlign w:val="center"/>
          </w:tcPr>
          <w:p w14:paraId="69DCAC6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23</w:t>
            </w:r>
          </w:p>
        </w:tc>
        <w:tc>
          <w:tcPr>
            <w:tcW w:w="0" w:type="auto"/>
            <w:shd w:val="clear" w:color="auto" w:fill="auto"/>
            <w:vAlign w:val="center"/>
          </w:tcPr>
          <w:p w14:paraId="7B99FDC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67.65%</w:t>
            </w:r>
          </w:p>
        </w:tc>
      </w:tr>
      <w:tr w14:paraId="69CB8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121DBD8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w:t>
            </w:r>
          </w:p>
        </w:tc>
        <w:tc>
          <w:tcPr>
            <w:tcW w:w="0" w:type="auto"/>
            <w:shd w:val="clear" w:color="auto" w:fill="auto"/>
            <w:vAlign w:val="center"/>
          </w:tcPr>
          <w:p w14:paraId="1E5DB8E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Definition of perpendicular insertion</w:t>
            </w:r>
          </w:p>
        </w:tc>
        <w:tc>
          <w:tcPr>
            <w:tcW w:w="0" w:type="auto"/>
            <w:shd w:val="clear" w:color="auto" w:fill="auto"/>
            <w:vAlign w:val="center"/>
          </w:tcPr>
          <w:p w14:paraId="6CC245E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The needle body is inserted perpendicularly into the skin at an angle of approximately 90° to the skin surface. Perpendicular insertion is applicable to most acupoints and may be used for both shallow and deep insertion.</w:t>
            </w:r>
          </w:p>
        </w:tc>
        <w:tc>
          <w:tcPr>
            <w:tcW w:w="0" w:type="auto"/>
            <w:shd w:val="clear" w:color="auto" w:fill="auto"/>
            <w:vAlign w:val="center"/>
          </w:tcPr>
          <w:p w14:paraId="641409A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19</w:t>
            </w:r>
          </w:p>
        </w:tc>
        <w:tc>
          <w:tcPr>
            <w:tcW w:w="0" w:type="auto"/>
            <w:shd w:val="clear" w:color="auto" w:fill="auto"/>
            <w:vAlign w:val="center"/>
          </w:tcPr>
          <w:p w14:paraId="3A145BF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55.88%</w:t>
            </w:r>
          </w:p>
        </w:tc>
      </w:tr>
      <w:tr w14:paraId="7B117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5E3D9B2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w:t>
            </w:r>
          </w:p>
        </w:tc>
        <w:tc>
          <w:tcPr>
            <w:tcW w:w="0" w:type="auto"/>
            <w:shd w:val="clear" w:color="auto" w:fill="auto"/>
            <w:vAlign w:val="center"/>
          </w:tcPr>
          <w:p w14:paraId="38E232D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Definition of oblique insertion</w:t>
            </w:r>
          </w:p>
        </w:tc>
        <w:tc>
          <w:tcPr>
            <w:tcW w:w="0" w:type="auto"/>
            <w:shd w:val="clear" w:color="auto" w:fill="auto"/>
            <w:vAlign w:val="center"/>
          </w:tcPr>
          <w:p w14:paraId="20469F6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33D90CF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21</w:t>
            </w:r>
          </w:p>
        </w:tc>
        <w:tc>
          <w:tcPr>
            <w:tcW w:w="0" w:type="auto"/>
            <w:shd w:val="clear" w:color="auto" w:fill="auto"/>
            <w:vAlign w:val="center"/>
          </w:tcPr>
          <w:p w14:paraId="1C6DF97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61.76%</w:t>
            </w:r>
          </w:p>
        </w:tc>
      </w:tr>
      <w:tr w14:paraId="5BCB5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764BD46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12</w:t>
            </w:r>
          </w:p>
        </w:tc>
        <w:tc>
          <w:tcPr>
            <w:tcW w:w="0" w:type="auto"/>
            <w:shd w:val="clear" w:color="auto" w:fill="auto"/>
            <w:vAlign w:val="center"/>
          </w:tcPr>
          <w:p w14:paraId="76CA1BC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Naming and definition of horizontal insertion</w:t>
            </w:r>
          </w:p>
        </w:tc>
        <w:tc>
          <w:tcPr>
            <w:tcW w:w="0" w:type="auto"/>
            <w:shd w:val="clear" w:color="auto" w:fill="auto"/>
            <w:vAlign w:val="center"/>
          </w:tcPr>
          <w:p w14:paraId="6A643A8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42A9938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19</w:t>
            </w:r>
          </w:p>
        </w:tc>
        <w:tc>
          <w:tcPr>
            <w:tcW w:w="0" w:type="auto"/>
            <w:shd w:val="clear" w:color="auto" w:fill="auto"/>
            <w:vAlign w:val="center"/>
          </w:tcPr>
          <w:p w14:paraId="49216AD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55.88%</w:t>
            </w:r>
          </w:p>
        </w:tc>
      </w:tr>
      <w:tr w14:paraId="3D005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630A42C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13</w:t>
            </w:r>
          </w:p>
        </w:tc>
        <w:tc>
          <w:tcPr>
            <w:tcW w:w="0" w:type="auto"/>
            <w:shd w:val="clear" w:color="auto" w:fill="auto"/>
            <w:vAlign w:val="center"/>
          </w:tcPr>
          <w:p w14:paraId="734BAFF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Definition of needle retention</w:t>
            </w:r>
          </w:p>
        </w:tc>
        <w:tc>
          <w:tcPr>
            <w:tcW w:w="0" w:type="auto"/>
            <w:shd w:val="clear" w:color="auto" w:fill="auto"/>
            <w:vAlign w:val="center"/>
          </w:tcPr>
          <w:p w14:paraId="5C3C749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4986E4B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w:t>
            </w:r>
          </w:p>
        </w:tc>
        <w:tc>
          <w:tcPr>
            <w:tcW w:w="0" w:type="auto"/>
            <w:shd w:val="clear" w:color="auto" w:fill="auto"/>
            <w:vAlign w:val="center"/>
          </w:tcPr>
          <w:p w14:paraId="117C5A4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53.13%</w:t>
            </w:r>
          </w:p>
        </w:tc>
      </w:tr>
      <w:tr w14:paraId="73D80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0D5F25E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14</w:t>
            </w:r>
          </w:p>
        </w:tc>
        <w:tc>
          <w:tcPr>
            <w:tcW w:w="0" w:type="auto"/>
            <w:shd w:val="clear" w:color="auto" w:fill="auto"/>
            <w:vAlign w:val="center"/>
          </w:tcPr>
          <w:p w14:paraId="1FA0AB5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Operating steps for needle withdrawal</w:t>
            </w:r>
          </w:p>
        </w:tc>
        <w:tc>
          <w:tcPr>
            <w:tcW w:w="0" w:type="auto"/>
            <w:shd w:val="clear" w:color="auto" w:fill="auto"/>
            <w:vAlign w:val="center"/>
          </w:tcPr>
          <w:p w14:paraId="4606EF0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6B32EAA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w:t>
            </w:r>
          </w:p>
        </w:tc>
        <w:tc>
          <w:tcPr>
            <w:tcW w:w="0" w:type="auto"/>
            <w:shd w:val="clear" w:color="auto" w:fill="auto"/>
            <w:vAlign w:val="center"/>
          </w:tcPr>
          <w:p w14:paraId="72966D3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53.13%</w:t>
            </w:r>
          </w:p>
        </w:tc>
      </w:tr>
      <w:tr w14:paraId="7CCDF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6EFF05E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15</w:t>
            </w:r>
          </w:p>
        </w:tc>
        <w:tc>
          <w:tcPr>
            <w:tcW w:w="0" w:type="auto"/>
            <w:shd w:val="clear" w:color="auto" w:fill="auto"/>
            <w:vAlign w:val="center"/>
          </w:tcPr>
          <w:p w14:paraId="50FEFED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Description of needle selection</w:t>
            </w:r>
          </w:p>
        </w:tc>
        <w:tc>
          <w:tcPr>
            <w:tcW w:w="0" w:type="auto"/>
            <w:shd w:val="clear" w:color="auto" w:fill="auto"/>
            <w:vAlign w:val="center"/>
          </w:tcPr>
          <w:p w14:paraId="13CD8D3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Different types of three-edge needles should be selected according to the needs of the condition and the operating site. The needle body should be smooth and free of rust, and the needle tip should be sharp and free of barbs.</w:t>
            </w:r>
          </w:p>
        </w:tc>
        <w:tc>
          <w:tcPr>
            <w:tcW w:w="0" w:type="auto"/>
            <w:shd w:val="clear" w:color="auto" w:fill="auto"/>
            <w:vAlign w:val="center"/>
          </w:tcPr>
          <w:p w14:paraId="4B5F3D9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18</w:t>
            </w:r>
          </w:p>
        </w:tc>
        <w:tc>
          <w:tcPr>
            <w:tcW w:w="0" w:type="auto"/>
            <w:shd w:val="clear" w:color="auto" w:fill="auto"/>
            <w:vAlign w:val="center"/>
          </w:tcPr>
          <w:p w14:paraId="6116B87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52.94%</w:t>
            </w:r>
          </w:p>
        </w:tc>
      </w:tr>
      <w:tr w14:paraId="1625B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21B88A9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16</w:t>
            </w:r>
          </w:p>
        </w:tc>
        <w:tc>
          <w:tcPr>
            <w:tcW w:w="0" w:type="auto"/>
            <w:shd w:val="clear" w:color="auto" w:fill="auto"/>
            <w:vAlign w:val="center"/>
          </w:tcPr>
          <w:p w14:paraId="2C72234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Operating steps for pricking with a three-edge needle</w:t>
            </w:r>
          </w:p>
        </w:tc>
        <w:tc>
          <w:tcPr>
            <w:tcW w:w="0" w:type="auto"/>
            <w:shd w:val="clear" w:color="auto" w:fill="auto"/>
            <w:vAlign w:val="center"/>
          </w:tcPr>
          <w:p w14:paraId="73E7B92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The needle tip is exposed by 0.5–5 mm, aligned with the disinfected site, and inserted to a depth of 0.5–5 mm. The needle is then withdrawn rapidly, followed by gentle squeezing around the needle hole.</w:t>
            </w:r>
          </w:p>
        </w:tc>
        <w:tc>
          <w:tcPr>
            <w:tcW w:w="0" w:type="auto"/>
            <w:shd w:val="clear" w:color="auto" w:fill="auto"/>
            <w:vAlign w:val="center"/>
          </w:tcPr>
          <w:p w14:paraId="07A423D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19</w:t>
            </w:r>
          </w:p>
        </w:tc>
        <w:tc>
          <w:tcPr>
            <w:tcW w:w="0" w:type="auto"/>
            <w:shd w:val="clear" w:color="auto" w:fill="auto"/>
            <w:vAlign w:val="center"/>
          </w:tcPr>
          <w:p w14:paraId="66C815C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55.88%</w:t>
            </w:r>
          </w:p>
        </w:tc>
      </w:tr>
      <w:tr w14:paraId="32195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48B4257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w:t>
            </w:r>
          </w:p>
        </w:tc>
        <w:tc>
          <w:tcPr>
            <w:tcW w:w="0" w:type="auto"/>
            <w:shd w:val="clear" w:color="auto" w:fill="auto"/>
            <w:vAlign w:val="center"/>
          </w:tcPr>
          <w:p w14:paraId="5696694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Operating steps for bloodletting with a three-edge needle</w:t>
            </w:r>
          </w:p>
        </w:tc>
        <w:tc>
          <w:tcPr>
            <w:tcW w:w="0" w:type="auto"/>
            <w:shd w:val="clear" w:color="auto" w:fill="auto"/>
            <w:vAlign w:val="center"/>
          </w:tcPr>
          <w:p w14:paraId="787DC65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569BAD2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18</w:t>
            </w:r>
          </w:p>
        </w:tc>
        <w:tc>
          <w:tcPr>
            <w:tcW w:w="0" w:type="auto"/>
            <w:shd w:val="clear" w:color="auto" w:fill="auto"/>
            <w:vAlign w:val="center"/>
          </w:tcPr>
          <w:p w14:paraId="128CBB5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52.94%</w:t>
            </w:r>
          </w:p>
        </w:tc>
      </w:tr>
      <w:tr w14:paraId="75734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7085CBE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19</w:t>
            </w:r>
          </w:p>
        </w:tc>
        <w:tc>
          <w:tcPr>
            <w:tcW w:w="0" w:type="auto"/>
            <w:shd w:val="clear" w:color="auto" w:fill="auto"/>
            <w:vAlign w:val="center"/>
          </w:tcPr>
          <w:p w14:paraId="6F4CDFB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Operating steps for scattered pricking with a three-edge needle</w:t>
            </w:r>
          </w:p>
        </w:tc>
        <w:tc>
          <w:tcPr>
            <w:tcW w:w="0" w:type="auto"/>
            <w:shd w:val="clear" w:color="auto" w:fill="auto"/>
            <w:vAlign w:val="center"/>
          </w:tcPr>
          <w:p w14:paraId="261DE8F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6317EE4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w:t>
            </w:r>
          </w:p>
        </w:tc>
        <w:tc>
          <w:tcPr>
            <w:tcW w:w="0" w:type="auto"/>
            <w:shd w:val="clear" w:color="auto" w:fill="auto"/>
            <w:vAlign w:val="center"/>
          </w:tcPr>
          <w:p w14:paraId="1CB8875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53.13%</w:t>
            </w:r>
          </w:p>
        </w:tc>
      </w:tr>
      <w:tr w14:paraId="1B245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2DD7729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21</w:t>
            </w:r>
          </w:p>
        </w:tc>
        <w:tc>
          <w:tcPr>
            <w:tcW w:w="0" w:type="auto"/>
            <w:shd w:val="clear" w:color="auto" w:fill="auto"/>
            <w:vAlign w:val="center"/>
          </w:tcPr>
          <w:p w14:paraId="5F099D9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Specifications of Annex A (informative) Commonly used filiform needles</w:t>
            </w:r>
          </w:p>
        </w:tc>
        <w:tc>
          <w:tcPr>
            <w:tcW w:w="0" w:type="auto"/>
            <w:shd w:val="clear" w:color="auto" w:fill="auto"/>
            <w:vAlign w:val="center"/>
          </w:tcPr>
          <w:p w14:paraId="74DD13B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0" w:type="auto"/>
            <w:shd w:val="clear" w:color="auto" w:fill="auto"/>
            <w:vAlign w:val="center"/>
          </w:tcPr>
          <w:p w14:paraId="4CC8F81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34</w:t>
            </w:r>
          </w:p>
        </w:tc>
        <w:tc>
          <w:tcPr>
            <w:tcW w:w="0" w:type="auto"/>
            <w:shd w:val="clear" w:color="auto" w:fill="auto"/>
            <w:vAlign w:val="center"/>
          </w:tcPr>
          <w:p w14:paraId="0EEDC18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100.00%</w:t>
            </w:r>
          </w:p>
        </w:tc>
      </w:tr>
      <w:tr w14:paraId="52738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68D8A0F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22</w:t>
            </w:r>
          </w:p>
        </w:tc>
        <w:tc>
          <w:tcPr>
            <w:tcW w:w="0" w:type="auto"/>
            <w:shd w:val="clear" w:color="auto" w:fill="auto"/>
            <w:vAlign w:val="center"/>
          </w:tcPr>
          <w:p w14:paraId="0AA93A7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Operation of the following method</w:t>
            </w:r>
          </w:p>
        </w:tc>
        <w:tc>
          <w:tcPr>
            <w:tcW w:w="0" w:type="auto"/>
            <w:shd w:val="clear" w:color="auto" w:fill="auto"/>
            <w:vAlign w:val="center"/>
          </w:tcPr>
          <w:p w14:paraId="7B1C789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03852B5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23</w:t>
            </w:r>
          </w:p>
        </w:tc>
        <w:tc>
          <w:tcPr>
            <w:tcW w:w="0" w:type="auto"/>
            <w:shd w:val="clear" w:color="auto" w:fill="auto"/>
            <w:vAlign w:val="center"/>
          </w:tcPr>
          <w:p w14:paraId="2D8E70A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67.65%</w:t>
            </w:r>
          </w:p>
        </w:tc>
      </w:tr>
      <w:tr w14:paraId="23B25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12CF95F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24</w:t>
            </w:r>
          </w:p>
        </w:tc>
        <w:tc>
          <w:tcPr>
            <w:tcW w:w="0" w:type="auto"/>
            <w:shd w:val="clear" w:color="auto" w:fill="auto"/>
            <w:vAlign w:val="center"/>
          </w:tcPr>
          <w:p w14:paraId="7C0FC9B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Operation of the scraping method</w:t>
            </w:r>
          </w:p>
        </w:tc>
        <w:tc>
          <w:tcPr>
            <w:tcW w:w="0" w:type="auto"/>
            <w:shd w:val="clear" w:color="auto" w:fill="auto"/>
            <w:vAlign w:val="center"/>
          </w:tcPr>
          <w:p w14:paraId="57445D8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2A196B1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19</w:t>
            </w:r>
          </w:p>
        </w:tc>
        <w:tc>
          <w:tcPr>
            <w:tcW w:w="0" w:type="auto"/>
            <w:shd w:val="clear" w:color="auto" w:fill="auto"/>
            <w:vAlign w:val="center"/>
          </w:tcPr>
          <w:p w14:paraId="76D5719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55.88%</w:t>
            </w:r>
          </w:p>
        </w:tc>
      </w:tr>
      <w:tr w14:paraId="78AB0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38985A0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25</w:t>
            </w:r>
          </w:p>
        </w:tc>
        <w:tc>
          <w:tcPr>
            <w:tcW w:w="0" w:type="auto"/>
            <w:shd w:val="clear" w:color="auto" w:fill="auto"/>
            <w:vAlign w:val="center"/>
          </w:tcPr>
          <w:p w14:paraId="4B16B9F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Operation of the shaking method</w:t>
            </w:r>
          </w:p>
        </w:tc>
        <w:tc>
          <w:tcPr>
            <w:tcW w:w="0" w:type="auto"/>
            <w:shd w:val="clear" w:color="auto" w:fill="auto"/>
            <w:vAlign w:val="center"/>
          </w:tcPr>
          <w:p w14:paraId="735A9BB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174B2C6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24</w:t>
            </w:r>
          </w:p>
        </w:tc>
        <w:tc>
          <w:tcPr>
            <w:tcW w:w="0" w:type="auto"/>
            <w:shd w:val="clear" w:color="auto" w:fill="auto"/>
            <w:vAlign w:val="center"/>
          </w:tcPr>
          <w:p w14:paraId="18AB536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70.59%</w:t>
            </w:r>
          </w:p>
        </w:tc>
      </w:tr>
      <w:tr w14:paraId="65E11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5936BFE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26</w:t>
            </w:r>
          </w:p>
        </w:tc>
        <w:tc>
          <w:tcPr>
            <w:tcW w:w="0" w:type="auto"/>
            <w:shd w:val="clear" w:color="auto" w:fill="auto"/>
            <w:vAlign w:val="center"/>
          </w:tcPr>
          <w:p w14:paraId="24A2C74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Operation of the flying method</w:t>
            </w:r>
          </w:p>
        </w:tc>
        <w:tc>
          <w:tcPr>
            <w:tcW w:w="0" w:type="auto"/>
            <w:shd w:val="clear" w:color="auto" w:fill="auto"/>
            <w:vAlign w:val="center"/>
          </w:tcPr>
          <w:p w14:paraId="290F91B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588FB1B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20</w:t>
            </w:r>
          </w:p>
        </w:tc>
        <w:tc>
          <w:tcPr>
            <w:tcW w:w="0" w:type="auto"/>
            <w:shd w:val="clear" w:color="auto" w:fill="auto"/>
            <w:vAlign w:val="center"/>
          </w:tcPr>
          <w:p w14:paraId="1DACBEF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58.82%</w:t>
            </w:r>
          </w:p>
        </w:tc>
      </w:tr>
      <w:tr w14:paraId="24F2C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072DC4E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27</w:t>
            </w:r>
          </w:p>
        </w:tc>
        <w:tc>
          <w:tcPr>
            <w:tcW w:w="0" w:type="auto"/>
            <w:shd w:val="clear" w:color="auto" w:fill="auto"/>
            <w:vAlign w:val="center"/>
          </w:tcPr>
          <w:p w14:paraId="7EDC9A0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Naming and operation of the trembling method</w:t>
            </w:r>
          </w:p>
        </w:tc>
        <w:tc>
          <w:tcPr>
            <w:tcW w:w="0" w:type="auto"/>
            <w:shd w:val="clear" w:color="auto" w:fill="auto"/>
            <w:vAlign w:val="center"/>
          </w:tcPr>
          <w:p w14:paraId="3F6C068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091E074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22</w:t>
            </w:r>
          </w:p>
        </w:tc>
        <w:tc>
          <w:tcPr>
            <w:tcW w:w="0" w:type="auto"/>
            <w:shd w:val="clear" w:color="auto" w:fill="auto"/>
            <w:vAlign w:val="center"/>
          </w:tcPr>
          <w:p w14:paraId="6C971BF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64.71%</w:t>
            </w:r>
          </w:p>
        </w:tc>
      </w:tr>
      <w:tr w14:paraId="615AE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1597CB3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28</w:t>
            </w:r>
          </w:p>
        </w:tc>
        <w:tc>
          <w:tcPr>
            <w:tcW w:w="0" w:type="auto"/>
            <w:shd w:val="clear" w:color="auto" w:fill="auto"/>
            <w:vAlign w:val="center"/>
          </w:tcPr>
          <w:p w14:paraId="62A9318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Operations of single reinforcing-reducing manipulations</w:t>
            </w:r>
          </w:p>
        </w:tc>
        <w:tc>
          <w:tcPr>
            <w:tcW w:w="0" w:type="auto"/>
            <w:shd w:val="clear" w:color="auto" w:fill="auto"/>
            <w:vAlign w:val="center"/>
          </w:tcPr>
          <w:p w14:paraId="286EBEE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7A2E990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23</w:t>
            </w:r>
          </w:p>
        </w:tc>
        <w:tc>
          <w:tcPr>
            <w:tcW w:w="0" w:type="auto"/>
            <w:shd w:val="clear" w:color="auto" w:fill="auto"/>
            <w:vAlign w:val="center"/>
          </w:tcPr>
          <w:p w14:paraId="2127573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67.65%</w:t>
            </w:r>
          </w:p>
        </w:tc>
      </w:tr>
      <w:tr w14:paraId="6C191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5F88FAD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29</w:t>
            </w:r>
          </w:p>
        </w:tc>
        <w:tc>
          <w:tcPr>
            <w:tcW w:w="0" w:type="auto"/>
            <w:shd w:val="clear" w:color="auto" w:fill="auto"/>
            <w:vAlign w:val="center"/>
          </w:tcPr>
          <w:p w14:paraId="30215AB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Operating steps for ginger-partitioned moxibustion</w:t>
            </w:r>
          </w:p>
        </w:tc>
        <w:tc>
          <w:tcPr>
            <w:tcW w:w="0" w:type="auto"/>
            <w:shd w:val="clear" w:color="auto" w:fill="auto"/>
            <w:vAlign w:val="center"/>
          </w:tcPr>
          <w:p w14:paraId="4227135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1005D8F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18</w:t>
            </w:r>
          </w:p>
        </w:tc>
        <w:tc>
          <w:tcPr>
            <w:tcW w:w="0" w:type="auto"/>
            <w:shd w:val="clear" w:color="auto" w:fill="auto"/>
            <w:vAlign w:val="center"/>
          </w:tcPr>
          <w:p w14:paraId="49BBFCB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52.94%</w:t>
            </w:r>
          </w:p>
        </w:tc>
      </w:tr>
      <w:tr w14:paraId="43E93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34B70E9E">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30</w:t>
            </w:r>
          </w:p>
        </w:tc>
        <w:tc>
          <w:tcPr>
            <w:tcW w:w="0" w:type="auto"/>
            <w:shd w:val="clear" w:color="auto" w:fill="auto"/>
            <w:vAlign w:val="center"/>
          </w:tcPr>
          <w:p w14:paraId="15A22801">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Treatment course of Si Feng pricking therapy</w:t>
            </w:r>
          </w:p>
        </w:tc>
        <w:tc>
          <w:tcPr>
            <w:tcW w:w="0" w:type="auto"/>
            <w:shd w:val="clear" w:color="auto" w:fill="auto"/>
            <w:vAlign w:val="center"/>
          </w:tcPr>
          <w:p w14:paraId="46963C4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Pricking may be performed 1–2 times per week. For severe cases, it may be performed once every other day. After the condition improves, the frequency may be reduced to once per week, once every 10 days or once every 15 days, with no more than 10 sessions in total.</w:t>
            </w:r>
          </w:p>
        </w:tc>
        <w:tc>
          <w:tcPr>
            <w:tcW w:w="0" w:type="auto"/>
            <w:shd w:val="clear" w:color="auto" w:fill="auto"/>
            <w:vAlign w:val="center"/>
          </w:tcPr>
          <w:p w14:paraId="3B7C238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23</w:t>
            </w:r>
          </w:p>
        </w:tc>
        <w:tc>
          <w:tcPr>
            <w:tcW w:w="0" w:type="auto"/>
            <w:shd w:val="clear" w:color="auto" w:fill="auto"/>
            <w:vAlign w:val="center"/>
          </w:tcPr>
          <w:p w14:paraId="2D2365F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67.65%</w:t>
            </w:r>
          </w:p>
        </w:tc>
      </w:tr>
      <w:tr w14:paraId="43BA5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3B7F577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31</w:t>
            </w:r>
          </w:p>
        </w:tc>
        <w:tc>
          <w:tcPr>
            <w:tcW w:w="0" w:type="auto"/>
            <w:shd w:val="clear" w:color="auto" w:fill="auto"/>
            <w:vAlign w:val="center"/>
          </w:tcPr>
          <w:p w14:paraId="2297BE7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Operating steps for salt-partitioned moxibustion</w:t>
            </w:r>
          </w:p>
        </w:tc>
        <w:tc>
          <w:tcPr>
            <w:tcW w:w="0" w:type="auto"/>
            <w:shd w:val="clear" w:color="auto" w:fill="auto"/>
            <w:vAlign w:val="center"/>
          </w:tcPr>
          <w:p w14:paraId="4A9FD83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1DCD3EAF">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22</w:t>
            </w:r>
          </w:p>
        </w:tc>
        <w:tc>
          <w:tcPr>
            <w:tcW w:w="0" w:type="auto"/>
            <w:shd w:val="clear" w:color="auto" w:fill="auto"/>
            <w:vAlign w:val="center"/>
          </w:tcPr>
          <w:p w14:paraId="6755502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64.71%</w:t>
            </w:r>
          </w:p>
        </w:tc>
      </w:tr>
      <w:tr w14:paraId="2672D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25773CFD">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32</w:t>
            </w:r>
          </w:p>
        </w:tc>
        <w:tc>
          <w:tcPr>
            <w:tcW w:w="0" w:type="auto"/>
            <w:shd w:val="clear" w:color="auto" w:fill="auto"/>
            <w:vAlign w:val="center"/>
          </w:tcPr>
          <w:p w14:paraId="1546AE9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Name and operating steps of aconite-partitioned moxibustion</w:t>
            </w:r>
          </w:p>
        </w:tc>
        <w:tc>
          <w:tcPr>
            <w:tcW w:w="0" w:type="auto"/>
            <w:shd w:val="clear" w:color="auto" w:fill="auto"/>
            <w:vAlign w:val="center"/>
          </w:tcPr>
          <w:p w14:paraId="07F5DA9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0AB8A3B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18</w:t>
            </w:r>
          </w:p>
        </w:tc>
        <w:tc>
          <w:tcPr>
            <w:tcW w:w="0" w:type="auto"/>
            <w:shd w:val="clear" w:color="auto" w:fill="auto"/>
            <w:vAlign w:val="center"/>
          </w:tcPr>
          <w:p w14:paraId="05C2225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54.55%</w:t>
            </w:r>
          </w:p>
        </w:tc>
      </w:tr>
      <w:tr w14:paraId="00550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50A3B0E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33</w:t>
            </w:r>
          </w:p>
        </w:tc>
        <w:tc>
          <w:tcPr>
            <w:tcW w:w="0" w:type="auto"/>
            <w:shd w:val="clear" w:color="auto" w:fill="auto"/>
            <w:vAlign w:val="center"/>
          </w:tcPr>
          <w:p w14:paraId="3B649A9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Operation of Lei Huo Shen Zhen</w:t>
            </w:r>
          </w:p>
        </w:tc>
        <w:tc>
          <w:tcPr>
            <w:tcW w:w="0" w:type="auto"/>
            <w:shd w:val="clear" w:color="auto" w:fill="auto"/>
            <w:vAlign w:val="center"/>
          </w:tcPr>
          <w:p w14:paraId="2F3E0C5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Take 94 g of moxa floss; 9 g each of agarwood, Aucklandia root, frankincense, capillary artemisia, Notopterygium root and rhizome, and dried ginger; and a small amount of musk. Grind them into powder and mix evenly. Spread the medicines flat on mulberry bark paper, roll tightly into a firecracker-like shape, and then roll and tighten further with a wooden board. Coat the outside with egg white, dry in the shade, and store for later use.</w:t>
            </w:r>
          </w:p>
        </w:tc>
        <w:tc>
          <w:tcPr>
            <w:tcW w:w="0" w:type="auto"/>
            <w:shd w:val="clear" w:color="auto" w:fill="auto"/>
            <w:vAlign w:val="center"/>
          </w:tcPr>
          <w:p w14:paraId="74DD9E6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32</w:t>
            </w:r>
          </w:p>
        </w:tc>
        <w:tc>
          <w:tcPr>
            <w:tcW w:w="0" w:type="auto"/>
            <w:shd w:val="clear" w:color="auto" w:fill="auto"/>
            <w:vAlign w:val="center"/>
          </w:tcPr>
          <w:p w14:paraId="06662A1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94.12%</w:t>
            </w:r>
          </w:p>
        </w:tc>
      </w:tr>
      <w:tr w14:paraId="5C444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085761C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34</w:t>
            </w:r>
          </w:p>
        </w:tc>
        <w:tc>
          <w:tcPr>
            <w:tcW w:w="0" w:type="auto"/>
            <w:shd w:val="clear" w:color="auto" w:fill="auto"/>
            <w:vAlign w:val="center"/>
          </w:tcPr>
          <w:p w14:paraId="4437483B">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Composition and preparation method of Taiyi Shen Zhen</w:t>
            </w:r>
          </w:p>
        </w:tc>
        <w:tc>
          <w:tcPr>
            <w:tcW w:w="0" w:type="auto"/>
            <w:shd w:val="clear" w:color="auto" w:fill="auto"/>
            <w:vAlign w:val="center"/>
          </w:tcPr>
          <w:p w14:paraId="20C8EC9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B. Retain the original wording of the national standard.</w:t>
            </w:r>
          </w:p>
        </w:tc>
        <w:tc>
          <w:tcPr>
            <w:tcW w:w="0" w:type="auto"/>
            <w:shd w:val="clear" w:color="auto" w:fill="auto"/>
            <w:vAlign w:val="center"/>
          </w:tcPr>
          <w:p w14:paraId="4560B8F6">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20</w:t>
            </w:r>
          </w:p>
        </w:tc>
        <w:tc>
          <w:tcPr>
            <w:tcW w:w="0" w:type="auto"/>
            <w:shd w:val="clear" w:color="auto" w:fill="auto"/>
            <w:vAlign w:val="center"/>
          </w:tcPr>
          <w:p w14:paraId="06CEEFA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60.61%</w:t>
            </w:r>
          </w:p>
        </w:tc>
      </w:tr>
      <w:tr w14:paraId="76843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582C8323">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35</w:t>
            </w:r>
          </w:p>
        </w:tc>
        <w:tc>
          <w:tcPr>
            <w:tcW w:w="0" w:type="auto"/>
            <w:shd w:val="clear" w:color="auto" w:fill="auto"/>
            <w:vAlign w:val="center"/>
          </w:tcPr>
          <w:p w14:paraId="1CD0E355">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Treatment duration and course of moxibustion</w:t>
            </w:r>
          </w:p>
        </w:tc>
        <w:tc>
          <w:tcPr>
            <w:tcW w:w="0" w:type="auto"/>
            <w:shd w:val="clear" w:color="auto" w:fill="auto"/>
            <w:vAlign w:val="center"/>
          </w:tcPr>
          <w:p w14:paraId="083E368A">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The duration of moxibustion should not be excessively long; 3–10 min for each acupoint is appropriate. The duration should be shorter in summer and may be slightly longer in winter. The frequency and course of moxibustion should be determined according to the child’s condition, and moxibustion may be performed once daily, once every other day, or once every 3 days.</w:t>
            </w:r>
          </w:p>
        </w:tc>
        <w:tc>
          <w:tcPr>
            <w:tcW w:w="0" w:type="auto"/>
            <w:shd w:val="clear" w:color="auto" w:fill="auto"/>
            <w:vAlign w:val="center"/>
          </w:tcPr>
          <w:p w14:paraId="66D39FA8">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25</w:t>
            </w:r>
          </w:p>
        </w:tc>
        <w:tc>
          <w:tcPr>
            <w:tcW w:w="0" w:type="auto"/>
            <w:shd w:val="clear" w:color="auto" w:fill="auto"/>
            <w:vAlign w:val="center"/>
          </w:tcPr>
          <w:p w14:paraId="77B23B17">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73.53%</w:t>
            </w:r>
          </w:p>
        </w:tc>
      </w:tr>
      <w:tr w14:paraId="6DAD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55080D30">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36</w:t>
            </w:r>
          </w:p>
        </w:tc>
        <w:tc>
          <w:tcPr>
            <w:tcW w:w="0" w:type="auto"/>
            <w:shd w:val="clear" w:color="auto" w:fill="auto"/>
            <w:vAlign w:val="center"/>
          </w:tcPr>
          <w:p w14:paraId="4D29027C">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Acupuncture operation near the fontanelle in children</w:t>
            </w:r>
          </w:p>
        </w:tc>
        <w:tc>
          <w:tcPr>
            <w:tcW w:w="0" w:type="auto"/>
            <w:shd w:val="clear" w:color="auto" w:fill="auto"/>
            <w:vAlign w:val="center"/>
          </w:tcPr>
          <w:p w14:paraId="06108919">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When the fontanelle in children has not yet closed, acupoints near the fontanelle should not be needled.</w:t>
            </w:r>
          </w:p>
        </w:tc>
        <w:tc>
          <w:tcPr>
            <w:tcW w:w="0" w:type="auto"/>
            <w:shd w:val="clear" w:color="auto" w:fill="auto"/>
            <w:vAlign w:val="center"/>
          </w:tcPr>
          <w:p w14:paraId="6AB41772">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25</w:t>
            </w:r>
          </w:p>
        </w:tc>
        <w:tc>
          <w:tcPr>
            <w:tcW w:w="0" w:type="auto"/>
            <w:shd w:val="clear" w:color="auto" w:fill="auto"/>
            <w:vAlign w:val="center"/>
          </w:tcPr>
          <w:p w14:paraId="513A05C4">
            <w:pPr>
              <w:widowControl/>
              <w:spacing w:line="276" w:lineRule="auto"/>
              <w:ind w:firstLine="0" w:firstLineChars="0"/>
              <w:rPr>
                <w:rFonts w:hint="default" w:ascii="Cambria" w:hAnsi="Cambria" w:eastAsia="仿宋" w:cs="Cambria"/>
                <w:b w:val="0"/>
                <w:bCs w:val="0"/>
                <w:szCs w:val="21"/>
              </w:rPr>
            </w:pPr>
            <w:r>
              <w:rPr>
                <w:rFonts w:hint="default" w:ascii="Cambria" w:hAnsi="Cambria" w:eastAsia="仿宋" w:cs="Cambria"/>
                <w:b w:val="0"/>
                <w:bCs w:val="0"/>
                <w:szCs w:val="21"/>
                <w:lang w:val="en-US" w:eastAsia="zh-CN"/>
              </w:rPr>
              <w:t>73.53%</w:t>
            </w:r>
          </w:p>
        </w:tc>
      </w:tr>
    </w:tbl>
    <w:p w14:paraId="2F48EDC6">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Written expert suggestions for items with directly accepted comments</w:t>
      </w:r>
    </w:p>
    <w:p w14:paraId="78C0A3C8">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1. Expert written suggestions on the definition of “deqi”</w:t>
      </w:r>
    </w:p>
    <w:p w14:paraId="682AD68B">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character “痠” should be changed to “酸”, and sensations such as “cold, heat, a sense of relief, and an ant-crawling sensation” should be added after “heaviness”. (Liu Ying) </w:t>
      </w:r>
    </w:p>
    <w:p w14:paraId="45FD083B">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For children, it is not necessary to deliberately pursue the sensation of deqi. (Chen Xiaoyan) </w:t>
      </w:r>
    </w:p>
    <w:p w14:paraId="149C5563">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Child patients generally do not understand sensations such as “numbness” and “distension”, and they more often describe the sensation as “pain”. Attention should therefore be paid to the clinical practicality of the wording. (Ruan Hongming) </w:t>
      </w:r>
    </w:p>
    <w:p w14:paraId="0FD56C39">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Defining deqi as “sensations such as soreness, numbness, distension and heaviness” is more specific and facilitates clinical identification and international exchange. (Wang Mengqing) </w:t>
      </w:r>
    </w:p>
    <w:p w14:paraId="79B1F4A7">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2. Expert written suggestions on the definition of “fainting during acupuncture”</w:t>
      </w:r>
    </w:p>
    <w:p w14:paraId="609E5BA9">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It is recommended that “patient” be uniformly changed to “child patient”. (Xiong Lei, Hu Siyuan, Ma Bingxiang) </w:t>
      </w:r>
    </w:p>
    <w:p w14:paraId="1A090F78">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In children, fainting during acupuncture may also manifest as restlessness, frequent changes in body position, and inability to lie still. Relevant descriptions should be supplemented. (Chen Xiaoyan) </w:t>
      </w:r>
    </w:p>
    <w:p w14:paraId="4A882A36">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original wording in Option B, “the phenomenon of syncope occurring in a child patient during acupuncture treatment”, is more consistent with the pediatric context. It is recommended to adopt it and add the word “sudden” from Option A to improve accuracy. (Qiao Mulin) </w:t>
      </w:r>
    </w:p>
    <w:p w14:paraId="1193D17D">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3. Expert written suggestions on position selection</w:t>
      </w:r>
    </w:p>
    <w:p w14:paraId="1DF0656A">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It is recommended that “patient” be changed to “child patient”, which is more consistent with the context of pediatric diagnosis and treatment. (Xiong Lei, Chen Xiuzhen, Hu Siyuan, Ma Bingxiang) </w:t>
      </w:r>
    </w:p>
    <w:p w14:paraId="784966BF">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For infants and young children, positions such as “being held in the parent’s arms” or “sitting on the parent’s lap” may be selected. These have already been reflected in the original national standard and have clinical guiding value. (Wang Mengqing) </w:t>
      </w:r>
    </w:p>
    <w:p w14:paraId="6A72C6BA">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wording in Option B, “select a treatment position that is comfortable for the child patient and convenient for the physician to operate”, is concise and already reflects pediatric characteristics. It is recommended to retain it. (Zhao Qiong, Zheng Xiufen, He Li and most other experts) </w:t>
      </w:r>
    </w:p>
    <w:p w14:paraId="72ACAD86">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4. Expert written suggestions on the definition of “clamping needle insertion method”</w:t>
      </w:r>
    </w:p>
    <w:p w14:paraId="7B4AE0F5">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It is recommended that “or hold a disinfected dry cotton ball and wrap it around the lower end of the needle body” be added to the original Option B, so that the description of the operation is more specific and practical. (Qiao Mulin) </w:t>
      </w:r>
    </w:p>
    <w:p w14:paraId="68B2EA70">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“Index finger” should be uniformly changed to “index finger/shizhi” in accordance with the standardized term “示指”, so as to maintain terminological consistency. (Several experts) </w:t>
      </w:r>
    </w:p>
    <w:p w14:paraId="0B12A126">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operation should add “then rotate the needle handle with the right hand and insert the needle into the acupoint to an appropriate depth”, so as to reflect the complete process of needle insertion. (Ma Bingxiang) </w:t>
      </w:r>
    </w:p>
    <w:p w14:paraId="78C86DCA">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Wrapping the needle body with a “disinfected dry cotton ball” is more standardized and conforms to GB/T 21709.20—2009. (Wang Mengqing) </w:t>
      </w:r>
    </w:p>
    <w:p w14:paraId="525B0C2F">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5. Expert written suggestions on the definition of “stretching needle insertion method”</w:t>
      </w:r>
    </w:p>
    <w:p w14:paraId="73AFF4EC">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It is recommended that “used for needle insertion at sites where the skin is relatively loose and soft” be changed to “used for needle insertion at sites where the skin is loose or wrinkled”, in accordance with the original wording of the national standard. (Ma Bingxiang) </w:t>
      </w:r>
    </w:p>
    <w:p w14:paraId="0C6D7F99">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Before operation, the acupoint may first be pressed, and the skin then stretched and tightened, which may help reduce discomfort in children. (Chen Xiaoyan) </w:t>
      </w:r>
    </w:p>
    <w:p w14:paraId="6C85490C">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original wording “stretch and tighten” is clear and is applicable to acupoints on the abdomen and near joints. It is preferable to retain this expression. (Wang Mengqing, Cui Xia) </w:t>
      </w:r>
    </w:p>
    <w:p w14:paraId="3AC31789">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6. Expert written suggestions on the definition of “pinching needle insertion method”</w:t>
      </w:r>
    </w:p>
    <w:p w14:paraId="13396E0B">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This method is applicable to the face and areas with thin musculature. The definition is clear, and most experts recommended retaining Option A. (Liu Ying, Xiong Lei, Chen Xiaoyan) </w:t>
      </w:r>
    </w:p>
    <w:p w14:paraId="4B38014A">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It is recommended to add “the assisting hand should be disinfected” or “the pinching movement should be gentle”, so as to enhance operational safety and standardization. (Cui Xia) </w:t>
      </w:r>
    </w:p>
    <w:p w14:paraId="5106DFEC">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7. Expert written suggestions on the naming and definition of “finger-pressing needle insertion method”</w:t>
      </w:r>
    </w:p>
    <w:p w14:paraId="7B132FC8">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It is recommended to use “fingernail-pressing needle insertion method” instead of “finger-pressing needle insertion method”, as this is more consistent with the traditional acupuncture terminology system. (Wang Mengqing, Rong Ping, Zhang Jun) </w:t>
      </w:r>
    </w:p>
    <w:p w14:paraId="6FC31CBB">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It is recommended to add the phrase “rapidly insert” to Option B, emphasizing the swiftness of the manipulation, which helps reduce pain. (Qiao Mulin) </w:t>
      </w:r>
    </w:p>
    <w:p w14:paraId="56520715">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Indications should be supplemented: “used for short needles and for needle insertion at acupoints near tendons, bones or blood vessels”. (Ma Bingxiang) </w:t>
      </w:r>
    </w:p>
    <w:p w14:paraId="69424440">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term “示指” should be used uniformly instead of “食指”. (Most experts) </w:t>
      </w:r>
    </w:p>
    <w:p w14:paraId="6AD1CB48">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8. Expert written suggestions on the naming and definition of “needle-tube insertion method”</w:t>
      </w:r>
    </w:p>
    <w:p w14:paraId="6962ADCB">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It is recommended to use the name “guide-tube needle insertion method”, which is more commonly used and consistent with the terminology in GB/T 21709.20—2009. (Wang Mengqing, Zhang Yating, Ma Bingxiang) </w:t>
      </w:r>
    </w:p>
    <w:p w14:paraId="3A027932">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unit of length should be standardized as “mm”, for example 7.5 mm, in accordance with international standards. (Wang Mengqing) </w:t>
      </w:r>
    </w:p>
    <w:p w14:paraId="4471C1CE">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It is recommended to add “relatively suitable for children” to highlight its advantages in pediatric acupuncture and to maintain consistency with the international draft. (Zhang Yating) </w:t>
      </w:r>
    </w:p>
    <w:p w14:paraId="7986D8E7">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In the operation, “flicking” is more accurate than “striking”; therefore, the description “the index finger of the needling hand flicks the needle tail” should be retained. (Several experts) </w:t>
      </w:r>
    </w:p>
    <w:p w14:paraId="23943F77">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9. Expert written suggestions on the definition of “perpendicular insertion”</w:t>
      </w:r>
    </w:p>
    <w:p w14:paraId="0563E908">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It is recommended to add the word “angle” after “90°” in Option B, namely “insert perpendicularly at a 90° angle”, so that the expression is more precise. (Qiao Mulin) </w:t>
      </w:r>
    </w:p>
    <w:p w14:paraId="0232575E">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phrase “both shallow and deep insertion may be used” should be added, so as to more comprehensively reflect the flexibility of perpendicular insertion, especially the diverse needs for acupuncture depth in pediatrics. (Wang Mengqing, Yang Yan) </w:t>
      </w:r>
    </w:p>
    <w:p w14:paraId="5618700B">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Some experts suggested placing “perpendicular insertion” as the first item in the chapter on acupuncture techniques, so as to highlight its fundamental status. (Qin Yanhong) </w:t>
      </w:r>
    </w:p>
    <w:p w14:paraId="40758857">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10. Expert written suggestions on the definition of “oblique insertion”</w:t>
      </w:r>
    </w:p>
    <w:p w14:paraId="110D9469">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It is recommended to add the word “angle” in “approximately 45°”, making the expression “insert obliquely at an angle of approximately 45°”, which is more standardized. (Qiao Mulin) </w:t>
      </w:r>
    </w:p>
    <w:p w14:paraId="0BCAC536">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“Controlling the direction of needle sensation” in Option A is an important clinical purpose and should be added to the definition. (Wang Mengqing, Yang Yan) </w:t>
      </w:r>
    </w:p>
    <w:p w14:paraId="27558C7E">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original wording, “applicable to acupoints in areas where the skin and flesh are relatively thin, or where important internal organs or joints are located underneath”, is specific and has guiding significance. (Liu Ying, Xiong Lei) </w:t>
      </w:r>
    </w:p>
    <w:p w14:paraId="22EB4596">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For children, oblique insertion should be used with caution at acupoints involving important organs. (Chen Xiaoyan) </w:t>
      </w:r>
    </w:p>
    <w:p w14:paraId="5BC7CB45">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lang w:eastAsia="zh-CN"/>
        </w:rPr>
        <w:t>1</w:t>
      </w:r>
      <w:r>
        <w:rPr>
          <w:rFonts w:hint="default" w:ascii="Cambria" w:hAnsi="Cambria" w:eastAsia="仿宋" w:cs="Cambria"/>
          <w:b/>
          <w:bCs/>
          <w:szCs w:val="21"/>
          <w:lang w:val="en-US" w:eastAsia="zh-CN"/>
        </w:rPr>
        <w:t>1</w:t>
      </w:r>
      <w:r>
        <w:rPr>
          <w:rFonts w:hint="default" w:ascii="Cambria" w:hAnsi="Cambria" w:eastAsia="仿宋" w:cs="Cambria"/>
          <w:b/>
          <w:bCs/>
          <w:szCs w:val="21"/>
        </w:rPr>
        <w:t>. Expert written suggestions on the definition of “needle retention”</w:t>
      </w:r>
    </w:p>
    <w:p w14:paraId="48DA49C0">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Whether to retain the needle should be determined according to the child’s cooperation. (Chen Xiaoyan) </w:t>
      </w:r>
    </w:p>
    <w:p w14:paraId="31B01727">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It is recommended that the final sentence retain the original wording of the national standard: “Needles should not be retained in child patients who refuse to cooperate, cry, make noise or move about.” (Wu Jiasheng) </w:t>
      </w:r>
    </w:p>
    <w:p w14:paraId="6517F862">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“Children” should be changed to “infants and young children”, because the scope of “children” is too broad. (Cui Xia) </w:t>
      </w:r>
    </w:p>
    <w:p w14:paraId="117DAF2F">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word “appropriate” should be removed; for children aged over 7 years, needles may be retained for 10–30 min. (Rong Ping) </w:t>
      </w:r>
    </w:p>
    <w:p w14:paraId="26786019">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original national standard clearly specifies needle retention time for different age groups and is more practical. (Ma Bingxiang) </w:t>
      </w:r>
    </w:p>
    <w:p w14:paraId="1400A677">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1</w:t>
      </w:r>
      <w:r>
        <w:rPr>
          <w:rFonts w:hint="default" w:ascii="Cambria" w:hAnsi="Cambria" w:eastAsia="仿宋" w:cs="Cambria"/>
          <w:b/>
          <w:bCs/>
          <w:szCs w:val="21"/>
          <w:lang w:eastAsia="zh-CN"/>
        </w:rPr>
        <w:t>2</w:t>
      </w:r>
      <w:r>
        <w:rPr>
          <w:rFonts w:hint="default" w:ascii="Cambria" w:hAnsi="Cambria" w:eastAsia="仿宋" w:cs="Cambria"/>
          <w:b/>
          <w:bCs/>
          <w:szCs w:val="21"/>
        </w:rPr>
        <w:t>. Expert written suggestions on the operating steps for needle withdrawal</w:t>
      </w:r>
    </w:p>
    <w:p w14:paraId="09231F41">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No special comments. (Most experts) </w:t>
      </w:r>
    </w:p>
    <w:p w14:paraId="7C56CB18">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operation option was not selected. It is recommended to integrate Options A and B: The physician uses the thumb and index finger of the left hand to hold a disinfected dry cotton ball or cotton swab and gently press the needling site, while the right hand holds the needle, performs slight small-amplitude twirling, and slowly lifts the needle to the subcutaneous layer following the movement. After a brief pause, the needle is withdrawn rapidly, and the needle hole is immediately pressed with the cotton ball to prevent bleeding. In cases of stuck needle, the needle should not be pulled out forcefully. Instead, the skin around the acupoint should be gently tapped, and the needle should be withdrawn after the sensation beneath the needle becomes light and smooth. Post-procedural care: If bleeding is found at the needle hole after needle withdrawal, a sterile cotton swab or cotton ball may be used to apply pressure for 1–2 min, without rubbing. After the procedure, the child patient should rest for 5–10 min, and observation should be made for any adverse reactions. (Qiao Mulin) </w:t>
      </w:r>
    </w:p>
    <w:p w14:paraId="35CD3469">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“Neither option selected”; it is recommended to integrate Options A and B. (Li Jiangquan) </w:t>
      </w:r>
    </w:p>
    <w:p w14:paraId="31E02881">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1</w:t>
      </w:r>
      <w:r>
        <w:rPr>
          <w:rFonts w:hint="default" w:ascii="Cambria" w:hAnsi="Cambria" w:eastAsia="仿宋" w:cs="Cambria"/>
          <w:b/>
          <w:bCs/>
          <w:szCs w:val="21"/>
          <w:lang w:val="en-US" w:eastAsia="zh-CN"/>
        </w:rPr>
        <w:t>3</w:t>
      </w:r>
      <w:r>
        <w:rPr>
          <w:rFonts w:hint="default" w:ascii="Cambria" w:hAnsi="Cambria" w:eastAsia="仿宋" w:cs="Cambria"/>
          <w:b/>
          <w:bCs/>
          <w:szCs w:val="21"/>
        </w:rPr>
        <w:t>. Expert written suggestions on needle selection</w:t>
      </w:r>
    </w:p>
    <w:p w14:paraId="06092374">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wording of the original national standard should be used with caution, and supplementary content is recommended. (Chen Xiaoyan, Ruan Hongming) </w:t>
      </w:r>
    </w:p>
    <w:p w14:paraId="713FEA06">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It should be added that the needle body should be smooth and free of rust, and the needle tip should be sharp and free of barbs. (Wu Jiasheng, Qin Yanhong, Qiao Mulin) </w:t>
      </w:r>
    </w:p>
    <w:p w14:paraId="75050DB8">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Needle selection should not refer only to three-edge needles. Filiform needles are more commonly used, while three-edge needles are mostly used for Si Feng pricking therapy in pediatrics. (Han Xinmin) </w:t>
      </w:r>
    </w:p>
    <w:p w14:paraId="0ED78265">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It should be added that “small three-edge needles are commonly used in pediatrics”. (Qin Yanhong) </w:t>
      </w:r>
    </w:p>
    <w:p w14:paraId="40E1BAE7">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1</w:t>
      </w:r>
      <w:r>
        <w:rPr>
          <w:rFonts w:hint="default" w:ascii="Cambria" w:hAnsi="Cambria" w:eastAsia="仿宋" w:cs="Cambria"/>
          <w:b/>
          <w:bCs/>
          <w:szCs w:val="21"/>
          <w:lang w:val="en-US" w:eastAsia="zh-CN"/>
        </w:rPr>
        <w:t>4</w:t>
      </w:r>
      <w:r>
        <w:rPr>
          <w:rFonts w:hint="default" w:ascii="Cambria" w:hAnsi="Cambria" w:eastAsia="仿宋" w:cs="Cambria"/>
          <w:b/>
          <w:bCs/>
          <w:szCs w:val="21"/>
        </w:rPr>
        <w:t>. Expert written suggestions on the operating steps for pricking with a three-edge needle</w:t>
      </w:r>
    </w:p>
    <w:p w14:paraId="23E44BC1">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It is recommended to adopt the depth description of 0.5–5 mm, which better corresponds to differences in skin thickness among children of different ages and offers better safety. (Zhang Yating) </w:t>
      </w:r>
    </w:p>
    <w:p w14:paraId="72B8C507">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depth range of 0.5–5 mm is broader, covers younger child patients, and is supported by literature. (Wang Mengqing) </w:t>
      </w:r>
    </w:p>
    <w:p w14:paraId="14B125BA">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For pricking, shallower insertion is preferable to deeper insertion; therefore, Option A, 0.5–5 mm, is more prudent. (Ma Bingxiang) </w:t>
      </w:r>
    </w:p>
    <w:p w14:paraId="0C2BF222">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“According to the child patient’s age” may be added after “A”. (Wang Shouchuan) </w:t>
      </w:r>
    </w:p>
    <w:p w14:paraId="4221FAFB">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1</w:t>
      </w:r>
      <w:r>
        <w:rPr>
          <w:rFonts w:hint="default" w:ascii="Cambria" w:hAnsi="Cambria" w:eastAsia="仿宋" w:cs="Cambria"/>
          <w:b/>
          <w:bCs/>
          <w:szCs w:val="21"/>
          <w:lang w:eastAsia="zh-CN"/>
        </w:rPr>
        <w:t>5</w:t>
      </w:r>
      <w:r>
        <w:rPr>
          <w:rFonts w:hint="default" w:ascii="Cambria" w:hAnsi="Cambria" w:eastAsia="仿宋" w:cs="Cambria"/>
          <w:b/>
          <w:bCs/>
          <w:szCs w:val="21"/>
        </w:rPr>
        <w:t>. Expert written suggestions on the operating steps for bloodletting with a three-edge needle</w:t>
      </w:r>
    </w:p>
    <w:p w14:paraId="49213A00">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If the redness and swelling are caused by infection, this operation may lead to spread of infection and should be used with caution. (Chen Xiaoyan) </w:t>
      </w:r>
    </w:p>
    <w:p w14:paraId="0ED1F178">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expression is more concise and is consistent with GB/T 21709.4—2008. (Wang Mengqing) </w:t>
      </w:r>
    </w:p>
    <w:p w14:paraId="105AF77D">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An insertion depth of 2–5 mm is more appropriate. (Rong Ping) </w:t>
      </w:r>
    </w:p>
    <w:p w14:paraId="0E4987CE">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wording of Option B is relatively accurate. (Qiao Mulin) </w:t>
      </w:r>
    </w:p>
    <w:p w14:paraId="17828B7F">
      <w:pPr>
        <w:widowControl/>
        <w:spacing w:line="276" w:lineRule="auto"/>
        <w:ind w:firstLine="422" w:firstLineChars="200"/>
        <w:rPr>
          <w:rFonts w:hint="default" w:ascii="Cambria" w:hAnsi="Cambria" w:eastAsia="仿宋" w:cs="Cambria"/>
          <w:szCs w:val="21"/>
        </w:rPr>
      </w:pPr>
      <w:r>
        <w:rPr>
          <w:rFonts w:hint="default" w:ascii="Cambria" w:hAnsi="Cambria" w:eastAsia="仿宋" w:cs="Cambria"/>
          <w:b/>
          <w:bCs/>
          <w:szCs w:val="21"/>
        </w:rPr>
        <w:t>1</w:t>
      </w:r>
      <w:r>
        <w:rPr>
          <w:rFonts w:hint="default" w:ascii="Cambria" w:hAnsi="Cambria" w:eastAsia="仿宋" w:cs="Cambria"/>
          <w:b/>
          <w:bCs/>
          <w:szCs w:val="21"/>
          <w:lang w:val="en-US" w:eastAsia="zh-CN"/>
        </w:rPr>
        <w:t>6</w:t>
      </w:r>
      <w:r>
        <w:rPr>
          <w:rFonts w:hint="default" w:ascii="Cambria" w:hAnsi="Cambria" w:eastAsia="仿宋" w:cs="Cambria"/>
          <w:b/>
          <w:bCs/>
          <w:szCs w:val="21"/>
        </w:rPr>
        <w:t xml:space="preserve">. Expert written suggestions on the operating steps for scattered pricking </w:t>
      </w:r>
      <w:r>
        <w:rPr>
          <w:rFonts w:hint="default" w:ascii="Cambria" w:hAnsi="Cambria" w:eastAsia="仿宋" w:cs="Cambria"/>
          <w:szCs w:val="21"/>
        </w:rPr>
        <w:t>with a three-edge needle</w:t>
      </w:r>
    </w:p>
    <w:p w14:paraId="71E2BCC5">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Use with caution in children. (Chen Xiaoyan) </w:t>
      </w:r>
    </w:p>
    <w:p w14:paraId="666AB845">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expression is more concise and conforms to GB/T 21709.4—2008. (Wang Mengqing) </w:t>
      </w:r>
    </w:p>
    <w:p w14:paraId="32FCEABB">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wording of Option B is relatively specific. (Qiao Mulin) </w:t>
      </w:r>
    </w:p>
    <w:p w14:paraId="77281CB0">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1</w:t>
      </w:r>
      <w:r>
        <w:rPr>
          <w:rFonts w:hint="default" w:ascii="Cambria" w:hAnsi="Cambria" w:eastAsia="仿宋" w:cs="Cambria"/>
          <w:b/>
          <w:bCs/>
          <w:szCs w:val="21"/>
          <w:lang w:val="en-US" w:eastAsia="zh-CN"/>
        </w:rPr>
        <w:t>7</w:t>
      </w:r>
      <w:r>
        <w:rPr>
          <w:rFonts w:hint="default" w:ascii="Cambria" w:hAnsi="Cambria" w:eastAsia="仿宋" w:cs="Cambria"/>
          <w:b/>
          <w:bCs/>
          <w:szCs w:val="21"/>
        </w:rPr>
        <w:t>. Expert written suggestions on the description of warm needling moxibustion</w:t>
      </w:r>
    </w:p>
    <w:p w14:paraId="38CC52AB">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original text has already considered the child patient’s burning sensation and the corresponding management approach, and the expression is reasonable. (Chen Renshou) </w:t>
      </w:r>
    </w:p>
    <w:p w14:paraId="5DD077DF">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It is recommended to supplement the description of “moxa floss” in “A. Warm needling moxibustion” to make the content more comprehensive. (Xu Weiying) </w:t>
      </w:r>
    </w:p>
    <w:p w14:paraId="762D9DC8">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national standard specifies that the moxa-stick segment should be kept 3–4 cm from the skin. Compared with moxa floss, the moxa stick is less likely to scatter, and its use is recommended. (Ma Bingxiang) </w:t>
      </w:r>
    </w:p>
    <w:p w14:paraId="663E7CEF">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two descriptions, namely moxa floss and moxa stick, should be integrated and improved. (Han Xinmin) </w:t>
      </w:r>
    </w:p>
    <w:p w14:paraId="15ADA370">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lang w:val="en-US" w:eastAsia="zh-CN"/>
        </w:rPr>
        <w:t>18</w:t>
      </w:r>
      <w:r>
        <w:rPr>
          <w:rFonts w:hint="default" w:ascii="Cambria" w:hAnsi="Cambria" w:eastAsia="仿宋" w:cs="Cambria"/>
          <w:b/>
          <w:bCs/>
          <w:szCs w:val="21"/>
        </w:rPr>
        <w:t>. Expert written suggestions on revising the specifications of “Annex A (informative) Commonly used filiform needles”</w:t>
      </w:r>
    </w:p>
    <w:p w14:paraId="7B11315C">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Experts in the preliminary review proposed that finer acupuncture needles may be selected for pediatrics. Therefore, finer filiform needle specifications were added, with reference to finer specifications such as 0.23 mm, No. 34, and 0.20 mm, No. 36, listed in the Dictionary of Acupuncture and Tuina. (Hu Siyuan) </w:t>
      </w:r>
    </w:p>
    <w:p w14:paraId="624F4A1B">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It is recommended to add No. 34 and No. 36 specifications. Fine needles are suitable for children’s thin skin and pain-sensitive sites. (Zhang Yating) </w:t>
      </w:r>
    </w:p>
    <w:p w14:paraId="04E5C845">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Adding finer specifications, namely No. 34 and No. 36, meets the clinical needs in pediatrics for finer and safer needles. (Wang Youpeng, Wang Mingming) </w:t>
      </w:r>
    </w:p>
    <w:p w14:paraId="4BE50314">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diameter specifications of filiform needles described in ISO standards should be searched and verified to ensure international consistency. (Wang Shouchuan) </w:t>
      </w:r>
    </w:p>
    <w:p w14:paraId="046F1B4A">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Filiform needle specifications are generally expressed by “diameter” plus length, for example 0.30 × 75 mm, and are less commonly expressed by gauge number. It is recommended to standardize the expression. (Qiao Mulin) </w:t>
      </w:r>
    </w:p>
    <w:p w14:paraId="6810C2AD">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lang w:val="en-US" w:eastAsia="zh-CN"/>
        </w:rPr>
        <w:t>19</w:t>
      </w:r>
      <w:r>
        <w:rPr>
          <w:rFonts w:hint="default" w:ascii="Cambria" w:hAnsi="Cambria" w:eastAsia="仿宋" w:cs="Cambria"/>
          <w:b/>
          <w:bCs/>
          <w:szCs w:val="21"/>
        </w:rPr>
        <w:t>. Expert written suggestions on the operation of the following method</w:t>
      </w:r>
    </w:p>
    <w:p w14:paraId="7316D00A">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Following method: Flex the second interphalangeal joint, place it perpendicular to the meridian, and press centripetally with the fingertip along the course of the meridian to which the needled acupoint belongs. (Chen Xiaoyan, Wu Jiasheng, Chen Renshou, Wan Lisheng, Ruan Hongming, Wang Mengqing, Wang Mingming, Yang Jinghua, Zhang Jun, Hu Siyuan) </w:t>
      </w:r>
    </w:p>
    <w:p w14:paraId="78F43109">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Pressing and following with a single finger is more effective than pressing and following with multiple fingers. (Chen Xiaoyan) </w:t>
      </w:r>
    </w:p>
    <w:p w14:paraId="24B65585">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Clarifying “perpendicular to the meridian and pressing centripetally” makes the operation more standardized. (Wang Mengqing) </w:t>
      </w:r>
    </w:p>
    <w:p w14:paraId="69728011">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lang w:val="en-US" w:eastAsia="zh-CN"/>
        </w:rPr>
        <w:t>20</w:t>
      </w:r>
      <w:r>
        <w:rPr>
          <w:rFonts w:hint="default" w:ascii="Cambria" w:hAnsi="Cambria" w:eastAsia="仿宋" w:cs="Cambria"/>
          <w:b/>
          <w:bCs/>
          <w:szCs w:val="21"/>
        </w:rPr>
        <w:t>. Expert written suggestions on the operation of the scraping method</w:t>
      </w:r>
    </w:p>
    <w:p w14:paraId="7240BAC0">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scraping method is divided into upward scraping and downward scraping. The thumb is used to support the needle tail, while the fingernail of the index or middle finger scrapes the needle handle; alternatively, the index and middle fingers support the needle tail, while the thumbnail scrapes the needle handle. (Liu Ying, Xiong Lei, Chen Xiaoyan, Chen Xiuzhen, Wu Jiasheng, Ni Guangxia, Chen Renshou, Wan Lisheng, Ruan Hongming, Wang Mengqing, Cai Chenghan, Wang Mingming, Zhang Jun, Hu Siyuan) </w:t>
      </w:r>
    </w:p>
    <w:p w14:paraId="3E6208E2">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expression is more concise and conforms to GB/T 21709.21—2013. (Wang Mengqing) </w:t>
      </w:r>
    </w:p>
    <w:p w14:paraId="423E4BC0">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wording of Option B is more specific and is recommended for adoption. In the text, “示指” should be uniformly changed to “食指”. (Qiao Mulin) </w:t>
      </w:r>
    </w:p>
    <w:p w14:paraId="0A5531F0">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For children younger than 10 years, it is recommended not to use the scraping method. (Chen Xiaoyan) </w:t>
      </w:r>
    </w:p>
    <w:p w14:paraId="357C7D0C">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lang w:val="en-US" w:eastAsia="zh-CN"/>
        </w:rPr>
        <w:t>21</w:t>
      </w:r>
      <w:r>
        <w:rPr>
          <w:rFonts w:hint="default" w:ascii="Cambria" w:hAnsi="Cambria" w:eastAsia="仿宋" w:cs="Cambria"/>
          <w:b/>
          <w:bCs/>
          <w:szCs w:val="21"/>
        </w:rPr>
        <w:t>. Expert written suggestions on the operation of the shaking method</w:t>
      </w:r>
    </w:p>
    <w:p w14:paraId="6A8A3B68">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Shaking method: After the needle has been inserted to a certain depth, the practitioner holds the needle handle and shakes the needle according to a certain procedure. This is a method used to transmit needle sensation through a joint. See “4.3.2.1 Green Dragon Wags Its Tail method” and “4.3.2.2 White Tiger Shakes Its Head method” for details. (Chen Xiaoyan, Wu Jiasheng, Chen Renshou, Wan Lisheng, Ruan Hongming, Zheng Xiufen, Yang Yan, He Li, Wang Mingming, Zhang Jun, Yang Jinghua, Zhang Jun) </w:t>
      </w:r>
    </w:p>
    <w:p w14:paraId="7EFDF717">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original wording has already summarized the core operation. Compound manipulations such as Green Dragon Wags Its Tail and White Tiger Shakes Its Head may be described separately in the section on manipulations to avoid excessive detail. (Wang Mengqing) </w:t>
      </w:r>
    </w:p>
    <w:p w14:paraId="0419B366">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wording needs to be made more concise. (Chen Renshou) </w:t>
      </w:r>
    </w:p>
    <w:p w14:paraId="770D4C42">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For children younger than 10 years, response may occur upon withdrawal, and this method is not recommended in order to reduce fear of acupuncture. (Chen Xiaoyan) </w:t>
      </w:r>
    </w:p>
    <w:p w14:paraId="6C36B2CC">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lang w:val="en-US" w:eastAsia="zh-CN"/>
        </w:rPr>
        <w:t>22</w:t>
      </w:r>
      <w:r>
        <w:rPr>
          <w:rFonts w:hint="default" w:ascii="Cambria" w:hAnsi="Cambria" w:eastAsia="仿宋" w:cs="Cambria"/>
          <w:b/>
          <w:bCs/>
          <w:szCs w:val="21"/>
        </w:rPr>
        <w:t>. Expert written suggestions on the operation of the flying method</w:t>
      </w:r>
    </w:p>
    <w:p w14:paraId="53235892">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thumb and index finger of the needling hand are placed opposite each other and move from above the needle tail down to the root of the needle. The root of the needle is then gently pinched, followed by an upward flying-rotating movement, giving the practitioner a finger sensation similar to lifting the needle, while lifting without withdrawing it. The upward rotating-rubbing movement from below is accompanied by a left-to-right, clockwise rotating-rubbing movement, giving the practitioner a finger sensation similar to twirling the needle, while twirling without actually rotating it. The applied force should form a funnel-like pattern that is tight below and loose above. During the procedure, the two fingers alternately pinch and release, resembling a bird spreading its wings; hence the method is called “flying.” (Liu Ying, Xiong Lei, Chen Xiuzhen, Wu Jiasheng, Ni Guangxia, Chen Renshou, Wan Lisheng, Ruan Hongming, Cui Xia, He Li, Wang Mingming, Zhang Jun, Hu Siyuan) </w:t>
      </w:r>
    </w:p>
    <w:p w14:paraId="7FEF02AC">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description is more detailed and emphasizes “lifting without withdrawing and twirling without rotating”, reflecting the essence of the manipulation. (Wang Mengqing) </w:t>
      </w:r>
    </w:p>
    <w:p w14:paraId="394E3212">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2</w:t>
      </w:r>
      <w:r>
        <w:rPr>
          <w:rFonts w:hint="default" w:ascii="Cambria" w:hAnsi="Cambria" w:eastAsia="仿宋" w:cs="Cambria"/>
          <w:b/>
          <w:bCs/>
          <w:szCs w:val="21"/>
          <w:lang w:val="en-US" w:eastAsia="zh-CN"/>
        </w:rPr>
        <w:t>3</w:t>
      </w:r>
      <w:r>
        <w:rPr>
          <w:rFonts w:hint="default" w:ascii="Cambria" w:hAnsi="Cambria" w:eastAsia="仿宋" w:cs="Cambria"/>
          <w:b/>
          <w:bCs/>
          <w:szCs w:val="21"/>
        </w:rPr>
        <w:t>. Expert written suggestions on the naming and operation of the trembling method</w:t>
      </w:r>
    </w:p>
    <w:p w14:paraId="4470B57F">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Trembling method: The needle handle is held and the needle body is made to tremble. The trembling should be relatively rapid, with a small amplitude and uniform force. (Xiong Lei, Chen Xiuzhen, Wu Jiasheng, Ni Guangxia, Chen Renshou, Wan Lisheng, Ruan Hongming, Wang Mingming, Zhang Jun, Hu Siyuan) </w:t>
      </w:r>
    </w:p>
    <w:p w14:paraId="3B066D7A">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name “trembling method” is more concise and is consistent with GB/T 21709.21—2013. (Wang Mengqing) </w:t>
      </w:r>
    </w:p>
    <w:p w14:paraId="6EB7A43F">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Whether the term should be “vibration-trembling method” or “trembling method” should be confirmed by searching relevant standards. (Wang Shouchuan) </w:t>
      </w:r>
    </w:p>
    <w:p w14:paraId="54798068">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“Vibration-trembling method” may be changed to “trembling method”. (Rong Ping) </w:t>
      </w:r>
    </w:p>
    <w:p w14:paraId="6EDD7772">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lang w:val="en-US" w:eastAsia="zh-CN"/>
        </w:rPr>
        <w:t>24</w:t>
      </w:r>
      <w:r>
        <w:rPr>
          <w:rFonts w:hint="default" w:ascii="Cambria" w:hAnsi="Cambria" w:eastAsia="仿宋" w:cs="Cambria"/>
          <w:b/>
          <w:bCs/>
          <w:szCs w:val="21"/>
        </w:rPr>
        <w:t>. Expert written suggestions on the operations of single reinforcing-reducing manipulations</w:t>
      </w:r>
    </w:p>
    <w:p w14:paraId="38D6128A">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Slow–rapid reinforcing and reducing: For reinforcing, after deqi is obtained, the needle is inserted slowly with heavy force; for reducing, after deqi is obtained, the needle is lifted slowly with light force. Lifting–thrusting reinforcing and reducing: For reinforcing, after deqi is obtained, the needle is inserted with heavy force; for reducing, after deqi is obtained, the needle is lifted with light force. Twirling reinforcing and reducing: For reinforcing, after deqi is obtained, the thumb forcefully twirls the needle forward, namely clockwise; for reducing, after deqi is obtained, the thumb gently twirls the needle backward, namely counterclockwise. (Xiong Lei, Chen Xiaoyan, Chen Xiuzhen, Wu Jiasheng, Ni Guangxia, Chen Renshou, Wan Lisheng, Ruan Hongming, Cai Chenghan, Cui Xia, Wang Mingming, Zhang Jun, Hu Siyuan) </w:t>
      </w:r>
    </w:p>
    <w:p w14:paraId="192F8111">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original text describes each reinforcing-reducing manipulation more systematically and in greater detail, making it easier for in-depth learning and operation. (Wang Mengqing) </w:t>
      </w:r>
    </w:p>
    <w:p w14:paraId="2A4A7CE0">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original national standard is more specific and has greater clinical guiding significance. (Ma Bingxiang) </w:t>
      </w:r>
    </w:p>
    <w:p w14:paraId="24CBCEA2">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lang w:val="en-US" w:eastAsia="zh-CN"/>
        </w:rPr>
        <w:t>25</w:t>
      </w:r>
      <w:r>
        <w:rPr>
          <w:rFonts w:hint="default" w:ascii="Cambria" w:hAnsi="Cambria" w:eastAsia="仿宋" w:cs="Cambria"/>
          <w:b/>
          <w:bCs/>
          <w:szCs w:val="21"/>
        </w:rPr>
        <w:t>. Expert written suggestions on the operating steps for ginger-partitioned moxibustion</w:t>
      </w:r>
    </w:p>
    <w:p w14:paraId="1A799F2C">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Fresh ginger is cut into thin slices approximately 2–3 cm in diameter and approximately 0.4–0.6 cm thick. Several holes are pierced in the center with a needle. The ginger slice is placed on the acupoint or affected site to be moxibusted, and a moxa cone is placed on the ginger slice and ignited for moxibustion. When the moxa cone has burned out, it is replaced with a new one and moxibustion is continued until the prescribed number of cones has been completed. This method is commonly used for vomiting, abdominal pain, diarrhea, wind-cold impediment pain and other conditions caused by cold. (Xiong Lei, Chen Xiuyan, Chen Xiuzhen, Chen Renshou, Wan Lisheng, Ruan Hongming, Cui Xia, Cai Chenghan, Wang Mengqing, Wang Mingming, Zhang Jun, Hu Siyuan, Zhang Yating) </w:t>
      </w:r>
    </w:p>
    <w:p w14:paraId="1C467853">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A ginger slice thickness of 0.4–0.6 cm is more reasonable and helps avoid burns caused by slices that are too thin. (Wang Mengqing) </w:t>
      </w:r>
    </w:p>
    <w:p w14:paraId="4192D323">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It is recommended to add “scope of application: children aged 3 years and above”, in consideration of children’s cooperation and safety. (Zhang Yating) </w:t>
      </w:r>
    </w:p>
    <w:p w14:paraId="018532D5">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Use with caution in children younger than 10 years. (Chen Xiaoyan) </w:t>
      </w:r>
    </w:p>
    <w:p w14:paraId="26F9E90D">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lang w:val="en-US" w:eastAsia="zh-CN"/>
        </w:rPr>
        <w:t>26</w:t>
      </w:r>
      <w:r>
        <w:rPr>
          <w:rFonts w:hint="default" w:ascii="Cambria" w:hAnsi="Cambria" w:eastAsia="仿宋" w:cs="Cambria"/>
          <w:b/>
          <w:bCs/>
          <w:szCs w:val="21"/>
        </w:rPr>
        <w:t>. Expert written suggestions on the treatment course of “Annex D (informative) Si Feng pricking therapy”</w:t>
      </w:r>
    </w:p>
    <w:p w14:paraId="0CA38A9B">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Pricking may be performed 1–2 times per week. For severe cases, it may be performed once every other day. After the condition improves, the frequency may be reduced to once per week, once every 10 days or once every 15 days, with no more than 10 sessions in total. (Liu Ying, Xiong Lei, Chen Xiaoyan, Chen Xiuzhen, Zhao Qiong, Wu Jiasheng, Ni Guangxia, Wang Junhong, Chen Renshou, Wan Lisheng, Ruan Hongming, Yang Yan, Cai Chenghan, Cui Xia, Sun Xiangjuan, Wang Shouchuan, Wang Mingming, Xu Weiying, Yang Jinghua, Zhang Jun, Hu Siyuan, Qin Yanhong, Li Jiangquan, Ma Bingxiang) </w:t>
      </w:r>
    </w:p>
    <w:p w14:paraId="28642A19">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For child patients in coma, the procedure may be performed once daily, with 3–5 days as one treatment course. For gan disease, anorexia, pneumonia and other conditions, it may be performed once every 3–7 days, with at least 3 sessions in one treatment course. (Ruan Hongming) </w:t>
      </w:r>
    </w:p>
    <w:p w14:paraId="413D8DF8">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Whether a cautionary statement for children under 1 year of age should be added requires consideration. (Cui Xia) </w:t>
      </w:r>
    </w:p>
    <w:p w14:paraId="5B2EDC68">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treatment frequency should be determined more by the condition than by age. (Ma Bingxiang) </w:t>
      </w:r>
    </w:p>
    <w:p w14:paraId="47834E8E">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wording of Option B is more suitable for pediatric clinical practice, because it allows flexible adjustment according to the condition. (Qiao Mulin) </w:t>
      </w:r>
    </w:p>
    <w:p w14:paraId="5CBACE9D">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lang w:val="en-US" w:eastAsia="zh-CN"/>
        </w:rPr>
        <w:t>27</w:t>
      </w:r>
      <w:r>
        <w:rPr>
          <w:rFonts w:hint="default" w:ascii="Cambria" w:hAnsi="Cambria" w:eastAsia="仿宋" w:cs="Cambria"/>
          <w:b/>
          <w:bCs/>
          <w:szCs w:val="21"/>
        </w:rPr>
        <w:t>. Expert written suggestions on the operating steps for salt-partitioned moxibustion</w:t>
      </w:r>
    </w:p>
    <w:p w14:paraId="47B3DF2D">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For children with simultaneous vomiting and diarrhea, dehydration symptoms should be observed, and this method should not be used as the only treatment. (Chen Xiaoyan) </w:t>
      </w:r>
    </w:p>
    <w:p w14:paraId="22EF5A9C">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lang w:val="en-US" w:eastAsia="zh-CN"/>
        </w:rPr>
        <w:t>28</w:t>
      </w:r>
      <w:r>
        <w:rPr>
          <w:rFonts w:hint="default" w:ascii="Cambria" w:hAnsi="Cambria" w:eastAsia="仿宋" w:cs="Cambria"/>
          <w:b/>
          <w:bCs/>
          <w:szCs w:val="21"/>
        </w:rPr>
        <w:t>. Expert written suggestions on the operating steps for aconite-partitioned moxibustion</w:t>
      </w:r>
    </w:p>
    <w:p w14:paraId="753098F4">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Use with caution in children. (Chen Xiaoyan) </w:t>
      </w:r>
    </w:p>
    <w:p w14:paraId="66700A1E">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Delete “–2 cm”. (Wang Shouchuan) </w:t>
      </w:r>
    </w:p>
    <w:p w14:paraId="5D2E9C47">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Whether external application after preparation with yellow rice wine is appropriate for younger children remains debatable. (Rong Ping) </w:t>
      </w:r>
    </w:p>
    <w:p w14:paraId="65081F28">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name “aconite-cake-partitioned moxibustion” is more standardized, and the parameters, including diameter and thickness, are consistent with GB/T 21709.1—2008. The statement in Option A, “0.2–0.3 cm in diameter”, is unrealistic. (Ma Bingxiang) </w:t>
      </w:r>
    </w:p>
    <w:p w14:paraId="08383783">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lang w:val="en-US" w:eastAsia="zh-CN"/>
        </w:rPr>
        <w:t>29</w:t>
      </w:r>
      <w:r>
        <w:rPr>
          <w:rFonts w:hint="default" w:ascii="Cambria" w:hAnsi="Cambria" w:eastAsia="仿宋" w:cs="Cambria"/>
          <w:b/>
          <w:bCs/>
          <w:szCs w:val="21"/>
        </w:rPr>
        <w:t>. Expert written suggestions on the operation of Lei Huo Shen Zhen</w:t>
      </w:r>
    </w:p>
    <w:p w14:paraId="306D7FE7">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Because this moxibustion method has a strong odor and may irritate the respiratory tract, it is recommended that it be used with caution in children. (Chen Xiaoyan) </w:t>
      </w:r>
    </w:p>
    <w:p w14:paraId="0AA9B7B7">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specific dosage of musk should preferably be specified. (Chen Renshou) </w:t>
      </w:r>
    </w:p>
    <w:p w14:paraId="3616CB9B">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amount of moxa floss should be changed to 94 g, pangolin scales should be deleted because pangolin is a protected animal, and the size of mulberry bark paper should not be rigidly specified. This is more scientific and compliant. (Wang Mengqing) </w:t>
      </w:r>
    </w:p>
    <w:p w14:paraId="024E4C8E">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lang w:val="en-US" w:eastAsia="zh-CN"/>
        </w:rPr>
        <w:t>30</w:t>
      </w:r>
      <w:r>
        <w:rPr>
          <w:rFonts w:hint="default" w:ascii="Cambria" w:hAnsi="Cambria" w:eastAsia="仿宋" w:cs="Cambria"/>
          <w:b/>
          <w:bCs/>
          <w:szCs w:val="21"/>
        </w:rPr>
        <w:t>. Expert written suggestions on the composition and preparation method of Taiyi Shen Zhen</w:t>
      </w:r>
    </w:p>
    <w:p w14:paraId="3642A08F">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Whether the term should be “萎病”, “痿病” or “痿证” should be verified in accordance with the national standards for clinical terminology of traditional Chinese medicine. (Wang Shouchuan) </w:t>
      </w:r>
    </w:p>
    <w:p w14:paraId="2761624E">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Use with caution in children. (Chen Xiaoyan) </w:t>
      </w:r>
    </w:p>
    <w:p w14:paraId="69B431A3">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specific dosage of musk should preferably be provided. (Chen Renshou) </w:t>
      </w:r>
    </w:p>
    <w:p w14:paraId="72E5B7A3">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“萎病” should be changed to “痿病”, and “musk” should be changed to “artificial musk”. (Liu Ying) </w:t>
      </w:r>
    </w:p>
    <w:p w14:paraId="4F3A48A4">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lang w:val="en-US" w:eastAsia="zh-CN"/>
        </w:rPr>
        <w:t>31</w:t>
      </w:r>
      <w:r>
        <w:rPr>
          <w:rFonts w:hint="default" w:ascii="Cambria" w:hAnsi="Cambria" w:eastAsia="仿宋" w:cs="Cambria"/>
          <w:b/>
          <w:bCs/>
          <w:szCs w:val="21"/>
        </w:rPr>
        <w:t>. Expert written suggestions on treatment duration and course of moxibustion</w:t>
      </w:r>
    </w:p>
    <w:p w14:paraId="1864CB8D">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“Determined according to disease and pattern differentiation” should be changed to “determined according to the child’s age, disease and pattern differentiation”. (Wang Shouchuan) </w:t>
      </w:r>
    </w:p>
    <w:p w14:paraId="2CDE9D60">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Add the wording from Option A, “or once every other day or once every 3 days”, to Option B. (Qiao Mulin) </w:t>
      </w:r>
    </w:p>
    <w:p w14:paraId="5A500A6F">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It is recommended to adopt the revised wording, limiting the duration to 3–10 min and emphasizing that the moxibustion dose for children should be half that for adults, so as to improve safety. (Zhang Yating) </w:t>
      </w:r>
    </w:p>
    <w:p w14:paraId="53388AE5">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lang w:val="en-US" w:eastAsia="zh-CN"/>
        </w:rPr>
        <w:t>32</w:t>
      </w:r>
      <w:r>
        <w:rPr>
          <w:rFonts w:hint="default" w:ascii="Cambria" w:hAnsi="Cambria" w:eastAsia="仿宋" w:cs="Cambria"/>
          <w:b/>
          <w:bCs/>
          <w:szCs w:val="21"/>
        </w:rPr>
        <w:t>. Expert written suggestions on acupuncture operation near the fontanelle in children</w:t>
      </w:r>
    </w:p>
    <w:p w14:paraId="6E517CE4">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“Should not be needled” should be changed to “needling is prohibited”. (Chen Xiaoyan) </w:t>
      </w:r>
    </w:p>
    <w:p w14:paraId="341A646C">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The wording of the original national standard is too absolute. (Ma Bingxiang)</w:t>
      </w:r>
    </w:p>
    <w:p w14:paraId="38F276F1">
      <w:pPr>
        <w:widowControl/>
        <w:spacing w:line="276" w:lineRule="auto"/>
        <w:ind w:firstLine="0" w:firstLineChars="0"/>
        <w:outlineLvl w:val="4"/>
        <w:rPr>
          <w:rFonts w:hint="default" w:ascii="Cambria" w:hAnsi="Cambria" w:eastAsia="仿宋" w:cs="Cambria"/>
          <w:b/>
          <w:bCs/>
          <w:szCs w:val="21"/>
        </w:rPr>
      </w:pPr>
      <w:r>
        <w:rPr>
          <w:rFonts w:hint="default" w:ascii="Cambria" w:hAnsi="Cambria" w:eastAsia="仿宋" w:cs="Cambria"/>
          <w:b/>
          <w:bCs/>
          <w:szCs w:val="21"/>
        </w:rPr>
        <w:t>3.1.2 Provisions proposed to be added, revised or deleted</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957"/>
        <w:gridCol w:w="4090"/>
        <w:gridCol w:w="1287"/>
        <w:gridCol w:w="978"/>
        <w:gridCol w:w="1028"/>
      </w:tblGrid>
      <w:tr w14:paraId="3897E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406261D4">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Original item No.</w:t>
            </w:r>
          </w:p>
        </w:tc>
        <w:tc>
          <w:tcPr>
            <w:tcW w:w="0" w:type="auto"/>
            <w:shd w:val="clear" w:color="auto" w:fill="auto"/>
            <w:vAlign w:val="center"/>
          </w:tcPr>
          <w:p w14:paraId="4A66B359">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Item</w:t>
            </w:r>
          </w:p>
        </w:tc>
        <w:tc>
          <w:tcPr>
            <w:tcW w:w="0" w:type="auto"/>
            <w:shd w:val="clear" w:color="auto" w:fill="auto"/>
            <w:vAlign w:val="center"/>
          </w:tcPr>
          <w:p w14:paraId="772A81FE">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Option with the highest support</w:t>
            </w:r>
          </w:p>
        </w:tc>
        <w:tc>
          <w:tcPr>
            <w:tcW w:w="0" w:type="auto"/>
            <w:shd w:val="clear" w:color="auto" w:fill="auto"/>
            <w:vAlign w:val="center"/>
          </w:tcPr>
          <w:p w14:paraId="7497E8CE">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Frequency</w:t>
            </w:r>
          </w:p>
        </w:tc>
        <w:tc>
          <w:tcPr>
            <w:tcW w:w="0" w:type="auto"/>
            <w:shd w:val="clear" w:color="auto" w:fill="auto"/>
            <w:vAlign w:val="center"/>
          </w:tcPr>
          <w:p w14:paraId="19B831B5">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Percentage</w:t>
            </w:r>
          </w:p>
        </w:tc>
      </w:tr>
      <w:tr w14:paraId="3F44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71765FC6">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1</w:t>
            </w:r>
          </w:p>
        </w:tc>
        <w:tc>
          <w:tcPr>
            <w:tcW w:w="0" w:type="auto"/>
            <w:shd w:val="clear" w:color="auto" w:fill="auto"/>
            <w:vAlign w:val="center"/>
          </w:tcPr>
          <w:p w14:paraId="672B355D">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Revise “1 Scope”</w:t>
            </w:r>
          </w:p>
        </w:tc>
        <w:tc>
          <w:tcPr>
            <w:tcW w:w="0" w:type="auto"/>
            <w:shd w:val="clear" w:color="auto" w:fill="auto"/>
            <w:vAlign w:val="center"/>
          </w:tcPr>
          <w:p w14:paraId="3F509E77">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0" w:type="auto"/>
            <w:shd w:val="clear" w:color="auto" w:fill="auto"/>
            <w:vAlign w:val="center"/>
          </w:tcPr>
          <w:p w14:paraId="0A1AEB5A">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33</w:t>
            </w:r>
          </w:p>
        </w:tc>
        <w:tc>
          <w:tcPr>
            <w:tcW w:w="0" w:type="auto"/>
            <w:shd w:val="clear" w:color="auto" w:fill="auto"/>
            <w:vAlign w:val="center"/>
          </w:tcPr>
          <w:p w14:paraId="74CDDF88">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97.06%</w:t>
            </w:r>
          </w:p>
        </w:tc>
      </w:tr>
      <w:tr w14:paraId="6BA2C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261FE2DA">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2</w:t>
            </w:r>
          </w:p>
        </w:tc>
        <w:tc>
          <w:tcPr>
            <w:tcW w:w="0" w:type="auto"/>
            <w:shd w:val="clear" w:color="auto" w:fill="auto"/>
            <w:vAlign w:val="center"/>
          </w:tcPr>
          <w:p w14:paraId="7F0DEAC5">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Revise “2 Normative references”</w:t>
            </w:r>
          </w:p>
        </w:tc>
        <w:tc>
          <w:tcPr>
            <w:tcW w:w="0" w:type="auto"/>
            <w:shd w:val="clear" w:color="auto" w:fill="auto"/>
            <w:vAlign w:val="center"/>
          </w:tcPr>
          <w:p w14:paraId="09CBF66B">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0" w:type="auto"/>
            <w:shd w:val="clear" w:color="auto" w:fill="auto"/>
            <w:vAlign w:val="center"/>
          </w:tcPr>
          <w:p w14:paraId="0B9A6275">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33</w:t>
            </w:r>
          </w:p>
        </w:tc>
        <w:tc>
          <w:tcPr>
            <w:tcW w:w="0" w:type="auto"/>
            <w:shd w:val="clear" w:color="auto" w:fill="auto"/>
            <w:vAlign w:val="center"/>
          </w:tcPr>
          <w:p w14:paraId="514DD625">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97.06%</w:t>
            </w:r>
          </w:p>
        </w:tc>
      </w:tr>
      <w:tr w14:paraId="0F939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23984F36">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3</w:t>
            </w:r>
          </w:p>
        </w:tc>
        <w:tc>
          <w:tcPr>
            <w:tcW w:w="0" w:type="auto"/>
            <w:shd w:val="clear" w:color="auto" w:fill="auto"/>
            <w:vAlign w:val="center"/>
          </w:tcPr>
          <w:p w14:paraId="7131C756">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Revise “4.1.5 Acupoints”</w:t>
            </w:r>
          </w:p>
        </w:tc>
        <w:tc>
          <w:tcPr>
            <w:tcW w:w="0" w:type="auto"/>
            <w:shd w:val="clear" w:color="auto" w:fill="auto"/>
            <w:vAlign w:val="center"/>
          </w:tcPr>
          <w:p w14:paraId="72CB1529">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0" w:type="auto"/>
            <w:shd w:val="clear" w:color="auto" w:fill="auto"/>
            <w:vAlign w:val="center"/>
          </w:tcPr>
          <w:p w14:paraId="67FD4C4A">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34</w:t>
            </w:r>
          </w:p>
        </w:tc>
        <w:tc>
          <w:tcPr>
            <w:tcW w:w="0" w:type="auto"/>
            <w:shd w:val="clear" w:color="auto" w:fill="auto"/>
            <w:vAlign w:val="center"/>
          </w:tcPr>
          <w:p w14:paraId="0E412143">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100.00%</w:t>
            </w:r>
          </w:p>
        </w:tc>
      </w:tr>
      <w:tr w14:paraId="5864B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43446A48">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4</w:t>
            </w:r>
          </w:p>
        </w:tc>
        <w:tc>
          <w:tcPr>
            <w:tcW w:w="0" w:type="auto"/>
            <w:shd w:val="clear" w:color="auto" w:fill="auto"/>
            <w:vAlign w:val="center"/>
          </w:tcPr>
          <w:p w14:paraId="59F26F00">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Revise “4.2.1 Needle insertion methods”</w:t>
            </w:r>
          </w:p>
        </w:tc>
        <w:tc>
          <w:tcPr>
            <w:tcW w:w="0" w:type="auto"/>
            <w:shd w:val="clear" w:color="auto" w:fill="auto"/>
            <w:vAlign w:val="center"/>
          </w:tcPr>
          <w:p w14:paraId="6D5CAC94">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0" w:type="auto"/>
            <w:shd w:val="clear" w:color="auto" w:fill="auto"/>
            <w:vAlign w:val="center"/>
          </w:tcPr>
          <w:p w14:paraId="07786C4D">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34</w:t>
            </w:r>
          </w:p>
        </w:tc>
        <w:tc>
          <w:tcPr>
            <w:tcW w:w="0" w:type="auto"/>
            <w:shd w:val="clear" w:color="auto" w:fill="auto"/>
            <w:vAlign w:val="center"/>
          </w:tcPr>
          <w:p w14:paraId="63BA6531">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100.00%</w:t>
            </w:r>
          </w:p>
        </w:tc>
      </w:tr>
      <w:tr w14:paraId="65271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2A3E4FA0">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5</w:t>
            </w:r>
          </w:p>
        </w:tc>
        <w:tc>
          <w:tcPr>
            <w:tcW w:w="0" w:type="auto"/>
            <w:shd w:val="clear" w:color="auto" w:fill="auto"/>
            <w:vAlign w:val="center"/>
          </w:tcPr>
          <w:p w14:paraId="2DCDEE05">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Revise “4.2.1.2.5 Needle-tube insertion method”</w:t>
            </w:r>
          </w:p>
        </w:tc>
        <w:tc>
          <w:tcPr>
            <w:tcW w:w="0" w:type="auto"/>
            <w:shd w:val="clear" w:color="auto" w:fill="auto"/>
            <w:vAlign w:val="center"/>
          </w:tcPr>
          <w:p w14:paraId="2953C613">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0" w:type="auto"/>
            <w:shd w:val="clear" w:color="auto" w:fill="auto"/>
            <w:vAlign w:val="center"/>
          </w:tcPr>
          <w:p w14:paraId="07AC99A8">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33</w:t>
            </w:r>
          </w:p>
        </w:tc>
        <w:tc>
          <w:tcPr>
            <w:tcW w:w="0" w:type="auto"/>
            <w:shd w:val="clear" w:color="auto" w:fill="auto"/>
            <w:vAlign w:val="center"/>
          </w:tcPr>
          <w:p w14:paraId="1AAC7474">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97.06%</w:t>
            </w:r>
          </w:p>
        </w:tc>
      </w:tr>
      <w:tr w14:paraId="1222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54011441">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6</w:t>
            </w:r>
          </w:p>
        </w:tc>
        <w:tc>
          <w:tcPr>
            <w:tcW w:w="0" w:type="auto"/>
            <w:shd w:val="clear" w:color="auto" w:fill="auto"/>
            <w:vAlign w:val="center"/>
          </w:tcPr>
          <w:p w14:paraId="27E577C8">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Revise “5.1.2.1 Needles”</w:t>
            </w:r>
          </w:p>
        </w:tc>
        <w:tc>
          <w:tcPr>
            <w:tcW w:w="0" w:type="auto"/>
            <w:shd w:val="clear" w:color="auto" w:fill="auto"/>
            <w:vAlign w:val="center"/>
          </w:tcPr>
          <w:p w14:paraId="3F95B282">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0" w:type="auto"/>
            <w:shd w:val="clear" w:color="auto" w:fill="auto"/>
            <w:vAlign w:val="center"/>
          </w:tcPr>
          <w:p w14:paraId="2FA28E00">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25</w:t>
            </w:r>
          </w:p>
        </w:tc>
        <w:tc>
          <w:tcPr>
            <w:tcW w:w="0" w:type="auto"/>
            <w:shd w:val="clear" w:color="auto" w:fill="auto"/>
            <w:vAlign w:val="center"/>
          </w:tcPr>
          <w:p w14:paraId="1BC62370">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75.76%</w:t>
            </w:r>
          </w:p>
        </w:tc>
      </w:tr>
      <w:tr w14:paraId="6C397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3A08300B">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7</w:t>
            </w:r>
          </w:p>
        </w:tc>
        <w:tc>
          <w:tcPr>
            <w:tcW w:w="0" w:type="auto"/>
            <w:shd w:val="clear" w:color="auto" w:fill="auto"/>
            <w:vAlign w:val="center"/>
          </w:tcPr>
          <w:p w14:paraId="0B43040A">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Revise “6.1.5 Acupoints”</w:t>
            </w:r>
          </w:p>
        </w:tc>
        <w:tc>
          <w:tcPr>
            <w:tcW w:w="0" w:type="auto"/>
            <w:shd w:val="clear" w:color="auto" w:fill="auto"/>
            <w:vAlign w:val="center"/>
          </w:tcPr>
          <w:p w14:paraId="626FC551">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0" w:type="auto"/>
            <w:shd w:val="clear" w:color="auto" w:fill="auto"/>
            <w:vAlign w:val="center"/>
          </w:tcPr>
          <w:p w14:paraId="1980314A">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34</w:t>
            </w:r>
          </w:p>
        </w:tc>
        <w:tc>
          <w:tcPr>
            <w:tcW w:w="0" w:type="auto"/>
            <w:shd w:val="clear" w:color="auto" w:fill="auto"/>
            <w:vAlign w:val="center"/>
          </w:tcPr>
          <w:p w14:paraId="69C41ACF">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100.00%</w:t>
            </w:r>
          </w:p>
        </w:tc>
      </w:tr>
      <w:tr w14:paraId="6DD07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033A201A">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8</w:t>
            </w:r>
          </w:p>
        </w:tc>
        <w:tc>
          <w:tcPr>
            <w:tcW w:w="0" w:type="auto"/>
            <w:shd w:val="clear" w:color="auto" w:fill="auto"/>
            <w:vAlign w:val="center"/>
          </w:tcPr>
          <w:p w14:paraId="1F8A2A61">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Revise “6.3 Post-procedural management”</w:t>
            </w:r>
          </w:p>
        </w:tc>
        <w:tc>
          <w:tcPr>
            <w:tcW w:w="0" w:type="auto"/>
            <w:shd w:val="clear" w:color="auto" w:fill="auto"/>
            <w:vAlign w:val="center"/>
          </w:tcPr>
          <w:p w14:paraId="02B0F18C">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0" w:type="auto"/>
            <w:shd w:val="clear" w:color="auto" w:fill="auto"/>
            <w:vAlign w:val="center"/>
          </w:tcPr>
          <w:p w14:paraId="6C6C4C91">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31</w:t>
            </w:r>
          </w:p>
        </w:tc>
        <w:tc>
          <w:tcPr>
            <w:tcW w:w="0" w:type="auto"/>
            <w:shd w:val="clear" w:color="auto" w:fill="auto"/>
            <w:vAlign w:val="center"/>
          </w:tcPr>
          <w:p w14:paraId="152BFE49">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93.94%</w:t>
            </w:r>
          </w:p>
        </w:tc>
      </w:tr>
      <w:tr w14:paraId="5C417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14E41AF3">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9</w:t>
            </w:r>
          </w:p>
        </w:tc>
        <w:tc>
          <w:tcPr>
            <w:tcW w:w="0" w:type="auto"/>
            <w:shd w:val="clear" w:color="auto" w:fill="auto"/>
            <w:vAlign w:val="center"/>
          </w:tcPr>
          <w:p w14:paraId="75F2CAD7">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Add a description of mild moxibustion to “7.2.1.1 Suspended moxibustion”</w:t>
            </w:r>
          </w:p>
        </w:tc>
        <w:tc>
          <w:tcPr>
            <w:tcW w:w="0" w:type="auto"/>
            <w:shd w:val="clear" w:color="auto" w:fill="auto"/>
            <w:vAlign w:val="center"/>
          </w:tcPr>
          <w:p w14:paraId="198A8870">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0" w:type="auto"/>
            <w:shd w:val="clear" w:color="auto" w:fill="auto"/>
            <w:vAlign w:val="center"/>
          </w:tcPr>
          <w:p w14:paraId="747FF411">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33</w:t>
            </w:r>
          </w:p>
        </w:tc>
        <w:tc>
          <w:tcPr>
            <w:tcW w:w="0" w:type="auto"/>
            <w:shd w:val="clear" w:color="auto" w:fill="auto"/>
            <w:vAlign w:val="center"/>
          </w:tcPr>
          <w:p w14:paraId="56058A9D">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97.06%</w:t>
            </w:r>
          </w:p>
        </w:tc>
      </w:tr>
      <w:tr w14:paraId="581DE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4A712A84">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w:t>
            </w:r>
          </w:p>
        </w:tc>
        <w:tc>
          <w:tcPr>
            <w:tcW w:w="0" w:type="auto"/>
            <w:shd w:val="clear" w:color="auto" w:fill="auto"/>
            <w:vAlign w:val="center"/>
          </w:tcPr>
          <w:p w14:paraId="6AD03F1F">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Add details of moxibustion operation to “7.2.1.1 Suspended moxibustion”</w:t>
            </w:r>
          </w:p>
        </w:tc>
        <w:tc>
          <w:tcPr>
            <w:tcW w:w="0" w:type="auto"/>
            <w:shd w:val="clear" w:color="auto" w:fill="auto"/>
            <w:vAlign w:val="center"/>
          </w:tcPr>
          <w:p w14:paraId="547783BA">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0" w:type="auto"/>
            <w:shd w:val="clear" w:color="auto" w:fill="auto"/>
            <w:vAlign w:val="center"/>
          </w:tcPr>
          <w:p w14:paraId="7F380791">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33</w:t>
            </w:r>
          </w:p>
        </w:tc>
        <w:tc>
          <w:tcPr>
            <w:tcW w:w="0" w:type="auto"/>
            <w:shd w:val="clear" w:color="auto" w:fill="auto"/>
            <w:vAlign w:val="center"/>
          </w:tcPr>
          <w:p w14:paraId="474A8A94">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97.06%</w:t>
            </w:r>
          </w:p>
        </w:tc>
      </w:tr>
      <w:tr w14:paraId="7482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6F44D1AB">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11</w:t>
            </w:r>
          </w:p>
        </w:tc>
        <w:tc>
          <w:tcPr>
            <w:tcW w:w="0" w:type="auto"/>
            <w:shd w:val="clear" w:color="auto" w:fill="auto"/>
            <w:vAlign w:val="center"/>
          </w:tcPr>
          <w:p w14:paraId="4F9F1884">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Revise the technical key points of “B.2.2.1 Setting-the-mountain-on-fire method”</w:t>
            </w:r>
          </w:p>
        </w:tc>
        <w:tc>
          <w:tcPr>
            <w:tcW w:w="0" w:type="auto"/>
            <w:shd w:val="clear" w:color="auto" w:fill="auto"/>
            <w:vAlign w:val="center"/>
          </w:tcPr>
          <w:p w14:paraId="5EC23632">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0" w:type="auto"/>
            <w:shd w:val="clear" w:color="auto" w:fill="auto"/>
            <w:vAlign w:val="center"/>
          </w:tcPr>
          <w:p w14:paraId="3BEF5F7C">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30</w:t>
            </w:r>
          </w:p>
        </w:tc>
        <w:tc>
          <w:tcPr>
            <w:tcW w:w="0" w:type="auto"/>
            <w:shd w:val="clear" w:color="auto" w:fill="auto"/>
            <w:vAlign w:val="center"/>
          </w:tcPr>
          <w:p w14:paraId="373143EE">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90.91%</w:t>
            </w:r>
          </w:p>
        </w:tc>
      </w:tr>
      <w:tr w14:paraId="7714D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6B9487F6">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12</w:t>
            </w:r>
          </w:p>
        </w:tc>
        <w:tc>
          <w:tcPr>
            <w:tcW w:w="0" w:type="auto"/>
            <w:shd w:val="clear" w:color="auto" w:fill="auto"/>
            <w:vAlign w:val="center"/>
          </w:tcPr>
          <w:p w14:paraId="06063198">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Add details of technical operation to “B.2.2.1 Setting-the-mountain-on-fire method”</w:t>
            </w:r>
          </w:p>
        </w:tc>
        <w:tc>
          <w:tcPr>
            <w:tcW w:w="0" w:type="auto"/>
            <w:shd w:val="clear" w:color="auto" w:fill="auto"/>
            <w:vAlign w:val="center"/>
          </w:tcPr>
          <w:p w14:paraId="56ACB68C">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0" w:type="auto"/>
            <w:shd w:val="clear" w:color="auto" w:fill="auto"/>
            <w:vAlign w:val="center"/>
          </w:tcPr>
          <w:p w14:paraId="145D9963">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33</w:t>
            </w:r>
          </w:p>
        </w:tc>
        <w:tc>
          <w:tcPr>
            <w:tcW w:w="0" w:type="auto"/>
            <w:shd w:val="clear" w:color="auto" w:fill="auto"/>
            <w:vAlign w:val="center"/>
          </w:tcPr>
          <w:p w14:paraId="480109BE">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97.06%</w:t>
            </w:r>
          </w:p>
        </w:tc>
      </w:tr>
      <w:tr w14:paraId="51296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531F9CA7">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13</w:t>
            </w:r>
          </w:p>
        </w:tc>
        <w:tc>
          <w:tcPr>
            <w:tcW w:w="0" w:type="auto"/>
            <w:shd w:val="clear" w:color="auto" w:fill="auto"/>
            <w:vAlign w:val="center"/>
          </w:tcPr>
          <w:p w14:paraId="5169FD80">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Revise “B.2.2.2 Penetrating-heaven-coolness method”</w:t>
            </w:r>
          </w:p>
        </w:tc>
        <w:tc>
          <w:tcPr>
            <w:tcW w:w="0" w:type="auto"/>
            <w:shd w:val="clear" w:color="auto" w:fill="auto"/>
            <w:vAlign w:val="center"/>
          </w:tcPr>
          <w:p w14:paraId="66510605">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0" w:type="auto"/>
            <w:shd w:val="clear" w:color="auto" w:fill="auto"/>
            <w:vAlign w:val="center"/>
          </w:tcPr>
          <w:p w14:paraId="42C53D06">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32</w:t>
            </w:r>
          </w:p>
        </w:tc>
        <w:tc>
          <w:tcPr>
            <w:tcW w:w="0" w:type="auto"/>
            <w:shd w:val="clear" w:color="auto" w:fill="auto"/>
            <w:vAlign w:val="center"/>
          </w:tcPr>
          <w:p w14:paraId="11D60F5B">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96.97%</w:t>
            </w:r>
          </w:p>
        </w:tc>
      </w:tr>
      <w:tr w14:paraId="169DB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472F15D5">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14</w:t>
            </w:r>
          </w:p>
        </w:tc>
        <w:tc>
          <w:tcPr>
            <w:tcW w:w="0" w:type="auto"/>
            <w:shd w:val="clear" w:color="auto" w:fill="auto"/>
            <w:vAlign w:val="center"/>
          </w:tcPr>
          <w:p w14:paraId="6703B38F">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Delete “Annex C (informative) Calculation of bleeding volume in three-edge needle treatment”</w:t>
            </w:r>
          </w:p>
        </w:tc>
        <w:tc>
          <w:tcPr>
            <w:tcW w:w="0" w:type="auto"/>
            <w:shd w:val="clear" w:color="auto" w:fill="auto"/>
            <w:vAlign w:val="center"/>
          </w:tcPr>
          <w:p w14:paraId="02556C2D">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0" w:type="auto"/>
            <w:shd w:val="clear" w:color="auto" w:fill="auto"/>
            <w:vAlign w:val="center"/>
          </w:tcPr>
          <w:p w14:paraId="423E566F">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33</w:t>
            </w:r>
          </w:p>
        </w:tc>
        <w:tc>
          <w:tcPr>
            <w:tcW w:w="0" w:type="auto"/>
            <w:shd w:val="clear" w:color="auto" w:fill="auto"/>
            <w:vAlign w:val="center"/>
          </w:tcPr>
          <w:p w14:paraId="5D8917B4">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97.06%</w:t>
            </w:r>
          </w:p>
        </w:tc>
      </w:tr>
      <w:tr w14:paraId="61FBF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5F6C5549">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15</w:t>
            </w:r>
          </w:p>
        </w:tc>
        <w:tc>
          <w:tcPr>
            <w:tcW w:w="0" w:type="auto"/>
            <w:shd w:val="clear" w:color="auto" w:fill="auto"/>
            <w:vAlign w:val="center"/>
          </w:tcPr>
          <w:p w14:paraId="35BD20F5">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Revise “E.1 Ginger-partitioned moxibustion”</w:t>
            </w:r>
          </w:p>
        </w:tc>
        <w:tc>
          <w:tcPr>
            <w:tcW w:w="0" w:type="auto"/>
            <w:shd w:val="clear" w:color="auto" w:fill="auto"/>
            <w:vAlign w:val="center"/>
          </w:tcPr>
          <w:p w14:paraId="3526A932">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0" w:type="auto"/>
            <w:shd w:val="clear" w:color="auto" w:fill="auto"/>
            <w:vAlign w:val="center"/>
          </w:tcPr>
          <w:p w14:paraId="14946441">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34</w:t>
            </w:r>
          </w:p>
        </w:tc>
        <w:tc>
          <w:tcPr>
            <w:tcW w:w="0" w:type="auto"/>
            <w:shd w:val="clear" w:color="auto" w:fill="auto"/>
            <w:vAlign w:val="center"/>
          </w:tcPr>
          <w:p w14:paraId="275752B9">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100.00%</w:t>
            </w:r>
          </w:p>
        </w:tc>
      </w:tr>
      <w:tr w14:paraId="08EBA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2E03B772">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16</w:t>
            </w:r>
          </w:p>
        </w:tc>
        <w:tc>
          <w:tcPr>
            <w:tcW w:w="0" w:type="auto"/>
            <w:shd w:val="clear" w:color="auto" w:fill="auto"/>
            <w:vAlign w:val="center"/>
          </w:tcPr>
          <w:p w14:paraId="31278479">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Revise “E.2 Garlic-partitioned moxibustion”</w:t>
            </w:r>
          </w:p>
        </w:tc>
        <w:tc>
          <w:tcPr>
            <w:tcW w:w="0" w:type="auto"/>
            <w:shd w:val="clear" w:color="auto" w:fill="auto"/>
            <w:vAlign w:val="center"/>
          </w:tcPr>
          <w:p w14:paraId="1D1901A0">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0" w:type="auto"/>
            <w:shd w:val="clear" w:color="auto" w:fill="auto"/>
            <w:vAlign w:val="center"/>
          </w:tcPr>
          <w:p w14:paraId="22284C78">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31</w:t>
            </w:r>
          </w:p>
        </w:tc>
        <w:tc>
          <w:tcPr>
            <w:tcW w:w="0" w:type="auto"/>
            <w:shd w:val="clear" w:color="auto" w:fill="auto"/>
            <w:vAlign w:val="center"/>
          </w:tcPr>
          <w:p w14:paraId="0E67D684">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91.18%</w:t>
            </w:r>
          </w:p>
        </w:tc>
      </w:tr>
      <w:tr w14:paraId="2F175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2243639A">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17</w:t>
            </w:r>
          </w:p>
        </w:tc>
        <w:tc>
          <w:tcPr>
            <w:tcW w:w="0" w:type="auto"/>
            <w:shd w:val="clear" w:color="auto" w:fill="auto"/>
            <w:vAlign w:val="center"/>
          </w:tcPr>
          <w:p w14:paraId="1B351E3F">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Delete “E.6 Yellow-soil-partitioned moxibustion”</w:t>
            </w:r>
          </w:p>
        </w:tc>
        <w:tc>
          <w:tcPr>
            <w:tcW w:w="0" w:type="auto"/>
            <w:shd w:val="clear" w:color="auto" w:fill="auto"/>
            <w:vAlign w:val="center"/>
          </w:tcPr>
          <w:p w14:paraId="73380790">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0" w:type="auto"/>
            <w:shd w:val="clear" w:color="auto" w:fill="auto"/>
            <w:vAlign w:val="center"/>
          </w:tcPr>
          <w:p w14:paraId="04197561">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33</w:t>
            </w:r>
          </w:p>
        </w:tc>
        <w:tc>
          <w:tcPr>
            <w:tcW w:w="0" w:type="auto"/>
            <w:shd w:val="clear" w:color="auto" w:fill="auto"/>
            <w:vAlign w:val="center"/>
          </w:tcPr>
          <w:p w14:paraId="288453B0">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97.06%</w:t>
            </w:r>
          </w:p>
        </w:tc>
      </w:tr>
      <w:tr w14:paraId="2531F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shd w:val="clear" w:color="auto" w:fill="auto"/>
            <w:vAlign w:val="center"/>
          </w:tcPr>
          <w:p w14:paraId="25C3492A">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18</w:t>
            </w:r>
          </w:p>
        </w:tc>
        <w:tc>
          <w:tcPr>
            <w:tcW w:w="0" w:type="auto"/>
            <w:shd w:val="clear" w:color="auto" w:fill="auto"/>
            <w:vAlign w:val="center"/>
          </w:tcPr>
          <w:p w14:paraId="31D18A0C">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Delete “E.7 Pepper-cake-partitioned moxibustion”</w:t>
            </w:r>
          </w:p>
        </w:tc>
        <w:tc>
          <w:tcPr>
            <w:tcW w:w="0" w:type="auto"/>
            <w:shd w:val="clear" w:color="auto" w:fill="auto"/>
            <w:vAlign w:val="center"/>
          </w:tcPr>
          <w:p w14:paraId="40D811AC">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A. Agree</w:t>
            </w:r>
          </w:p>
        </w:tc>
        <w:tc>
          <w:tcPr>
            <w:tcW w:w="0" w:type="auto"/>
            <w:shd w:val="clear" w:color="auto" w:fill="auto"/>
            <w:vAlign w:val="center"/>
          </w:tcPr>
          <w:p w14:paraId="233861CA">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30</w:t>
            </w:r>
          </w:p>
        </w:tc>
        <w:tc>
          <w:tcPr>
            <w:tcW w:w="0" w:type="auto"/>
            <w:shd w:val="clear" w:color="auto" w:fill="auto"/>
            <w:vAlign w:val="center"/>
          </w:tcPr>
          <w:p w14:paraId="18C03298">
            <w:pPr>
              <w:widowControl/>
              <w:spacing w:line="276" w:lineRule="auto"/>
              <w:ind w:firstLine="0" w:firstLineChars="0"/>
              <w:outlineLvl w:val="4"/>
              <w:rPr>
                <w:rFonts w:hint="default" w:ascii="Cambria" w:hAnsi="Cambria" w:eastAsia="仿宋" w:cs="Cambria"/>
                <w:b w:val="0"/>
                <w:bCs w:val="0"/>
                <w:szCs w:val="21"/>
              </w:rPr>
            </w:pPr>
            <w:r>
              <w:rPr>
                <w:rFonts w:hint="default" w:ascii="Cambria" w:hAnsi="Cambria" w:eastAsia="仿宋" w:cs="Cambria"/>
                <w:b w:val="0"/>
                <w:bCs w:val="0"/>
                <w:szCs w:val="21"/>
                <w:lang w:val="en-US" w:eastAsia="zh-CN"/>
              </w:rPr>
              <w:t>88.24%</w:t>
            </w:r>
          </w:p>
        </w:tc>
      </w:tr>
    </w:tbl>
    <w:p w14:paraId="46B862BE">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3.2 Analysis of controversial items</w:t>
      </w:r>
    </w:p>
    <w:p w14:paraId="70A4079F">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According to the handling plan for statistical results in “1.2”, there were still 4 items for which no option received support from more than 50% of experts. These items were the naming and definition of “horizontal insertion”, operating steps for pressing moxibustion, post-procedural care after moxibustion, and the flicking method, namely flicking and tapping the needle handle. The topics of the controversial items and the options with the highest support are summarized as follows.</w:t>
      </w:r>
    </w:p>
    <w:p w14:paraId="19043F17">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3.2.1 Naming and definition of “horizontal insertion”</w:t>
      </w:r>
    </w:p>
    <w:p w14:paraId="219F14E9">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Original wording of the national standard: Horizontal insertion: The needle body is inserted at an angle of approximately 15° to the skin surface, or at an even smaller angle along the skin surface. It is applicable to acupoints in areas where the skin is thin and the flesh is scanty, such as acupoints on the head and the sternal region.</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12"/>
        <w:gridCol w:w="1580"/>
        <w:gridCol w:w="1630"/>
      </w:tblGrid>
      <w:tr w14:paraId="02E64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966" w:type="dxa"/>
            <w:tcBorders>
              <w:insideH w:val="single" w:sz="4" w:space="0"/>
            </w:tcBorders>
            <w:vAlign w:val="center"/>
          </w:tcPr>
          <w:p w14:paraId="6EA7AA5B">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Option</w:t>
            </w:r>
          </w:p>
        </w:tc>
        <w:tc>
          <w:tcPr>
            <w:tcW w:w="860" w:type="dxa"/>
            <w:tcBorders>
              <w:insideH w:val="single" w:sz="4" w:space="0"/>
            </w:tcBorders>
            <w:vAlign w:val="center"/>
          </w:tcPr>
          <w:p w14:paraId="26897F20">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Frequency</w:t>
            </w:r>
          </w:p>
        </w:tc>
        <w:tc>
          <w:tcPr>
            <w:tcW w:w="696" w:type="dxa"/>
            <w:tcBorders>
              <w:insideH w:val="single" w:sz="4" w:space="0"/>
            </w:tcBorders>
            <w:vAlign w:val="center"/>
          </w:tcPr>
          <w:p w14:paraId="37850A39">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Percentage</w:t>
            </w:r>
          </w:p>
        </w:tc>
      </w:tr>
      <w:tr w14:paraId="26C0F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66" w:type="dxa"/>
            <w:vAlign w:val="center"/>
          </w:tcPr>
          <w:p w14:paraId="5659935B">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A. Transverse insertion method: The needle body is inserted horizontally into the skin at an angle of approximately 15° to the skin surface. Transverse insertion is applicable to the head and face, chest and back, and areas with thin musculature.</w:t>
            </w:r>
          </w:p>
        </w:tc>
        <w:tc>
          <w:tcPr>
            <w:tcW w:w="860" w:type="dxa"/>
            <w:vAlign w:val="center"/>
          </w:tcPr>
          <w:p w14:paraId="74283338">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17</w:t>
            </w:r>
          </w:p>
        </w:tc>
        <w:tc>
          <w:tcPr>
            <w:tcW w:w="696" w:type="dxa"/>
            <w:vAlign w:val="center"/>
          </w:tcPr>
          <w:p w14:paraId="43693B14">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50%</w:t>
            </w:r>
          </w:p>
        </w:tc>
      </w:tr>
      <w:tr w14:paraId="7E230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66" w:type="dxa"/>
            <w:vAlign w:val="center"/>
          </w:tcPr>
          <w:p w14:paraId="35AE49E0">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B. Retain the original wording of the national standard.</w:t>
            </w:r>
          </w:p>
        </w:tc>
        <w:tc>
          <w:tcPr>
            <w:tcW w:w="860" w:type="dxa"/>
            <w:vAlign w:val="center"/>
          </w:tcPr>
          <w:p w14:paraId="6C123451">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17</w:t>
            </w:r>
          </w:p>
        </w:tc>
        <w:tc>
          <w:tcPr>
            <w:tcW w:w="696" w:type="dxa"/>
            <w:vAlign w:val="center"/>
          </w:tcPr>
          <w:p w14:paraId="472B89A1">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50%</w:t>
            </w:r>
          </w:p>
        </w:tc>
      </w:tr>
    </w:tbl>
    <w:p w14:paraId="0BC0FA3A">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Expert written suggestions:</w:t>
      </w:r>
    </w:p>
    <w:p w14:paraId="40010D6A">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names “horizontal insertion” and “transverse insertion” should be determined with reference to other relevant standards. (Wang Shouchuan) </w:t>
      </w:r>
    </w:p>
    <w:p w14:paraId="370306F9">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term “transverse insertion method” is more commonly used and is consistent with GB/T 21709.20—2009. (Wang Mengqing) </w:t>
      </w:r>
    </w:p>
    <w:p w14:paraId="4E09CF9E">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Horizontal insertion: The needle body is inserted at an angle of approximately 15° to the skin surface, or at an even smaller angle along the skin surface. It is applicable to acupoints in areas where the skin is thin and the flesh is scanty, such as acupoints on the head and the sternal region. Option B is more accurate, but the word “angle” from Option A should be added. (Qiao Mulin) </w:t>
      </w:r>
    </w:p>
    <w:p w14:paraId="70E592AB">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3.2.2 Operating steps for pressing moxibustion</w:t>
      </w:r>
    </w:p>
    <w:p w14:paraId="17C52B22">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Original wording of the national standard: After selecting the moxibustion site, ignite one end of a specially prepared medicated moxa stick. Cover the acupoint with 5–10 layers of cotton cloth, press the moxa fire firmly onto the acupoint through the cotton cloth, and lift it after 1–2 s. After a brief pause, press again. If the moxa fire goes out, it may be re-ignited. Repeat the procedure in this way. Each acupoint is treated with pressing moxibustion 5–7 times, with the appearance of warmth and flushing of the child patient’s skin as the criterion.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5494"/>
        <w:gridCol w:w="1398"/>
        <w:gridCol w:w="1448"/>
      </w:tblGrid>
      <w:tr w14:paraId="61614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2D871EFF">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Option</w:t>
            </w:r>
          </w:p>
        </w:tc>
        <w:tc>
          <w:tcPr>
            <w:tcW w:w="0" w:type="auto"/>
            <w:shd w:val="clear" w:color="auto" w:fill="auto"/>
            <w:vAlign w:val="center"/>
          </w:tcPr>
          <w:p w14:paraId="20205665">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Frequency</w:t>
            </w:r>
          </w:p>
        </w:tc>
        <w:tc>
          <w:tcPr>
            <w:tcW w:w="0" w:type="auto"/>
            <w:shd w:val="clear" w:color="auto" w:fill="auto"/>
            <w:vAlign w:val="center"/>
          </w:tcPr>
          <w:p w14:paraId="08EB9630">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Percentage</w:t>
            </w:r>
          </w:p>
        </w:tc>
      </w:tr>
      <w:tr w14:paraId="1EF1E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7836A8CE">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A. Place 6–8 layers of soft paper, gauze, silk cloth or cotton cloth over the moxibustion site. The practitioner holds a moxa stick, ignites one end of it, aligns the burning end with the moxibustion site and presses it directly onto the site for 1–2 s, allowing the heat to penetrate deeply. When the patient feels local burning heat or pain from the pressing moxibustion, the moxa stick should be removed. Each acupoint may be pressed 3–7 times per session. The moxa stick and the paper or cloth laid over the site are then removed, with the appearance of local skin flushing as the criterion.</w:t>
            </w:r>
          </w:p>
        </w:tc>
        <w:tc>
          <w:tcPr>
            <w:tcW w:w="0" w:type="auto"/>
            <w:shd w:val="clear" w:color="auto" w:fill="auto"/>
            <w:vAlign w:val="center"/>
          </w:tcPr>
          <w:p w14:paraId="7F605C44">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11</w:t>
            </w:r>
          </w:p>
        </w:tc>
        <w:tc>
          <w:tcPr>
            <w:tcW w:w="0" w:type="auto"/>
            <w:shd w:val="clear" w:color="auto" w:fill="auto"/>
            <w:vAlign w:val="center"/>
          </w:tcPr>
          <w:p w14:paraId="53C60651">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32.35%</w:t>
            </w:r>
          </w:p>
        </w:tc>
      </w:tr>
      <w:tr w14:paraId="0435A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1E9E37F3">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B. Place 6–8 layers of cotton paper, gauze, silk cloth or cotton cloth over the moxibustion site. The practitioner holds the moxa stick as if holding a pen, ignites one end of it, aligns the burning end with the moxibustion site and presses it directly onto the site for 2–4 s, allowing the medicinal qi and heat to penetrate deeply. Alternatively, when the recipient feels local burning heat or pain from the pressing moxibustion, the moxa stick should be lifted, and pressing may be repeated after the burning sensation or pain is relieved. If the moxa fire goes out during the procedure, a pre-ignited spare moxa stick may be used to continue moxibustion promptly, and the process may be repeated in this way. Each acupoint may be pressed 3–7 times per session, or the appearance of skin flushing at the moxibustion site after removal of the covering material may be used as the criterion. The procedure may be performed once daily or once every other day.</w:t>
            </w:r>
          </w:p>
        </w:tc>
        <w:tc>
          <w:tcPr>
            <w:tcW w:w="0" w:type="auto"/>
            <w:shd w:val="clear" w:color="auto" w:fill="auto"/>
            <w:vAlign w:val="center"/>
          </w:tcPr>
          <w:p w14:paraId="29CE41EE">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6</w:t>
            </w:r>
          </w:p>
        </w:tc>
        <w:tc>
          <w:tcPr>
            <w:tcW w:w="0" w:type="auto"/>
            <w:shd w:val="clear" w:color="auto" w:fill="auto"/>
            <w:vAlign w:val="center"/>
          </w:tcPr>
          <w:p w14:paraId="0B98C01D">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17.65%</w:t>
            </w:r>
          </w:p>
        </w:tc>
      </w:tr>
      <w:tr w14:paraId="6BB67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68AE8414">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C. Retain the original wording of the national standard.</w:t>
            </w:r>
          </w:p>
        </w:tc>
        <w:tc>
          <w:tcPr>
            <w:tcW w:w="0" w:type="auto"/>
            <w:shd w:val="clear" w:color="auto" w:fill="auto"/>
            <w:vAlign w:val="center"/>
          </w:tcPr>
          <w:p w14:paraId="31A63370">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10</w:t>
            </w:r>
          </w:p>
        </w:tc>
        <w:tc>
          <w:tcPr>
            <w:tcW w:w="0" w:type="auto"/>
            <w:shd w:val="clear" w:color="auto" w:fill="auto"/>
            <w:vAlign w:val="center"/>
          </w:tcPr>
          <w:p w14:paraId="663D5CA4">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29.41%</w:t>
            </w:r>
          </w:p>
        </w:tc>
      </w:tr>
      <w:tr w14:paraId="24650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48376372">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D. Integrate the above contents.</w:t>
            </w:r>
          </w:p>
        </w:tc>
        <w:tc>
          <w:tcPr>
            <w:tcW w:w="0" w:type="auto"/>
            <w:shd w:val="clear" w:color="auto" w:fill="auto"/>
            <w:vAlign w:val="center"/>
          </w:tcPr>
          <w:p w14:paraId="27690AF4">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7</w:t>
            </w:r>
          </w:p>
        </w:tc>
        <w:tc>
          <w:tcPr>
            <w:tcW w:w="0" w:type="auto"/>
            <w:shd w:val="clear" w:color="auto" w:fill="auto"/>
            <w:vAlign w:val="center"/>
          </w:tcPr>
          <w:p w14:paraId="74367CC9">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20.59%</w:t>
            </w:r>
          </w:p>
        </w:tc>
      </w:tr>
    </w:tbl>
    <w:p w14:paraId="45C43D25">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Expert written suggestions:</w:t>
      </w:r>
    </w:p>
    <w:p w14:paraId="4BEECB41">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Use 5–10 layers of cotton paper and press for 1–2 s. (Liu Ying) </w:t>
      </w:r>
    </w:p>
    <w:p w14:paraId="2A484814">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Is it necessary to specify the number of layers of gauze? Consider adding “when necessary” or not specifying the number of layers, because too many layers of gauze may affect heat transfer. (Cui Xia) </w:t>
      </w:r>
    </w:p>
    <w:p w14:paraId="686637EE">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“Patient” should be changed to “child patient”. (Wang Shouchuan) </w:t>
      </w:r>
    </w:p>
    <w:p w14:paraId="16CAAEB2">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advantages of Options A and B should be integrated, and the material of the covering, pressing time and number of applications should be specified, so as to make the procedure safer and more standardized. (Wang Mengqing) </w:t>
      </w:r>
    </w:p>
    <w:p w14:paraId="2F60DA4C">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Option C should be used as the main basis and integrated with Option A: After selecting the moxibustion site, ignite one end of a specially prepared medicated moxa stick. Cover the acupoint with 5–10 layers of cotton cloth or gauze, press the moxa fire firmly onto the acupoint through the cotton cloth, and lift it after 1–2 s, allowing the heat to penetrate deeply. After a brief pause, press again. If the moxa fire goes out, it may be re-ignited. Repeat the procedure in this way. Each acupoint may be pressed 3–7 times per session. The moxa stick and the covering cloth are then removed, with the appearance of warmth and flushing of the child patient’s skin as the criterion. (Qiao Mulin) </w:t>
      </w:r>
    </w:p>
    <w:p w14:paraId="2F549C62">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3.2.3 Post-procedural care after moxibustion</w:t>
      </w:r>
    </w:p>
    <w:p w14:paraId="72E1DC89">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Original wording of the national standard: After moxibustion, the skin often shows flushing and a burning sensation. No treatment is required, and these reactions usually disappear spontaneously. If local edema or blisters occur at the moxibustion site, when the blister is less than 1 cm in diameter, it should be protected from rupture and may be allowed to absorb spontaneously. If the blister is more than 1 cm in diameter and contains a large amount of fluid, a disinfected filiform needle may be used to puncture the blister and release the fluid, or a disposable syringe may be used to aspirate the fluid. After disinfection, the site should be wrapped with sterile gauze. If a moxibustion sore is inadvertently caused, severe cases should be treated by applying anti-inflammatory ointment or Yuhong ointment, or with assistance from a surgeon.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5494"/>
        <w:gridCol w:w="1398"/>
        <w:gridCol w:w="1448"/>
      </w:tblGrid>
      <w:tr w14:paraId="219F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1D6DB7AE">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Option</w:t>
            </w:r>
          </w:p>
        </w:tc>
        <w:tc>
          <w:tcPr>
            <w:tcW w:w="0" w:type="auto"/>
            <w:shd w:val="clear" w:color="auto" w:fill="auto"/>
            <w:vAlign w:val="center"/>
          </w:tcPr>
          <w:p w14:paraId="2F828E00">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Frequency</w:t>
            </w:r>
          </w:p>
        </w:tc>
        <w:tc>
          <w:tcPr>
            <w:tcW w:w="0" w:type="auto"/>
            <w:shd w:val="clear" w:color="auto" w:fill="auto"/>
            <w:vAlign w:val="center"/>
          </w:tcPr>
          <w:p w14:paraId="0776CFE4">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Percentage</w:t>
            </w:r>
          </w:p>
        </w:tc>
      </w:tr>
      <w:tr w14:paraId="64DBA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3BD08B31">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A. After moxibustion, the skin often shows flushing and a burning sensation. No treatment is required, and these reactions usually disappear spontaneously. If moxibustion causes burns to skin tissue above the basal layer of the epidermis, edema or blisters may occur. If the blister is approximately 1 cm in diameter, no treatment is generally required and it may be allowed to absorb spontaneously. If the blister is large, a sterile needle or scissors may be used to puncture or cut open the blister skin to release the blister contents, and the blister skin may be trimmed away to expose the damaged basal layer. Anti-inflammatory ointment may be applied to prevent infection. Sterile pus on the wound surface need not be cleared until scabbing and spontaneous healing occur. Moxibustion-induced blisters may scab and fall off spontaneously within 5–8 days, generally leaving no scar after healing. After moxibustion, the basal layer of the skin or dermal tissue may sometimes be damaged, resulting in edema, ulceration, exudation of body fluid, or even aseptic suppuration. In mild cases, only the basal layer of the skin is damaged, and the injured skin scabs and falls off spontaneously within 7–20 days, leaving a permanent superficial scar. In severe cases, the dermal tissue is damaged, and the wound surface forms a thick scab that falls off spontaneously within 20–50 days, leaving a permanent scar after healing; this is the moxibustion sore recorded in ancient medical texts. During the suppurative stage of a moxibustion sore, physical labor should be avoided, rest should be ensured, and infection should be strictly prevented. If infection occurs, mild redness or swelling may be treated locally with anti-inflammatory measures and generally disappears within a short period. If extensive redness, swelling, heat and pain occur, oral or topical anti-inflammatory medication may be used in addition to the above measures. If the suppurative site is deep, a surgeon should be consulted for assistance in management.</w:t>
            </w:r>
          </w:p>
        </w:tc>
        <w:tc>
          <w:tcPr>
            <w:tcW w:w="0" w:type="auto"/>
            <w:shd w:val="clear" w:color="auto" w:fill="auto"/>
            <w:vAlign w:val="center"/>
          </w:tcPr>
          <w:p w14:paraId="2C32FC9E">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17</w:t>
            </w:r>
          </w:p>
        </w:tc>
        <w:tc>
          <w:tcPr>
            <w:tcW w:w="0" w:type="auto"/>
            <w:shd w:val="clear" w:color="auto" w:fill="auto"/>
            <w:vAlign w:val="center"/>
          </w:tcPr>
          <w:p w14:paraId="4C1AD997">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50%</w:t>
            </w:r>
          </w:p>
        </w:tc>
      </w:tr>
      <w:tr w14:paraId="2CE6E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7B4B93C6">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B. Retain the original wording of the national standard.</w:t>
            </w:r>
          </w:p>
        </w:tc>
        <w:tc>
          <w:tcPr>
            <w:tcW w:w="0" w:type="auto"/>
            <w:shd w:val="clear" w:color="auto" w:fill="auto"/>
            <w:vAlign w:val="center"/>
          </w:tcPr>
          <w:p w14:paraId="3DC7807F">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17</w:t>
            </w:r>
          </w:p>
        </w:tc>
        <w:tc>
          <w:tcPr>
            <w:tcW w:w="0" w:type="auto"/>
            <w:shd w:val="clear" w:color="auto" w:fill="auto"/>
            <w:vAlign w:val="center"/>
          </w:tcPr>
          <w:p w14:paraId="774715F0">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50%</w:t>
            </w:r>
          </w:p>
        </w:tc>
      </w:tr>
    </w:tbl>
    <w:p w14:paraId="5077CDC2">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Expert written suggestions:</w:t>
      </w:r>
    </w:p>
    <w:p w14:paraId="5D88B56B">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In children, mild moxibustion should be used whenever possible to avoid any skin injury. Severe burns should be managed directly by Western medical surgery. (Chen Xiaoyan) </w:t>
      </w:r>
    </w:p>
    <w:p w14:paraId="28BC5550">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wording is too complicated and needs to be simplified. (Chen Renshou) </w:t>
      </w:r>
    </w:p>
    <w:p w14:paraId="380A0184">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For children, “physical labor should be avoided” should be changed to “strenuous physical activity should be avoided”. (Cui Xia) </w:t>
      </w:r>
    </w:p>
    <w:p w14:paraId="470948E0">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When the blister is more than 1 cm in diameter and contains a large amount of fluid, it is recommended to consult a surgeon for assistance in management. (Rong Ping) </w:t>
      </w:r>
    </w:p>
    <w:p w14:paraId="2DAB860E">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contents of Options B and A should be integrated, and the sentence “if moxibustion causes burns to skin tissue above the basal layer of the epidermis” should be clarified. Attention should also be paid to international safety standards, for example, Australian requirements that burns or moxibustion sores should not be caused. (Qiao Mulin) </w:t>
      </w:r>
    </w:p>
    <w:p w14:paraId="38A32E2F">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3.2.4 Flicking method, namely flicking and tapping the needle handle</w:t>
      </w:r>
    </w:p>
    <w:p w14:paraId="6FAA0DEF">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Original wording of the national standard: The physician crosses the thumb and index finger, aligns them with the tail of the needle handle inserted into the acupoint, and gently flicks and taps it so that the needle body trembles slightly. Alternatively, the index finger alone may be used to flick and vibrate the needle handle, causing the needle body to vibrate.</w:t>
      </w:r>
    </w:p>
    <w:p w14:paraId="45E81810">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Technical key points: Flicking should not be too forceful, so as to avoid bent needle or stuck needle. Flicking should not be too frequent, so as to avoid producing the opposite effect and causing the qi of the meridian to disperse rapidly. The flicking method should be performed by gently flicking and tapping during the needle retention period, generally 7–10 times.</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5494"/>
        <w:gridCol w:w="1398"/>
        <w:gridCol w:w="1448"/>
      </w:tblGrid>
      <w:tr w14:paraId="7A154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shd w:val="clear" w:color="auto" w:fill="auto"/>
            <w:vAlign w:val="center"/>
          </w:tcPr>
          <w:p w14:paraId="5684B254">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Option</w:t>
            </w:r>
          </w:p>
        </w:tc>
        <w:tc>
          <w:tcPr>
            <w:tcW w:w="0" w:type="auto"/>
            <w:shd w:val="clear" w:color="auto" w:fill="auto"/>
            <w:vAlign w:val="center"/>
          </w:tcPr>
          <w:p w14:paraId="26EFD1F5">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Frequency</w:t>
            </w:r>
          </w:p>
        </w:tc>
        <w:tc>
          <w:tcPr>
            <w:tcW w:w="0" w:type="auto"/>
            <w:shd w:val="clear" w:color="auto" w:fill="auto"/>
            <w:vAlign w:val="center"/>
          </w:tcPr>
          <w:p w14:paraId="2803682E">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Percentage</w:t>
            </w:r>
          </w:p>
        </w:tc>
      </w:tr>
      <w:tr w14:paraId="454ED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41965A80">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A. Flicking method: A method of flicking the needle handle with the fingernail. The thumb and index finger, or the thumb and middle finger, are used alternately. The thumb pad hooks the fingertip of the index or middle finger, and the fingernail of the index or middle finger is used to flick the needle handle. During needle insertion, the same method may also be used to flick the needle from the needle tail toward the needle body to facilitate insertion.</w:t>
            </w:r>
          </w:p>
        </w:tc>
        <w:tc>
          <w:tcPr>
            <w:tcW w:w="0" w:type="auto"/>
            <w:shd w:val="clear" w:color="auto" w:fill="auto"/>
            <w:vAlign w:val="center"/>
          </w:tcPr>
          <w:p w14:paraId="205A8E99">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17</w:t>
            </w:r>
          </w:p>
        </w:tc>
        <w:tc>
          <w:tcPr>
            <w:tcW w:w="0" w:type="auto"/>
            <w:shd w:val="clear" w:color="auto" w:fill="auto"/>
            <w:vAlign w:val="center"/>
          </w:tcPr>
          <w:p w14:paraId="763A2B51">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50%</w:t>
            </w:r>
          </w:p>
        </w:tc>
      </w:tr>
      <w:tr w14:paraId="70061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shd w:val="clear" w:color="auto" w:fill="auto"/>
            <w:vAlign w:val="center"/>
          </w:tcPr>
          <w:p w14:paraId="5B8C2D7F">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B. Retain the original wording of the national standard.</w:t>
            </w:r>
          </w:p>
        </w:tc>
        <w:tc>
          <w:tcPr>
            <w:tcW w:w="0" w:type="auto"/>
            <w:shd w:val="clear" w:color="auto" w:fill="auto"/>
            <w:vAlign w:val="center"/>
          </w:tcPr>
          <w:p w14:paraId="79F58AE3">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17</w:t>
            </w:r>
          </w:p>
        </w:tc>
        <w:tc>
          <w:tcPr>
            <w:tcW w:w="0" w:type="auto"/>
            <w:shd w:val="clear" w:color="auto" w:fill="auto"/>
            <w:vAlign w:val="center"/>
          </w:tcPr>
          <w:p w14:paraId="116915B3">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lang w:val="en-US" w:eastAsia="zh-CN"/>
              </w:rPr>
              <w:t>50%</w:t>
            </w:r>
          </w:p>
        </w:tc>
      </w:tr>
    </w:tbl>
    <w:p w14:paraId="247FA092">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Expert written suggestions:</w:t>
      </w:r>
    </w:p>
    <w:p w14:paraId="055989F5">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For children younger than 10 years, the flicking method may be omitted. (Chen Xiaoyan) </w:t>
      </w:r>
    </w:p>
    <w:p w14:paraId="21D94446">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Chinese term “食指” should be changed to “示指”. (Wang Mengqing) </w:t>
      </w:r>
    </w:p>
    <w:p w14:paraId="189E88DB">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Clarifying “flicking the needle handle with the fingernail” makes the description more precise. (Wang Mingming) </w:t>
      </w:r>
    </w:p>
    <w:p w14:paraId="42A8983E">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The wording of Option B is more specific. In the text, the Chinese term should be changed to “食指”. (Qiao Mulin) </w:t>
      </w:r>
    </w:p>
    <w:p w14:paraId="0186A88E">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Option A is selected because flicking with the fingernail can produce good vibration. (Ma Bingxiang)</w:t>
      </w:r>
    </w:p>
    <w:p w14:paraId="31E072E0">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4 Discussion</w:t>
      </w:r>
    </w:p>
    <w:p w14:paraId="2B26E044">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4.1 Standardization of terminology and operational definitions</w:t>
      </w:r>
    </w:p>
    <w:p w14:paraId="3B73E2FF">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In this expert consultation on pediatric acupuncture and moxibustion, high levels of agreement were reached on dozens of items covering acupuncture operations, moxibustion operations, instrument selection and annex content. Among them, the support rates for items with directly accepted revision comments and for provisions proposed to be added, revised or deleted were mostly between 75% and 100%. For example, “revise 4.2.1 Needle insertion methods”, “revise 4.1.5 Acupoints” and “Annex A Commonly used filiform needle specifications” all received 100% support. These high-consensus items have laid a solid foundation for optimizing and upgrading the current national standard, and have also provided key evidence for its transformation into an international standard, reflecting outstanding practical value and significance for international adaptation.</w:t>
      </w:r>
    </w:p>
    <w:p w14:paraId="48A6E726">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At the level of terminology and operational definitions, core concepts such as deqi, fainting during acupuncture, position selection, various needle insertion methods including the stretching needle insertion method, pinching needle insertion method, fingernail-pressing needle insertion method and guide-tube needle insertion method, perpendicular insertion, horizontal insertion, needle retention, needle withdrawal steps, needle selection, as well as pricking, bloodletting and scattered pricking with a three-edge needle, were systematically reviewed and optimized.</w:t>
      </w:r>
    </w:p>
    <w:p w14:paraId="7206A3CD">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Key terms such as deqi, fainting during acupuncture, needle retention and needle withdrawal mostly retained the original wording of the current national standard. For example, the support rate for the definition of deqi was 88.24%, the support rate for retaining the original wording of the definition of fainting during acupuncture was 61.76%, and the support rates for retaining the original wording of the definitions of needle retention and needle withdrawal both exceeded 53%. This maintained continuity and traceability with existing domestic specifications and facilitated seamless connection with existing clinical literature and teaching systems.</w:t>
      </w:r>
    </w:p>
    <w:p w14:paraId="452C1200">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Needle insertion methods such as the stretching needle insertion method, pinching needle insertion method, fingernail-pressing needle insertion method, renamed from finger-pressing needle insertion method, and guide-tube needle insertion method were described in a concise and operable manner in terms of their operational key points and applicable sites, while preserving the traditional technical connotations. For example, the stretching needle insertion method emphasizes that it is “used for needle insertion at sites where the skin is relatively loose and soft”; the pinching needle insertion method emphasizes that it is “used for needle insertion at sites where the skin and flesh are thin”; and the guide-tube needle insertion method specifies the material and length of the guide tube, as well as the flicking step for needle insertion. These descriptions received support from more than 50% of experts, with the support rate for the guide-tube needle insertion method reaching 67.65%. By standardizing the technical names, applicable sites and operating steps at the same time, pediatric acupuncture and moxibustion practitioners in different countries and regions can intuitively understand and reproduce the operations, thereby reducing misuse and variation caused by ambiguous terminology.</w:t>
      </w:r>
    </w:p>
    <w:p w14:paraId="2EEE9634">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Overall, the standardization of this series of terms and operational definitions, on the one hand, retained the core expressions that have been widely accepted in national standards, ensuring internal continuity and historical continuity of the standard. On the other hand, through refined descriptions of needle insertion angle, force application, applicable sites and treatment frequency, the quantifiability of the descriptions was improved, making pediatric acupuncture and moxibustion techniques easier to translate, compare and disseminate internationally, and reducing misunderstandings in cross-language and cross-cultural clinical and research collaboration.</w:t>
      </w:r>
    </w:p>
    <w:p w14:paraId="51413FB9">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4.2 Optimization of the standard framework and structural provisions</w:t>
      </w:r>
    </w:p>
    <w:p w14:paraId="0867CCE5">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In terms of the standard framework and provision structure, revisions to provisions such as “1 Scope”, “2 Normative references”, “4.1.5/6.1.5 Acupoints”, “4.2.1 Needle insertion methods” and “6.3 Post-procedural management”, as well as proposals to add relevant content to “7.2.1.1 Suspended moxibustion” and adjust annex content, all received high support rates, mostly above 90%, with some items reaching 100%.</w:t>
      </w:r>
    </w:p>
    <w:p w14:paraId="5C7D13DA">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The revisions to “Scope” and “Normative references” received support rates of more than 97%, indicating that experts generally agreed that the authority and traceability of the standard should be strengthened through a clearer applicable population, boundaries of indications and reference system. This is highly consistent with the “completeness, evidence basis and verifiability” commonly emphasized in international standards, and creates formal prerequisites for future proposals of relevant standards to international organizations such as ISO.</w:t>
      </w:r>
    </w:p>
    <w:p w14:paraId="3ACD6A65">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The revisions to “4.1.5 Acupoints” and “6.1.5 Acupoints” received 100% support. By unifying the descriptive logic of pediatric acupoint names, locations and indications, the standardization of acupoints in pediatric application was further improved, and convenience was also provided for alignment with international specifications such as the WHO standard acupuncture point nomenclature system.</w:t>
      </w:r>
    </w:p>
    <w:p w14:paraId="5CAA4789">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The revision to “6.3 Post-procedural management” received a high support rate, reflecting experts’ emphasis on “whole-process management”. Pediatric acupuncture and moxibustion was expanded from a simple “operational specification” into a complete closed loop covering “pre-procedural assessment — procedural operation — post-procedural management”. This closed-loop approach is highly consistent with modern medical quality and safety management models and better meets the comprehensive safety requirements of the international medical community for pediatric care.</w:t>
      </w:r>
    </w:p>
    <w:p w14:paraId="3004B3DD">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4.3 Strengthening of operational details and safety specifications</w:t>
      </w:r>
    </w:p>
    <w:p w14:paraId="3FA50100">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This consensus particularly emphasized the special safety requirements of pediatric acupuncture and moxibustion. Multiple items were refined according to children’s anatomical characteristics and physiological responses.</w:t>
      </w:r>
    </w:p>
    <w:p w14:paraId="2A6B511C">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For “acupuncture operation near the fontanelle in children”, it was clearly proposed that “when the fontanelle in children has not yet closed, acupoints near the fontanelle should not be needled”, with a support rate of 73.53%. This provision is based on anatomical and developmental safety. It is highly understandable and acceptable to international clinical practitioners and helps unify global consensus on the risks of acupuncture on the head in infants and young children.</w:t>
      </w:r>
    </w:p>
    <w:p w14:paraId="21A183A9">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Moxibustion-related content was also carefully standardized, including revisions to “treatment duration and course of moxibustion” and the operating steps for ginger-partitioned moxibustion and garlic-partitioned moxibustion, as well as the deletion of operation forms such as yellow-soil-partitioned moxibustion and pepper-cake-partitioned moxibustion, which no longer conform to the current mainstream of pediatric clinical practice. Recommendations on moxibustion duration and frequency, such as 3–10 min for each acupoint and moxibustion once daily or once every other day, take both efficacy and tolerance into account, and fully consider children’s sensitivity to heat stimulation, making the operation more quantified and controllable.</w:t>
      </w:r>
    </w:p>
    <w:p w14:paraId="7A534AFC">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4.4 Core differences and underlying reasons for controversial items</w:t>
      </w:r>
    </w:p>
    <w:p w14:paraId="5E10DE70">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4.4.1 Considerations regarding terminological consistency and citation of national standards</w:t>
      </w:r>
    </w:p>
    <w:p w14:paraId="2397CB96">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Controversial item: Naming and definition of “horizontal insertion”.</w:t>
      </w:r>
    </w:p>
    <w:p w14:paraId="0A7806D6">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Core difference: Experts differed in their choice of the name and definition of “horizontal insertion” and “transverse insertion method”, with each option accounting for 50%.</w:t>
      </w:r>
    </w:p>
    <w:p w14:paraId="1B2DE521">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Underlying reason: This difference mainly arose from the need to cite existing national standards and maintain terminological consistency. Some experts, such as Wang Mengqing, explicitly stated that “transverse insertion method” is more commonly used and is consistent with GB/T 21709.20—2009 Standardized manipulations of acupuncture and moxibustion, emphasizing consistency within the standard system and international applicability. Other experts may have been more inclined to retain or optimize the expression “horizontal insertion” in the existing national standard, considering it reasonable in a specific context. This controversy reflects the need, in the development of a new standard, to balance compliance with existing authoritative specifications and adoption of more widely accepted terminology. Qiao Mulin’s suggestion to “add the word ‘angle’ from Option A” attempted to reconcile the two expressions in order to achieve a more precise and complete definition.</w:t>
      </w:r>
    </w:p>
    <w:p w14:paraId="4F3DE4F2">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4.4.2 Integration of pediatric operational safety, refinement and traditional experience</w:t>
      </w:r>
    </w:p>
    <w:p w14:paraId="446003C2">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Controversial items: Operating steps for pressing moxibustion, post-procedural care after moxibustion, and the flicking method, namely flicking and tapping the needle handle.</w:t>
      </w:r>
    </w:p>
    <w:p w14:paraId="1F5078F3">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Core differences and underlying reasons:</w:t>
      </w:r>
    </w:p>
    <w:p w14:paraId="69D63974">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For the operating steps for pressing moxibustion, experts showed considerable differences in specific operating parameters, including the number of covering layers, 5–10 layers versus 6–8 layers; pressing duration, 1–2 s versus 2–4 s; number of applications, 5–7 times versus 3–7 times; and criteria for judging heat sensation, warmth and flushing versus burning heat and pain. The highest support rate for any option was only 32.35%. This prominently reflects the special characteristics of children’s delicate skin: children have lower tolerance to heat stimulation, and traditional adult operating parameters may not be fully applicable. More refined consideration is needed to avoid burns. For example, the suggestions of Liu Ying and Cui Xia both involved optimization of covering materials and duration, as well as attention to heat transfer effects. It also reflects the difficulty of standardizing individualized traditional experience: moxibustion operations are highly experience-based, and different practitioners may develop different “optimal” parameters in practice. Quantifying and unifying these parameters into a standard while ensuring both safety and efficacy remains challenging. The suggestions of Qiao Mulin and Wang Mengqing both attempted to integrate the advantages of existing options in pursuit of safer and more standardized operation. The recommendation to change “patient” to “child patient” reflects pediatric experts’ requirement for rigor and precision in wording.</w:t>
      </w:r>
    </w:p>
    <w:p w14:paraId="009BDBDC">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For post-procedural care after moxibustion, Option A, which described in detail the healing processes and management of different degrees of moxibustion sores, including Western medical intervention, and Option B, which retained the original wording of the national standard and was relatively concise, each received 50% support. In terms of risk management and information transparency, Option A provided a more detailed explanation of possible complications caused by moxibustion and their management, including the long-term healing process and scar formation, aiming to improve risk awareness and management. Regarding the balance between the pediatric safety bottom line and clinical guidance, Chen Xiaoyan proposed that “mild moxibustion should be used whenever possible in children to avoid any injury, and severe burns should be managed directly by Western medical surgery.” This emphasizes that “no injury” should be the highest goal of pediatric moxibustion and that modern medical intervention should be promptly introduced when serious complications occur. This reflects the high safety standards of pediatric medicine. Chen Renshou considered that “the wording is too complicated and needs to be simplified”, indicating that some experts preferred more concise and practical guidance to avoid excessive redundancy. In terms of technical applicability and practical experience, experts such as Cai Chenghan, Wang Mengqing, Xu Weiying and Ma Bingxiang proposed supplementing descriptions of warm needling moxibustion and moxa-floss wrapping, or discussed the choice between moxa sticks and moxa floss. This indicates that while discussing post-procedural care, the experts were also reflecting on and optimizing the moxibustion techniques themselves in order to reduce the occurrence of adverse reactions.</w:t>
      </w:r>
    </w:p>
    <w:p w14:paraId="73977C0B">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For the flicking method, namely flicking and tapping the needle handle, Option A, which emphasized flicking the needle handle with the fingernail and allowed its use during needle insertion, and Option B, which retained the original wording of the national standard and described the flicking and tapping method as well as technical key points, each accounted for 50%. Regarding the precision of operational details, experts had different understandings of the specific manner of “flicking and tapping”, such as hooking the fingertip with the thumb pad and flicking with the fingernail versus crossing the thumb and index finger to flick and tap, control of force such as “flicking should not be too forceful”, and timing of use, namely during needle insertion versus during needle retention. Ma Bingxiang pointed out that “flicking with the fingernail can produce good vibration”, reflecting a focus on the mechanism of the manipulation effect. In terms of pediatric applicability, Chen Xiaoyan proposed that “for children younger than 10 years, the flicking method may be omitted”, directly questioning the universal applicability of this method in younger children and emphasizing adjustment according to the child patient’s age and tolerance. In terms of terminological standardization, both Wang Mengqing and Qiao Mulin mentioned subtle modifications involving “食指” and “示指”, reflecting rigorous attention to the standardization of medical terminology.</w:t>
      </w:r>
    </w:p>
    <w:p w14:paraId="70317BAC">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Together, these controversial items reveal the complexity of standardizing pediatric acupuncture and moxibustion, in which a delicate balance must be sought among adherence to tradition, assurance of pediatric safety, adaptation to modern medical concepts and realization of international applicability.</w:t>
      </w:r>
    </w:p>
    <w:p w14:paraId="038C9AD7">
      <w:pPr>
        <w:widowControl/>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5 Conclusion and next-stage work plan</w:t>
      </w:r>
    </w:p>
    <w:p w14:paraId="637AA4D7">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This questionnaire survey provided a key basis for the revision of the international standard. Some items have reached a high level of agreement and may be directly incorporated into the revised draft. Items with significant differences in opinion will be submitted to the subsequent expert consultation meeting for focused discussion.</w:t>
      </w:r>
    </w:p>
    <w:p w14:paraId="5DEA1648">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The next-stage work includes: 1) organizing the draft international standard revised on the basis of this questionnaire survey; 2) supplementing annex content such as normative references and references; 3) convening an expert consultation meeting; and 4) completing the final text of the international standard proposal.</w:t>
      </w:r>
    </w:p>
    <w:p w14:paraId="474B15F5">
      <w:pPr>
        <w:widowControl/>
        <w:spacing w:line="276" w:lineRule="auto"/>
        <w:ind w:firstLine="420" w:firstLineChars="200"/>
        <w:rPr>
          <w:rFonts w:hint="default" w:ascii="Cambria" w:hAnsi="Cambria" w:eastAsia="仿宋" w:cs="Cambria"/>
          <w:szCs w:val="21"/>
        </w:rPr>
      </w:pPr>
      <w:r>
        <w:rPr>
          <w:rFonts w:hint="default" w:ascii="Cambria" w:hAnsi="Cambria" w:eastAsia="仿宋" w:cs="Cambria"/>
          <w:szCs w:val="21"/>
        </w:rPr>
        <w:t>This study provides a scientific basis for transforming the national standard Technical operation specifications of traditional Chinese medicine — Pediatrics — Part 3: Pediatric acupuncture and moxibustion therapy into an international standard, and will contribute to the formation of a more rigorous and standardized technical standard for TCM pediatrics with international recognition.</w:t>
      </w:r>
    </w:p>
    <w:p w14:paraId="70F40D25">
      <w:pPr>
        <w:spacing w:line="276" w:lineRule="auto"/>
        <w:rPr>
          <w:rFonts w:hint="default" w:ascii="Cambria" w:hAnsi="Cambria" w:eastAsia="仿宋" w:cs="Cambria"/>
          <w:szCs w:val="21"/>
        </w:rPr>
      </w:pPr>
      <w:r>
        <w:rPr>
          <w:rFonts w:hint="default" w:ascii="Cambria" w:hAnsi="Cambria" w:eastAsia="仿宋" w:cs="Cambria"/>
          <w:szCs w:val="21"/>
        </w:rPr>
        <w:br w:type="page"/>
      </w:r>
    </w:p>
    <w:p w14:paraId="07069416">
      <w:pPr>
        <w:wordWrap w:val="0"/>
        <w:spacing w:before="312" w:beforeLines="100" w:after="312" w:afterLines="100" w:line="276" w:lineRule="auto"/>
        <w:ind w:firstLine="0" w:firstLineChars="0"/>
        <w:jc w:val="left"/>
        <w:outlineLvl w:val="0"/>
        <w:rPr>
          <w:rFonts w:hint="default" w:ascii="Cambria" w:hAnsi="Cambria" w:eastAsia="宋体" w:cs="Cambria"/>
          <w:b/>
          <w:bCs w:val="0"/>
          <w:sz w:val="36"/>
          <w:szCs w:val="36"/>
        </w:rPr>
      </w:pPr>
      <w:bookmarkStart w:id="37" w:name="_Toc20256"/>
      <w:r>
        <w:rPr>
          <w:rFonts w:hint="default" w:ascii="Cambria" w:hAnsi="Cambria" w:eastAsia="宋体" w:cs="Cambria"/>
          <w:b/>
          <w:bCs w:val="0"/>
          <w:sz w:val="36"/>
          <w:szCs w:val="36"/>
        </w:rPr>
        <w:t>Attachment 2 Minutes of the Expert Consultation Meeting</w:t>
      </w:r>
      <w:bookmarkEnd w:id="37"/>
    </w:p>
    <w:p w14:paraId="513BB180">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Meeting time: December 3, 2025, 19:00–21:00</w:t>
      </w:r>
      <w:r>
        <w:rPr>
          <w:rFonts w:hint="default" w:ascii="Cambria" w:hAnsi="Cambria" w:eastAsia="仿宋" w:cs="Cambria"/>
          <w:sz w:val="21"/>
          <w:szCs w:val="21"/>
        </w:rPr>
        <w:br w:type="textWrapping"/>
      </w:r>
      <w:r>
        <w:rPr>
          <w:rFonts w:hint="default" w:ascii="Cambria" w:hAnsi="Cambria" w:eastAsia="仿宋" w:cs="Cambria"/>
          <w:sz w:val="21"/>
          <w:szCs w:val="21"/>
        </w:rPr>
        <w:t>Meeting venue: Nanjing, China, in a combined offline and online format</w:t>
      </w:r>
      <w:r>
        <w:rPr>
          <w:rFonts w:hint="default" w:ascii="Cambria" w:hAnsi="Cambria" w:eastAsia="仿宋" w:cs="Cambria"/>
          <w:sz w:val="21"/>
          <w:szCs w:val="21"/>
        </w:rPr>
        <w:br w:type="textWrapping"/>
      </w:r>
      <w:r>
        <w:rPr>
          <w:rFonts w:hint="default" w:ascii="Cambria" w:hAnsi="Cambria" w:eastAsia="仿宋" w:cs="Cambria"/>
          <w:sz w:val="21"/>
          <w:szCs w:val="21"/>
        </w:rPr>
        <w:t>Nature of the meeting: Expert consultation meeting on the transformation of the national standard GB/Z 40893.3—2021 into a World Federation of Chinese Medicine Societies (WFCMS) international standard</w:t>
      </w:r>
    </w:p>
    <w:p w14:paraId="60AE04BA">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Participants:</w:t>
      </w:r>
      <w:r>
        <w:rPr>
          <w:rFonts w:hint="default" w:ascii="Cambria" w:hAnsi="Cambria" w:eastAsia="仿宋" w:cs="Cambria"/>
          <w:sz w:val="21"/>
          <w:szCs w:val="21"/>
        </w:rPr>
        <w:br w:type="textWrapping"/>
      </w:r>
      <w:r>
        <w:rPr>
          <w:rFonts w:hint="default" w:ascii="Cambria" w:hAnsi="Cambria" w:eastAsia="仿宋" w:cs="Cambria"/>
          <w:sz w:val="21"/>
          <w:szCs w:val="21"/>
        </w:rPr>
        <w:t>Leader of the consultation meeting expert group: Wang Shouchuan, Affiliated Hospital of Nanjing University of Chinese Medicine, together with members of the project groups.</w:t>
      </w:r>
    </w:p>
    <w:p w14:paraId="19BF9EE6">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Expert group:</w:t>
      </w:r>
      <w:r>
        <w:rPr>
          <w:rFonts w:hint="default" w:ascii="Cambria" w:hAnsi="Cambria" w:eastAsia="仿宋" w:cs="Cambria"/>
          <w:sz w:val="21"/>
          <w:szCs w:val="21"/>
        </w:rPr>
        <w:br w:type="textWrapping"/>
      </w:r>
      <w:r>
        <w:rPr>
          <w:rFonts w:hint="default" w:ascii="Cambria" w:hAnsi="Cambria" w:eastAsia="仿宋" w:cs="Cambria"/>
          <w:sz w:val="21"/>
          <w:szCs w:val="21"/>
        </w:rPr>
        <w:t>Group leader: Ding Ying, Henan University of Chinese Medicine.</w:t>
      </w:r>
      <w:r>
        <w:rPr>
          <w:rFonts w:hint="default" w:ascii="Cambria" w:hAnsi="Cambria" w:eastAsia="仿宋" w:cs="Cambria"/>
          <w:sz w:val="21"/>
          <w:szCs w:val="21"/>
        </w:rPr>
        <w:br w:type="textWrapping"/>
      </w:r>
      <w:r>
        <w:rPr>
          <w:rFonts w:hint="default" w:ascii="Cambria" w:hAnsi="Cambria" w:eastAsia="仿宋" w:cs="Cambria"/>
          <w:sz w:val="21"/>
          <w:szCs w:val="21"/>
        </w:rPr>
        <w:t>Members, listed in the order of the number of strokes in their surnames: Wan Lisheng, Shenzhen Children’s Hospital; Ma Rong, First Teaching Hospital of Tianjin University of Traditional Chinese Medicine; Wang Youpeng, Second Affiliated Hospital of Heilongjiang University of Chinese Medicine; Wang Lili, International Standardization Department of the World Federation of Chinese Medicine Societies; Wang Sumei, Dongfang Hospital, Beijing University of Chinese Medicine; Shi Zhenggang, Gansu University of Chinese Medicine; Liu Jianzhong, Hubei University of Chinese Medicine; Yu Jian’er, Shanghai University of Traditional Chinese Medicine; Xiong Lei, Yunnan University of Chinese Medicine; Zhang Baoqing, Affiliated Hospital of Shandong University of Traditional Chinese Medicine; Yu Jian, Children’s Hospital of Fudan University; Dai Qigang, Affiliated Hospital of Nanjing University of Chinese Medicine.</w:t>
      </w:r>
    </w:p>
    <w:p w14:paraId="14849996">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1 Background of the meeting and basis of previous work</w:t>
      </w:r>
    </w:p>
    <w:p w14:paraId="2217D32B">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This expert consultation meeting was a key milestone meeting for the international standard transformation project of International standardized manipulations of Chinese medicine — Pediatrics — Part 3: Acupuncture and Moxibustion. To improve meeting efficiency and the scientific basis for decision-making, the project group sent the complete set of consultation materials to all consultation experts before the meeting. The materials included the summary report of the expert questionnaire survey for International standardized manipulations of Chinese medicine — Pediatrics — Part 3: Acupuncture and Moxibustion, the letter for solicitation of comments for the expert consultation meeting on International standardized manipulations of Chinese medicine — Pediatrics — Part 3: Acupuncture and Moxibustion, including 4 core controversial items, open-ended questions and integrated recommendations from the project group, and the original national standard text GB/Z 40893.3—2021 Technical operation specifications of traditional Chinese medicine — Pediatrics — Part 3: Pediatric acupuncture and moxibustion therapy.</w:t>
      </w:r>
    </w:p>
    <w:p w14:paraId="7ED9DE21">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The meeting adopted a three-stage working model consisting of “pre-meeting written review, in-meeting consultation and post-meeting written confirmation”. Before the meeting, experts independently reviewed the materials and conducted preliminary scoring based on the content of the letter for solicitation of comments. During the meeting, key controversial issues were discussed collectively. Within one week after the meeting, namely before December 10, the experts returned their written comment forms to the project group by email, ensuring that the final opinions of each expert were fully recorded.</w:t>
      </w:r>
    </w:p>
    <w:p w14:paraId="115D6B17">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These minutes integrate both the on-site discussion records of the meeting and the written letters for solicitation of comments returned by 13 experts. They systematically summarize the consultation process, expert scoring results, revision suggestions and final resolutions for each controversial item and open-ended suggestion. These minutes serve as an important component of the explanatory notes on the development of the standard and are submitted to the International Standardization Department of the World Federation of Chinese Medicine Societies for review.</w:t>
      </w:r>
    </w:p>
    <w:p w14:paraId="175354D8">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2 Project work report</w:t>
      </w:r>
    </w:p>
    <w:p w14:paraId="6C2E3B3F">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Professor Wang Shouchuan, the overall project leader, first introduced the project background of the five pediatric operation standards. This transformation work originated from the Chinese national standards issued in 2021. Its core objective is to develop an international standard draft that is scientific, safe and operable through rigorous evidence-based research and international benchmarking, so as to promote the standardized application of acupuncture and moxibustion techniques in TCM pediatrics worldwide.</w:t>
      </w:r>
    </w:p>
    <w:p w14:paraId="2B8F46E5">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Shan Yiwen, secretary of the project group, reported the progress of the preliminary work to the experts, and, based on the results of the expert questionnaire survey, gave a focused introduction and explanation of the 9 core controversial items and open-ended comments.</w:t>
      </w:r>
    </w:p>
    <w:p w14:paraId="65BA5C05">
      <w:pPr>
        <w:tabs>
          <w:tab w:val="left" w:pos="1664"/>
        </w:tabs>
        <w:spacing w:line="276" w:lineRule="auto"/>
        <w:ind w:firstLine="422" w:firstLineChars="200"/>
        <w:rPr>
          <w:rFonts w:hint="default" w:ascii="Cambria" w:hAnsi="Cambria" w:cs="Cambria"/>
          <w:b/>
          <w:bCs/>
          <w:szCs w:val="21"/>
          <w:lang w:eastAsia="zh-CN"/>
        </w:rPr>
      </w:pPr>
      <w:r>
        <w:rPr>
          <w:rFonts w:hint="default" w:ascii="Cambria" w:hAnsi="Cambria" w:cs="Cambria"/>
          <w:b/>
          <w:bCs/>
          <w:szCs w:val="21"/>
          <w:lang w:eastAsia="zh-CN"/>
        </w:rPr>
        <w:t>3 Resolutions on controversial items</w:t>
      </w:r>
    </w:p>
    <w:p w14:paraId="68ADB979">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Before the meeting, the experts had received the letter for solicitation of comments, the summary report of the preliminary expert questionnaire survey, and the electronic version of the original national standard. They carefully reviewed the controversial items and open-ended comments. During the meeting, the experts actively expressed their views and, overall, affirmed the integrated opinions proposed by the project working group. They considered that the technical</w:t>
      </w:r>
      <w:r>
        <w:rPr>
          <w:rFonts w:hint="default" w:ascii="Cambria" w:hAnsi="Cambria" w:cs="Cambria"/>
          <w:szCs w:val="21"/>
          <w:lang w:val="en-US" w:eastAsia="zh-CN"/>
        </w:rPr>
        <w:t xml:space="preserve"> </w:t>
      </w:r>
      <w:r>
        <w:rPr>
          <w:rFonts w:hint="default" w:ascii="Cambria" w:hAnsi="Cambria" w:cs="Cambria"/>
          <w:szCs w:val="21"/>
          <w:lang w:eastAsia="zh-CN"/>
        </w:rPr>
        <w:t>proposal was relatively mature and could serve as the basis for transformation into an international standard. The experts carefully discussed the specific provisions and put forward the following consultation opinions.</w:t>
      </w:r>
    </w:p>
    <w:p w14:paraId="09E7D799">
      <w:pPr>
        <w:tabs>
          <w:tab w:val="left" w:pos="1664"/>
        </w:tabs>
        <w:spacing w:line="276" w:lineRule="auto"/>
        <w:ind w:firstLine="422" w:firstLineChars="200"/>
        <w:rPr>
          <w:rFonts w:hint="default" w:ascii="Cambria" w:hAnsi="Cambria" w:cs="Cambria"/>
          <w:b/>
          <w:bCs/>
          <w:szCs w:val="21"/>
          <w:lang w:eastAsia="zh-CN"/>
        </w:rPr>
      </w:pPr>
      <w:r>
        <w:rPr>
          <w:rFonts w:hint="default" w:ascii="Cambria" w:hAnsi="Cambria" w:cs="Cambria"/>
          <w:b/>
          <w:bCs/>
          <w:szCs w:val="21"/>
          <w:lang w:eastAsia="zh-CN"/>
        </w:rPr>
        <w:t>3.1 Item 1: Naming and definition of horizontal insertion</w:t>
      </w:r>
    </w:p>
    <w:p w14:paraId="68B3AD86">
      <w:pPr>
        <w:tabs>
          <w:tab w:val="left" w:pos="1664"/>
        </w:tabs>
        <w:spacing w:line="276" w:lineRule="auto"/>
        <w:ind w:firstLine="422" w:firstLineChars="200"/>
        <w:rPr>
          <w:rFonts w:hint="default" w:ascii="Cambria" w:hAnsi="Cambria" w:cs="Cambria"/>
          <w:b/>
          <w:bCs/>
          <w:szCs w:val="21"/>
          <w:lang w:eastAsia="zh-CN"/>
        </w:rPr>
      </w:pPr>
      <w:r>
        <w:rPr>
          <w:rFonts w:hint="default" w:ascii="Cambria" w:hAnsi="Cambria" w:cs="Cambria"/>
          <w:b/>
          <w:bCs/>
          <w:szCs w:val="21"/>
          <w:lang w:eastAsia="zh-CN"/>
        </w:rPr>
        <w:t>3.1.1 Original text in the letter for solicitation of comments</w:t>
      </w:r>
    </w:p>
    <w:p w14:paraId="0AF49326">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1) Original wording of the national standard:</w:t>
      </w:r>
    </w:p>
    <w:p w14:paraId="6383F482">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Horizontal insertion: The needle body is inserted at an angle of approximately 15° to the skin surface, or at an even smaller angle along the skin surface. It is applicable to acupoints in areas where the skin is thin and the flesh is scanty, such as acupoints on the head and the sternal region.</w:t>
      </w:r>
    </w:p>
    <w:p w14:paraId="245F253D">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2) Opinion of the project group:</w:t>
      </w:r>
    </w:p>
    <w:p w14:paraId="6BB602D8">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Horizontal insertion, also known as transverse insertion. The needle body is inserted at an angle of approximately 15° to the skin surface, or at an even smaller angle along the skin surface. It is applicable to acupoints in areas where the skin is thin and the flesh is scanty, such as acupoints on the head and the sternal region.</w:t>
      </w:r>
    </w:p>
    <w:p w14:paraId="2F84F439">
      <w:pPr>
        <w:tabs>
          <w:tab w:val="left" w:pos="1664"/>
        </w:tabs>
        <w:spacing w:line="276" w:lineRule="auto"/>
        <w:ind w:firstLine="422" w:firstLineChars="200"/>
        <w:rPr>
          <w:rFonts w:hint="default" w:ascii="Cambria" w:hAnsi="Cambria" w:cs="Cambria"/>
          <w:b/>
          <w:bCs/>
          <w:szCs w:val="21"/>
          <w:lang w:eastAsia="zh-CN"/>
        </w:rPr>
      </w:pPr>
      <w:r>
        <w:rPr>
          <w:rFonts w:hint="default" w:ascii="Cambria" w:hAnsi="Cambria" w:cs="Cambria"/>
          <w:b/>
          <w:bCs/>
          <w:szCs w:val="21"/>
          <w:lang w:eastAsia="zh-CN"/>
        </w:rPr>
        <w:t>3.1.2 Expert consultation opinions</w:t>
      </w:r>
    </w:p>
    <w:p w14:paraId="2BF21BD8">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1) Expert consultation result</w:t>
      </w:r>
    </w:p>
    <w:p w14:paraId="4629E0FD">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All 13 experts unanimously agreed, with a score of 2 points/mandatory selection, and the support rate was 100%.</w:t>
      </w:r>
    </w:p>
    <w:p w14:paraId="636C6E39">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2) Main revision suggestions</w:t>
      </w:r>
    </w:p>
    <w:p w14:paraId="3AC43E57">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No specific revision comments were raised.</w:t>
      </w:r>
    </w:p>
    <w:p w14:paraId="46D1957B">
      <w:pPr>
        <w:tabs>
          <w:tab w:val="left" w:pos="1664"/>
        </w:tabs>
        <w:spacing w:line="276" w:lineRule="auto"/>
        <w:ind w:firstLine="422" w:firstLineChars="200"/>
        <w:rPr>
          <w:rFonts w:hint="default" w:ascii="Cambria" w:hAnsi="Cambria" w:cs="Cambria"/>
          <w:b/>
          <w:bCs/>
          <w:szCs w:val="21"/>
          <w:lang w:eastAsia="zh-CN"/>
        </w:rPr>
      </w:pPr>
      <w:r>
        <w:rPr>
          <w:rFonts w:hint="default" w:ascii="Cambria" w:hAnsi="Cambria" w:cs="Cambria"/>
          <w:b/>
          <w:bCs/>
          <w:szCs w:val="21"/>
          <w:lang w:eastAsia="zh-CN"/>
        </w:rPr>
        <w:t>3.1.3 Resolution of the project group</w:t>
      </w:r>
    </w:p>
    <w:p w14:paraId="2DF5F86F">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The proposal was unanimously approved, and the opinion of the project group was adopted.</w:t>
      </w:r>
    </w:p>
    <w:p w14:paraId="506D888C">
      <w:pPr>
        <w:tabs>
          <w:tab w:val="left" w:pos="1664"/>
        </w:tabs>
        <w:spacing w:line="276" w:lineRule="auto"/>
        <w:ind w:firstLine="422" w:firstLineChars="200"/>
        <w:rPr>
          <w:rFonts w:hint="default" w:ascii="Cambria" w:hAnsi="Cambria" w:cs="Cambria"/>
          <w:b/>
          <w:bCs/>
          <w:szCs w:val="21"/>
          <w:lang w:eastAsia="zh-CN"/>
        </w:rPr>
      </w:pPr>
      <w:r>
        <w:rPr>
          <w:rFonts w:hint="default" w:ascii="Cambria" w:hAnsi="Cambria" w:cs="Cambria"/>
          <w:b/>
          <w:bCs/>
          <w:szCs w:val="21"/>
          <w:lang w:eastAsia="zh-CN"/>
        </w:rPr>
        <w:t>3.2 Item 2: Operating steps for pressing moxibustion</w:t>
      </w:r>
    </w:p>
    <w:p w14:paraId="7435630E">
      <w:pPr>
        <w:tabs>
          <w:tab w:val="left" w:pos="1664"/>
        </w:tabs>
        <w:spacing w:line="276" w:lineRule="auto"/>
        <w:ind w:firstLine="422" w:firstLineChars="200"/>
        <w:rPr>
          <w:rFonts w:hint="default" w:ascii="Cambria" w:hAnsi="Cambria" w:cs="Cambria"/>
          <w:b/>
          <w:bCs/>
          <w:szCs w:val="21"/>
          <w:lang w:eastAsia="zh-CN"/>
        </w:rPr>
      </w:pPr>
      <w:r>
        <w:rPr>
          <w:rFonts w:hint="default" w:ascii="Cambria" w:hAnsi="Cambria" w:cs="Cambria"/>
          <w:b/>
          <w:bCs/>
          <w:szCs w:val="21"/>
          <w:lang w:eastAsia="zh-CN"/>
        </w:rPr>
        <w:t>3.2.1 Original text in the letter for solicitation of comments</w:t>
      </w:r>
    </w:p>
    <w:p w14:paraId="50A1F7FA">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1) Original wording of the national standard:</w:t>
      </w:r>
    </w:p>
    <w:p w14:paraId="5D7B9EBD">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After selecting the moxibustion site, ignite one end of a specially prepared medicated moxa stick. Cover the acupoint with 5–10 layers of cotton cloth, press the moxa fire firmly onto the acupoint through the cotton cloth, and lift it after 1–2 s. After a brief pause, press again. If the moxa fire goes out, it may be re-ignited. Repeat the procedure in this way. Each acupoint is treated with pressing moxibustion 5–7 times, with the appearance of warmth and flushing of the child patient’s skin as the criterion.</w:t>
      </w:r>
    </w:p>
    <w:p w14:paraId="1B96129E">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2) Opinion of the project group:</w:t>
      </w:r>
    </w:p>
    <w:p w14:paraId="4A7463D4">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After selecting the moxibustion site, ignite one end of a specially prepared medicated moxa stick. Place approximately 5–10 layers of cotton paper, cotton cloth or gauze over the acupoint to provide heat insulation and prevent burns. The practitioner holds the moxa stick as if holding a pen, aligns the burning end with the moxibustion site, and presses it firmly onto the acupoint through the covering material. The moxa stick is held in place for approximately 1–2 s, allowing the medicinal qi and heat to penetrate deeply. When the child patient feels obvious local warmth, the moxa stick is lifted. After a brief pause, pressing is repeated. If the moxa fire goes out during the operation, it may be re-ignited, or a pre-ignited spare moxa stick may be used promptly to continue moxibustion. The procedure is repeated in this way. Each acupoint is treated with pressing moxibustion approximately 3–7 times per session. The moxa stick and covering material are then removed, with the appearance of warmth and flushing of the skin at the moxibustion site in the child patient as the criterion. The procedure may be performed once daily or once every other day.</w:t>
      </w:r>
    </w:p>
    <w:p w14:paraId="43676C36">
      <w:pPr>
        <w:tabs>
          <w:tab w:val="left" w:pos="1664"/>
        </w:tabs>
        <w:spacing w:line="276" w:lineRule="auto"/>
        <w:ind w:firstLine="422" w:firstLineChars="200"/>
        <w:rPr>
          <w:rFonts w:hint="default" w:ascii="Cambria" w:hAnsi="Cambria" w:cs="Cambria"/>
          <w:b/>
          <w:bCs/>
          <w:szCs w:val="21"/>
          <w:lang w:eastAsia="zh-CN"/>
        </w:rPr>
      </w:pPr>
      <w:r>
        <w:rPr>
          <w:rFonts w:hint="default" w:ascii="Cambria" w:hAnsi="Cambria" w:cs="Cambria"/>
          <w:b/>
          <w:bCs/>
          <w:szCs w:val="21"/>
          <w:lang w:eastAsia="zh-CN"/>
        </w:rPr>
        <w:t>3.2.2 Expert consultation opinions</w:t>
      </w:r>
    </w:p>
    <w:p w14:paraId="26CAAE78">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1) Expert consultation result</w:t>
      </w:r>
    </w:p>
    <w:p w14:paraId="10981429">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A total of 12 experts unanimously agreed, with a score of 2 points/mandatory selection, and 1 expert partially agreed. The support rate was 92.31%.</w:t>
      </w:r>
    </w:p>
    <w:p w14:paraId="0E8E738F">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2) Main revision suggestions</w:t>
      </w:r>
    </w:p>
    <w:p w14:paraId="5DC9D362">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Wang Lili: 1. Can only “specially prepared medicated moxa sticks” be used? Can ordinary moxa sticks be used? 2. Would it be more standardized to change “cotton paper, cotton cloth or gauze” to “sterile gauze”?</w:t>
      </w:r>
    </w:p>
    <w:p w14:paraId="10C952EE">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Yu Jian: Confirm whether the term should be “棉纸” or “绵纸”.</w:t>
      </w:r>
    </w:p>
    <w:p w14:paraId="687953B7">
      <w:pPr>
        <w:tabs>
          <w:tab w:val="left" w:pos="1664"/>
        </w:tabs>
        <w:spacing w:line="276" w:lineRule="auto"/>
        <w:ind w:firstLine="422" w:firstLineChars="200"/>
        <w:rPr>
          <w:rFonts w:hint="default" w:ascii="Cambria" w:hAnsi="Cambria" w:cs="Cambria"/>
          <w:b/>
          <w:bCs/>
          <w:szCs w:val="21"/>
          <w:lang w:eastAsia="zh-CN"/>
        </w:rPr>
      </w:pPr>
      <w:r>
        <w:rPr>
          <w:rFonts w:hint="default" w:ascii="Cambria" w:hAnsi="Cambria" w:cs="Cambria"/>
          <w:b/>
          <w:bCs/>
          <w:szCs w:val="21"/>
          <w:lang w:eastAsia="zh-CN"/>
        </w:rPr>
        <w:t>3.2.3 Resolution of the project group</w:t>
      </w:r>
    </w:p>
    <w:p w14:paraId="1E4B6C8E">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Resolution: 1) Moxa sticks are divided into pure moxa sticks and medicated moxa sticks. Pressing moxibustion generally uses specially prepared medicated moxa sticks, which contain medicinal materials and have a larger diameter than ordinary moxa sticks. Because Lei Huo moxibustion sticks contain a relatively high proportion of medicinal materials, they may require pressing with specially prepared molds. 2) The expert opinion on “gauze” was adopted, and the wording was changed to “sterile gauze”. 3) GB/T 40975—2021 Pure moxa sticks was used as a reference.</w:t>
      </w:r>
    </w:p>
    <w:p w14:paraId="50EFC22A">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Final revised version:</w:t>
      </w:r>
    </w:p>
    <w:p w14:paraId="7A226009">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After selecting the moxibustion site, ignite one end of a specially prepared medicated moxa stick. Place approximately 5–10 layers of cotton paper, cotton cloth or gauze over the acupoint to provide heat insulation and prevent burns. The practitioner holds the moxa stick as if holding a pen, aligns the burning end with the moxibustion site, and presses it firmly onto the acupoint through the covering material. The moxa stick is held in place for approximately 1–2 s, allowing the medicinal qi and heat to penetrate deeply. When the child patient feels obvious local warmth, the moxa stick is lifted. After a brief pause, pressing is repeated. If the moxa fire goes out during the operation, it may be re-ignited, or a pre-ignited spare moxa stick may be used promptly to continue moxibustion. The procedure is repeated in this way. Each acupoint is treated with pressing moxibustion approximately 3–7 times per session. The moxa stick and covering material are then removed, with the appearance of warmth and flushing of the skin at the moxibustion site in the child patient as the criterion. The procedure may be performed once daily or once every other day.</w:t>
      </w:r>
    </w:p>
    <w:p w14:paraId="67DF530E">
      <w:pPr>
        <w:tabs>
          <w:tab w:val="left" w:pos="1664"/>
        </w:tabs>
        <w:spacing w:line="276" w:lineRule="auto"/>
        <w:ind w:firstLine="422" w:firstLineChars="200"/>
        <w:rPr>
          <w:rFonts w:hint="default" w:ascii="Cambria" w:hAnsi="Cambria" w:cs="Cambria"/>
          <w:b/>
          <w:bCs/>
          <w:szCs w:val="21"/>
          <w:lang w:eastAsia="zh-CN"/>
        </w:rPr>
      </w:pPr>
      <w:r>
        <w:rPr>
          <w:rFonts w:hint="default" w:ascii="Cambria" w:hAnsi="Cambria" w:cs="Cambria"/>
          <w:b/>
          <w:bCs/>
          <w:szCs w:val="21"/>
          <w:lang w:eastAsia="zh-CN"/>
        </w:rPr>
        <w:t>3.3 Item 3: Post-procedural care after moxibustion</w:t>
      </w:r>
    </w:p>
    <w:p w14:paraId="71982287">
      <w:pPr>
        <w:tabs>
          <w:tab w:val="left" w:pos="1664"/>
        </w:tabs>
        <w:spacing w:line="276" w:lineRule="auto"/>
        <w:ind w:firstLine="422" w:firstLineChars="200"/>
        <w:rPr>
          <w:rFonts w:hint="default" w:ascii="Cambria" w:hAnsi="Cambria" w:cs="Cambria"/>
          <w:b/>
          <w:bCs/>
          <w:szCs w:val="21"/>
          <w:lang w:eastAsia="zh-CN"/>
        </w:rPr>
      </w:pPr>
      <w:r>
        <w:rPr>
          <w:rFonts w:hint="default" w:ascii="Cambria" w:hAnsi="Cambria" w:cs="Cambria"/>
          <w:b/>
          <w:bCs/>
          <w:szCs w:val="21"/>
          <w:lang w:eastAsia="zh-CN"/>
        </w:rPr>
        <w:t>3.3.1 Original text in the letter for solicitation of comments</w:t>
      </w:r>
    </w:p>
    <w:p w14:paraId="432D45CA">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1) Original wording of the national standard:</w:t>
      </w:r>
    </w:p>
    <w:p w14:paraId="26661203">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After moxibustion, the skin often shows flushing and a burning sensation. No treatment is required, and these reactions usually disappear spontaneously. If local edema or blisters occur at the moxibustion site, when the blister is less than 1 cm in diameter, it should be protected from rupture and may be allowed to absorb spontaneously. If the blister is more than 1 cm in diameter and contains a large amount of fluid, a disinfected filiform needle may be used to puncture the blister and release the fluid, or a disposable syringe may be used to aspirate the fluid. After disinfection, the site should be wrapped with sterile gauze. If a moxibustion sore is inadvertently caused, severe cases should be treated by applying anti-inflammatory ointment or Yuhong ointment, or with assistance from a surgeon.</w:t>
      </w:r>
    </w:p>
    <w:p w14:paraId="3A63EF6D">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2) Opinion of the project group:</w:t>
      </w:r>
    </w:p>
    <w:p w14:paraId="5CE62097">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After moxibustion, the skin often shows flushing and a burning sensation. No treatment is required, and these reactions usually disappear spontaneously. Skin injury in child patients should be avoided. If local edema or blisters occur at the moxibustion site, when the blister is less than 1 cm in diameter, it should be protected from rupture and may be allowed to absorb spontaneously. If the blister is more than 1 cm in diameter and contains a large amount of fluid, it is recommended to consult a surgeon for assistance in management.</w:t>
      </w:r>
    </w:p>
    <w:p w14:paraId="5025F519">
      <w:pPr>
        <w:tabs>
          <w:tab w:val="left" w:pos="1664"/>
        </w:tabs>
        <w:spacing w:line="276" w:lineRule="auto"/>
        <w:ind w:firstLine="422" w:firstLineChars="200"/>
        <w:rPr>
          <w:rFonts w:hint="default" w:ascii="Cambria" w:hAnsi="Cambria" w:cs="Cambria"/>
          <w:b/>
          <w:bCs/>
          <w:szCs w:val="21"/>
          <w:lang w:eastAsia="zh-CN"/>
        </w:rPr>
      </w:pPr>
      <w:r>
        <w:rPr>
          <w:rFonts w:hint="default" w:ascii="Cambria" w:hAnsi="Cambria" w:cs="Cambria"/>
          <w:b/>
          <w:bCs/>
          <w:szCs w:val="21"/>
          <w:lang w:eastAsia="zh-CN"/>
        </w:rPr>
        <w:t>3.3.2 Expert consultation opinions</w:t>
      </w:r>
    </w:p>
    <w:p w14:paraId="0FAFC5A9">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1) Expert consultation result</w:t>
      </w:r>
    </w:p>
    <w:p w14:paraId="3CD64910">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All 13 experts unanimously agreed, with a score of 2 points/mandatory selection, and the support rate was 100%.</w:t>
      </w:r>
    </w:p>
    <w:p w14:paraId="3D9D6E32">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2) Main revision suggestions</w:t>
      </w:r>
    </w:p>
    <w:p w14:paraId="66CF8704">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No specific revision comments were raised.</w:t>
      </w:r>
    </w:p>
    <w:p w14:paraId="66EC6525">
      <w:pPr>
        <w:tabs>
          <w:tab w:val="left" w:pos="1664"/>
        </w:tabs>
        <w:spacing w:line="276" w:lineRule="auto"/>
        <w:ind w:firstLine="422" w:firstLineChars="200"/>
        <w:rPr>
          <w:rFonts w:hint="default" w:ascii="Cambria" w:hAnsi="Cambria" w:cs="Cambria"/>
          <w:b/>
          <w:bCs/>
          <w:szCs w:val="21"/>
          <w:lang w:eastAsia="zh-CN"/>
        </w:rPr>
      </w:pPr>
      <w:r>
        <w:rPr>
          <w:rFonts w:hint="default" w:ascii="Cambria" w:hAnsi="Cambria" w:cs="Cambria"/>
          <w:b/>
          <w:bCs/>
          <w:szCs w:val="21"/>
          <w:lang w:eastAsia="zh-CN"/>
        </w:rPr>
        <w:t>3.3.3 Resolution of the project group</w:t>
      </w:r>
    </w:p>
    <w:p w14:paraId="11672EB5">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The proposal was unanimously approved, and the opinion of the project group was adopted.</w:t>
      </w:r>
    </w:p>
    <w:p w14:paraId="254D5DDA">
      <w:pPr>
        <w:tabs>
          <w:tab w:val="left" w:pos="1664"/>
        </w:tabs>
        <w:spacing w:line="276" w:lineRule="auto"/>
        <w:ind w:firstLine="422" w:firstLineChars="200"/>
        <w:rPr>
          <w:rFonts w:hint="default" w:ascii="Cambria" w:hAnsi="Cambria" w:cs="Cambria"/>
          <w:b/>
          <w:bCs/>
          <w:szCs w:val="21"/>
          <w:lang w:eastAsia="zh-CN"/>
        </w:rPr>
      </w:pPr>
      <w:r>
        <w:rPr>
          <w:rFonts w:hint="default" w:ascii="Cambria" w:hAnsi="Cambria" w:cs="Cambria"/>
          <w:b/>
          <w:bCs/>
          <w:szCs w:val="21"/>
          <w:lang w:eastAsia="zh-CN"/>
        </w:rPr>
        <w:t>3.4 Item 4: Definition and technical key points of the flicking method, namely flicking and tapping the needle handle</w:t>
      </w:r>
    </w:p>
    <w:p w14:paraId="1AD1F1FF">
      <w:pPr>
        <w:tabs>
          <w:tab w:val="left" w:pos="1664"/>
        </w:tabs>
        <w:spacing w:line="276" w:lineRule="auto"/>
        <w:ind w:firstLine="422" w:firstLineChars="200"/>
        <w:rPr>
          <w:rFonts w:hint="default" w:ascii="Cambria" w:hAnsi="Cambria" w:cs="Cambria"/>
          <w:b/>
          <w:bCs/>
          <w:szCs w:val="21"/>
          <w:lang w:eastAsia="zh-CN"/>
        </w:rPr>
      </w:pPr>
      <w:r>
        <w:rPr>
          <w:rFonts w:hint="default" w:ascii="Cambria" w:hAnsi="Cambria" w:cs="Cambria"/>
          <w:b/>
          <w:bCs/>
          <w:szCs w:val="21"/>
          <w:lang w:eastAsia="zh-CN"/>
        </w:rPr>
        <w:t>3.4.1 Original text in the letter for solicitation of comments</w:t>
      </w:r>
    </w:p>
    <w:p w14:paraId="21FB2020">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1) Original wording of the national standard:</w:t>
      </w:r>
    </w:p>
    <w:p w14:paraId="4626A36B">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Flicking method, namely flicking and tapping the needle handle.</w:t>
      </w:r>
    </w:p>
    <w:p w14:paraId="57208DF5">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The physician crosses the thumb and index finger, aligns them with the tail of the needle handle inserted into the acupoint, and gently flicks and taps it so that the needle body trembles slightly. Alternatively, the index finger alone may be used to flick and vibrate the needle handle, causing the needle body to vibrate.</w:t>
      </w:r>
    </w:p>
    <w:p w14:paraId="5CD0D855">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Technical key points: Flicking should not be too forceful, so as to avoid bent needle or stuck needle. Flicking should not be too frequent, so as to avoid producing the opposite effect and causing the qi of the meridian to disperse rapidly. The flicking method should be performed by gently flicking and tapping during the needle retention period, generally 7–10 times.</w:t>
      </w:r>
    </w:p>
    <w:p w14:paraId="24BDCDBC">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2) Opinion of the project group:</w:t>
      </w:r>
    </w:p>
    <w:p w14:paraId="1CE7F161">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Flicking method, namely flicking and tapping the needle handle.</w:t>
      </w:r>
    </w:p>
    <w:p w14:paraId="6261B91C">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The physician uses the thumb and index finger, or middle finger, alternately, and gently flicks the tail of the needle handle inserted into the acupoint with the fingernail, causing the needle body to tremble slightly so as to regulate the qi of the meridian.</w:t>
      </w:r>
    </w:p>
    <w:p w14:paraId="78C017FE">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Technical key points: The movement should not be too forceful or too frequent. It is generally performed during the needle retention period, with approximately 7–10 flicks and taps. For children under 10 years of age, the flicking method may be omitted.</w:t>
      </w:r>
    </w:p>
    <w:p w14:paraId="279CD33F">
      <w:pPr>
        <w:tabs>
          <w:tab w:val="left" w:pos="1664"/>
        </w:tabs>
        <w:spacing w:line="276" w:lineRule="auto"/>
        <w:ind w:firstLine="422" w:firstLineChars="200"/>
        <w:rPr>
          <w:rFonts w:hint="default" w:ascii="Cambria" w:hAnsi="Cambria" w:cs="Cambria"/>
          <w:b/>
          <w:bCs/>
          <w:szCs w:val="21"/>
          <w:lang w:eastAsia="zh-CN"/>
        </w:rPr>
      </w:pPr>
      <w:r>
        <w:rPr>
          <w:rFonts w:hint="default" w:ascii="Cambria" w:hAnsi="Cambria" w:cs="Cambria"/>
          <w:b/>
          <w:bCs/>
          <w:szCs w:val="21"/>
          <w:lang w:eastAsia="zh-CN"/>
        </w:rPr>
        <w:t>3.4.2 Expert consultation opinions</w:t>
      </w:r>
    </w:p>
    <w:p w14:paraId="568F9A68">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1) Expert consultation result</w:t>
      </w:r>
    </w:p>
    <w:p w14:paraId="59FAC4EB">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All 13 experts unanimously agreed, with a score of 2 points/mandatory selection, and the support rate was 100%.</w:t>
      </w:r>
    </w:p>
    <w:p w14:paraId="2516E491">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2) Main revision suggestions</w:t>
      </w:r>
    </w:p>
    <w:p w14:paraId="104DB6AF">
      <w:pPr>
        <w:tabs>
          <w:tab w:val="left" w:pos="1664"/>
        </w:tabs>
        <w:spacing w:line="276" w:lineRule="auto"/>
        <w:ind w:firstLine="420" w:firstLineChars="200"/>
        <w:rPr>
          <w:rFonts w:hint="default" w:ascii="Cambria" w:hAnsi="Cambria" w:cs="Cambria"/>
          <w:szCs w:val="21"/>
          <w:lang w:eastAsia="zh-CN"/>
        </w:rPr>
      </w:pPr>
      <w:r>
        <w:rPr>
          <w:rFonts w:hint="default" w:ascii="Cambria" w:hAnsi="Cambria" w:cs="Cambria"/>
          <w:szCs w:val="21"/>
          <w:lang w:eastAsia="zh-CN"/>
        </w:rPr>
        <w:t>No specific revision comments were raised.</w:t>
      </w:r>
    </w:p>
    <w:p w14:paraId="7F6AE534">
      <w:pPr>
        <w:tabs>
          <w:tab w:val="left" w:pos="1664"/>
        </w:tabs>
        <w:spacing w:line="276" w:lineRule="auto"/>
        <w:ind w:firstLine="422" w:firstLineChars="200"/>
        <w:rPr>
          <w:rFonts w:hint="default" w:ascii="Cambria" w:hAnsi="Cambria" w:cs="Cambria"/>
          <w:b/>
          <w:bCs/>
          <w:szCs w:val="21"/>
          <w:lang w:eastAsia="zh-CN"/>
        </w:rPr>
      </w:pPr>
      <w:r>
        <w:rPr>
          <w:rFonts w:hint="default" w:ascii="Cambria" w:hAnsi="Cambria" w:cs="Cambria"/>
          <w:b/>
          <w:bCs/>
          <w:szCs w:val="21"/>
          <w:lang w:eastAsia="zh-CN"/>
        </w:rPr>
        <w:t>3.4.3 Resolution of the project group</w:t>
      </w:r>
    </w:p>
    <w:p w14:paraId="120C4764">
      <w:pPr>
        <w:spacing w:line="276" w:lineRule="auto"/>
        <w:ind w:firstLine="420" w:firstLineChars="200"/>
        <w:jc w:val="left"/>
        <w:rPr>
          <w:rFonts w:hint="default" w:ascii="Cambria" w:hAnsi="Cambria" w:eastAsia="仿宋" w:cs="Cambria"/>
          <w:sz w:val="21"/>
          <w:szCs w:val="21"/>
        </w:rPr>
      </w:pPr>
      <w:r>
        <w:rPr>
          <w:rFonts w:hint="default" w:ascii="Cambria" w:hAnsi="Cambria" w:cs="Cambria"/>
          <w:szCs w:val="21"/>
          <w:lang w:eastAsia="zh-CN"/>
        </w:rPr>
        <w:t>The proposal was unanimously approved, and the opinion of the project group was adopted.</w:t>
      </w:r>
    </w:p>
    <w:p w14:paraId="1BE8A821">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4 Expert resolutions on open-ended questions</w:t>
      </w:r>
    </w:p>
    <w:p w14:paraId="4CCECAC9">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4.1 Question 1: Standardization of wording</w:t>
      </w:r>
    </w:p>
    <w:p w14:paraId="15AE059A">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4.1.1 Original text in the letter for solicitation of comments</w:t>
      </w:r>
    </w:p>
    <w:p w14:paraId="7816B343">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1) Expert opinions from the questionnaire survey</w:t>
      </w:r>
    </w:p>
    <w:p w14:paraId="53FEA2DC">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Chinese patent medicines should preferably be those included in the Pharmacopoeia. For example, can “Yuhong ointment” be changed to “Ruyi Jinhuang powder”?</w:t>
      </w:r>
    </w:p>
    <w:p w14:paraId="500FCA44">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2) Opinion of the project group</w:t>
      </w:r>
    </w:p>
    <w:p w14:paraId="7A30F6DB">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“Yuhong ointment” should not be changed to “Ruyi Jinhuang powder”. Ruyi Jinhuang powder has the effects of reducing swelling, dissipating masses, clearing heat and drying dampness. It is mainly used for the early stage of redness, swelling, heat and pain, and for excess patterns of yang nature; it is not suitable for moxibustion sores. Since this section has already been revised to “if the blister is more than 1 cm in diameter and contains a large amount of fluid, it is recommended to consult a surgeon for assistance in management”, there is no longer any content related to Yuhong ointment.</w:t>
      </w:r>
    </w:p>
    <w:p w14:paraId="194958ED">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4.1.2 Expert consultation opinions</w:t>
      </w:r>
    </w:p>
    <w:p w14:paraId="0B8E38BA">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1) Expert consultation result</w:t>
      </w:r>
    </w:p>
    <w:p w14:paraId="27D1D0C3">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All 13 experts unanimously agreed, with a score of 2 points/mandatory selection, and the support rate was 100%.</w:t>
      </w:r>
    </w:p>
    <w:p w14:paraId="05ECC0E0">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2) Main discussion opinions</w:t>
      </w:r>
    </w:p>
    <w:p w14:paraId="2BED0706">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No special discussion comments were raised.</w:t>
      </w:r>
    </w:p>
    <w:p w14:paraId="7CC916A0">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4.1.3 Resolution of the project group</w:t>
      </w:r>
    </w:p>
    <w:p w14:paraId="73BF33EB">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The opinion of the project group was maintained. In combination with the expert consultation result, the existing content was retained.</w:t>
      </w:r>
    </w:p>
    <w:p w14:paraId="58FE5EDE">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4.2 Question 2: Suggested new content — addition of three-edge needle sizes</w:t>
      </w:r>
    </w:p>
    <w:p w14:paraId="0C211AE7">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4.2.1 Original text in the letter for solicitation of comments</w:t>
      </w:r>
    </w:p>
    <w:p w14:paraId="3C5449D0">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1) Expert opinions from the questionnaire survey</w:t>
      </w:r>
    </w:p>
    <w:p w14:paraId="6B5DC5C1">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“Three-edge needles of different specifications.” It is preferable to add relevant content in the annex and verify the name and specifications of “small three-edge needle”.</w:t>
      </w:r>
    </w:p>
    <w:p w14:paraId="7E2CD64A">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2) Opinion of the project group</w:t>
      </w:r>
    </w:p>
    <w:p w14:paraId="3705C5EC">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The diameter specifications of three-edge needles should be added to the annex: large size: Ф2.6 mm; small size: Ф1.6 mm. No national, industry or local standards have specified the dimensions of each type of three-edge needle. These specifications are based on the marketed medical device specifications in Yaozhi Data.</w:t>
      </w:r>
    </w:p>
    <w:p w14:paraId="380058FC">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4.2.2 Expert consultation opinions</w:t>
      </w:r>
    </w:p>
    <w:p w14:paraId="4CAEECD4">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1) Expert consultation result</w:t>
      </w:r>
    </w:p>
    <w:p w14:paraId="6B5DDAB2">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All 13 experts unanimously agreed, with a score of 2 points/mandatory selection, and the support rate was 100%.</w:t>
      </w:r>
    </w:p>
    <w:p w14:paraId="2C1F3BD4">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2) Main discussion opinions</w:t>
      </w:r>
    </w:p>
    <w:p w14:paraId="2DD05346">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No special discussion comments were raised.</w:t>
      </w:r>
    </w:p>
    <w:p w14:paraId="548A991B">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4.2.3 Resolution of the project group</w:t>
      </w:r>
    </w:p>
    <w:p w14:paraId="6BAE9BC7">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The opinion of the project group was maintained. In combination with the expert consultation result, the existing content was retained.</w:t>
      </w:r>
    </w:p>
    <w:p w14:paraId="70D2A5DC">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4.3 Question 3: Suggested new content — addition of moxibustion methods related to modern devices</w:t>
      </w:r>
    </w:p>
    <w:p w14:paraId="1C071658">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4.3.1 Original text in the letter for solicitation of comments</w:t>
      </w:r>
    </w:p>
    <w:p w14:paraId="4F64D2FF">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1) Expert opinions from the questionnaire survey</w:t>
      </w:r>
    </w:p>
    <w:p w14:paraId="0C41AF4F">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It is recommended to add moxibustion methods related to modern devices, which may even replace some older methods; attention should also be paid to the use of special auxiliary materials such as alcohol in younger children.</w:t>
      </w:r>
    </w:p>
    <w:p w14:paraId="406D3C31">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2) Opinion of the project group</w:t>
      </w:r>
    </w:p>
    <w:p w14:paraId="2319F576">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Moxibustion instrument: It is usually composed of a main unit, a moxibustion material fixing device and an automatic control device. Through real-time temperature monitoring, feedback is provided to the drive motor, which automatically adjusts the distance between the moxibustion material and the moxibustion site in order to control the moxibustion temperature. Through the warming effect produced by the burning of moxibustion materials on the human body, moxibustion is applied to human acupoints for disease prevention and treatment. Source: Medical Device Classification Catalogue — 20 Traditional Chinese Medicine Devices — 20-02 Traditional Chinese Medicine Treatment Equipment.</w:t>
      </w:r>
    </w:p>
    <w:p w14:paraId="207DE549">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4.3.2 Expert consultation opinions</w:t>
      </w:r>
    </w:p>
    <w:p w14:paraId="34632C11">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1) Expert consultation result</w:t>
      </w:r>
    </w:p>
    <w:p w14:paraId="08FD1086">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All 13 experts unanimously agreed, with a score of 2 points/mandatory selection, and the support rate was 100%.</w:t>
      </w:r>
    </w:p>
    <w:p w14:paraId="2CF75FA9">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2) Main discussion opinions</w:t>
      </w:r>
    </w:p>
    <w:p w14:paraId="1945DA31">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No special discussion comments were raised.</w:t>
      </w:r>
    </w:p>
    <w:p w14:paraId="2DAD5151">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4.3.3 Resolution of the project group</w:t>
      </w:r>
    </w:p>
    <w:p w14:paraId="5714E8E4">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The opinion of the project group was maintained. In combination with the expert consultation result, the existing content was retained.</w:t>
      </w:r>
    </w:p>
    <w:p w14:paraId="19118C60">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4.4 Question 4: Suggestions related to English translation</w:t>
      </w:r>
    </w:p>
    <w:p w14:paraId="3B358EC1">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4.4.1 Original text in the letter for solicitation of comments</w:t>
      </w:r>
    </w:p>
    <w:p w14:paraId="694951E9">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1) Expert opinions from the questionnaire survey</w:t>
      </w:r>
    </w:p>
    <w:p w14:paraId="433AC02F">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The standard title should be changed to: International standardized techniques and manipulations of Chinese medicine Pediatrics Part 3: Acupuncture and Moxibustion for Children.</w:t>
      </w:r>
    </w:p>
    <w:p w14:paraId="2F1F885E">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2) Opinion of the project group</w:t>
      </w:r>
    </w:p>
    <w:p w14:paraId="5C2EFDBF">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It is recommended to adopt the above translated title, subject to professional review and editing to ensure accuracy and academic standardization.</w:t>
      </w:r>
    </w:p>
    <w:p w14:paraId="0E1BFB74">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4.4.2 Expert consultation opinions</w:t>
      </w:r>
    </w:p>
    <w:p w14:paraId="663EFCD1">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1) Expert consultation result</w:t>
      </w:r>
    </w:p>
    <w:p w14:paraId="4948C4BB">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A total of 12 experts unanimously agreed, with a score of 2 points/mandatory selection, and the support rate was 92.31%.</w:t>
      </w:r>
    </w:p>
    <w:p w14:paraId="7D30B6C4">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2) Main discussion opinions</w:t>
      </w:r>
    </w:p>
    <w:p w14:paraId="3AE3B9D3">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Wang Lili: International Standardized Manipulations of Chinese Medicine or International Standardized Procedures of Chinese Medicine.</w:t>
      </w:r>
    </w:p>
    <w:p w14:paraId="3078AE4D">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4.4.3 Resolution of the project group</w:t>
      </w:r>
    </w:p>
    <w:p w14:paraId="73DF2EF3">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In combination with the opinions of experts from the questionnaire survey and the consultation meeting, the recommendation was adopted and optimized. The English title of the standard shall follow the title used in the Notice of Project Approval for WFCMS International Organization Standards. The English translation shall be reviewed by the International Standardization Department of the World Federation of Chinese Medicine Societies.</w:t>
      </w:r>
    </w:p>
    <w:p w14:paraId="31248B17">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4.5 Question 5: Suggestions related to English translation — addition of a multilingual terminology comparison table</w:t>
      </w:r>
    </w:p>
    <w:p w14:paraId="17C228F9">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4.5.1 Original text in the letter for solicitation of comments</w:t>
      </w:r>
    </w:p>
    <w:p w14:paraId="2CF3653F">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1) Expert opinions from the questionnaire survey</w:t>
      </w:r>
    </w:p>
    <w:p w14:paraId="5D14FE79">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It is recommended to add a multilingual comparison table, such as English, in the terminology section to facilitate international promotion.</w:t>
      </w:r>
    </w:p>
    <w:p w14:paraId="724ED6BC">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2) Opinion of the project group</w:t>
      </w:r>
    </w:p>
    <w:p w14:paraId="58AC3491">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The definitions section of this standard already contains Chinese-English bilingual content, and a full English translation will be provided during the solicitation of comments stage, which is sufficient to meet the needs of international readers. Therefore, it is not necessary to add a separate comparison table.</w:t>
      </w:r>
    </w:p>
    <w:p w14:paraId="485A139C">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4.5.2 Expert consultation opinions</w:t>
      </w:r>
    </w:p>
    <w:p w14:paraId="2A872D28">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1) Expert consultation result</w:t>
      </w:r>
    </w:p>
    <w:p w14:paraId="17F019D4">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All 13 experts unanimously agreed, with a score of 2 points/mandatory selection, and the support rate was 100%.</w:t>
      </w:r>
    </w:p>
    <w:p w14:paraId="73F77291">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2) Main discussion opinions</w:t>
      </w:r>
    </w:p>
    <w:p w14:paraId="3FED4CA7">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No special discussion comments were raised.</w:t>
      </w:r>
    </w:p>
    <w:p w14:paraId="1CEAD3C0">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4.5.3 Resolution of the project group</w:t>
      </w:r>
    </w:p>
    <w:p w14:paraId="7C5852A1">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No separate comparison table will be added. A full English translation will be provided at a later stage, and the accuracy of the bilingual comparison in the terms and definitions section will be ensured.</w:t>
      </w:r>
    </w:p>
    <w:p w14:paraId="25332FB4">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5 Comprehensive revision comments on the full text</w:t>
      </w:r>
    </w:p>
    <w:p w14:paraId="0AC6A471">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In addition to the common issues of the above items, experts put forward the following comprehensive comments during the consultation meeting and in the letters for solicitation of comments.</w:t>
      </w:r>
    </w:p>
    <w:p w14:paraId="37A57150">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5.1 Standardization of terminology and wording</w:t>
      </w:r>
    </w:p>
    <w:p w14:paraId="06EB8BCB">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5.1.1 Expert discussion opinions</w:t>
      </w:r>
    </w:p>
    <w:p w14:paraId="2AF22169">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Professor Shi Zhenggang proposed that terms such as “physician”, “doctor” and “operator/practitioner” should be unified with those used in other transformation projects carried out during the same period. He also suggested that the writing of time units in the standard be unified and may be expressed in English, such as “min” and “h”. Professor Ma Rong, Professor Ding Ying and Director Wang Lili proposed that age expressions should avoid localized terms such as “young child” and “infant”, and instead use internationally accepted numerical expressions, such as “aged 1 year and above”.</w:t>
      </w:r>
    </w:p>
    <w:p w14:paraId="4E8F33BA">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5.1.2 Resolution of the project group</w:t>
      </w:r>
    </w:p>
    <w:p w14:paraId="7EEC4F87">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The expert suggestions were adopted. A full-text review will be conducted. The project group will hold a coordination meeting for the five projects to handle these issues in a unified manner and coordinate terminological consistency among the pediatric international standard transformation projects carried out during the same period.</w:t>
      </w:r>
    </w:p>
    <w:p w14:paraId="44A43B64">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5.2 Conciseness of standard wording</w:t>
      </w:r>
    </w:p>
    <w:p w14:paraId="7FD87414">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5.2.1 Expert discussion opinions</w:t>
      </w:r>
    </w:p>
    <w:p w14:paraId="339F14BC">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Xiong Lei and Dai Qigang proposed that the standard should be “concise and not overly elaborate”, and that wording should be streamlined while ensuring operability.</w:t>
      </w:r>
    </w:p>
    <w:p w14:paraId="07C352E7">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5.2.2 Resolution of the project group</w:t>
      </w:r>
    </w:p>
    <w:p w14:paraId="38717EBA">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The project group will review and check the full text, delete repetitive descriptions, and streamline the wording as much as possible while ensuring detailed and operable procedures.</w:t>
      </w:r>
    </w:p>
    <w:p w14:paraId="06A0F5B5">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5.3 Optimization of the expert information form</w:t>
      </w:r>
    </w:p>
    <w:p w14:paraId="0EBEF42F">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5.3.1 Expert discussion opinions</w:t>
      </w:r>
    </w:p>
    <w:p w14:paraId="05C0223F">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Professor Ma Rong proposed distinguishing between “educational background” and “academic degree” and clarifying the difference between the two. It was also recommended to standardize professional titles. For example, for experts mainly engaged in clinical work, only titles such as Chief Physician and Associate Chief Physician should be filled in; for experts mainly engaged in basic research, titles such as Professor and Associate Professor should be used.</w:t>
      </w:r>
    </w:p>
    <w:p w14:paraId="50722474">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5.3.2 Resolution of the project group</w:t>
      </w:r>
    </w:p>
    <w:p w14:paraId="34194DB0">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The template of the Expert Information Form will be revised, and standards for filling in professional titles will be standardized. The statistics of professional titles will be limited to domestic experts. For domestic experts, “professional title” will be classified as junior, intermediate, associate senior and senior, without further distinguishing between the physician and teacher series. The professional titles of overseas experts will retain their original wording and will be counted separately by category.</w:t>
      </w:r>
    </w:p>
    <w:p w14:paraId="46A92803">
      <w:pPr>
        <w:spacing w:line="276" w:lineRule="auto"/>
        <w:ind w:firstLine="422" w:firstLineChars="200"/>
        <w:jc w:val="left"/>
        <w:rPr>
          <w:rFonts w:hint="default" w:ascii="Cambria" w:hAnsi="Cambria" w:eastAsia="仿宋" w:cs="Cambria"/>
          <w:b/>
          <w:bCs/>
          <w:sz w:val="21"/>
          <w:szCs w:val="21"/>
        </w:rPr>
      </w:pPr>
      <w:r>
        <w:rPr>
          <w:rFonts w:hint="default" w:ascii="Cambria" w:hAnsi="Cambria" w:eastAsia="仿宋" w:cs="Cambria"/>
          <w:b/>
          <w:bCs/>
          <w:sz w:val="21"/>
          <w:szCs w:val="21"/>
        </w:rPr>
        <w:t>6 Special summary on safety issues</w:t>
      </w:r>
    </w:p>
    <w:p w14:paraId="3A1B6DA8">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In this meeting, safety was not only the core concern of expert consultation, but also the bottom line that must be upheld in the transformation into an international standard. Compliance with local laws and regulations was regarded by the expert group as a prerequisite for operational safety, rather than an administrative requirement independent of technical practice. The expert group conducted a systematic safety review of the draft standard. Professor Yu Jian’er, Professor Wang Youpeng and Director Wang Lili particularly emphasized that any operation that does not comply with laws and regulations is unsafe even if it is technically correct, and may lead to risks such as legal liability and loss of practice qualifications. Therefore, the meeting unanimously approved the addition of a statement on regulatory restrictions in a prominent position in the standard, establishing the implementation principle for the international standard that “safety is based on compliance”.</w:t>
      </w:r>
    </w:p>
    <w:p w14:paraId="54279553">
      <w:pPr>
        <w:spacing w:line="276" w:lineRule="auto"/>
        <w:ind w:firstLine="420" w:firstLineChars="200"/>
        <w:jc w:val="left"/>
        <w:rPr>
          <w:rFonts w:hint="default" w:ascii="Cambria" w:hAnsi="Cambria" w:eastAsia="仿宋" w:cs="Cambria"/>
          <w:sz w:val="21"/>
          <w:szCs w:val="21"/>
        </w:rPr>
      </w:pPr>
      <w:r>
        <w:rPr>
          <w:rFonts w:hint="default" w:ascii="Cambria" w:hAnsi="Cambria" w:eastAsia="仿宋" w:cs="Cambria"/>
          <w:sz w:val="21"/>
          <w:szCs w:val="21"/>
        </w:rPr>
        <w:t>The project group undertakes that all the above safety-related resolutions will be implemented as a priority in the revision of the standard, so as to ensure that this standard becomes a safe operating specification for pediatric acupuncture and moxibustion therapy in TCM worldwide.</w:t>
      </w:r>
    </w:p>
    <w:p w14:paraId="402A71A9">
      <w:pPr>
        <w:tabs>
          <w:tab w:val="left" w:pos="647"/>
        </w:tabs>
        <w:spacing w:line="276" w:lineRule="auto"/>
        <w:ind w:firstLine="422" w:firstLineChars="200"/>
        <w:jc w:val="left"/>
        <w:rPr>
          <w:rFonts w:hint="default" w:ascii="Cambria" w:hAnsi="Cambria" w:eastAsia="仿宋" w:cs="Cambria"/>
          <w:b/>
          <w:bCs/>
          <w:szCs w:val="21"/>
        </w:rPr>
      </w:pPr>
      <w:r>
        <w:rPr>
          <w:rFonts w:hint="default" w:ascii="Cambria" w:hAnsi="Cambria" w:eastAsia="仿宋" w:cs="Cambria"/>
          <w:b/>
          <w:bCs/>
          <w:szCs w:val="21"/>
        </w:rPr>
        <w:t>7 Follow-up work arrangements</w:t>
      </w:r>
    </w:p>
    <w:p w14:paraId="0E03E3C6">
      <w:pPr>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Joint coordination: A coordination meeting for the transformation projects carried out during the same period will be convened before December 15, 2025, to unify common terminology issues. </w:t>
      </w:r>
    </w:p>
    <w:p w14:paraId="4101E083">
      <w:pPr>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Document revision: The project group will complete the revision of the draft standard before December 22, 2025, and form the draft standard, initial draft. </w:t>
      </w:r>
    </w:p>
    <w:p w14:paraId="4F85E770">
      <w:pPr>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Summary of the comparison table: During document revision, the Standard Revision Comparison Table will be completed simultaneously, with the revised content and reasons for revision marked item by item. </w:t>
      </w:r>
    </w:p>
    <w:p w14:paraId="7B79F096">
      <w:pPr>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Preparation of the explanatory notes: The project group will complete the preparation of the Explanatory Notes on the Development of the Standard before December 25, 2025, detailing the development process of this standard and attaching relevant documents. </w:t>
      </w:r>
    </w:p>
    <w:p w14:paraId="75241B9B">
      <w:pPr>
        <w:spacing w:line="276" w:lineRule="auto"/>
        <w:ind w:firstLine="420" w:firstLineChars="200"/>
        <w:rPr>
          <w:rFonts w:hint="default" w:ascii="Cambria" w:hAnsi="Cambria" w:eastAsia="仿宋" w:cs="Cambria"/>
          <w:szCs w:val="21"/>
        </w:rPr>
      </w:pPr>
      <w:r>
        <w:rPr>
          <w:rFonts w:hint="default" w:ascii="Cambria" w:hAnsi="Cambria" w:eastAsia="仿宋" w:cs="Cambria"/>
          <w:szCs w:val="21"/>
        </w:rPr>
        <w:t xml:space="preserve">Submission of materials: Before December 31, 2025, the Draft Standard, Explanatory Notes on the Development of the Standard and Standard Revision Comparison Table will be submitted together to the International Standardization Department of the World Federation of Chinese Medicine Societies. </w:t>
      </w:r>
    </w:p>
    <w:p w14:paraId="209CD63B">
      <w:pPr>
        <w:spacing w:line="276" w:lineRule="auto"/>
        <w:ind w:firstLine="422" w:firstLineChars="200"/>
        <w:rPr>
          <w:rFonts w:hint="default" w:ascii="Cambria" w:hAnsi="Cambria" w:eastAsia="仿宋" w:cs="Cambria"/>
          <w:b/>
          <w:bCs/>
          <w:szCs w:val="21"/>
        </w:rPr>
      </w:pPr>
      <w:r>
        <w:rPr>
          <w:rFonts w:hint="default" w:ascii="Cambria" w:hAnsi="Cambria" w:eastAsia="仿宋" w:cs="Cambria"/>
          <w:b/>
          <w:bCs/>
          <w:szCs w:val="21"/>
        </w:rPr>
        <w:t>8 Statement</w:t>
      </w:r>
    </w:p>
    <w:p w14:paraId="36D13094">
      <w:pPr>
        <w:spacing w:line="276" w:lineRule="auto"/>
        <w:ind w:firstLine="420" w:firstLineChars="200"/>
        <w:rPr>
          <w:rFonts w:hint="default" w:ascii="Cambria" w:hAnsi="Cambria" w:eastAsia="仿宋" w:cs="Cambria"/>
          <w:szCs w:val="21"/>
        </w:rPr>
      </w:pPr>
      <w:r>
        <w:rPr>
          <w:rFonts w:hint="default" w:ascii="Cambria" w:hAnsi="Cambria" w:eastAsia="仿宋" w:cs="Cambria"/>
          <w:szCs w:val="21"/>
        </w:rPr>
        <w:t>This document comprehensively records the technical resolutions of the expert consultation meeting held on December 3, 2025. All revision comments are based on expert scoring and written feedback, with no omissions or alterations. The project group sincerely thanks the participating experts for their professional contributions and undertakes to strictly implement the meeting resolutions and complete the international standard transformation task with high quality.</w:t>
      </w:r>
    </w:p>
    <w:p w14:paraId="6B807571">
      <w:pPr>
        <w:spacing w:line="276" w:lineRule="auto"/>
        <w:ind w:firstLine="420" w:firstLineChars="200"/>
        <w:rPr>
          <w:rFonts w:hint="default" w:ascii="Cambria" w:hAnsi="Cambria" w:eastAsia="仿宋" w:cs="Cambria"/>
          <w:szCs w:val="21"/>
        </w:rPr>
      </w:pPr>
      <w:r>
        <w:rPr>
          <w:rFonts w:hint="default" w:ascii="Cambria" w:hAnsi="Cambria" w:eastAsia="仿宋" w:cs="Cambria"/>
          <w:szCs w:val="21"/>
        </w:rPr>
        <w:t>Project Working Group of International standardized manipulations of Chinese medicine — Pediatrics — Part 3: Acupuncture and Moxibustion</w:t>
      </w:r>
    </w:p>
    <w:p w14:paraId="0E7C0712">
      <w:pPr>
        <w:spacing w:line="276" w:lineRule="auto"/>
        <w:ind w:firstLine="420" w:firstLineChars="200"/>
        <w:rPr>
          <w:rFonts w:hint="default" w:ascii="Cambria" w:hAnsi="Cambria" w:eastAsia="仿宋" w:cs="Cambria"/>
          <w:szCs w:val="21"/>
        </w:rPr>
      </w:pPr>
      <w:r>
        <w:rPr>
          <w:rFonts w:hint="default" w:ascii="Cambria" w:hAnsi="Cambria" w:eastAsia="仿宋" w:cs="Cambria"/>
          <w:szCs w:val="21"/>
        </w:rPr>
        <w:br w:type="page"/>
      </w:r>
    </w:p>
    <w:p w14:paraId="5988C0C5">
      <w:pPr>
        <w:widowControl/>
        <w:wordWrap w:val="0"/>
        <w:spacing w:before="312" w:beforeLines="100" w:after="312" w:afterLines="100" w:line="276" w:lineRule="auto"/>
        <w:ind w:firstLine="0" w:firstLineChars="0"/>
        <w:jc w:val="left"/>
        <w:outlineLvl w:val="0"/>
        <w:rPr>
          <w:rFonts w:hint="default" w:ascii="Cambria" w:hAnsi="Cambria" w:eastAsia="宋体" w:cs="Cambria"/>
          <w:b/>
          <w:sz w:val="36"/>
          <w:szCs w:val="36"/>
        </w:rPr>
      </w:pPr>
      <w:bookmarkStart w:id="38" w:name="_Toc21650"/>
      <w:r>
        <w:rPr>
          <w:rFonts w:hint="default" w:ascii="Cambria" w:hAnsi="Cambria" w:eastAsia="宋体" w:cs="Cambria"/>
          <w:b/>
          <w:sz w:val="36"/>
          <w:szCs w:val="36"/>
        </w:rPr>
        <w:t>Attachment 3 Summary of review by the expert advisory group</w:t>
      </w:r>
      <w:bookmarkEnd w:id="38"/>
    </w:p>
    <w:p w14:paraId="55B47598">
      <w:pPr>
        <w:widowControl/>
        <w:spacing w:line="276" w:lineRule="auto"/>
        <w:ind w:firstLine="420" w:firstLineChars="200"/>
        <w:rPr>
          <w:rFonts w:hint="default" w:ascii="Cambria" w:hAnsi="Cambria" w:cs="Cambria"/>
          <w:color w:val="auto"/>
          <w:szCs w:val="21"/>
        </w:rPr>
      </w:pPr>
      <w:r>
        <w:rPr>
          <w:rFonts w:hint="default" w:ascii="Cambria" w:hAnsi="Cambria" w:cs="Cambria"/>
          <w:color w:val="auto"/>
          <w:szCs w:val="21"/>
        </w:rPr>
        <w:t>In accordance with the requirements of the procedures of the World Federation of Chinese Medicine Societies for developing international organization standards, after completing the expert questionnaire survey and the expert consultation meeting, the project International standardized manipulations of Chinese medicine — Pediatrics — Part 3: Acupuncture and Moxibustion formed the review draft for the expert advisory group, together with supporting materials such as the explanatory notes on the development of the standard, and submitted them to the expert advisory group for review.</w:t>
      </w:r>
    </w:p>
    <w:p w14:paraId="746C9B04">
      <w:pPr>
        <w:widowControl/>
        <w:spacing w:line="276" w:lineRule="auto"/>
        <w:ind w:firstLine="420" w:firstLineChars="200"/>
        <w:rPr>
          <w:rFonts w:hint="default" w:ascii="Cambria" w:hAnsi="Cambria" w:cs="Cambria"/>
          <w:color w:val="auto"/>
          <w:szCs w:val="21"/>
        </w:rPr>
      </w:pPr>
      <w:r>
        <w:rPr>
          <w:rFonts w:hint="default" w:ascii="Cambria" w:hAnsi="Cambria" w:cs="Cambria"/>
          <w:color w:val="auto"/>
          <w:szCs w:val="21"/>
        </w:rPr>
        <w:t>Professor Ding Ying, leader of the expert advisory group for this project, is a Master of Traditional Chinese Medicine and President of the Pediatrics Branch of the China Ethnic Medicine Association. Professors Ma Rong and Xiong Lei are Qihuang Scholars and served as Chairpersons of the 6th to 9th Pediatrics Branch of the China Association of Chinese Medicine. Professor Yu Jian is Chairperson of the Pediatrics Branch of the Chinese Association of Integrative Medicine. Most of the other experts are current Vice Presidents of the Pediatrics Specialty Committee of the World Federation of Chinese Medicine Societies or Vice Chairpersons of the Pediatrics Branch of the China Association of Chinese Medicine. Within the prescribed time, the project working group sent documents including the draft standard, the standard revision comparison table and the explanatory notes on the development of the standard to the members of the expert advisory group, requesting them to provide review comments on aspects such as the positioning of the standard, technical boundaries, wording of provisions and international applicability. The experts provided comments on the standard in written form.</w:t>
      </w:r>
    </w:p>
    <w:p w14:paraId="768C6564">
      <w:pPr>
        <w:widowControl/>
        <w:spacing w:line="276" w:lineRule="auto"/>
        <w:ind w:firstLine="420" w:firstLineChars="200"/>
        <w:rPr>
          <w:rFonts w:hint="default" w:ascii="Cambria" w:hAnsi="Cambria" w:cs="Cambria"/>
          <w:color w:val="auto"/>
          <w:szCs w:val="21"/>
        </w:rPr>
      </w:pPr>
      <w:r>
        <w:rPr>
          <w:rFonts w:hint="default" w:ascii="Cambria" w:hAnsi="Cambria" w:cs="Cambria"/>
          <w:color w:val="auto"/>
          <w:szCs w:val="21"/>
        </w:rPr>
        <w:t>Table: Solicitation of review comments from the expert advisory group for International standardized manipulations of Chinese medicine — Pediatrics — Part 3: Acupuncture and Moxibustion</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4111"/>
        <w:gridCol w:w="1576"/>
        <w:gridCol w:w="1807"/>
      </w:tblGrid>
      <w:tr w14:paraId="38CD9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59BE4E97">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No.</w:t>
            </w:r>
          </w:p>
        </w:tc>
        <w:tc>
          <w:tcPr>
            <w:tcW w:w="4111" w:type="dxa"/>
            <w:vAlign w:val="center"/>
          </w:tcPr>
          <w:p w14:paraId="6552BE3F">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Organization solicited</w:t>
            </w:r>
          </w:p>
        </w:tc>
        <w:tc>
          <w:tcPr>
            <w:tcW w:w="1576" w:type="dxa"/>
            <w:vAlign w:val="center"/>
          </w:tcPr>
          <w:p w14:paraId="4F626B45">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Expert</w:t>
            </w:r>
          </w:p>
        </w:tc>
        <w:tc>
          <w:tcPr>
            <w:tcW w:w="1807" w:type="dxa"/>
            <w:vAlign w:val="center"/>
          </w:tcPr>
          <w:p w14:paraId="02491218">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Whether comments were returned</w:t>
            </w:r>
          </w:p>
        </w:tc>
      </w:tr>
      <w:tr w14:paraId="16137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1370CB84">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1</w:t>
            </w:r>
          </w:p>
        </w:tc>
        <w:tc>
          <w:tcPr>
            <w:tcW w:w="4111" w:type="dxa"/>
            <w:vAlign w:val="center"/>
          </w:tcPr>
          <w:p w14:paraId="2891711B">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Pediatric Hospital, First Affiliated Hospital of Henan University of Chinese Medicine</w:t>
            </w:r>
          </w:p>
        </w:tc>
        <w:tc>
          <w:tcPr>
            <w:tcW w:w="1576" w:type="dxa"/>
            <w:vAlign w:val="center"/>
          </w:tcPr>
          <w:p w14:paraId="4726631C">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Ding Ying</w:t>
            </w:r>
          </w:p>
        </w:tc>
        <w:tc>
          <w:tcPr>
            <w:tcW w:w="1807" w:type="dxa"/>
            <w:vAlign w:val="center"/>
          </w:tcPr>
          <w:p w14:paraId="080F13A6">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Returned</w:t>
            </w:r>
          </w:p>
        </w:tc>
      </w:tr>
      <w:tr w14:paraId="32FCD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4E8546CE">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2</w:t>
            </w:r>
          </w:p>
        </w:tc>
        <w:tc>
          <w:tcPr>
            <w:tcW w:w="4111" w:type="dxa"/>
            <w:vAlign w:val="center"/>
          </w:tcPr>
          <w:p w14:paraId="2A7D67B5">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Shenzhen Children’s Hospital</w:t>
            </w:r>
          </w:p>
        </w:tc>
        <w:tc>
          <w:tcPr>
            <w:tcW w:w="1576" w:type="dxa"/>
            <w:vAlign w:val="center"/>
          </w:tcPr>
          <w:p w14:paraId="357A4F20">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Wan Lisheng</w:t>
            </w:r>
          </w:p>
        </w:tc>
        <w:tc>
          <w:tcPr>
            <w:tcW w:w="1807" w:type="dxa"/>
            <w:vAlign w:val="center"/>
          </w:tcPr>
          <w:p w14:paraId="054F36BB">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Returned</w:t>
            </w:r>
          </w:p>
        </w:tc>
      </w:tr>
      <w:tr w14:paraId="3D3FD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141C5DBD">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3</w:t>
            </w:r>
          </w:p>
        </w:tc>
        <w:tc>
          <w:tcPr>
            <w:tcW w:w="4111" w:type="dxa"/>
            <w:vAlign w:val="center"/>
          </w:tcPr>
          <w:p w14:paraId="6A25C1EC">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First Teaching Hospital of Tianjin University of Traditional Chinese Medicine</w:t>
            </w:r>
          </w:p>
        </w:tc>
        <w:tc>
          <w:tcPr>
            <w:tcW w:w="1576" w:type="dxa"/>
            <w:vAlign w:val="center"/>
          </w:tcPr>
          <w:p w14:paraId="0FBF4FBA">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Ma Rong</w:t>
            </w:r>
          </w:p>
        </w:tc>
        <w:tc>
          <w:tcPr>
            <w:tcW w:w="1807" w:type="dxa"/>
            <w:vAlign w:val="center"/>
          </w:tcPr>
          <w:p w14:paraId="11EE24AF">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Returned</w:t>
            </w:r>
          </w:p>
        </w:tc>
      </w:tr>
      <w:tr w14:paraId="4331D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491ECADE">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4</w:t>
            </w:r>
          </w:p>
        </w:tc>
        <w:tc>
          <w:tcPr>
            <w:tcW w:w="4111" w:type="dxa"/>
            <w:vAlign w:val="center"/>
          </w:tcPr>
          <w:p w14:paraId="15EE04C3">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Second Affiliated Hospital of Heilongjiang University of Chinese Medicine</w:t>
            </w:r>
          </w:p>
        </w:tc>
        <w:tc>
          <w:tcPr>
            <w:tcW w:w="1576" w:type="dxa"/>
            <w:vAlign w:val="center"/>
          </w:tcPr>
          <w:p w14:paraId="13C1D8D5">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Wang Youpeng</w:t>
            </w:r>
          </w:p>
        </w:tc>
        <w:tc>
          <w:tcPr>
            <w:tcW w:w="1807" w:type="dxa"/>
            <w:vAlign w:val="center"/>
          </w:tcPr>
          <w:p w14:paraId="4F5F95AC">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Returned</w:t>
            </w:r>
          </w:p>
        </w:tc>
      </w:tr>
      <w:tr w14:paraId="55B94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373EEBA8">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5</w:t>
            </w:r>
          </w:p>
        </w:tc>
        <w:tc>
          <w:tcPr>
            <w:tcW w:w="4111" w:type="dxa"/>
            <w:vAlign w:val="center"/>
          </w:tcPr>
          <w:p w14:paraId="7148519F">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International Standardization Department of the World Federation of Chinese Medicine Societies</w:t>
            </w:r>
          </w:p>
        </w:tc>
        <w:tc>
          <w:tcPr>
            <w:tcW w:w="1576" w:type="dxa"/>
            <w:vAlign w:val="center"/>
          </w:tcPr>
          <w:p w14:paraId="5FF403C9">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Wang Lili</w:t>
            </w:r>
          </w:p>
        </w:tc>
        <w:tc>
          <w:tcPr>
            <w:tcW w:w="1807" w:type="dxa"/>
            <w:vAlign w:val="center"/>
          </w:tcPr>
          <w:p w14:paraId="36E672B3">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Returned</w:t>
            </w:r>
          </w:p>
        </w:tc>
      </w:tr>
      <w:tr w14:paraId="330A8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28027A03">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6</w:t>
            </w:r>
          </w:p>
        </w:tc>
        <w:tc>
          <w:tcPr>
            <w:tcW w:w="4111" w:type="dxa"/>
            <w:vAlign w:val="center"/>
          </w:tcPr>
          <w:p w14:paraId="01B3AD06">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Dongfang Hospital, Beijing University of Chinese Medicine</w:t>
            </w:r>
          </w:p>
        </w:tc>
        <w:tc>
          <w:tcPr>
            <w:tcW w:w="1576" w:type="dxa"/>
            <w:vAlign w:val="center"/>
          </w:tcPr>
          <w:p w14:paraId="3DFED27E">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Wang Sumei</w:t>
            </w:r>
          </w:p>
        </w:tc>
        <w:tc>
          <w:tcPr>
            <w:tcW w:w="1807" w:type="dxa"/>
            <w:vAlign w:val="center"/>
          </w:tcPr>
          <w:p w14:paraId="5900C64A">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Returned</w:t>
            </w:r>
          </w:p>
        </w:tc>
      </w:tr>
      <w:tr w14:paraId="6301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108210F2">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7</w:t>
            </w:r>
          </w:p>
        </w:tc>
        <w:tc>
          <w:tcPr>
            <w:tcW w:w="4111" w:type="dxa"/>
            <w:vAlign w:val="center"/>
          </w:tcPr>
          <w:p w14:paraId="66BE3611">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Gansu University of Chinese Medicine</w:t>
            </w:r>
          </w:p>
        </w:tc>
        <w:tc>
          <w:tcPr>
            <w:tcW w:w="1576" w:type="dxa"/>
            <w:vAlign w:val="center"/>
          </w:tcPr>
          <w:p w14:paraId="4D6B0FF6">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Shi Zhenggang</w:t>
            </w:r>
          </w:p>
        </w:tc>
        <w:tc>
          <w:tcPr>
            <w:tcW w:w="1807" w:type="dxa"/>
            <w:vAlign w:val="center"/>
          </w:tcPr>
          <w:p w14:paraId="788CD64A">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Returned</w:t>
            </w:r>
          </w:p>
        </w:tc>
      </w:tr>
      <w:tr w14:paraId="1321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611C5B88">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8</w:t>
            </w:r>
          </w:p>
        </w:tc>
        <w:tc>
          <w:tcPr>
            <w:tcW w:w="4111" w:type="dxa"/>
            <w:vAlign w:val="center"/>
          </w:tcPr>
          <w:p w14:paraId="5B6DFF7A">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Hubei University of Chinese Medicine</w:t>
            </w:r>
          </w:p>
        </w:tc>
        <w:tc>
          <w:tcPr>
            <w:tcW w:w="1576" w:type="dxa"/>
            <w:vAlign w:val="center"/>
          </w:tcPr>
          <w:p w14:paraId="582C53BB">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Liu Jianzhong</w:t>
            </w:r>
          </w:p>
        </w:tc>
        <w:tc>
          <w:tcPr>
            <w:tcW w:w="1807" w:type="dxa"/>
            <w:vAlign w:val="center"/>
          </w:tcPr>
          <w:p w14:paraId="22BAAD7D">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Returned</w:t>
            </w:r>
          </w:p>
        </w:tc>
      </w:tr>
      <w:tr w14:paraId="58491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27432761">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9</w:t>
            </w:r>
          </w:p>
        </w:tc>
        <w:tc>
          <w:tcPr>
            <w:tcW w:w="4111" w:type="dxa"/>
            <w:vAlign w:val="center"/>
          </w:tcPr>
          <w:p w14:paraId="0CA3673C">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Shanghai University of Traditional Chinese Medicine</w:t>
            </w:r>
          </w:p>
        </w:tc>
        <w:tc>
          <w:tcPr>
            <w:tcW w:w="1576" w:type="dxa"/>
            <w:vAlign w:val="center"/>
          </w:tcPr>
          <w:p w14:paraId="6C61A438">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Yu Jian’er</w:t>
            </w:r>
          </w:p>
        </w:tc>
        <w:tc>
          <w:tcPr>
            <w:tcW w:w="1807" w:type="dxa"/>
            <w:vAlign w:val="center"/>
          </w:tcPr>
          <w:p w14:paraId="2F351245">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Returned</w:t>
            </w:r>
          </w:p>
        </w:tc>
      </w:tr>
      <w:tr w14:paraId="49B9B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4D87B488">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10</w:t>
            </w:r>
          </w:p>
        </w:tc>
        <w:tc>
          <w:tcPr>
            <w:tcW w:w="4111" w:type="dxa"/>
            <w:vAlign w:val="center"/>
          </w:tcPr>
          <w:p w14:paraId="367BC72E">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Yunnan University of Chinese Medicine</w:t>
            </w:r>
          </w:p>
        </w:tc>
        <w:tc>
          <w:tcPr>
            <w:tcW w:w="1576" w:type="dxa"/>
            <w:vAlign w:val="center"/>
          </w:tcPr>
          <w:p w14:paraId="7277EE2B">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Xiong Lei</w:t>
            </w:r>
          </w:p>
        </w:tc>
        <w:tc>
          <w:tcPr>
            <w:tcW w:w="1807" w:type="dxa"/>
            <w:vAlign w:val="center"/>
          </w:tcPr>
          <w:p w14:paraId="57F1CA10">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Returned</w:t>
            </w:r>
          </w:p>
        </w:tc>
      </w:tr>
      <w:tr w14:paraId="6A6BA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4F45408C">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11</w:t>
            </w:r>
          </w:p>
        </w:tc>
        <w:tc>
          <w:tcPr>
            <w:tcW w:w="4111" w:type="dxa"/>
            <w:vAlign w:val="center"/>
          </w:tcPr>
          <w:p w14:paraId="39A44FE8">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Affiliated Hospital of Shandong University of Traditional Chinese Medicine</w:t>
            </w:r>
          </w:p>
        </w:tc>
        <w:tc>
          <w:tcPr>
            <w:tcW w:w="1576" w:type="dxa"/>
            <w:vAlign w:val="center"/>
          </w:tcPr>
          <w:p w14:paraId="70C7FFBC">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Zhang Baoqing</w:t>
            </w:r>
          </w:p>
        </w:tc>
        <w:tc>
          <w:tcPr>
            <w:tcW w:w="1807" w:type="dxa"/>
            <w:vAlign w:val="center"/>
          </w:tcPr>
          <w:p w14:paraId="1DB432AE">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Returned</w:t>
            </w:r>
          </w:p>
        </w:tc>
      </w:tr>
      <w:tr w14:paraId="3F9A1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44B10130">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12</w:t>
            </w:r>
          </w:p>
        </w:tc>
        <w:tc>
          <w:tcPr>
            <w:tcW w:w="4111" w:type="dxa"/>
            <w:vAlign w:val="center"/>
          </w:tcPr>
          <w:p w14:paraId="6D8E2454">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Children’s Hospital of Fudan University</w:t>
            </w:r>
          </w:p>
        </w:tc>
        <w:tc>
          <w:tcPr>
            <w:tcW w:w="1576" w:type="dxa"/>
            <w:vAlign w:val="center"/>
          </w:tcPr>
          <w:p w14:paraId="5D3E02E3">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Yu Jian</w:t>
            </w:r>
          </w:p>
        </w:tc>
        <w:tc>
          <w:tcPr>
            <w:tcW w:w="1807" w:type="dxa"/>
            <w:vAlign w:val="center"/>
          </w:tcPr>
          <w:p w14:paraId="62BC0941">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Returned</w:t>
            </w:r>
          </w:p>
        </w:tc>
      </w:tr>
      <w:tr w14:paraId="2E69A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5A053E32">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13</w:t>
            </w:r>
          </w:p>
        </w:tc>
        <w:tc>
          <w:tcPr>
            <w:tcW w:w="4111" w:type="dxa"/>
            <w:vAlign w:val="center"/>
          </w:tcPr>
          <w:p w14:paraId="263ED129">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Affiliated Hospital of Nanjing University of Chinese Medicine</w:t>
            </w:r>
          </w:p>
        </w:tc>
        <w:tc>
          <w:tcPr>
            <w:tcW w:w="1576" w:type="dxa"/>
            <w:vAlign w:val="center"/>
          </w:tcPr>
          <w:p w14:paraId="28194660">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Dai Qigang</w:t>
            </w:r>
          </w:p>
        </w:tc>
        <w:tc>
          <w:tcPr>
            <w:tcW w:w="1807" w:type="dxa"/>
            <w:vAlign w:val="center"/>
          </w:tcPr>
          <w:p w14:paraId="55BE36D9">
            <w:pPr>
              <w:widowControl/>
              <w:spacing w:line="276" w:lineRule="auto"/>
              <w:jc w:val="left"/>
              <w:rPr>
                <w:rFonts w:hint="default" w:ascii="Cambria" w:hAnsi="Cambria" w:eastAsia="仿宋" w:cs="Cambria"/>
                <w:color w:val="auto"/>
                <w:szCs w:val="21"/>
              </w:rPr>
            </w:pPr>
            <w:r>
              <w:rPr>
                <w:rFonts w:hint="default" w:ascii="Cambria" w:hAnsi="Cambria" w:cs="Cambria"/>
                <w:color w:val="auto"/>
                <w:szCs w:val="21"/>
                <w:lang w:val="en-US" w:eastAsia="zh-CN"/>
              </w:rPr>
              <w:t>Returned</w:t>
            </w:r>
          </w:p>
        </w:tc>
      </w:tr>
    </w:tbl>
    <w:p w14:paraId="17D96975">
      <w:pPr>
        <w:widowControl/>
        <w:spacing w:line="276" w:lineRule="auto"/>
        <w:ind w:firstLine="420" w:firstLineChars="200"/>
        <w:rPr>
          <w:rFonts w:hint="default" w:ascii="Cambria" w:hAnsi="Cambria" w:cs="Cambria"/>
          <w:color w:val="auto"/>
          <w:szCs w:val="21"/>
        </w:rPr>
      </w:pPr>
      <w:r>
        <w:rPr>
          <w:rFonts w:hint="default" w:ascii="Cambria" w:hAnsi="Cambria" w:cs="Cambria"/>
          <w:color w:val="auto"/>
          <w:szCs w:val="21"/>
        </w:rPr>
        <w:t>The comments raised by the experts mainly focused on the following aspects: first, the standardization and consistency of wording in individual provisions; second, safety reminders for some technical provisions in international application; and third, further clarification of the scope of application and recommendatory nature of the standard.</w:t>
      </w:r>
    </w:p>
    <w:p w14:paraId="39AE6AE3">
      <w:pPr>
        <w:widowControl/>
        <w:spacing w:line="276" w:lineRule="auto"/>
        <w:ind w:firstLine="420" w:firstLineChars="200"/>
        <w:rPr>
          <w:rFonts w:hint="default" w:ascii="Cambria" w:hAnsi="Cambria" w:cs="Cambria"/>
          <w:color w:val="auto"/>
          <w:szCs w:val="21"/>
        </w:rPr>
      </w:pPr>
      <w:r>
        <w:rPr>
          <w:rFonts w:hint="default" w:ascii="Cambria" w:hAnsi="Cambria" w:cs="Cambria"/>
          <w:color w:val="auto"/>
          <w:szCs w:val="21"/>
        </w:rPr>
        <w:t>The project working group analyzed and discussed all comments fed back by the expert advisory group, and on this basis further completed the revision of the draft.</w:t>
      </w:r>
    </w:p>
    <w:p w14:paraId="4DA999DF">
      <w:pPr>
        <w:widowControl/>
        <w:spacing w:line="276" w:lineRule="auto"/>
        <w:ind w:firstLine="420" w:firstLineChars="200"/>
        <w:jc w:val="right"/>
        <w:rPr>
          <w:rFonts w:hint="default" w:ascii="Cambria" w:hAnsi="Cambria" w:cs="Cambria"/>
          <w:color w:val="auto"/>
          <w:szCs w:val="21"/>
        </w:rPr>
      </w:pPr>
      <w:r>
        <w:rPr>
          <w:rFonts w:hint="default" w:ascii="Cambria" w:hAnsi="Cambria" w:cs="Cambria"/>
          <w:color w:val="auto"/>
          <w:szCs w:val="21"/>
        </w:rPr>
        <w:t>Project Working Group of International standardized manipulations of Chinese medicine — Pediatrics — Part 3: Acupuncture and Moxibustion</w:t>
      </w:r>
      <w:r>
        <w:rPr>
          <w:rFonts w:hint="default" w:ascii="Cambria" w:hAnsi="Cambria" w:cs="Cambria"/>
          <w:color w:val="auto"/>
          <w:szCs w:val="21"/>
        </w:rPr>
        <w:br w:type="textWrapping"/>
      </w:r>
      <w:r>
        <w:rPr>
          <w:rFonts w:hint="default" w:ascii="Cambria" w:hAnsi="Cambria" w:cs="Cambria"/>
          <w:color w:val="auto"/>
          <w:szCs w:val="21"/>
        </w:rPr>
        <w:t>December 22, 2025</w:t>
      </w:r>
    </w:p>
    <w:p w14:paraId="4A1B205B">
      <w:pPr>
        <w:widowControl/>
        <w:spacing w:line="276" w:lineRule="auto"/>
        <w:ind w:firstLine="420" w:firstLineChars="200"/>
        <w:rPr>
          <w:rFonts w:hint="default" w:ascii="Cambria" w:hAnsi="Cambria" w:cs="Cambria"/>
          <w:color w:val="auto"/>
          <w:szCs w:val="21"/>
        </w:rPr>
      </w:pPr>
    </w:p>
    <w:p w14:paraId="1B79A987">
      <w:pPr>
        <w:spacing w:line="276" w:lineRule="auto"/>
        <w:ind w:firstLine="480" w:firstLineChars="200"/>
        <w:rPr>
          <w:rFonts w:hint="default" w:ascii="Cambria" w:hAnsi="Cambria" w:eastAsia="仿宋" w:cs="Cambria"/>
          <w:color w:val="auto"/>
          <w:sz w:val="24"/>
          <w:szCs w:val="24"/>
        </w:rPr>
      </w:pPr>
    </w:p>
    <w:p w14:paraId="4EECA456">
      <w:pPr>
        <w:spacing w:line="400" w:lineRule="exact"/>
        <w:ind w:right="-58"/>
        <w:jc w:val="right"/>
        <w:rPr>
          <w:rFonts w:hint="eastAsia" w:ascii="仿宋" w:hAnsi="仿宋" w:eastAsia="仿宋"/>
          <w:sz w:val="24"/>
          <w:szCs w:val="24"/>
        </w:rPr>
      </w:pPr>
    </w:p>
    <w:p w14:paraId="5978BDBC">
      <w:pPr>
        <w:spacing w:line="400" w:lineRule="exact"/>
        <w:ind w:right="-58"/>
        <w:jc w:val="right"/>
        <w:rPr>
          <w:rFonts w:hint="eastAsia" w:ascii="仿宋" w:hAnsi="仿宋" w:eastAsia="仿宋"/>
          <w:sz w:val="24"/>
          <w:szCs w:val="24"/>
        </w:rPr>
      </w:pPr>
    </w:p>
    <w:p w14:paraId="7E114344">
      <w:pPr>
        <w:widowControl/>
        <w:spacing w:line="400" w:lineRule="exact"/>
        <w:ind w:firstLine="420" w:firstLineChars="200"/>
        <w:rPr>
          <w:rFonts w:ascii="宋体" w:hAnsi="宋体"/>
          <w:color w:val="0000FF"/>
          <w:szCs w:val="21"/>
        </w:rPr>
      </w:pPr>
    </w:p>
    <w:p w14:paraId="1974A27E">
      <w:pPr>
        <w:ind w:firstLine="480" w:firstLineChars="200"/>
        <w:rPr>
          <w:rFonts w:ascii="仿宋" w:hAnsi="仿宋" w:eastAsia="仿宋"/>
          <w:sz w:val="24"/>
          <w:szCs w:val="24"/>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23EF6D1-D494-4D47-B90C-08F24CE9878C}"/>
  </w:font>
  <w:font w:name="黑体">
    <w:panose1 w:val="02010609060101010101"/>
    <w:charset w:val="86"/>
    <w:family w:val="auto"/>
    <w:pitch w:val="default"/>
    <w:sig w:usb0="800002BF" w:usb1="38CF7CFA" w:usb2="00000016" w:usb3="00000000" w:csb0="00040001" w:csb1="00000000"/>
    <w:embedRegular r:id="rId2" w:fontKey="{E311DD05-7BE2-463B-A79D-872F37C8EF2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895BECBE-5184-423D-ACAD-820230A1C1F7}"/>
  </w:font>
  <w:font w:name="Cambria">
    <w:panose1 w:val="02040503050406030204"/>
    <w:charset w:val="00"/>
    <w:family w:val="roman"/>
    <w:pitch w:val="default"/>
    <w:sig w:usb0="E00006FF" w:usb1="420024FF" w:usb2="02000000" w:usb3="00000000" w:csb0="2000019F" w:csb1="00000000"/>
    <w:embedRegular r:id="rId4" w:fontKey="{977C03FE-E44E-4CD4-831D-EF1A2BDFBD57}"/>
  </w:font>
  <w:font w:name="汉仪中黑简">
    <w:panose1 w:val="02010600000101010101"/>
    <w:charset w:val="86"/>
    <w:family w:val="swiss"/>
    <w:pitch w:val="default"/>
    <w:sig w:usb0="00000001" w:usb1="080E0800" w:usb2="00000002" w:usb3="00000000" w:csb0="00040000" w:csb1="00000000"/>
    <w:embedRegular r:id="rId5" w:fontKey="{7185CD09-DD63-4871-8446-7B2A96CCFE69}"/>
  </w:font>
  <w:font w:name="仿宋">
    <w:panose1 w:val="02010609060101010101"/>
    <w:charset w:val="86"/>
    <w:family w:val="modern"/>
    <w:pitch w:val="default"/>
    <w:sig w:usb0="800002BF" w:usb1="38CF7CFA" w:usb2="00000016" w:usb3="00000000" w:csb0="00040001" w:csb1="00000000"/>
    <w:embedRegular r:id="rId6" w:fontKey="{8294339A-D6DC-4A78-8E0E-C5DC8E74179F}"/>
  </w:font>
  <w:font w:name="仿宋_GB2312">
    <w:altName w:val="仿宋"/>
    <w:panose1 w:val="02010609030101010101"/>
    <w:charset w:val="86"/>
    <w:family w:val="modern"/>
    <w:pitch w:val="default"/>
    <w:sig w:usb0="00000000" w:usb1="00000000" w:usb2="00000010" w:usb3="00000000" w:csb0="00040000" w:csb1="00000000"/>
    <w:embedRegular r:id="rId7" w:fontKey="{AC1E2999-8D97-41F3-8A5B-B13E0E536459}"/>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auto"/>
    <w:pitch w:val="default"/>
    <w:sig w:usb0="E00006FF" w:usb1="420024FF" w:usb2="02000000" w:usb3="00000000" w:csb0="2000019F" w:csb1="00000000"/>
    <w:embedRegular r:id="rId8" w:fontKey="{C4F2E852-42B6-4D79-ADA6-C0F52AB8F76A}"/>
  </w:font>
  <w:font w:name="Consolas">
    <w:panose1 w:val="020B0609020204030204"/>
    <w:charset w:val="00"/>
    <w:family w:val="auto"/>
    <w:pitch w:val="default"/>
    <w:sig w:usb0="E00006FF" w:usb1="0000FCFF" w:usb2="00000001" w:usb3="00000000" w:csb0="6000019F" w:csb1="DFD70000"/>
    <w:embedRegular r:id="rId9" w:fontKey="{D3120638-6469-48CC-85C3-6A78DCBE1D7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03056">
    <w:pPr>
      <w:snapToGrid w:val="0"/>
      <w:jc w:val="center"/>
      <w:rPr>
        <w:kern w:val="0"/>
        <w:sz w:val="18"/>
        <w:szCs w:val="18"/>
      </w:rPr>
    </w:pPr>
  </w:p>
  <w:p w14:paraId="401B011C">
    <w:pPr>
      <w:snapToGrid w:val="0"/>
      <w:jc w:val="left"/>
      <w:rPr>
        <w:kern w:val="0"/>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C643E">
    <w:pPr>
      <w:pStyle w:val="7"/>
      <w:jc w:val="center"/>
    </w:pPr>
  </w:p>
  <w:p w14:paraId="375F33EE">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58714">
    <w:pPr>
      <w:snapToGrid w:val="0"/>
      <w:jc w:val="center"/>
      <w:rPr>
        <w:kern w:val="0"/>
        <w:sz w:val="18"/>
        <w:szCs w:val="18"/>
      </w:rPr>
    </w:pPr>
  </w:p>
  <w:p w14:paraId="1CB770A5">
    <w:pPr>
      <w:snapToGrid w:val="0"/>
      <w:jc w:val="left"/>
      <w:rPr>
        <w:kern w:val="0"/>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55983">
    <w:pPr>
      <w:pStyle w:val="7"/>
      <w:jc w:val="center"/>
    </w:pPr>
  </w:p>
  <w:p w14:paraId="11B89901">
    <w:pPr>
      <w:pStyle w:val="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EE033">
    <w:pPr>
      <w:pStyle w:val="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CB8EAF">
                          <w:pPr>
                            <w:pStyle w:val="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3CB8EAF">
                    <w:pPr>
                      <w:pStyle w:val="7"/>
                    </w:pPr>
                    <w:r>
                      <w:fldChar w:fldCharType="begin"/>
                    </w:r>
                    <w:r>
                      <w:instrText xml:space="preserve"> PAGE  \* MERGEFORMAT </w:instrText>
                    </w:r>
                    <w:r>
                      <w:fldChar w:fldCharType="separate"/>
                    </w:r>
                    <w:r>
                      <w:t>3</w:t>
                    </w:r>
                    <w:r>
                      <w:fldChar w:fldCharType="end"/>
                    </w:r>
                  </w:p>
                </w:txbxContent>
              </v:textbox>
            </v:shape>
          </w:pict>
        </mc:Fallback>
      </mc:AlternateContent>
    </w:r>
  </w:p>
  <w:p w14:paraId="6B0C085E">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A32069"/>
    <w:multiLevelType w:val="multilevel"/>
    <w:tmpl w:val="3BA32069"/>
    <w:lvl w:ilvl="0" w:tentative="0">
      <w:start w:val="1"/>
      <w:numFmt w:val="japaneseCounting"/>
      <w:lvlText w:val="（%1）"/>
      <w:lvlJc w:val="left"/>
      <w:pPr>
        <w:ind w:left="756" w:hanging="756"/>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C16E2E"/>
    <w:rsid w:val="001F2921"/>
    <w:rsid w:val="002C2BF7"/>
    <w:rsid w:val="002D7BFC"/>
    <w:rsid w:val="006F22ED"/>
    <w:rsid w:val="00AB2DD2"/>
    <w:rsid w:val="00B8392A"/>
    <w:rsid w:val="00BE578A"/>
    <w:rsid w:val="00D15EE3"/>
    <w:rsid w:val="02BC7D06"/>
    <w:rsid w:val="02D54924"/>
    <w:rsid w:val="036A345C"/>
    <w:rsid w:val="040B458F"/>
    <w:rsid w:val="052E44FE"/>
    <w:rsid w:val="05387BD8"/>
    <w:rsid w:val="07914956"/>
    <w:rsid w:val="07E5385B"/>
    <w:rsid w:val="08E9380A"/>
    <w:rsid w:val="095D4C9B"/>
    <w:rsid w:val="0A717628"/>
    <w:rsid w:val="0B8D0A07"/>
    <w:rsid w:val="0CCB23AD"/>
    <w:rsid w:val="114C66F9"/>
    <w:rsid w:val="164718F1"/>
    <w:rsid w:val="17CC7A8D"/>
    <w:rsid w:val="1BDD4B1E"/>
    <w:rsid w:val="1E432C32"/>
    <w:rsid w:val="1F457A27"/>
    <w:rsid w:val="1F5B0159"/>
    <w:rsid w:val="1FDC333E"/>
    <w:rsid w:val="204A64FA"/>
    <w:rsid w:val="216A4942"/>
    <w:rsid w:val="228D26CE"/>
    <w:rsid w:val="232C0139"/>
    <w:rsid w:val="23CF0F86"/>
    <w:rsid w:val="245C2C9F"/>
    <w:rsid w:val="269838D3"/>
    <w:rsid w:val="26CD1C32"/>
    <w:rsid w:val="26EE0582"/>
    <w:rsid w:val="26F71427"/>
    <w:rsid w:val="274C7976"/>
    <w:rsid w:val="28E976B6"/>
    <w:rsid w:val="2E1F412E"/>
    <w:rsid w:val="2FAF6379"/>
    <w:rsid w:val="36852CE8"/>
    <w:rsid w:val="37DC1CD5"/>
    <w:rsid w:val="384D517B"/>
    <w:rsid w:val="39F23A32"/>
    <w:rsid w:val="3A230DBA"/>
    <w:rsid w:val="3A86417A"/>
    <w:rsid w:val="3E0E26BA"/>
    <w:rsid w:val="3FD37E62"/>
    <w:rsid w:val="40271F5C"/>
    <w:rsid w:val="40827192"/>
    <w:rsid w:val="41DB1250"/>
    <w:rsid w:val="42100EF9"/>
    <w:rsid w:val="42BF647C"/>
    <w:rsid w:val="437B05F4"/>
    <w:rsid w:val="44CE606F"/>
    <w:rsid w:val="45442C68"/>
    <w:rsid w:val="48C9234E"/>
    <w:rsid w:val="4AD056CA"/>
    <w:rsid w:val="4AF423C6"/>
    <w:rsid w:val="4B950DE0"/>
    <w:rsid w:val="4BC80BED"/>
    <w:rsid w:val="509937A3"/>
    <w:rsid w:val="53656BCB"/>
    <w:rsid w:val="53C15826"/>
    <w:rsid w:val="57087F99"/>
    <w:rsid w:val="57B1418D"/>
    <w:rsid w:val="57E427B4"/>
    <w:rsid w:val="5812294D"/>
    <w:rsid w:val="59B2243E"/>
    <w:rsid w:val="59C16E2E"/>
    <w:rsid w:val="5D101956"/>
    <w:rsid w:val="5EA031AD"/>
    <w:rsid w:val="5ED86624"/>
    <w:rsid w:val="5F103E8F"/>
    <w:rsid w:val="5F4B03E2"/>
    <w:rsid w:val="6028345A"/>
    <w:rsid w:val="61161505"/>
    <w:rsid w:val="62243F99"/>
    <w:rsid w:val="63353C0D"/>
    <w:rsid w:val="63A66B70"/>
    <w:rsid w:val="64B82FFF"/>
    <w:rsid w:val="68E31062"/>
    <w:rsid w:val="68EB3277"/>
    <w:rsid w:val="6A514364"/>
    <w:rsid w:val="6A8D2838"/>
    <w:rsid w:val="6B2A606B"/>
    <w:rsid w:val="6C150D37"/>
    <w:rsid w:val="6D702A25"/>
    <w:rsid w:val="6E7C32EF"/>
    <w:rsid w:val="6F5074C1"/>
    <w:rsid w:val="73041B05"/>
    <w:rsid w:val="75AA24FD"/>
    <w:rsid w:val="774F434C"/>
    <w:rsid w:val="775070C7"/>
    <w:rsid w:val="77D45F4A"/>
    <w:rsid w:val="79590554"/>
    <w:rsid w:val="7ED00AED"/>
    <w:rsid w:val="7F165ED1"/>
    <w:rsid w:val="7F531E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rFonts w:ascii="等线 Light" w:hAnsi="等线 Light" w:eastAsia="等线 Light"/>
      <w:color w:val="2F5496"/>
      <w:sz w:val="48"/>
      <w:szCs w:val="48"/>
    </w:rPr>
  </w:style>
  <w:style w:type="paragraph" w:styleId="3">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4">
    <w:name w:val="heading 4"/>
    <w:basedOn w:val="1"/>
    <w:next w:val="1"/>
    <w:semiHidden/>
    <w:unhideWhenUsed/>
    <w:qFormat/>
    <w:uiPriority w:val="0"/>
    <w:pPr>
      <w:spacing w:beforeAutospacing="1" w:afterAutospacing="1"/>
      <w:jc w:val="left"/>
      <w:outlineLvl w:val="3"/>
    </w:pPr>
    <w:rPr>
      <w:rFonts w:hint="eastAsia" w:ascii="宋体" w:hAnsi="宋体"/>
      <w:b/>
      <w:bCs/>
      <w:kern w:val="0"/>
      <w:sz w:val="24"/>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alloon Text"/>
    <w:basedOn w:val="1"/>
    <w:link w:val="20"/>
    <w:qFormat/>
    <w:uiPriority w:val="0"/>
    <w:rPr>
      <w:sz w:val="18"/>
      <w:szCs w:val="18"/>
    </w:rPr>
  </w:style>
  <w:style w:type="paragraph" w:styleId="7">
    <w:name w:val="footer"/>
    <w:basedOn w:val="1"/>
    <w:qFormat/>
    <w:uiPriority w:val="99"/>
    <w:pPr>
      <w:tabs>
        <w:tab w:val="center" w:pos="4153"/>
        <w:tab w:val="right" w:pos="8306"/>
      </w:tabs>
      <w:snapToGrid w:val="0"/>
      <w:jc w:val="left"/>
    </w:pPr>
    <w:rPr>
      <w:kern w:val="0"/>
      <w:sz w:val="18"/>
      <w:szCs w:val="18"/>
    </w:rPr>
  </w:style>
  <w:style w:type="paragraph" w:styleId="8">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qFormat/>
    <w:uiPriority w:val="39"/>
  </w:style>
  <w:style w:type="paragraph" w:styleId="10">
    <w:name w:val="toc 2"/>
    <w:basedOn w:val="1"/>
    <w:next w:val="1"/>
    <w:qFormat/>
    <w:uiPriority w:val="39"/>
    <w:pPr>
      <w:ind w:left="420" w:leftChars="200"/>
    </w:pPr>
  </w:style>
  <w:style w:type="paragraph" w:styleId="11">
    <w:name w:val="Normal (Web)"/>
    <w:basedOn w:val="1"/>
    <w:qFormat/>
    <w:uiPriority w:val="0"/>
    <w:pPr>
      <w:spacing w:beforeAutospacing="1" w:afterAutospacing="1"/>
      <w:jc w:val="left"/>
    </w:pPr>
    <w:rPr>
      <w:kern w:val="0"/>
      <w:sz w:val="24"/>
    </w:rPr>
  </w:style>
  <w:style w:type="character" w:styleId="14">
    <w:name w:val="Strong"/>
    <w:basedOn w:val="13"/>
    <w:qFormat/>
    <w:uiPriority w:val="0"/>
    <w:rPr>
      <w:b/>
    </w:rPr>
  </w:style>
  <w:style w:type="character" w:styleId="15">
    <w:name w:val="Hyperlink"/>
    <w:basedOn w:val="13"/>
    <w:qFormat/>
    <w:uiPriority w:val="99"/>
    <w:rPr>
      <w:color w:val="0000FF"/>
      <w:u w:val="single"/>
    </w:rPr>
  </w:style>
  <w:style w:type="character" w:styleId="16">
    <w:name w:val="annotation reference"/>
    <w:basedOn w:val="13"/>
    <w:qFormat/>
    <w:uiPriority w:val="0"/>
    <w:rPr>
      <w:sz w:val="21"/>
      <w:szCs w:val="21"/>
    </w:rPr>
  </w:style>
  <w:style w:type="table" w:customStyle="1" w:styleId="17">
    <w:name w:val="三线表"/>
    <w:basedOn w:val="12"/>
    <w:qFormat/>
    <w:uiPriority w:val="99"/>
    <w:tblPr>
      <w:tblBorders>
        <w:top w:val="single" w:color="auto" w:sz="12" w:space="0"/>
        <w:bottom w:val="single" w:color="auto" w:sz="12" w:space="0"/>
      </w:tblBorders>
    </w:tblPr>
    <w:tblStylePr w:type="firstRow">
      <w:tcPr>
        <w:tcBorders>
          <w:bottom w:val="single" w:color="auto" w:sz="4" w:space="0"/>
        </w:tcBorders>
      </w:tcPr>
    </w:tblStylePr>
  </w:style>
  <w:style w:type="character" w:customStyle="1" w:styleId="18">
    <w:name w:val="font21"/>
    <w:basedOn w:val="13"/>
    <w:qFormat/>
    <w:uiPriority w:val="0"/>
    <w:rPr>
      <w:rFonts w:hint="eastAsia" w:ascii="宋体" w:hAnsi="宋体" w:eastAsia="宋体" w:cs="宋体"/>
      <w:color w:val="000000"/>
      <w:sz w:val="22"/>
      <w:szCs w:val="22"/>
      <w:u w:val="none"/>
    </w:rPr>
  </w:style>
  <w:style w:type="character" w:customStyle="1" w:styleId="19">
    <w:name w:val="页眉 字符"/>
    <w:basedOn w:val="13"/>
    <w:link w:val="8"/>
    <w:qFormat/>
    <w:uiPriority w:val="0"/>
    <w:rPr>
      <w:rFonts w:ascii="Calibri" w:hAnsi="Calibri"/>
      <w:kern w:val="2"/>
      <w:sz w:val="18"/>
      <w:szCs w:val="18"/>
    </w:rPr>
  </w:style>
  <w:style w:type="character" w:customStyle="1" w:styleId="20">
    <w:name w:val="批注框文本 字符"/>
    <w:basedOn w:val="13"/>
    <w:link w:val="6"/>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84.bin"/><Relationship Id="rId98" Type="http://schemas.openxmlformats.org/officeDocument/2006/relationships/oleObject" Target="embeddings/oleObject83.bin"/><Relationship Id="rId97" Type="http://schemas.openxmlformats.org/officeDocument/2006/relationships/oleObject" Target="embeddings/oleObject82.bin"/><Relationship Id="rId96" Type="http://schemas.openxmlformats.org/officeDocument/2006/relationships/oleObject" Target="embeddings/oleObject81.bin"/><Relationship Id="rId95" Type="http://schemas.openxmlformats.org/officeDocument/2006/relationships/oleObject" Target="embeddings/oleObject80.bin"/><Relationship Id="rId94" Type="http://schemas.openxmlformats.org/officeDocument/2006/relationships/oleObject" Target="embeddings/oleObject79.bin"/><Relationship Id="rId93" Type="http://schemas.openxmlformats.org/officeDocument/2006/relationships/oleObject" Target="embeddings/oleObject78.bin"/><Relationship Id="rId92" Type="http://schemas.openxmlformats.org/officeDocument/2006/relationships/oleObject" Target="embeddings/oleObject77.bin"/><Relationship Id="rId91" Type="http://schemas.openxmlformats.org/officeDocument/2006/relationships/oleObject" Target="embeddings/oleObject76.bin"/><Relationship Id="rId90" Type="http://schemas.openxmlformats.org/officeDocument/2006/relationships/oleObject" Target="embeddings/oleObject75.bin"/><Relationship Id="rId9" Type="http://schemas.openxmlformats.org/officeDocument/2006/relationships/oleObject" Target="embeddings/oleObject1.bin"/><Relationship Id="rId89" Type="http://schemas.openxmlformats.org/officeDocument/2006/relationships/oleObject" Target="embeddings/oleObject74.bin"/><Relationship Id="rId88" Type="http://schemas.openxmlformats.org/officeDocument/2006/relationships/oleObject" Target="embeddings/oleObject73.bin"/><Relationship Id="rId87" Type="http://schemas.openxmlformats.org/officeDocument/2006/relationships/oleObject" Target="embeddings/oleObject72.bin"/><Relationship Id="rId86" Type="http://schemas.openxmlformats.org/officeDocument/2006/relationships/oleObject" Target="embeddings/oleObject71.bin"/><Relationship Id="rId85" Type="http://schemas.openxmlformats.org/officeDocument/2006/relationships/oleObject" Target="embeddings/oleObject70.bin"/><Relationship Id="rId84" Type="http://schemas.openxmlformats.org/officeDocument/2006/relationships/oleObject" Target="embeddings/oleObject69.bin"/><Relationship Id="rId83" Type="http://schemas.openxmlformats.org/officeDocument/2006/relationships/oleObject" Target="embeddings/oleObject68.bin"/><Relationship Id="rId82" Type="http://schemas.openxmlformats.org/officeDocument/2006/relationships/oleObject" Target="embeddings/oleObject67.bin"/><Relationship Id="rId81" Type="http://schemas.openxmlformats.org/officeDocument/2006/relationships/oleObject" Target="embeddings/oleObject66.bin"/><Relationship Id="rId80" Type="http://schemas.openxmlformats.org/officeDocument/2006/relationships/oleObject" Target="embeddings/oleObject65.bin"/><Relationship Id="rId8" Type="http://schemas.openxmlformats.org/officeDocument/2006/relationships/theme" Target="theme/theme1.xml"/><Relationship Id="rId79" Type="http://schemas.openxmlformats.org/officeDocument/2006/relationships/oleObject" Target="embeddings/oleObject64.bin"/><Relationship Id="rId78" Type="http://schemas.openxmlformats.org/officeDocument/2006/relationships/oleObject" Target="embeddings/oleObject63.bin"/><Relationship Id="rId77" Type="http://schemas.openxmlformats.org/officeDocument/2006/relationships/oleObject" Target="embeddings/oleObject62.bin"/><Relationship Id="rId76" Type="http://schemas.openxmlformats.org/officeDocument/2006/relationships/oleObject" Target="embeddings/oleObject61.bin"/><Relationship Id="rId75" Type="http://schemas.openxmlformats.org/officeDocument/2006/relationships/oleObject" Target="embeddings/oleObject60.bin"/><Relationship Id="rId74" Type="http://schemas.openxmlformats.org/officeDocument/2006/relationships/oleObject" Target="embeddings/oleObject59.bin"/><Relationship Id="rId73" Type="http://schemas.openxmlformats.org/officeDocument/2006/relationships/image" Target="media/image7.wmf"/><Relationship Id="rId72" Type="http://schemas.openxmlformats.org/officeDocument/2006/relationships/image" Target="media/image6.png"/><Relationship Id="rId71" Type="http://schemas.openxmlformats.org/officeDocument/2006/relationships/oleObject" Target="embeddings/oleObject58.bin"/><Relationship Id="rId70" Type="http://schemas.openxmlformats.org/officeDocument/2006/relationships/oleObject" Target="embeddings/oleObject57.bin"/><Relationship Id="rId7" Type="http://schemas.openxmlformats.org/officeDocument/2006/relationships/footer" Target="footer5.xml"/><Relationship Id="rId69" Type="http://schemas.openxmlformats.org/officeDocument/2006/relationships/oleObject" Target="embeddings/oleObject56.bin"/><Relationship Id="rId68" Type="http://schemas.openxmlformats.org/officeDocument/2006/relationships/oleObject" Target="embeddings/oleObject55.bin"/><Relationship Id="rId67" Type="http://schemas.openxmlformats.org/officeDocument/2006/relationships/oleObject" Target="embeddings/oleObject54.bin"/><Relationship Id="rId66" Type="http://schemas.openxmlformats.org/officeDocument/2006/relationships/oleObject" Target="embeddings/oleObject53.bin"/><Relationship Id="rId65" Type="http://schemas.openxmlformats.org/officeDocument/2006/relationships/oleObject" Target="embeddings/oleObject52.bin"/><Relationship Id="rId64" Type="http://schemas.openxmlformats.org/officeDocument/2006/relationships/oleObject" Target="embeddings/oleObject51.bin"/><Relationship Id="rId63" Type="http://schemas.openxmlformats.org/officeDocument/2006/relationships/oleObject" Target="embeddings/oleObject50.bin"/><Relationship Id="rId62" Type="http://schemas.openxmlformats.org/officeDocument/2006/relationships/oleObject" Target="embeddings/oleObject49.bin"/><Relationship Id="rId61" Type="http://schemas.openxmlformats.org/officeDocument/2006/relationships/oleObject" Target="embeddings/oleObject48.bin"/><Relationship Id="rId60" Type="http://schemas.openxmlformats.org/officeDocument/2006/relationships/oleObject" Target="embeddings/oleObject47.bin"/><Relationship Id="rId6" Type="http://schemas.openxmlformats.org/officeDocument/2006/relationships/footer" Target="footer4.xml"/><Relationship Id="rId59" Type="http://schemas.openxmlformats.org/officeDocument/2006/relationships/oleObject" Target="embeddings/oleObject46.bin"/><Relationship Id="rId58" Type="http://schemas.openxmlformats.org/officeDocument/2006/relationships/oleObject" Target="embeddings/oleObject45.bin"/><Relationship Id="rId57" Type="http://schemas.openxmlformats.org/officeDocument/2006/relationships/oleObject" Target="embeddings/oleObject44.bin"/><Relationship Id="rId56" Type="http://schemas.openxmlformats.org/officeDocument/2006/relationships/oleObject" Target="embeddings/oleObject43.bin"/><Relationship Id="rId55" Type="http://schemas.openxmlformats.org/officeDocument/2006/relationships/oleObject" Target="embeddings/oleObject42.bin"/><Relationship Id="rId54" Type="http://schemas.openxmlformats.org/officeDocument/2006/relationships/oleObject" Target="embeddings/oleObject41.bin"/><Relationship Id="rId53" Type="http://schemas.openxmlformats.org/officeDocument/2006/relationships/oleObject" Target="embeddings/oleObject40.bin"/><Relationship Id="rId52" Type="http://schemas.openxmlformats.org/officeDocument/2006/relationships/oleObject" Target="embeddings/oleObject39.bin"/><Relationship Id="rId51" Type="http://schemas.openxmlformats.org/officeDocument/2006/relationships/oleObject" Target="embeddings/oleObject38.bin"/><Relationship Id="rId50" Type="http://schemas.openxmlformats.org/officeDocument/2006/relationships/oleObject" Target="embeddings/oleObject37.bin"/><Relationship Id="rId5" Type="http://schemas.openxmlformats.org/officeDocument/2006/relationships/footer" Target="footer3.xml"/><Relationship Id="rId49" Type="http://schemas.openxmlformats.org/officeDocument/2006/relationships/oleObject" Target="embeddings/oleObject36.bin"/><Relationship Id="rId48" Type="http://schemas.openxmlformats.org/officeDocument/2006/relationships/oleObject" Target="embeddings/oleObject35.bin"/><Relationship Id="rId47" Type="http://schemas.openxmlformats.org/officeDocument/2006/relationships/oleObject" Target="embeddings/oleObject34.bin"/><Relationship Id="rId46" Type="http://schemas.openxmlformats.org/officeDocument/2006/relationships/oleObject" Target="embeddings/oleObject33.bin"/><Relationship Id="rId45" Type="http://schemas.openxmlformats.org/officeDocument/2006/relationships/oleObject" Target="embeddings/oleObject32.bin"/><Relationship Id="rId44" Type="http://schemas.openxmlformats.org/officeDocument/2006/relationships/oleObject" Target="embeddings/oleObject31.bin"/><Relationship Id="rId43" Type="http://schemas.openxmlformats.org/officeDocument/2006/relationships/oleObject" Target="embeddings/oleObject30.bin"/><Relationship Id="rId42" Type="http://schemas.openxmlformats.org/officeDocument/2006/relationships/oleObject" Target="embeddings/oleObject29.bin"/><Relationship Id="rId41" Type="http://schemas.openxmlformats.org/officeDocument/2006/relationships/oleObject" Target="embeddings/oleObject28.bin"/><Relationship Id="rId40" Type="http://schemas.openxmlformats.org/officeDocument/2006/relationships/oleObject" Target="embeddings/oleObject27.bin"/><Relationship Id="rId4" Type="http://schemas.openxmlformats.org/officeDocument/2006/relationships/footer" Target="footer2.xml"/><Relationship Id="rId39" Type="http://schemas.openxmlformats.org/officeDocument/2006/relationships/oleObject" Target="embeddings/oleObject26.bin"/><Relationship Id="rId38" Type="http://schemas.openxmlformats.org/officeDocument/2006/relationships/oleObject" Target="embeddings/oleObject25.bin"/><Relationship Id="rId37" Type="http://schemas.openxmlformats.org/officeDocument/2006/relationships/oleObject" Target="embeddings/oleObject24.bin"/><Relationship Id="rId36" Type="http://schemas.openxmlformats.org/officeDocument/2006/relationships/oleObject" Target="embeddings/oleObject23.bin"/><Relationship Id="rId35" Type="http://schemas.openxmlformats.org/officeDocument/2006/relationships/oleObject" Target="embeddings/oleObject22.bin"/><Relationship Id="rId34" Type="http://schemas.openxmlformats.org/officeDocument/2006/relationships/oleObject" Target="embeddings/oleObject21.bin"/><Relationship Id="rId33" Type="http://schemas.openxmlformats.org/officeDocument/2006/relationships/oleObject" Target="embeddings/oleObject20.bin"/><Relationship Id="rId32" Type="http://schemas.openxmlformats.org/officeDocument/2006/relationships/oleObject" Target="embeddings/oleObject19.bin"/><Relationship Id="rId31" Type="http://schemas.openxmlformats.org/officeDocument/2006/relationships/oleObject" Target="embeddings/oleObject18.bin"/><Relationship Id="rId30" Type="http://schemas.openxmlformats.org/officeDocument/2006/relationships/oleObject" Target="embeddings/oleObject17.bin"/><Relationship Id="rId3" Type="http://schemas.openxmlformats.org/officeDocument/2006/relationships/footer" Target="footer1.xml"/><Relationship Id="rId29" Type="http://schemas.openxmlformats.org/officeDocument/2006/relationships/oleObject" Target="embeddings/oleObject16.bin"/><Relationship Id="rId28" Type="http://schemas.openxmlformats.org/officeDocument/2006/relationships/oleObject" Target="embeddings/oleObject15.bin"/><Relationship Id="rId27" Type="http://schemas.openxmlformats.org/officeDocument/2006/relationships/oleObject" Target="embeddings/oleObject14.bin"/><Relationship Id="rId26" Type="http://schemas.openxmlformats.org/officeDocument/2006/relationships/oleObject" Target="embeddings/oleObject13.bin"/><Relationship Id="rId25" Type="http://schemas.openxmlformats.org/officeDocument/2006/relationships/oleObject" Target="embeddings/oleObject12.bin"/><Relationship Id="rId24" Type="http://schemas.openxmlformats.org/officeDocument/2006/relationships/oleObject" Target="embeddings/oleObject11.bin"/><Relationship Id="rId23" Type="http://schemas.openxmlformats.org/officeDocument/2006/relationships/oleObject" Target="embeddings/oleObject10.bin"/><Relationship Id="rId22" Type="http://schemas.openxmlformats.org/officeDocument/2006/relationships/oleObject" Target="embeddings/oleObject9.bin"/><Relationship Id="rId21" Type="http://schemas.openxmlformats.org/officeDocument/2006/relationships/oleObject" Target="embeddings/oleObject8.bin"/><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oleObject" Target="embeddings/oleObject5.bin"/><Relationship Id="rId17" Type="http://schemas.openxmlformats.org/officeDocument/2006/relationships/image" Target="media/image5.jpeg"/><Relationship Id="rId16" Type="http://schemas.openxmlformats.org/officeDocument/2006/relationships/image" Target="media/image4.wmf"/><Relationship Id="rId15" Type="http://schemas.openxmlformats.org/officeDocument/2006/relationships/oleObject" Target="embeddings/oleObject4.bin"/><Relationship Id="rId14" Type="http://schemas.openxmlformats.org/officeDocument/2006/relationships/image" Target="media/image3.wmf"/><Relationship Id="rId131" Type="http://schemas.openxmlformats.org/officeDocument/2006/relationships/fontTable" Target="fontTable.xml"/><Relationship Id="rId130" Type="http://schemas.openxmlformats.org/officeDocument/2006/relationships/customXml" Target="../customXml/item2.xml"/><Relationship Id="rId13" Type="http://schemas.openxmlformats.org/officeDocument/2006/relationships/oleObject" Target="embeddings/oleObject3.bin"/><Relationship Id="rId129" Type="http://schemas.openxmlformats.org/officeDocument/2006/relationships/numbering" Target="numbering.xml"/><Relationship Id="rId128" Type="http://schemas.openxmlformats.org/officeDocument/2006/relationships/customXml" Target="../customXml/item1.xml"/><Relationship Id="rId127" Type="http://schemas.openxmlformats.org/officeDocument/2006/relationships/oleObject" Target="embeddings/oleObject112.bin"/><Relationship Id="rId126" Type="http://schemas.openxmlformats.org/officeDocument/2006/relationships/oleObject" Target="embeddings/oleObject111.bin"/><Relationship Id="rId125" Type="http://schemas.openxmlformats.org/officeDocument/2006/relationships/oleObject" Target="embeddings/oleObject110.bin"/><Relationship Id="rId124" Type="http://schemas.openxmlformats.org/officeDocument/2006/relationships/oleObject" Target="embeddings/oleObject109.bin"/><Relationship Id="rId123" Type="http://schemas.openxmlformats.org/officeDocument/2006/relationships/oleObject" Target="embeddings/oleObject108.bin"/><Relationship Id="rId122" Type="http://schemas.openxmlformats.org/officeDocument/2006/relationships/oleObject" Target="embeddings/oleObject107.bin"/><Relationship Id="rId121" Type="http://schemas.openxmlformats.org/officeDocument/2006/relationships/oleObject" Target="embeddings/oleObject106.bin"/><Relationship Id="rId120" Type="http://schemas.openxmlformats.org/officeDocument/2006/relationships/oleObject" Target="embeddings/oleObject105.bin"/><Relationship Id="rId12" Type="http://schemas.openxmlformats.org/officeDocument/2006/relationships/image" Target="media/image2.wmf"/><Relationship Id="rId119" Type="http://schemas.openxmlformats.org/officeDocument/2006/relationships/oleObject" Target="embeddings/oleObject104.bin"/><Relationship Id="rId118" Type="http://schemas.openxmlformats.org/officeDocument/2006/relationships/oleObject" Target="embeddings/oleObject103.bin"/><Relationship Id="rId117" Type="http://schemas.openxmlformats.org/officeDocument/2006/relationships/oleObject" Target="embeddings/oleObject102.bin"/><Relationship Id="rId116" Type="http://schemas.openxmlformats.org/officeDocument/2006/relationships/oleObject" Target="embeddings/oleObject101.bin"/><Relationship Id="rId115" Type="http://schemas.openxmlformats.org/officeDocument/2006/relationships/oleObject" Target="embeddings/oleObject100.bin"/><Relationship Id="rId114" Type="http://schemas.openxmlformats.org/officeDocument/2006/relationships/oleObject" Target="embeddings/oleObject99.bin"/><Relationship Id="rId113" Type="http://schemas.openxmlformats.org/officeDocument/2006/relationships/oleObject" Target="embeddings/oleObject98.bin"/><Relationship Id="rId112" Type="http://schemas.openxmlformats.org/officeDocument/2006/relationships/oleObject" Target="embeddings/oleObject97.bin"/><Relationship Id="rId111" Type="http://schemas.openxmlformats.org/officeDocument/2006/relationships/oleObject" Target="embeddings/oleObject96.bin"/><Relationship Id="rId110" Type="http://schemas.openxmlformats.org/officeDocument/2006/relationships/oleObject" Target="embeddings/oleObject95.bin"/><Relationship Id="rId11" Type="http://schemas.openxmlformats.org/officeDocument/2006/relationships/oleObject" Target="embeddings/oleObject2.bin"/><Relationship Id="rId109" Type="http://schemas.openxmlformats.org/officeDocument/2006/relationships/oleObject" Target="embeddings/oleObject94.bin"/><Relationship Id="rId108" Type="http://schemas.openxmlformats.org/officeDocument/2006/relationships/oleObject" Target="embeddings/oleObject93.bin"/><Relationship Id="rId107" Type="http://schemas.openxmlformats.org/officeDocument/2006/relationships/oleObject" Target="embeddings/oleObject92.bin"/><Relationship Id="rId106" Type="http://schemas.openxmlformats.org/officeDocument/2006/relationships/oleObject" Target="embeddings/oleObject91.bin"/><Relationship Id="rId105" Type="http://schemas.openxmlformats.org/officeDocument/2006/relationships/oleObject" Target="embeddings/oleObject90.bin"/><Relationship Id="rId104" Type="http://schemas.openxmlformats.org/officeDocument/2006/relationships/oleObject" Target="embeddings/oleObject89.bin"/><Relationship Id="rId103" Type="http://schemas.openxmlformats.org/officeDocument/2006/relationships/oleObject" Target="embeddings/oleObject88.bin"/><Relationship Id="rId102" Type="http://schemas.openxmlformats.org/officeDocument/2006/relationships/oleObject" Target="embeddings/oleObject87.bin"/><Relationship Id="rId101" Type="http://schemas.openxmlformats.org/officeDocument/2006/relationships/oleObject" Target="embeddings/oleObject86.bin"/><Relationship Id="rId100" Type="http://schemas.openxmlformats.org/officeDocument/2006/relationships/oleObject" Target="embeddings/oleObject85.bin"/><Relationship Id="rId10" Type="http://schemas.openxmlformats.org/officeDocument/2006/relationships/image" Target="media/image1.w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cb78d811-04a7-4be9-814d-e1e22bef6ed8</errorID>
      <errorWord>：</errorWord>
      <group>L1_Format</group>
      <groupName>格式问题</groupName>
      <ability>L2_HalfPunc</ability>
      <abilityName>全半角检查</abilityName>
      <candidateList>
        <item>: </item>
      </candidateList>
      <explain>文本全半角错误。</explain>
      <paraID>4E2C57F4</paraID>
      <start>6</start>
      <end>7</end>
      <status>unmodified</status>
      <modifiedWord/>
      <trackRevisions>false</trackRevisions>
    </reviewItem>
    <reviewItem>
      <errorID>8e273198-0dce-4f70-a1c8-c55166eeafa2</errorID>
      <errorWord>，</errorWord>
      <group>L1_Word</group>
      <groupName>字词问题</groupName>
      <ability>L2_Typo</ability>
      <abilityName>字词错误</abilityName>
      <candidateList>
        <item>，由</item>
      </candidateList>
      <explain/>
      <paraID>42ADAE85</paraID>
      <start>61</start>
      <end>62</end>
      <status>unmodified</status>
      <modifiedWord/>
      <trackRevisions>false</trackRevisions>
    </reviewItem>
    <reviewItem>
      <errorID>b34e084a-9822-4b8a-94b5-8e09c2003f7e</errorID>
      <errorWord>。</errorWord>
      <group>L1_Grammar</group>
      <groupName>语法问题</groupName>
      <ability>L2_Ambiguity</ability>
      <abilityName>语意不明</abilityName>
      <candidateList>
        <item>的中医学会。</item>
      </candidateList>
      <explain>句子中可能存在代词、数量短语指代不明、一词多义、缺乏交待、停顿不同等问题，易造成歧义。</explain>
      <paraID> 7F51AC3</paraID>
      <start>334</start>
      <end>335</end>
      <status>unmodified</status>
      <modifiedWord/>
      <trackRevisions>false</trackRevisions>
    </reviewItem>
    <reviewItem>
      <errorID>7fbe0062-d278-4b18-8bd2-e0267183f430</errorID>
      <errorWord>，</errorWord>
      <group>L1_Word</group>
      <groupName>字词问题</groupName>
      <ability>L2_Typo</ability>
      <abilityName>字词错误</abilityName>
      <candidateList>
        <item>，由</item>
      </candidateList>
      <explain/>
      <paraID>259E1265</paraID>
      <start>53</start>
      <end>54</end>
      <status>unmodified</status>
      <modifiedWord/>
      <trackRevisions>false</trackRevisions>
    </reviewItem>
    <reviewItem>
      <errorID>3f3eac34-9773-478a-b398-ccf8bbe5558c</errorID>
      <errorWord>(</errorWord>
      <group>L1_Format</group>
      <groupName>格式问题</groupName>
      <ability>L2_HalfPunc</ability>
      <abilityName>全半角检查</abilityName>
      <candidateList>
        <item>（</item>
      </candidateList>
      <explain>文本全半角错误。</explain>
      <paraID> C47B0B0</paraID>
      <start>14</start>
      <end>15</end>
      <status>unmodified</status>
      <modifiedWord/>
      <trackRevisions>false</trackRevisions>
    </reviewItem>
    <reviewItem>
      <errorID>35c3d76a-2630-4f5c-9ac8-d0237a791782</errorID>
      <errorWord>)</errorWord>
      <group>L1_Format</group>
      <groupName>格式问题</groupName>
      <ability>L2_HalfPunc</ability>
      <abilityName>全半角检查</abilityName>
      <candidateList>
        <item>）</item>
      </candidateList>
      <explain>文本全半角错误。</explain>
      <paraID> C47B0B0</paraID>
      <start>21</start>
      <end>22</end>
      <status>unmodified</status>
      <modifiedWord/>
      <trackRevisions>false</trackRevisions>
    </reviewItem>
    <reviewItem>
      <errorID>b530fda7-ce4b-422a-8bfd-8aa5458c6b8b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43C16B55</paraID>
      <start>12</start>
      <end>13</end>
      <status>unmodified</status>
      <modifiedWord/>
      <trackRevisions>false</trackRevisions>
    </reviewItem>
    <reviewItem>
      <errorID>a0ed9817-5dc5-4868-9c76-7fc4f5d3f5ab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566FB75B</paraID>
      <start>12</start>
      <end>13</end>
      <status>unmodified</status>
      <modifiedWord/>
      <trackRevisions>false</trackRevisions>
    </reviewItem>
    <reviewItem>
      <errorID>162949f4-c4c0-4f60-a7fb-6f498ac81123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18B87182</paraID>
      <start>15</start>
      <end>16</end>
      <status>unmodified</status>
      <modifiedWord/>
      <trackRevisions>false</trackRevisions>
    </reviewItem>
    <reviewItem>
      <errorID>e7464f03-c905-4564-afbe-bb95f877e1d7</errorID>
      <errorWord>禁忌症</errorWord>
      <group>L1_Knowledge</group>
      <groupName>知识性问题</groupName>
      <ability>L2_Term</ability>
      <abilityName>专业术语</abilityName>
      <candidateList>
        <item>禁忌证</item>
      </candidateList>
      <explain>医学名词[禁忌症]为不规范表述或旧称，其规范书面表述为[禁忌证]。</explain>
      <paraID>18B87182</paraID>
      <start>74</start>
      <end>77</end>
      <status>unmodified</status>
      <modifiedWord/>
      <trackRevisions>false</trackRevisions>
    </reviewItem>
    <reviewItem>
      <errorID>87d1f72f-33e4-431e-b257-c9e525f9507c</errorID>
      <errorWord>地方法规</errorWord>
      <group>L1_Political</group>
      <groupName>政治性问题</groupName>
      <ability>L2_Unpolitical</ability>
      <abilityName>政治敏感错误</abilityName>
      <candidateList>
        <item>地方性法规</item>
      </candidateList>
      <explain/>
      <paraID>18D02BE1</paraID>
      <start>171</start>
      <end>175</end>
      <status>unmodified</status>
      <modifiedWord/>
      <trackRevisions>false</trackRevisions>
    </reviewItem>
    <reviewItem>
      <errorID>fa1c0567-4c0c-442b-89e1-bafc609982da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7663C455</paraID>
      <start>19</start>
      <end>20</end>
      <status>unmodified</status>
      <modifiedWord/>
      <trackRevisions>false</trackRevisions>
    </reviewItem>
    <reviewItem>
      <errorID>ce5c8759-9dda-4c33-b03e-7dd52f34ebce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45CCC2F4</paraID>
      <start>21</start>
      <end>22</end>
      <status>unmodified</status>
      <modifiedWord/>
      <trackRevisions>false</trackRevisions>
    </reviewItem>
    <reviewItem>
      <errorID>54a9e86d-f4a9-45e2-9e74-7997bdce515d</errorID>
      <errorWord>禁忌症</errorWord>
      <group>L1_Knowledge</group>
      <groupName>知识性问题</groupName>
      <ability>L2_Term</ability>
      <abilityName>专业术语</abilityName>
      <candidateList>
        <item>禁忌证</item>
      </candidateList>
      <explain>医学名词[禁忌症]为不规范表述或旧称，其规范书面表述为[禁忌证]。</explain>
      <paraID>7A6BF275</paraID>
      <start>111</start>
      <end>114</end>
      <status>unmodified</status>
      <modifiedWord/>
      <trackRevisions>false</trackRevisions>
    </reviewItem>
    <reviewItem>
      <errorID>56dc07cd-ba04-48f6-a206-c9d2a32ad527</errorID>
      <errorWord>，</errorWord>
      <group>L1_Word</group>
      <groupName>字词问题</groupName>
      <ability>L2_Typo</ability>
      <abilityName>字词错误</abilityName>
      <candidateList>
        <item>，有</item>
      </candidateList>
      <explain/>
      <paraID>5572719E</paraID>
      <start>162</start>
      <end>163</end>
      <status>unmodified</status>
      <modifiedWord/>
      <trackRevisions>false</trackRevisions>
    </reviewItem>
    <reviewItem>
      <errorID>187afc97-6dd1-457f-82bd-206252b01b6f</errorID>
      <errorWord>Ａ</errorWord>
      <group>L1_Format</group>
      <groupName>格式问题</groupName>
      <ability>L2_HalfPunc</ability>
      <abilityName>全半角检查</abilityName>
      <candidateList>
        <item>A</item>
      </candidateList>
      <explain>文本全半角错误。</explain>
      <paraID> E613BB0</paraID>
      <start>293</start>
      <end>294</end>
      <status>unmodified</status>
      <modifiedWord/>
      <trackRevisions>false</trackRevisions>
    </reviewItem>
    <reviewItem>
      <errorID>402e3dae-c3db-491f-9429-a0b0cc18a7fd</errorID>
      <errorWord>Ｂ</errorWord>
      <group>L1_Format</group>
      <groupName>格式问题</groupName>
      <ability>L2_HalfPunc</ability>
      <abilityName>全半角检查</abilityName>
      <candidateList>
        <item>B</item>
      </candidateList>
      <explain>文本全半角错误。</explain>
      <paraID> E613BB0</paraID>
      <start>331</start>
      <end>332</end>
      <status>unmodified</status>
      <modifiedWord/>
      <trackRevisions>false</trackRevisions>
    </reviewItem>
    <reviewItem>
      <errorID>433624c8-74b1-4d97-91f6-574fbcd21f2b</errorID>
      <errorWord>Ｃ</errorWord>
      <group>L1_Format</group>
      <groupName>格式问题</groupName>
      <ability>L2_HalfPunc</ability>
      <abilityName>全半角检查</abilityName>
      <candidateList>
        <item>C</item>
      </candidateList>
      <explain>文本全半角错误。</explain>
      <paraID> E613BB0</paraID>
      <start>341</start>
      <end>342</end>
      <status>unmodified</status>
      <modifiedWord/>
      <trackRevisions>false</trackRevisions>
    </reviewItem>
    <reviewItem>
      <errorID>a89f9142-9c28-4d21-8cbd-68d2dd6e0a94</errorID>
      <errorWord>Ｄ</errorWord>
      <group>L1_Format</group>
      <groupName>格式问题</groupName>
      <ability>L2_HalfPunc</ability>
      <abilityName>全半角检查</abilityName>
      <candidateList>
        <item>D</item>
      </candidateList>
      <explain>文本全半角错误。</explain>
      <paraID> E613BB0</paraID>
      <start>351</start>
      <end>352</end>
      <status>unmodified</status>
      <modifiedWord/>
      <trackRevisions>false</trackRevisions>
    </reviewItem>
    <reviewItem>
      <errorID>777a1db4-01d4-41f6-b8f6-7d6c336172c7</errorID>
      <errorWord>Ｅ</errorWord>
      <group>L1_Format</group>
      <groupName>格式问题</groupName>
      <ability>L2_HalfPunc</ability>
      <abilityName>全半角检查</abilityName>
      <candidateList>
        <item>E</item>
      </candidateList>
      <explain>文本全半角错误。</explain>
      <paraID> E613BB0</paraID>
      <start>361</start>
      <end>362</end>
      <status>unmodified</status>
      <modifiedWord/>
      <trackRevisions>false</trackRevisions>
    </reviewItem>
    <reviewItem>
      <errorID>e239e6fd-7f0e-4ef7-916b-d538a5cbf2d0</errorID>
      <errorWord>Ｆ</errorWord>
      <group>L1_Format</group>
      <groupName>格式问题</groupName>
      <ability>L2_HalfPunc</ability>
      <abilityName>全半角检查</abilityName>
      <candidateList>
        <item>F</item>
      </candidateList>
      <explain>文本全半角错误。</explain>
      <paraID> E613BB0</paraID>
      <start>371</start>
      <end>372</end>
      <status>unmodified</status>
      <modifiedWord/>
      <trackRevisions>false</trackRevisions>
    </reviewItem>
    <reviewItem>
      <errorID>c36bd47f-2956-42e3-8a42-742024afacbc</errorID>
      <errorWord>Ｇ</errorWord>
      <group>L1_Format</group>
      <groupName>格式问题</groupName>
      <ability>L2_HalfPunc</ability>
      <abilityName>全半角检查</abilityName>
      <candidateList>
        <item>G</item>
      </candidateList>
      <explain>文本全半角错误。</explain>
      <paraID> E613BB0</paraID>
      <start>380</start>
      <end>381</end>
      <status>unmodified</status>
      <modifiedWord/>
      <trackRevisions>false</trackRevisions>
    </reviewItem>
    <reviewItem>
      <errorID>4313c815-bdd5-4e2b-9984-d2bf488c27b6</errorID>
      <errorWord>Ｈ</errorWord>
      <group>L1_Format</group>
      <groupName>格式问题</groupName>
      <ability>L2_HalfPunc</ability>
      <abilityName>全半角检查</abilityName>
      <candidateList>
        <item>H</item>
      </candidateList>
      <explain>文本全半角错误。</explain>
      <paraID> E613BB0</paraID>
      <start>404</start>
      <end>405</end>
      <status>unmodified</status>
      <modifiedWord/>
      <trackRevisions>false</trackRevisions>
    </reviewItem>
    <reviewItem>
      <errorID>f0a5ad5f-627c-435d-8819-c3e1d86ea0a9</errorID>
      <errorWord>Ｉ</errorWord>
      <group>L1_Format</group>
      <groupName>格式问题</groupName>
      <ability>L2_HalfPunc</ability>
      <abilityName>全半角检查</abilityName>
      <candidateList>
        <item>I</item>
      </candidateList>
      <explain>文本全半角错误。</explain>
      <paraID> E613BB0</paraID>
      <start>419</start>
      <end>420</end>
      <status>unmodified</status>
      <modifiedWord/>
      <trackRevisions>false</trackRevisions>
    </reviewItem>
    <reviewItem>
      <errorID>40b2f792-5b55-47ea-8b80-286963b11eeb</errorID>
      <errorWord>Ａ</errorWord>
      <group>L1_Format</group>
      <groupName>格式问题</groupName>
      <ability>L2_HalfPunc</ability>
      <abilityName>全半角检查</abilityName>
      <candidateList>
        <item>A</item>
      </candidateList>
      <explain>文本全半角错误。</explain>
      <paraID> 1539559</paraID>
      <start>5</start>
      <end>6</end>
      <status>unmodified</status>
      <modifiedWord/>
      <trackRevisions>false</trackRevisions>
    </reviewItem>
    <reviewItem>
      <errorID>731ba7f4-d0cb-4572-b3b0-54d521f03103</errorID>
      <errorWord>Ｂ</errorWord>
      <group>L1_Format</group>
      <groupName>格式问题</groupName>
      <ability>L2_HalfPunc</ability>
      <abilityName>全半角检查</abilityName>
      <candidateList>
        <item>B</item>
      </candidateList>
      <explain>文本全半角错误。</explain>
      <paraID>6A9D08E7</paraID>
      <start>6</start>
      <end>7</end>
      <status>unmodified</status>
      <modifiedWord/>
      <trackRevisions>false</trackRevisions>
    </reviewItem>
    <reviewItem>
      <errorID>b9217f47-9982-40c9-b1b5-6478ce727f5e</errorID>
      <errorWord>Ｃ</errorWord>
      <group>L1_Format</group>
      <groupName>格式问题</groupName>
      <ability>L2_HalfPunc</ability>
      <abilityName>全半角检查</abilityName>
      <candidateList>
        <item>C</item>
      </candidateList>
      <explain>文本全半角错误。</explain>
      <paraID> 974F70D</paraID>
      <start>6</start>
      <end>7</end>
      <status>unmodified</status>
      <modifiedWord/>
      <trackRevisions>false</trackRevisions>
    </reviewItem>
    <reviewItem>
      <errorID>07bae30c-db84-49cd-a96e-9d065159b050</errorID>
      <errorWord>Ｄ</errorWord>
      <group>L1_Format</group>
      <groupName>格式问题</groupName>
      <ability>L2_HalfPunc</ability>
      <abilityName>全半角检查</abilityName>
      <candidateList>
        <item>D</item>
      </candidateList>
      <explain>文本全半角错误。</explain>
      <paraID>36E48704</paraID>
      <start>6</start>
      <end>7</end>
      <status>unmodified</status>
      <modifiedWord/>
      <trackRevisions>false</trackRevisions>
    </reviewItem>
    <reviewItem>
      <errorID>4dc4a2ab-94bf-448a-8d14-5ffac900e71a</errorID>
      <errorWord>Ｅ</errorWord>
      <group>L1_Format</group>
      <groupName>格式问题</groupName>
      <ability>L2_HalfPunc</ability>
      <abilityName>全半角检查</abilityName>
      <candidateList>
        <item>E</item>
      </candidateList>
      <explain>文本全半角错误。</explain>
      <paraID>6BBF7F09</paraID>
      <start>6</start>
      <end>7</end>
      <status>unmodified</status>
      <modifiedWord/>
      <trackRevisions>false</trackRevisions>
    </reviewItem>
    <reviewItem>
      <errorID>a61f2407-b11d-4719-945b-277493834ba1</errorID>
      <errorWord>Ｆ</errorWord>
      <group>L1_Format</group>
      <groupName>格式问题</groupName>
      <ability>L2_HalfPunc</ability>
      <abilityName>全半角检查</abilityName>
      <candidateList>
        <item>F</item>
      </candidateList>
      <explain>文本全半角错误。</explain>
      <paraID>49833E45</paraID>
      <start>6</start>
      <end>7</end>
      <status>unmodified</status>
      <modifiedWord/>
      <trackRevisions>false</trackRevisions>
    </reviewItem>
    <reviewItem>
      <errorID>9428c1ea-6bd0-4a21-be46-6fa003ac91d0</errorID>
      <errorWord>Ｇ</errorWord>
      <group>L1_Format</group>
      <groupName>格式问题</groupName>
      <ability>L2_HalfPunc</ability>
      <abilityName>全半角检查</abilityName>
      <candidateList>
        <item>G</item>
      </candidateList>
      <explain>文本全半角错误。</explain>
      <paraID>6086505F</paraID>
      <start>6</start>
      <end>7</end>
      <status>unmodified</status>
      <modifiedWord/>
      <trackRevisions>false</trackRevisions>
    </reviewItem>
    <reviewItem>
      <errorID>a760dc39-e75f-43ab-81b8-735c1ebf2d0c</errorID>
      <errorWord>Ｈ</errorWord>
      <group>L1_Format</group>
      <groupName>格式问题</groupName>
      <ability>L2_HalfPunc</ability>
      <abilityName>全半角检查</abilityName>
      <candidateList>
        <item>H</item>
      </candidateList>
      <explain>文本全半角错误。</explain>
      <paraID>39D9B950</paraID>
      <start>6</start>
      <end>7</end>
      <status>unmodified</status>
      <modifiedWord/>
      <trackRevisions>false</trackRevisions>
    </reviewItem>
    <reviewItem>
      <errorID>22f298ae-aabd-48e8-b5cd-76f5e6e51335</errorID>
      <errorWord>Ｉ</errorWord>
      <group>L1_Format</group>
      <groupName>格式问题</groupName>
      <ability>L2_HalfPunc</ability>
      <abilityName>全半角检查</abilityName>
      <candidateList>
        <item>I</item>
      </candidateList>
      <explain>文本全半角错误。</explain>
      <paraID>5B690F52</paraID>
      <start>6</start>
      <end>7</end>
      <status>unmodified</status>
      <modifiedWord/>
      <trackRevisions>false</trackRevisions>
    </reviewItem>
    <reviewItem>
      <errorID>d4509fec-f651-421f-9f3d-f2cfab8ac7a1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58B5D8E0</paraID>
      <start>13</start>
      <end>14</end>
      <status>unmodified</status>
      <modifiedWord/>
      <trackRevisions>false</trackRevisions>
    </reviewItem>
    <reviewItem>
      <errorID>39c36201-d5c9-496a-b3c9-3c954fede67e</errorID>
      <errorWord>：</errorWord>
      <group>L1_Format</group>
      <groupName>格式问题</groupName>
      <ability>L2_HalfPunc</ability>
      <abilityName>全半角检查</abilityName>
      <candidateList>
        <item>:</item>
      </candidateList>
      <explain>文本全半角错误。</explain>
      <paraID>622D17FD</paraID>
      <start>132</start>
      <end>133</end>
      <status>unmodified</status>
      <modifiedWord/>
      <trackRevisions>false</trackRevisions>
    </reviewItem>
    <reviewItem>
      <errorID>1157a660-965b-42eb-ba35-23fa0f768f84</errorID>
      <errorWord>：</errorWord>
      <group>L1_Format</group>
      <groupName>格式问题</groupName>
      <ability>L2_HalfPunc</ability>
      <abilityName>全半角检查</abilityName>
      <candidateList>
        <item>:</item>
      </candidateList>
      <explain>文本全半角错误。</explain>
      <paraID>622D17FD</paraID>
      <start>272</start>
      <end>273</end>
      <status>unmodified</status>
      <modifiedWord/>
      <trackRevisions>false</trackRevisions>
    </reviewItem>
    <reviewItem>
      <errorID>8f9616e0-3ba5-4e36-8290-064f1cb84d75</errorID>
      <errorWord>法律、法规</errorWord>
      <group>L1_Word</group>
      <groupName>字词问题</groupName>
      <ability>L2_Typo</ability>
      <abilityName>字词错误</abilityName>
      <candidateList>
        <item>法律法规</item>
      </candidateList>
      <explain/>
      <paraID>292E900B</paraID>
      <start>5</start>
      <end>10</end>
      <status>unmodified</status>
      <modifiedWord/>
      <trackRevisions>false</trackRevisions>
    </reviewItem>
    <reviewItem>
      <errorID>30821a3a-c3b5-4078-b589-05a0aaeb3c78</errorID>
      <errorWord>法律、法规</errorWord>
      <group>L1_Word</group>
      <groupName>字词问题</groupName>
      <ability>L2_Typo</ability>
      <abilityName>字词错误</abilityName>
      <candidateList>
        <item>法律法规</item>
      </candidateList>
      <explain/>
      <paraID>5B358A45</paraID>
      <start>28</start>
      <end>33</end>
      <status>unmodified</status>
      <modifiedWord/>
      <trackRevisions>false</trackRevisions>
    </reviewItem>
    <reviewItem>
      <errorID>45150ee3-62ad-4cad-8f94-798f9ac98751</errorID>
      <errorWord>法律、法规</errorWord>
      <group>L1_Word</group>
      <groupName>字词问题</groupName>
      <ability>L2_Typo</ability>
      <abilityName>字词错误</abilityName>
      <candidateList>
        <item>法律法规</item>
      </candidateList>
      <explain/>
      <paraID>6F32C644</paraID>
      <start>1</start>
      <end>6</end>
      <status>unmodified</status>
      <modifiedWord/>
      <trackRevisions>false</trackRevisions>
    </reviewItem>
    <reviewItem>
      <errorID>f05e4ab1-c760-4093-8916-d59bb3e87505</errorID>
      <errorWord>62）、</errorWord>
      <group>L1_Punc</group>
      <groupName>标点问题</groupName>
      <ability>L2_Punc</ability>
      <abilityName>标点符号检查</abilityName>
      <candidateList>
        <item>62）</item>
      </candidateList>
      <explain>根据国标GB/T 15834-2011《标点符号用法》中的4.5.3.3节，带括号的汉字数字或阿拉伯数字表次序时，后面通常不加顿号。如“（一）指导思想”“（二）行动指南”。</explain>
      <paraID>6EFD465A</paraID>
      <start>70</start>
      <end>74</end>
      <status>unmodified</status>
      <modifiedWord/>
      <trackRevisions>false</trackRevisions>
    </reviewItem>
    <reviewItem>
      <errorID>43b98d32-c435-46e7-a918-aa025f3ab846</errorID>
      <errorWord>55）、</errorWord>
      <group>L1_Punc</group>
      <groupName>标点问题</groupName>
      <ability>L2_Punc</ability>
      <abilityName>标点符号检查</abilityName>
      <candidateList>
        <item>55）</item>
      </candidateList>
      <explain>根据国标GB/T 15834-2011《标点符号用法》中的4.5.3.3节，带括号的汉字数字或阿拉伯数字表次序时，后面通常不加顿号。如“（一）指导思想”“（二）行动指南”。</explain>
      <paraID>6EFD465A</paraID>
      <start>96</start>
      <end>100</end>
      <status>unmodified</status>
      <modifiedWord/>
      <trackRevisions>false</trackRevisions>
    </reviewItem>
    <reviewItem>
      <errorID>88f00977-d00d-48f3-be11-8c94be9abd4b</errorID>
      <errorWord>十四五规划</errorWord>
      <group>L1_Political</group>
      <groupName>政治性问题</groupName>
      <ability>L2_Keyword</ability>
      <abilityName>固定表述</abilityName>
      <candidateList>
        <item>“十四五”规划</item>
      </candidateList>
      <explain>注意检查当前固定表述标点是否使用规范。</explain>
      <paraID>3CF8951D</paraID>
      <start>82</start>
      <end>89</end>
      <status>modified</status>
      <modifiedWord>“十四五”规划</modifiedWord>
      <trackRevisions>false</trackRevisions>
    </reviewItem>
    <reviewItem>
      <errorID>db988852-29ca-42e1-9398-c788a0219567</errorID>
      <errorWord>,</errorWord>
      <group>L1_Format</group>
      <groupName>格式问题</groupName>
      <ability>L2_HalfPunc</ability>
      <abilityName>全半角检查</abilityName>
      <candidateList>
        <item>，</item>
      </candidateList>
      <explain>文本全半角错误。</explain>
      <paraID>3CF8951D</paraID>
      <start>125</start>
      <end>126</end>
      <status>unmodified</status>
      <modifiedWord/>
      <trackRevisions>false</trackRevisions>
    </reviewItem>
    <reviewItem>
      <errorID>d7a42fa0-6ce8-407d-916c-56e70b6e6b0b</errorID>
      <errorWord>,</errorWord>
      <group>L1_Format</group>
      <groupName>格式问题</groupName>
      <ability>L2_HalfPunc</ability>
      <abilityName>全半角检查</abilityName>
      <candidateList>
        <item>，</item>
      </candidateList>
      <explain>文本全半角错误。</explain>
      <paraID>3CF8951D</paraID>
      <start>135</start>
      <end>136</end>
      <status>unmodified</status>
      <modifiedWord/>
      <trackRevisions>false</trackRevisions>
    </reviewItem>
    <reviewItem>
      <errorID>0112effe-bbe1-4bba-8272-129bfcb00d03</errorID>
      <errorWord>,</errorWord>
      <group>L1_Format</group>
      <groupName>格式问题</groupName>
      <ability>L2_HalfPunc</ability>
      <abilityName>全半角检查</abilityName>
      <candidateList>
        <item>，</item>
      </candidateList>
      <explain>文本全半角错误。</explain>
      <paraID>3CF8951D</paraID>
      <start>160</start>
      <end>161</end>
      <status>unmodified</status>
      <modifiedWord/>
      <trackRevisions>false</trackRevisions>
    </reviewItem>
    <reviewItem>
      <errorID>f64dac85-003e-4853-8bcc-9bba4d155af6</errorID>
      <errorWord>起</errorWord>
      <group>L1_Word</group>
      <groupName>字词问题</groupName>
      <ability>L2_Typo</ability>
      <abilityName>字词错误</abilityName>
      <candidateList>
        <item>气</item>
      </candidateList>
      <explain>存在发音相同字词的误用。</explain>
      <paraID>79ED6540</paraID>
      <start>117</start>
      <end>118</end>
      <status>unmodified</status>
      <modifiedWord/>
      <trackRevisions>false</trackRevisions>
    </reviewItem>
    <reviewItem>
      <errorID>bb34bee7-dacf-4c13-9e97-3cb6c118ad07</errorID>
      <errorWord>数学</errorWord>
      <group>L1_Word</group>
      <groupName>字词问题</groupName>
      <ability>L2_Typo</ability>
      <abilityName>字词错误</abilityName>
      <candidateList>
        <item>数</item>
      </candidateList>
      <explain/>
      <paraID>7455AF1A</paraID>
      <start>4</start>
      <end>6</end>
      <status>unmodified</status>
      <modifiedWord/>
      <trackRevisions>false</trackRevisions>
    </reviewItem>
    <reviewItem>
      <errorID>0065dc70-f072-4c2f-b989-0e543239da51</errorID>
      <errorWord>)</errorWord>
      <group>L1_Format</group>
      <groupName>格式问题</groupName>
      <ability>L2_HalfPunc</ability>
      <abilityName>全半角检查</abilityName>
      <candidateList>
        <item>）</item>
      </candidateList>
      <explain>文本全半角错误。</explain>
      <paraID> CA02F51</paraID>
      <start>117</start>
      <end>118</end>
      <status>unmodified</status>
      <modifiedWord/>
      <trackRevisions>false</trackRevisions>
    </reviewItem>
    <reviewItem>
      <errorID>b91fe616-acb3-43b5-ad9d-b93604be8ebd</errorID>
      <errorWord>痠</errorWord>
      <group>L1_Word</group>
      <groupName>字词问题</groupName>
      <ability>L2_Fanti</ability>
      <abilityName>繁转简</abilityName>
      <candidateList>
        <item>酸</item>
      </candidateList>
      <explain/>
      <paraID>39B49748</paraID>
      <start>16</start>
      <end>17</end>
      <status>unmodified</status>
      <modifiedWord/>
      <trackRevisions>false</trackRevisions>
    </reviewItem>
    <reviewItem>
      <errorID>952dfad7-29ca-4ddc-ae30-68947c4714c8</errorID>
      <errorWord>”</errorWord>
      <group>L1_Punc</group>
      <groupName>标点问题</groupName>
      <ability>L2_Punc</ability>
      <abilityName>标点符号检查</abilityName>
      <candidateList/>
      <explain/>
      <paraID>54F81D2B</paraID>
      <start>6</start>
      <end>7</end>
      <status>unmodified</status>
      <modifiedWord/>
      <trackRevisions>false</trackRevisions>
    </reviewItem>
    <reviewItem>
      <errorID>918da5e4-91e9-4aa8-ba5e-37efb06fdb79</errorID>
      <errorWord>紧靠押</errorWord>
      <group>L1_Word</group>
      <groupName>字词问题</groupName>
      <ability>L2_Typo</ability>
      <abilityName>字词错误</abilityName>
      <candidateList>
        <item>紧靠</item>
      </candidateList>
      <explain/>
      <paraID>11EF236E</paraID>
      <start>33</start>
      <end>36</end>
      <status>unmodified</status>
      <modifiedWord/>
      <trackRevisions>false</trackRevisions>
    </reviewItem>
    <reviewItem>
      <errorID>30cc65da-42cf-4971-a15b-1f5ed5b8c976</errorID>
      <errorWord>押</errorWord>
      <group>L1_Word</group>
      <groupName>字词问题</groupName>
      <ability>L2_Typo</ability>
      <abilityName>字词错误</abilityName>
      <candidateList>
        <item/>
      </candidateList>
      <explain/>
      <paraID>3EA0D54C</paraID>
      <start>50</start>
      <end>51</end>
      <status>unmodified</status>
      <modifiedWord/>
      <trackRevisions>false</trackRevisions>
    </reviewItem>
    <reviewItem>
      <errorID>3241dfd0-650c-430b-b192-99bbc67fee67</errorID>
      <errorWord>水泡</errorWord>
      <group>L1_Word</group>
      <groupName>字词问题</groupName>
      <ability>L2_Typo</ability>
      <abilityName>字词错误</abilityName>
      <candidateList>
        <item>水疱</item>
      </candidateList>
      <explain>存在发音相同字词的误用。</explain>
      <paraID> 9B4032F</paraID>
      <start>54</start>
      <end>56</end>
      <status>unmodified</status>
      <modifiedWord/>
      <trackRevisions>false</trackRevisions>
    </reviewItem>
    <reviewItem>
      <errorID>805d2b2c-7f80-432a-95cf-e90d6a293c55</errorID>
      <errorWord>灸泡</errorWord>
      <group>L1_Word</group>
      <groupName>字词问题</groupName>
      <ability>L2_Typo</ability>
      <abilityName>字词错误</abilityName>
      <candidateList>
        <item>浸泡</item>
      </candidateList>
      <explain>〈动〉在液体中泡：～蚕豆｜木桩长年～在水里容易朽烂。</explain>
      <paraID> 9B4032F</paraID>
      <start>161</start>
      <end>163</end>
      <status>unmodified</status>
      <modifiedWord/>
      <trackRevisions>false</trackRevisions>
    </reviewItem>
    <reviewItem>
      <errorID>81cb6da8-c0a8-4803-8507-0174f7fd5f38</errorID>
      <errorWord>Ａ</errorWord>
      <group>L1_Format</group>
      <groupName>格式问题</groupName>
      <ability>L2_HalfPunc</ability>
      <abilityName>全半角检查</abilityName>
      <candidateList>
        <item>A</item>
      </candidateList>
      <explain>文本全半角错误。</explain>
      <paraID>776D719B</paraID>
      <start>8</start>
      <end>9</end>
      <status>unmodified</status>
      <modifiedWord/>
      <trackRevisions>false</trackRevisions>
    </reviewItem>
    <reviewItem>
      <errorID>1336dbcc-222e-4446-8f7a-e5973d17f42f</errorID>
      <errorWord>Ａ</errorWord>
      <group>L1_Format</group>
      <groupName>格式问题</groupName>
      <ability>L2_HalfPunc</ability>
      <abilityName>全半角检查</abilityName>
      <candidateList>
        <item>A</item>
      </candidateList>
      <explain>文本全半角错误。</explain>
      <paraID>5B7A0E2C</paraID>
      <start>7</start>
      <end>8</end>
      <status>unmodified</status>
      <modifiedWord/>
      <trackRevisions>false</trackRevisions>
    </reviewItem>
    <reviewItem>
      <errorID>dfca8f42-e41d-4576-be33-c6459ed0fa4e</errorID>
      <errorWord>分</errorWord>
      <group>L1_Word</group>
      <groupName>字词问题</groupName>
      <ability>L2_Typo</ability>
      <abilityName>字词错误</abilityName>
      <candidateList>
        <item>分为</item>
      </candidateList>
      <explain/>
      <paraID>  D1C031</paraID>
      <start>4</start>
      <end>5</end>
      <status>unmodified</status>
      <modifiedWord/>
      <trackRevisions>false</trackRevisions>
    </reviewItem>
    <reviewItem>
      <errorID>62b75f43-3a05-4d97-b94f-d7ba940b7186</errorID>
      <errorWord>;</errorWord>
      <group>L1_Format</group>
      <groupName>格式问题</groupName>
      <ability>L2_HalfPunc</ability>
      <abilityName>全半角检查</abilityName>
      <candidateList>
        <item>；</item>
      </candidateList>
      <explain>文本全半角错误。</explain>
      <paraID>  D1C031</paraID>
      <start>33</start>
      <end>34</end>
      <status>unmodified</status>
      <modifiedWord/>
      <trackRevisions>false</trackRevisions>
    </reviewItem>
    <reviewItem>
      <errorID>09b6b859-e18b-46ae-89ac-018827de0e29</errorID>
      <errorWord>摇退</errorWord>
      <group>L1_Word</group>
      <groupName>字词问题</groupName>
      <ability>L2_Typo</ability>
      <abilityName>字词错误</abilityName>
      <candidateList>
        <item>摇</item>
      </candidateList>
      <explain/>
      <paraID>7B91289F</paraID>
      <start>301</start>
      <end>303</end>
      <status>unmodified</status>
      <modifiedWord/>
      <trackRevisions>false</trackRevisions>
    </reviewItem>
    <reviewItem>
      <errorID>42a79674-85eb-4871-9fe6-352ce1795a25</errorID>
      <errorWord>有如</errorWord>
      <group>L1_Word</group>
      <groupName>字词问题</groupName>
      <ability>L2_Typo</ability>
      <abilityName>字词错误</abilityName>
      <candidateList>
        <item>犹如</item>
      </candidateList>
      <explain>存在发音相同字词的误用。</explain>
      <paraID>7B2CE2E4</paraID>
      <start>40</start>
      <end>42</end>
      <status>unmodified</status>
      <modifiedWord/>
      <trackRevisions>false</trackRevisions>
    </reviewItem>
    <reviewItem>
      <errorID>1299a62a-ee19-4897-8e4f-065ff28bcaa1</errorID>
      <errorWord>(</errorWord>
      <group>L1_Format</group>
      <groupName>格式问题</groupName>
      <ability>L2_HalfPunc</ability>
      <abilityName>全半角检查</abilityName>
      <candidateList>
        <item>（</item>
      </candidateList>
      <explain>文本全半角错误。</explain>
      <paraID>7B2CE2E4</paraID>
      <start>67</start>
      <end>68</end>
      <status>unmodified</status>
      <modifiedWord/>
      <trackRevisions>false</trackRevisions>
    </reviewItem>
    <reviewItem>
      <errorID>99001b4a-d77e-4ac1-a837-98ec8b52f50e</errorID>
      <errorWord>)</errorWord>
      <group>L1_Format</group>
      <groupName>格式问题</groupName>
      <ability>L2_HalfPunc</ability>
      <abilityName>全半角检查</abilityName>
      <candidateList>
        <item>）</item>
      </candidateList>
      <explain>文本全半角错误。</explain>
      <paraID>7B2CE2E4</paraID>
      <start>71</start>
      <end>72</end>
      <status>unmodified</status>
      <modifiedWord/>
      <trackRevisions>false</trackRevisions>
    </reviewItem>
    <reviewItem>
      <errorID>30b3625e-43eb-4ad7-a737-474d4df50abf</errorID>
      <errorWord>漏斗型</errorWord>
      <group>L1_Word</group>
      <groupName>字词问题</groupName>
      <ability>L2_Typo</ability>
      <abilityName>字词错误</abilityName>
      <candidateList>
        <item>漏斗形</item>
      </candidateList>
      <explain/>
      <paraID>7B2CE2E4</paraID>
      <start>104</start>
      <end>107</end>
      <status>unmodified</status>
      <modifiedWord/>
      <trackRevisions>false</trackRevisions>
    </reviewItem>
    <reviewItem>
      <errorID>9f01039e-5bc7-42a0-8ad1-59c6ecdb41f6</errorID>
      <errorWord>(</errorWord>
      <group>L1_Format</group>
      <groupName>格式问题</groupName>
      <ability>L2_HalfPunc</ability>
      <abilityName>全半角检查</abilityName>
      <candidateList>
        <item>（</item>
      </candidateList>
      <explain>文本全半角错误。</explain>
      <paraID> CD0FC50</paraID>
      <start>20</start>
      <end>21</end>
      <status>unmodified</status>
      <modifiedWord/>
      <trackRevisions>false</trackRevisions>
    </reviewItem>
    <reviewItem>
      <errorID>d56b4742-fc69-41d3-a75b-bb1b569d34f4</errorID>
      <errorWord>)</errorWord>
      <group>L1_Format</group>
      <groupName>格式问题</groupName>
      <ability>L2_HalfPunc</ability>
      <abilityName>全半角检查</abilityName>
      <candidateList>
        <item>）</item>
      </candidateList>
      <explain>文本全半角错误。</explain>
      <paraID> CD0FC50</paraID>
      <start>23</start>
      <end>24</end>
      <status>unmodified</status>
      <modifiedWord/>
      <trackRevisions>false</trackRevisions>
    </reviewItem>
    <reviewItem>
      <errorID>5e2929e8-4ed2-4f55-8858-bc6c6304763a</errorID>
      <errorWord>(</errorWord>
      <group>L1_Format</group>
      <groupName>格式问题</groupName>
      <ability>L2_HalfPunc</ability>
      <abilityName>全半角检查</abilityName>
      <candidateList>
        <item>（</item>
      </candidateList>
      <explain>文本全半角错误。</explain>
      <paraID> CD0FC50</paraID>
      <start>40</start>
      <end>41</end>
      <status>unmodified</status>
      <modifiedWord/>
      <trackRevisions>false</trackRevisions>
    </reviewItem>
    <reviewItem>
      <errorID>685c776b-c687-4e14-8478-9a87834aa5de</errorID>
      <errorWord>)</errorWord>
      <group>L1_Format</group>
      <groupName>格式问题</groupName>
      <ability>L2_HalfPunc</ability>
      <abilityName>全半角检查</abilityName>
      <candidateList>
        <item>）</item>
      </candidateList>
      <explain>文本全半角错误。</explain>
      <paraID> CD0FC50</paraID>
      <start>43</start>
      <end>44</end>
      <status>unmodified</status>
      <modifiedWord/>
      <trackRevisions>false</trackRevisions>
    </reviewItem>
    <reviewItem>
      <errorID>e7f6fb5c-4abc-420f-8e5b-7dc29fe1f9b7</errorID>
      <errorWord>(</errorWord>
      <group>L1_Format</group>
      <groupName>格式问题</groupName>
      <ability>L2_HalfPunc</ability>
      <abilityName>全半角检查</abilityName>
      <candidateList>
        <item>（</item>
      </candidateList>
      <explain>文本全半角错误。</explain>
      <paraID> CD0FC50</paraID>
      <start>100</start>
      <end>101</end>
      <status>unmodified</status>
      <modifiedWord/>
      <trackRevisions>false</trackRevisions>
    </reviewItem>
    <reviewItem>
      <errorID>106963fe-82d5-4a7d-85b1-a191e02c9e37</errorID>
      <errorWord>)</errorWord>
      <group>L1_Format</group>
      <groupName>格式问题</groupName>
      <ability>L2_HalfPunc</ability>
      <abilityName>全半角检查</abilityName>
      <candidateList>
        <item>）</item>
      </candidateList>
      <explain>文本全半角错误。</explain>
      <paraID> CD0FC50</paraID>
      <start>104</start>
      <end>105</end>
      <status>unmodified</status>
      <modifiedWord/>
      <trackRevisions>false</trackRevisions>
    </reviewItem>
    <reviewItem>
      <errorID>3f0707ae-b0ad-4e58-9eee-99633a49a733</errorID>
      <errorWord>(</errorWord>
      <group>L1_Format</group>
      <groupName>格式问题</groupName>
      <ability>L2_HalfPunc</ability>
      <abilityName>全半角检查</abilityName>
      <candidateList>
        <item>（</item>
      </candidateList>
      <explain>文本全半角错误。</explain>
      <paraID> CD0FC50</paraID>
      <start>123</start>
      <end>124</end>
      <status>unmodified</status>
      <modifiedWord/>
      <trackRevisions>false</trackRevisions>
    </reviewItem>
    <reviewItem>
      <errorID>4fe55210-d6b2-43a0-941e-56f03da376ef</errorID>
      <errorWord>)</errorWord>
      <group>L1_Format</group>
      <groupName>格式问题</groupName>
      <ability>L2_HalfPunc</ability>
      <abilityName>全半角检查</abilityName>
      <candidateList>
        <item>）</item>
      </candidateList>
      <explain>文本全半角错误。</explain>
      <paraID> CD0FC50</paraID>
      <start>127</start>
      <end>128</end>
      <status>unmodified</status>
      <modifiedWord/>
      <trackRevisions>false</trackRevisions>
    </reviewItem>
    <reviewItem>
      <errorID>0b1d6322-309d-4153-9c0d-7ffd27bbe647</errorID>
      <errorWord>易</errorWord>
      <group>L1_Word</group>
      <groupName>字词问题</groupName>
      <ability>L2_Typo</ability>
      <abilityName>字词错误</abilityName>
      <candidateList>
        <item>一</item>
      </candidateList>
      <explain>存在发音相同字词的误用。</explain>
      <paraID> 38B3CA8</paraID>
      <start>85</start>
      <end>86</end>
      <status>unmodified</status>
      <modifiedWord/>
      <trackRevisions>false</trackRevisions>
    </reviewItem>
    <reviewItem>
      <errorID>6a95da90-bbce-4207-b962-2aee8ec807ce</errorID>
      <errorWord>~</errorWord>
      <group>L1_Format</group>
      <groupName>格式问题</groupName>
      <ability>L2_HalfPunc</ability>
      <abilityName>全半角检查</abilityName>
      <candidateList>
        <item>～</item>
      </candidateList>
      <explain>文本全半角错误。</explain>
      <paraID>306639F3</paraID>
      <start>6</start>
      <end>7</end>
      <status>unmodified</status>
      <modifiedWord/>
      <trackRevisions>false</trackRevisions>
    </reviewItem>
    <reviewItem>
      <errorID>b3fe82a7-668f-4d04-940a-f3202033dd19</errorID>
      <errorWord>外用</errorWord>
      <group>L1_Word</group>
      <groupName>字词问题</groupName>
      <ability>L2_Typo</ability>
      <abilityName>字词错误</abilityName>
      <candidateList>
        <item>用</item>
      </candidateList>
      <explain/>
      <paraID>5A04AE50</paraID>
      <start>71</start>
      <end>73</end>
      <status>unmodified</status>
      <modifiedWord/>
      <trackRevisions>false</trackRevisions>
    </reviewItem>
    <reviewItem>
      <errorID>28e7171e-69bb-4746-a616-1c8fa71dc4ad</errorID>
      <errorWord>:</errorWord>
      <group>L1_Format</group>
      <groupName>格式问题</groupName>
      <ability>L2_HalfPunc</ability>
      <abilityName>全半角检查</abilityName>
      <candidateList>
        <item>：</item>
      </candidateList>
      <explain>文本全半角错误。</explain>
      <paraID>39A0721D</paraID>
      <start>27</start>
      <end>28</end>
      <status>unmodified</status>
      <modifiedWord/>
      <trackRevisions>false</trackRevisions>
    </reviewItem>
    <reviewItem>
      <errorID>1c011488-65e4-4392-ab9d-b3d2a717891d</errorID>
      <errorWord>痠</errorWord>
      <group>L1_Word</group>
      <groupName>字词问题</groupName>
      <ability>L2_Fanti</ability>
      <abilityName>繁转简</abilityName>
      <candidateList>
        <item>酸</item>
      </candidateList>
      <explain/>
      <paraID>13F2DA4C</paraID>
      <start>16</start>
      <end>17</end>
      <status>unmodified</status>
      <modifiedWord/>
      <trackRevisions>false</trackRevisions>
    </reviewItem>
    <reviewItem>
      <errorID>bea5b236-4872-4ed4-b3f6-3d5996c0599c</errorID>
      <errorWord>,</errorWord>
      <group>L1_Format</group>
      <groupName>格式问题</groupName>
      <ability>L2_HalfPunc</ability>
      <abilityName>全半角检查</abilityName>
      <candidateList>
        <item>，</item>
      </candidateList>
      <explain>文本全半角错误。</explain>
      <paraID>13F2DA4C</paraID>
      <start>26</start>
      <end>27</end>
      <status>unmodified</status>
      <modifiedWord/>
      <trackRevisions>false</trackRevisions>
    </reviewItem>
    <reviewItem>
      <errorID>755652fe-2469-46b6-b92e-a3b5ea11a02c</errorID>
      <errorWord>,</errorWord>
      <group>L1_Format</group>
      <groupName>格式问题</groupName>
      <ability>L2_HalfPunc</ability>
      <abilityName>全半角检查</abilityName>
      <candidateList>
        <item>，</item>
      </candidateList>
      <explain>文本全半角错误。</explain>
      <paraID>13F2DA4C</paraID>
      <start>31</start>
      <end>32</end>
      <status>unmodified</status>
      <modifiedWord/>
      <trackRevisions>false</trackRevisions>
    </reviewItem>
    <reviewItem>
      <errorID>d4521266-1076-4ced-86f0-13dd06aa0f2a</errorID>
      <errorWord>,</errorWord>
      <group>L1_Format</group>
      <groupName>格式问题</groupName>
      <ability>L2_HalfPunc</ability>
      <abilityName>全半角检查</abilityName>
      <candidateList>
        <item>，</item>
      </candidateList>
      <explain>文本全半角错误。</explain>
      <paraID>13F2DA4C</paraID>
      <start>41</start>
      <end>42</end>
      <status>unmodified</status>
      <modifiedWord/>
      <trackRevisions>false</trackRevisions>
    </reviewItem>
    <reviewItem>
      <errorID>088e3e31-e6f2-4557-ae15-1c0ac9f128eb</errorID>
      <errorWord>(</errorWord>
      <group>L1_Format</group>
      <groupName>格式问题</groupName>
      <ability>L2_HalfPunc</ability>
      <abilityName>全半角检查</abilityName>
      <candidateList>
        <item>（</item>
      </candidateList>
      <explain>文本全半角错误。</explain>
      <paraID>13F2DA4C</paraID>
      <start>51</start>
      <end>52</end>
      <status>unmodified</status>
      <modifiedWord/>
      <trackRevisions>false</trackRevisions>
    </reviewItem>
    <reviewItem>
      <errorID>e65a0075-f74d-4669-a7d5-962f178cdf61</errorID>
      <errorWord>:</errorWord>
      <group>L1_Format</group>
      <groupName>格式问题</groupName>
      <ability>L2_HalfPunc</ability>
      <abilityName>全半角检查</abilityName>
      <candidateList>
        <item>：</item>
      </candidateList>
      <explain>文本全半角错误。</explain>
      <paraID>13F2DA4C</paraID>
      <start>54</start>
      <end>55</end>
      <status>unmodified</status>
      <modifiedWord/>
      <trackRevisions>false</trackRevisions>
    </reviewItem>
    <reviewItem>
      <errorID>9980ccb9-39c7-4cad-894a-d5dda798056d</errorID>
      <errorWord>:</errorWord>
      <group>L1_Format</group>
      <groupName>格式问题</groupName>
      <ability>L2_HalfPunc</ability>
      <abilityName>全半角检查</abilityName>
      <candidateList>
        <item>：</item>
      </candidateList>
      <explain>文本全半角错误。</explain>
      <paraID>13F2DA4C</paraID>
      <start>88</start>
      <end>89</end>
      <status>unmodified</status>
      <modifiedWord/>
      <trackRevisions>false</trackRevisions>
    </reviewItem>
    <reviewItem>
      <errorID>98b30606-aa2e-4b74-bc52-dc24d75c6243</errorID>
      <errorWord>)</errorWord>
      <group>L1_Format</group>
      <groupName>格式问题</groupName>
      <ability>L2_HalfPunc</ability>
      <abilityName>全半角检查</abilityName>
      <candidateList>
        <item>）</item>
      </candidateList>
      <explain>文本全半角错误。</explain>
      <paraID>13F2DA4C</paraID>
      <start>95</start>
      <end>96</end>
      <status>unmodified</status>
      <modifiedWord/>
      <trackRevisions>false</trackRevisions>
    </reviewItem>
    <reviewItem>
      <errorID>564cafa6-d798-4e57-a47b-98eb83217fb8</errorID>
      <errorWord>,</errorWord>
      <group>L1_Format</group>
      <groupName>格式问题</groupName>
      <ability>L2_HalfPunc</ability>
      <abilityName>全半角检查</abilityName>
      <candidateList>
        <item>，</item>
      </candidateList>
      <explain>文本全半角错误。</explain>
      <paraID>23C9E714</paraID>
      <start>32</start>
      <end>33</end>
      <status>unmodified</status>
      <modifiedWord/>
      <trackRevisions>false</trackRevisions>
    </reviewItem>
    <reviewItem>
      <errorID>de38bed9-92cf-40da-b711-b26bce3e8e22</errorID>
      <errorWord>,</errorWord>
      <group>L1_Format</group>
      <groupName>格式问题</groupName>
      <ability>L2_HalfPunc</ability>
      <abilityName>全半角检查</abilityName>
      <candidateList>
        <item>，</item>
      </candidateList>
      <explain>文本全半角错误。</explain>
      <paraID> 8D8B808</paraID>
      <start>27</start>
      <end>28</end>
      <status>unmodified</status>
      <modifiedWord/>
      <trackRevisions>false</trackRevisions>
    </reviewItem>
    <reviewItem>
      <errorID>42da2bdc-be98-4b12-9fb3-dd5d211aa0bf</errorID>
      <errorWord>,</errorWord>
      <group>L1_Format</group>
      <groupName>格式问题</groupName>
      <ability>L2_HalfPunc</ability>
      <abilityName>全半角检查</abilityName>
      <candidateList>
        <item>，</item>
      </candidateList>
      <explain>文本全半角错误。</explain>
      <paraID>7F5AE8CE</paraID>
      <start>24</start>
      <end>25</end>
      <status>unmodified</status>
      <modifiedWord/>
      <trackRevisions>false</trackRevisions>
    </reviewItem>
    <reviewItem>
      <errorID>2be7164f-c3b9-4bc9-aaf9-82a56fab2ec6</errorID>
      <errorWord>,</errorWord>
      <group>L1_Format</group>
      <groupName>格式问题</groupName>
      <ability>L2_HalfPunc</ability>
      <abilityName>全半角检查</abilityName>
      <candidateList>
        <item>，</item>
      </candidateList>
      <explain>文本全半角错误。</explain>
      <paraID>7F5AE8CE</paraID>
      <start>29</start>
      <end>30</end>
      <status>unmodified</status>
      <modifiedWord/>
      <trackRevisions>false</trackRevisions>
    </reviewItem>
    <reviewItem>
      <errorID>f3510c80-42be-4d56-8703-a0b117e8e52c</errorID>
      <errorWord>紧靠押</errorWord>
      <group>L1_Word</group>
      <groupName>字词问题</groupName>
      <ability>L2_Typo</ability>
      <abilityName>字词错误</abilityName>
      <candidateList>
        <item>紧靠</item>
      </candidateList>
      <explain/>
      <paraID>7F5AE8CE</paraID>
      <start>32</start>
      <end>35</end>
      <status>unmodified</status>
      <modifiedWord/>
      <trackRevisions>false</trackRevisions>
    </reviewItem>
    <reviewItem>
      <errorID>dd98c264-21ca-4c6b-8889-e45cd2bc66ac</errorID>
      <errorWord>)</errorWord>
      <group>L1_Format</group>
      <groupName>格式问题</groupName>
      <ability>L2_HalfPunc</ability>
      <abilityName>全半角检查</abilityName>
      <candidateList>
        <item>）</item>
      </candidateList>
      <explain>文本全半角错误。</explain>
      <paraID>1F5FF5DC</paraID>
      <start>37</start>
      <end>38</end>
      <status>unmodified</status>
      <modifiedWord/>
      <trackRevisions>false</trackRevisions>
    </reviewItem>
    <reviewItem>
      <errorID>60192307-ea72-4b72-a8fd-0a1e85c81024</errorID>
      <errorWord>,</errorWord>
      <group>L1_Format</group>
      <groupName>格式问题</groupName>
      <ability>L2_HalfPunc</ability>
      <abilityName>全半角检查</abilityName>
      <candidateList>
        <item>，</item>
      </candidateList>
      <explain>文本全半角错误。</explain>
      <paraID>1F5FF5DC</paraID>
      <start>43</start>
      <end>44</end>
      <status>unmodified</status>
      <modifiedWord/>
      <trackRevisions>false</trackRevisions>
    </reviewItem>
    <reviewItem>
      <errorID>c7931c90-196a-4230-bdc4-60767bc6fcf6</errorID>
      <errorWord>;</errorWord>
      <group>L1_Format</group>
      <groupName>格式问题</groupName>
      <ability>L2_HalfPunc</ability>
      <abilityName>全半角检查</abilityName>
      <candidateList>
        <item>；</item>
      </candidateList>
      <explain>文本全半角错误。</explain>
      <paraID>1F5FF5DC</paraID>
      <start>52</start>
      <end>53</end>
      <status>unmodified</status>
      <modifiedWord/>
      <trackRevisions>false</trackRevisions>
    </reviewItem>
    <reviewItem>
      <errorID>29cc274d-2bb3-43db-bfde-d815b9ffa425</errorID>
      <errorWord>,</errorWord>
      <group>L1_Format</group>
      <groupName>格式问题</groupName>
      <ability>L2_HalfPunc</ability>
      <abilityName>全半角检查</abilityName>
      <candidateList>
        <item>，</item>
      </candidateList>
      <explain>文本全半角错误。</explain>
      <paraID>1F5FF5DC</paraID>
      <start>59</start>
      <end>60</end>
      <status>unmodified</status>
      <modifiedWord/>
      <trackRevisions>false</trackRevisions>
    </reviewItem>
    <reviewItem>
      <errorID>fc606cf5-d2d8-497b-9a37-70d86ac741e3</errorID>
      <errorWord>,</errorWord>
      <group>L1_Format</group>
      <groupName>格式问题</groupName>
      <ability>L2_HalfPunc</ability>
      <abilityName>全半角检查</abilityName>
      <candidateList>
        <item>，</item>
      </candidateList>
      <explain>文本全半角错误。</explain>
      <paraID>1F5FF5DC</paraID>
      <start>70</start>
      <end>71</end>
      <status>unmodified</status>
      <modifiedWord/>
      <trackRevisions>false</trackRevisions>
    </reviewItem>
    <reviewItem>
      <errorID>50d31f80-e1ae-4b9b-895b-1ebe793ae1f9</errorID>
      <errorWord>;</errorWord>
      <group>L1_Format</group>
      <groupName>格式问题</groupName>
      <ability>L2_HalfPunc</ability>
      <abilityName>全半角检查</abilityName>
      <candidateList>
        <item>；</item>
      </candidateList>
      <explain>文本全半角错误。</explain>
      <paraID>1F5FF5DC</paraID>
      <start>80</start>
      <end>81</end>
      <status>unmodified</status>
      <modifiedWord/>
      <trackRevisions>false</trackRevisions>
    </reviewItem>
    <reviewItem>
      <errorID>88ef295e-2e95-461b-bfb8-bbffdf167479</errorID>
      <errorWord>,</errorWord>
      <group>L1_Format</group>
      <groupName>格式问题</groupName>
      <ability>L2_HalfPunc</ability>
      <abilityName>全半角检查</abilityName>
      <candidateList>
        <item>，</item>
      </candidateList>
      <explain>文本全半角错误。</explain>
      <paraID>1F5FF5DC</paraID>
      <start>88</start>
      <end>89</end>
      <status>unmodified</status>
      <modifiedWord/>
      <trackRevisions>false</trackRevisions>
    </reviewItem>
    <reviewItem>
      <errorID>3326a4a6-6999-40c6-a30d-86dde8a7f325</errorID>
      <errorWord>,</errorWord>
      <group>L1_Format</group>
      <groupName>格式问题</groupName>
      <ability>L2_HalfPunc</ability>
      <abilityName>全半角检查</abilityName>
      <candidateList>
        <item>，</item>
      </candidateList>
      <explain>文本全半角错误。</explain>
      <paraID> ECF2D5A</paraID>
      <start>15</start>
      <end>16</end>
      <status>unmodified</status>
      <modifiedWord/>
      <trackRevisions>false</trackRevisions>
    </reviewItem>
    <reviewItem>
      <errorID>7b1bb098-8d79-4193-b1a5-ef56f521f5e0</errorID>
      <errorWord>,</errorWord>
      <group>L1_Format</group>
      <groupName>格式问题</groupName>
      <ability>L2_HalfPunc</ability>
      <abilityName>全半角检查</abilityName>
      <candidateList>
        <item>，</item>
      </candidateList>
      <explain>文本全半角错误。</explain>
      <paraID> ECF2D5A</paraID>
      <start>34</start>
      <end>35</end>
      <status>unmodified</status>
      <modifiedWord/>
      <trackRevisions>false</trackRevisions>
    </reviewItem>
    <reviewItem>
      <errorID>0a45f47d-f0d5-434f-8fa9-b34ee50d4a79</errorID>
      <errorWord>,</errorWord>
      <group>L1_Format</group>
      <groupName>格式问题</groupName>
      <ability>L2_HalfPunc</ability>
      <abilityName>全半角检查</abilityName>
      <candidateList>
        <item>，</item>
      </candidateList>
      <explain>文本全半角错误。</explain>
      <paraID>6403BDA3</paraID>
      <start>33</start>
      <end>34</end>
      <status>unmodified</status>
      <modifiedWord/>
      <trackRevisions>false</trackRevisions>
    </reviewItem>
    <reviewItem>
      <errorID>ea82fe03-2fcd-4c01-b03f-134a130b3bf6</errorID>
      <errorWord>,</errorWord>
      <group>L1_Format</group>
      <groupName>格式问题</groupName>
      <ability>L2_HalfPunc</ability>
      <abilityName>全半角检查</abilityName>
      <candidateList>
        <item>，</item>
      </candidateList>
      <explain>文本全半角错误。</explain>
      <paraID>1EAADE75</paraID>
      <start>17</start>
      <end>18</end>
      <status>unmodified</status>
      <modifiedWord/>
      <trackRevisions>false</trackRevisions>
    </reviewItem>
    <reviewItem>
      <errorID>e0fcaa98-8235-4e63-8114-dc59dc8cdb8f</errorID>
      <errorWord>,</errorWord>
      <group>L1_Format</group>
      <groupName>格式问题</groupName>
      <ability>L2_HalfPunc</ability>
      <abilityName>全半角检查</abilityName>
      <candidateList>
        <item>，</item>
      </candidateList>
      <explain>文本全半角错误。</explain>
      <paraID>1EAADE75</paraID>
      <start>26</start>
      <end>27</end>
      <status>unmodified</status>
      <modifiedWord/>
      <trackRevisions>false</trackRevisions>
    </reviewItem>
    <reviewItem>
      <errorID>f4365618-5694-4641-b156-f451bffae5b4</errorID>
      <errorWord>,</errorWord>
      <group>L1_Format</group>
      <groupName>格式问题</groupName>
      <ability>L2_HalfPunc</ability>
      <abilityName>全半角检查</abilityName>
      <candidateList>
        <item>，</item>
      </candidateList>
      <explain>文本全半角错误。</explain>
      <paraID>1EAADE75</paraID>
      <start>41</start>
      <end>42</end>
      <status>unmodified</status>
      <modifiedWord/>
      <trackRevisions>false</trackRevisions>
    </reviewItem>
    <reviewItem>
      <errorID>806969b9-756d-4d38-9bae-a932a4471280</errorID>
      <errorWord>;</errorWord>
      <group>L1_Format</group>
      <groupName>格式问题</groupName>
      <ability>L2_HalfPunc</ability>
      <abilityName>全半角检查</abilityName>
      <candidateList>
        <item>；</item>
      </candidateList>
      <explain>文本全半角错误。</explain>
      <paraID>1EAADE75</paraID>
      <start>50</start>
      <end>51</end>
      <status>unmodified</status>
      <modifiedWord/>
      <trackRevisions>false</trackRevisions>
    </reviewItem>
    <reviewItem>
      <errorID>201bc058-be2f-43d9-ae08-095fdf789a75</errorID>
      <errorWord>(</errorWord>
      <group>L1_Format</group>
      <groupName>格式问题</groupName>
      <ability>L2_HalfPunc</ability>
      <abilityName>全半角检查</abilityName>
      <candidateList>
        <item>（</item>
      </candidateList>
      <explain>文本全半角错误。</explain>
      <paraID>578A7B08</paraID>
      <start>3</start>
      <end>4</end>
      <status>unmodified</status>
      <modifiedWord/>
      <trackRevisions>false</trackRevisions>
    </reviewItem>
    <reviewItem>
      <errorID>c6402c15-32ce-48ec-81e1-da9dd1607e70</errorID>
      <errorWord>)</errorWord>
      <group>L1_Format</group>
      <groupName>格式问题</groupName>
      <ability>L2_HalfPunc</ability>
      <abilityName>全半角检查</abilityName>
      <candidateList>
        <item>）</item>
      </candidateList>
      <explain>文本全半角错误。</explain>
      <paraID>578A7B08</paraID>
      <start>7</start>
      <end>8</end>
      <status>unmodified</status>
      <modifiedWord/>
      <trackRevisions>false</trackRevisions>
    </reviewItem>
    <reviewItem>
      <errorID>63d57690-64e7-44da-8fa1-2b9f2bb6da1a</errorID>
      <errorWord>~</errorWord>
      <group>L1_Format</group>
      <groupName>格式问题</groupName>
      <ability>L2_HalfPunc</ability>
      <abilityName>全半角检查</abilityName>
      <candidateList>
        <item>～</item>
      </candidateList>
      <explain>文本全半角错误。</explain>
      <paraID>36F7E608</paraID>
      <start>6</start>
      <end>7</end>
      <status>unmodified</status>
      <modifiedWord/>
      <trackRevisions>false</trackRevisions>
    </reviewItem>
    <reviewItem>
      <errorID>10b0d351-60e8-4a35-bcc5-a1856a205c72</errorID>
      <errorWord>,</errorWord>
      <group>L1_Format</group>
      <groupName>格式问题</groupName>
      <ability>L2_HalfPunc</ability>
      <abilityName>全半角检查</abilityName>
      <candidateList>
        <item>，</item>
      </candidateList>
      <explain>文本全半角错误。</explain>
      <paraID>36F7E608</paraID>
      <start>9</start>
      <end>10</end>
      <status>unmodified</status>
      <modifiedWord/>
      <trackRevisions>false</trackRevisions>
    </reviewItem>
    <reviewItem>
      <errorID>dcb03a79-75de-40d4-872c-b54b9dfb8422</errorID>
      <errorWord>,</errorWord>
      <group>L1_Format</group>
      <groupName>格式问题</groupName>
      <ability>L2_HalfPunc</ability>
      <abilityName>全半角检查</abilityName>
      <candidateList>
        <item>，</item>
      </candidateList>
      <explain>文本全半角错误。</explain>
      <paraID>36F7E608</paraID>
      <start>19</start>
      <end>20</end>
      <status>unmodified</status>
      <modifiedWord/>
      <trackRevisions>false</trackRevisions>
    </reviewItem>
    <reviewItem>
      <errorID>e1b9a516-b0cc-4ab9-8e7c-c690f6a94628</errorID>
      <errorWord>,</errorWord>
      <group>L1_Format</group>
      <groupName>格式问题</groupName>
      <ability>L2_HalfPunc</ability>
      <abilityName>全半角检查</abilityName>
      <candidateList>
        <item>，</item>
      </candidateList>
      <explain>文本全半角错误。</explain>
      <paraID>36F7E608</paraID>
      <start>44</start>
      <end>45</end>
      <status>unmodified</status>
      <modifiedWord/>
      <trackRevisions>false</trackRevisions>
    </reviewItem>
    <reviewItem>
      <errorID>7dd39e2e-52e0-4828-8115-6c492190211c</errorID>
      <errorWord>,</errorWord>
      <group>L1_Format</group>
      <groupName>格式问题</groupName>
      <ability>L2_HalfPunc</ability>
      <abilityName>全半角检查</abilityName>
      <candidateList>
        <item>，</item>
      </candidateList>
      <explain>文本全半角错误。</explain>
      <paraID>23326697</paraID>
      <start>8</start>
      <end>9</end>
      <status>unmodified</status>
      <modifiedWord/>
      <trackRevisions>false</trackRevisions>
    </reviewItem>
    <reviewItem>
      <errorID>6157c5b7-9447-4e3f-b1dd-37433cbb680d</errorID>
      <errorWord>,</errorWord>
      <group>L1_Format</group>
      <groupName>格式问题</groupName>
      <ability>L2_HalfPunc</ability>
      <abilityName>全半角检查</abilityName>
      <candidateList>
        <item>，</item>
      </candidateList>
      <explain>文本全半角错误。</explain>
      <paraID>23326697</paraID>
      <start>30</start>
      <end>31</end>
      <status>unmodified</status>
      <modifiedWord/>
      <trackRevisions>false</trackRevisions>
    </reviewItem>
    <reviewItem>
      <errorID>0a255ee8-51a9-461c-8cfd-f3f98b13fb30</errorID>
      <errorWord>,</errorWord>
      <group>L1_Format</group>
      <groupName>格式问题</groupName>
      <ability>L2_HalfPunc</ability>
      <abilityName>全半角检查</abilityName>
      <candidateList>
        <item>，</item>
      </candidateList>
      <explain>文本全半角错误。</explain>
      <paraID>23326697</paraID>
      <start>37</start>
      <end>38</end>
      <status>unmodified</status>
      <modifiedWord/>
      <trackRevisions>false</trackRevisions>
    </reviewItem>
    <reviewItem>
      <errorID>92bbe6de-246d-4d04-9807-10945c454a53</errorID>
      <errorWord>,</errorWord>
      <group>L1_Format</group>
      <groupName>格式问题</groupName>
      <ability>L2_HalfPunc</ability>
      <abilityName>全半角检查</abilityName>
      <candidateList>
        <item>，</item>
      </candidateList>
      <explain>文本全半角错误。</explain>
      <paraID>23326697</paraID>
      <start>40</start>
      <end>41</end>
      <status>unmodified</status>
      <modifiedWord/>
      <trackRevisions>false</trackRevisions>
    </reviewItem>
    <reviewItem>
      <errorID>5ed37f71-8249-4086-a371-83c6fb8a9f20</errorID>
      <errorWord>,</errorWord>
      <group>L1_Format</group>
      <groupName>格式问题</groupName>
      <ability>L2_HalfPunc</ability>
      <abilityName>全半角检查</abilityName>
      <candidateList>
        <item>，</item>
      </candidateList>
      <explain>文本全半角错误。</explain>
      <paraID>23326697</paraID>
      <start>54</start>
      <end>55</end>
      <status>unmodified</status>
      <modifiedWord/>
      <trackRevisions>false</trackRevisions>
    </reviewItem>
    <reviewItem>
      <errorID>463a1757-7cb9-4594-81dd-7bc7d15c4242</errorID>
      <errorWord>,</errorWord>
      <group>L1_Format</group>
      <groupName>格式问题</groupName>
      <ability>L2_HalfPunc</ability>
      <abilityName>全半角检查</abilityName>
      <candidateList>
        <item>，</item>
      </candidateList>
      <explain>文本全半角错误。</explain>
      <paraID>23326697</paraID>
      <start>61</start>
      <end>62</end>
      <status>unmodified</status>
      <modifiedWord/>
      <trackRevisions>false</trackRevisions>
    </reviewItem>
    <reviewItem>
      <errorID>bed6c3bf-4e74-4a09-8f0d-a3dfe24680b6</errorID>
      <errorWord>,</errorWord>
      <group>L1_Format</group>
      <groupName>格式问题</groupName>
      <ability>L2_HalfPunc</ability>
      <abilityName>全半角检查</abilityName>
      <candidateList>
        <item>，</item>
      </candidateList>
      <explain>文本全半角错误。</explain>
      <paraID>23326697</paraID>
      <start>70</start>
      <end>71</end>
      <status>unmodified</status>
      <modifiedWord/>
      <trackRevisions>false</trackRevisions>
    </reviewItem>
    <reviewItem>
      <errorID>591305ca-c81c-474a-89b1-2404d6122522</errorID>
      <errorWord>,</errorWord>
      <group>L1_Format</group>
      <groupName>格式问题</groupName>
      <ability>L2_HalfPunc</ability>
      <abilityName>全半角检查</abilityName>
      <candidateList>
        <item>，</item>
      </candidateList>
      <explain>文本全半角错误。</explain>
      <paraID>23326697</paraID>
      <start>78</start>
      <end>79</end>
      <status>unmodified</status>
      <modifiedWord/>
      <trackRevisions>false</trackRevisions>
    </reviewItem>
    <reviewItem>
      <errorID>6ebe5e22-c612-461f-a824-349136ef189b</errorID>
      <errorWord>,</errorWord>
      <group>L1_Format</group>
      <groupName>格式问题</groupName>
      <ability>L2_HalfPunc</ability>
      <abilityName>全半角检查</abilityName>
      <candidateList>
        <item>，</item>
      </candidateList>
      <explain>文本全半角错误。</explain>
      <paraID> FB9FC08</paraID>
      <start>10</start>
      <end>11</end>
      <status>unmodified</status>
      <modifiedWord/>
      <trackRevisions>false</trackRevisions>
    </reviewItem>
    <reviewItem>
      <errorID>ec63a63a-4942-473e-ab6d-274d7cd0df65</errorID>
      <errorWord>,</errorWord>
      <group>L1_Format</group>
      <groupName>格式问题</groupName>
      <ability>L2_HalfPunc</ability>
      <abilityName>全半角检查</abilityName>
      <candidateList>
        <item>，</item>
      </candidateList>
      <explain>文本全半角错误。</explain>
      <paraID> FB9FC08</paraID>
      <start>31</start>
      <end>32</end>
      <status>unmodified</status>
      <modifiedWord/>
      <trackRevisions>false</trackRevisions>
    </reviewItem>
    <reviewItem>
      <errorID>c40720ec-d25f-4f2c-9d97-f6fa6a746ea2</errorID>
      <errorWord>,</errorWord>
      <group>L1_Format</group>
      <groupName>格式问题</groupName>
      <ability>L2_HalfPunc</ability>
      <abilityName>全半角检查</abilityName>
      <candidateList>
        <item>，</item>
      </candidateList>
      <explain>文本全半角错误。</explain>
      <paraID> FB9FC08</paraID>
      <start>54</start>
      <end>55</end>
      <status>unmodified</status>
      <modifiedWord/>
      <trackRevisions>false</trackRevisions>
    </reviewItem>
    <reviewItem>
      <errorID>3463b2b5-fc44-4cbc-9784-aaae265fe084</errorID>
      <errorWord>,</errorWord>
      <group>L1_Format</group>
      <groupName>格式问题</groupName>
      <ability>L2_HalfPunc</ability>
      <abilityName>全半角检查</abilityName>
      <candidateList>
        <item>，</item>
      </candidateList>
      <explain>文本全半角错误。</explain>
      <paraID>131A6BFF</paraID>
      <start>10</start>
      <end>11</end>
      <status>unmodified</status>
      <modifiedWord/>
      <trackRevisions>false</trackRevisions>
    </reviewItem>
    <reviewItem>
      <errorID>c180995c-71c0-4b6f-8ff2-d9ed24ae9afd</errorID>
      <errorWord>痠</errorWord>
      <group>L1_Word</group>
      <groupName>字词问题</groupName>
      <ability>L2_Fanti</ability>
      <abilityName>繁转简</abilityName>
      <candidateList>
        <item>酸</item>
      </candidateList>
      <explain/>
      <paraID>79F56760</paraID>
      <start>3</start>
      <end>4</end>
      <status>unmodified</status>
      <modifiedWord/>
      <trackRevisions>false</trackRevisions>
    </reviewItem>
    <reviewItem>
      <errorID>c19c9741-5c3e-4524-a630-d4beba147da8</errorID>
      <errorWord>痠</errorWord>
      <group>L1_Word</group>
      <groupName>字词问题</groupName>
      <ability>L2_Fanti</ability>
      <abilityName>繁转简</abilityName>
      <candidateList>
        <item>酸</item>
      </candidateList>
      <explain/>
      <paraID>7227B2F8</paraID>
      <start>10</start>
      <end>11</end>
      <status>unmodified</status>
      <modifiedWord/>
      <trackRevisions>false</trackRevisions>
    </reviewItem>
    <reviewItem>
      <errorID>b008b8e2-a34b-4726-94a6-7ecbbf3b5b4a</errorID>
      <errorWord>、</errorWord>
      <group>L1_Word</group>
      <groupName>字词问题</groupName>
      <ability>L2_Typo</ability>
      <abilityName>字词错误</abilityName>
      <candidateList>
        <item>、有</item>
      </candidateList>
      <explain/>
      <paraID>7227B2F8</paraID>
      <start>25</start>
      <end>26</end>
      <status>unmodified</status>
      <modifiedWord/>
      <trackRevisions>false</trackRevisions>
    </reviewItem>
    <reviewItem>
      <errorID>ce626bf6-0458-44de-8c10-f69cd62656bd</errorID>
      <errorWord>具</errorWord>
      <group>L1_Word</group>
      <groupName>字词问题</groupName>
      <ability>L2_Typo</ability>
      <abilityName>字词错误</abilityName>
      <candidateList>
        <item>具有</item>
      </candidateList>
      <explain>〈动〉有（多用于抽象事物）：～信心｜～伟大的意义。</explain>
      <paraID>2ECD5075</paraID>
      <start>39</start>
      <end>40</end>
      <status>unmodified</status>
      <modifiedWord/>
      <trackRevisions>false</trackRevisions>
    </reviewItem>
    <reviewItem>
      <errorID>8096fe0a-2e44-49e6-9e89-d0c8bef7ffed</errorID>
      <errorWord>示指</errorWord>
      <group>L1_Word</group>
      <groupName>字词问题</groupName>
      <ability>L2_Typo</ability>
      <abilityName>字词错误</abilityName>
      <candidateList>
        <item>食指</item>
      </candidateList>
      <explain/>
      <paraID>1E58BE36</paraID>
      <start>13</start>
      <end>15</end>
      <status>unmodified</status>
      <modifiedWord/>
      <trackRevisions>false</trackRevisions>
    </reviewItem>
    <reviewItem>
      <errorID>1431630d-8b50-40e1-98e6-3ccb429b77a1</errorID>
      <errorWord>具</errorWord>
      <group>L1_Word</group>
      <groupName>字词问题</groupName>
      <ability>L2_Typo</ability>
      <abilityName>字词错误</abilityName>
      <candidateList>
        <item>具有</item>
      </candidateList>
      <explain>〈动〉有（多用于抽象事物）：～信心｜～伟大的意义。</explain>
      <paraID>4731FF6C</paraID>
      <start>37</start>
      <end>38</end>
      <status>unmodified</status>
      <modifiedWord/>
      <trackRevisions>false</trackRevisions>
    </reviewItem>
    <reviewItem>
      <errorID>ccead876-dc0d-4ee0-aff7-22e87b3e9f9d</errorID>
      <errorWord>滞</errorWord>
      <group>L1_Word</group>
      <groupName>字词问题</groupName>
      <ability>L2_Typo</ability>
      <abilityName>字词错误</abilityName>
      <candidateList>
        <item>执</item>
      </candidateList>
      <explain>存在发音相同字词的误用。</explain>
      <paraID> A30544B</paraID>
      <start>99</start>
      <end>100</end>
      <status>unmodified</status>
      <modifiedWord/>
      <trackRevisions>false</trackRevisions>
    </reviewItem>
    <reviewItem>
      <errorID>81d27eb2-1e5c-4761-91e9-e08121d72d4e</errorID>
      <errorWord>Ａ</errorWord>
      <group>L1_Format</group>
      <groupName>格式问题</groupName>
      <ability>L2_HalfPunc</ability>
      <abilityName>全半角检查</abilityName>
      <candidateList>
        <item>A</item>
      </candidateList>
      <explain>文本全半角错误。</explain>
      <paraID>4D6DC275</paraID>
      <start>6</start>
      <end>7</end>
      <status>unmodified</status>
      <modifiedWord/>
      <trackRevisions>false</trackRevisions>
    </reviewItem>
    <reviewItem>
      <errorID>8a781092-02a9-4b85-b541-324dcc7e6e55</errorID>
      <errorWord>循按</errorWord>
      <group>L1_Word</group>
      <groupName>字词问题</groupName>
      <ability>L2_Typo</ability>
      <abilityName>字词错误</abilityName>
      <candidateList>
        <item>循环</item>
      </candidateList>
      <explain>〈动〉事物周而复始地运动或变化：～往复｜血液～｜～小数。</explain>
      <paraID>7E091E0B</paraID>
      <start>14</start>
      <end>16</end>
      <status>unmodified</status>
      <modifiedWord/>
      <trackRevisions>false</trackRevisions>
    </reviewItem>
    <reviewItem>
      <errorID>49251dd3-3c08-4a8f-a607-c9a1f9dfb343</errorID>
      <errorWord>分</errorWord>
      <group>L1_Word</group>
      <groupName>字词问题</groupName>
      <ability>L2_Typo</ability>
      <abilityName>字词错误</abilityName>
      <candidateList>
        <item>分为</item>
      </candidateList>
      <explain/>
      <paraID>4AFD06A0</paraID>
      <start>4</start>
      <end>5</end>
      <status>unmodified</status>
      <modifiedWord/>
      <trackRevisions>false</trackRevisions>
    </reviewItem>
    <reviewItem>
      <errorID>c380920c-cf4c-41bf-a719-d8ee28bcce4d</errorID>
      <errorWord>有如</errorWord>
      <group>L1_Word</group>
      <groupName>字词问题</groupName>
      <ability>L2_Typo</ability>
      <abilityName>字词错误</abilityName>
      <candidateList>
        <item>犹如</item>
      </candidateList>
      <explain>存在发音相同字词的误用。</explain>
      <paraID>6DE9A422</paraID>
      <start>40</start>
      <end>42</end>
      <status>unmodified</status>
      <modifiedWord/>
      <trackRevisions>false</trackRevisions>
    </reviewItem>
    <reviewItem>
      <errorID>f42a8733-6476-44ed-94d2-9491a7146968</errorID>
      <errorWord>漏斗型</errorWord>
      <group>L1_Word</group>
      <groupName>字词问题</groupName>
      <ability>L2_Typo</ability>
      <abilityName>字词错误</abilityName>
      <candidateList>
        <item>漏斗形</item>
      </candidateList>
      <explain/>
      <paraID>6DE9A422</paraID>
      <start>104</start>
      <end>107</end>
      <status>unmodified</status>
      <modifiedWord/>
      <trackRevisions>false</trackRevisions>
    </reviewItem>
    <reviewItem>
      <errorID>82be21c2-bf86-4bcd-9bb9-956f55ee64ec</errorID>
      <errorWord>更</errorWord>
      <group>L1_Word</group>
      <groupName>字词问题</groupName>
      <ability>L2_Typo</ability>
      <abilityName>字词错误</abilityName>
      <candidateList>
        <item>更加</item>
      </candidateList>
      <explain>〈副〉表示程度上又深了一层或者数量上进一步增加或减少：公家的书，应该～爱护｜天色渐亮，晨星～稀少了。</explain>
      <paraID>2933946C</paraID>
      <start>4</start>
      <end>5</end>
      <status>unmodified</status>
      <modifiedWord/>
      <trackRevisions>false</trackRevisions>
    </reviewItem>
    <reviewItem>
      <errorID>99af5a34-3f1a-4317-84af-8a0182c7061d</errorID>
      <errorWord>希</errorWord>
      <group>L1_Word</group>
      <groupName>字词问题</groupName>
      <ability>L2_Typo</ability>
      <abilityName>字词错误</abilityName>
      <candidateList>
        <item>希望</item>
      </candidateList>
      <explain/>
      <paraID>3E95E58E</paraID>
      <start>14</start>
      <end>15</end>
      <status>unmodified</status>
      <modifiedWord/>
      <trackRevisions>false</trackRevisions>
    </reviewItem>
    <reviewItem>
      <errorID>b03ff2a1-7e8a-4d5e-9716-066d4b100058</errorID>
      <errorWord>Ｄ</errorWord>
      <group>L1_Format</group>
      <groupName>格式问题</groupName>
      <ability>L2_HalfPunc</ability>
      <abilityName>全半角检查</abilityName>
      <candidateList>
        <item>D</item>
      </candidateList>
      <explain>文本全半角错误。</explain>
      <paraID>536E4A3E</paraID>
      <start>5</start>
      <end>6</end>
      <status>unmodified</status>
      <modifiedWord/>
      <trackRevisions>false</trackRevisions>
    </reviewItem>
    <reviewItem>
      <errorID>39ca1647-1dad-44bd-8f7b-d266807629f5</errorID>
      <errorWord>~</errorWord>
      <group>L1_Format</group>
      <groupName>格式问题</groupName>
      <ability>L2_HalfPunc</ability>
      <abilityName>全半角检查</abilityName>
      <candidateList>
        <item>～</item>
      </candidateList>
      <explain>文本全半角错误。</explain>
      <paraID>78BA3C3D</paraID>
      <start>6</start>
      <end>7</end>
      <status>unmodified</status>
      <modifiedWord/>
      <trackRevisions>false</trackRevisions>
    </reviewItem>
    <reviewItem>
      <errorID>aa5dcc56-0029-4981-bf4d-b2ceaaadb316</errorID>
      <errorWord>苷症</errorWord>
      <group>L1_Word</group>
      <groupName>字词问题</groupName>
      <ability>L2_Typo</ability>
      <abilityName>字词错误</abilityName>
      <candidateList>
        <item>炎症</item>
      </candidateList>
      <explain>存在发音相近字词的误用。</explain>
      <paraID>473919E8</paraID>
      <start>22</start>
      <end>24</end>
      <status>unmodified</status>
      <modifiedWord/>
      <trackRevisions>false</trackRevisions>
    </reviewItem>
    <reviewItem>
      <errorID>c560444d-1893-4299-a1a1-8d4c341f1f0d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473919E8</paraID>
      <start>33</start>
      <end>34</end>
      <status>unmodified</status>
      <modifiedWord/>
      <trackRevisions>false</trackRevisions>
    </reviewItem>
    <reviewItem>
      <errorID>752041e3-5a87-4df0-b779-c743cac04472</errorID>
      <errorWord>，因</errorWord>
      <group>L1_Word</group>
      <groupName>字词问题</groupName>
      <ability>L2_Typo</ability>
      <abilityName>字词错误</abilityName>
      <candidateList>
        <item>，</item>
      </candidateList>
      <explain/>
      <paraID>5DBE293E</paraID>
      <start>14</start>
      <end>16</end>
      <status>unmodified</status>
      <modifiedWord/>
      <trackRevisions>false</trackRevisions>
    </reviewItem>
    <reviewItem>
      <errorID>a2037848-0eaf-4398-b9ea-9e797fdef2ff</errorID>
      <errorWord>“～</errorWord>
      <group>L1_Punc</group>
      <groupName>标点问题</groupName>
      <ability>L2_Punc</ability>
      <abilityName>标点符号检查</abilityName>
      <candidateList>
        <item>“</item>
      </candidateList>
      <explain/>
      <paraID>749554EC</paraID>
      <start>4</start>
      <end>6</end>
      <status>unmodified</status>
      <modifiedWord/>
      <trackRevisions>false</trackRevisions>
    </reviewItem>
    <reviewItem>
      <errorID>4ddb501c-2881-4471-947c-bb2ae65d9ffb</errorID>
      <errorWord>不</errorWord>
      <group>L1_Word</group>
      <groupName>字词问题</groupName>
      <ability>L2_Typo</ability>
      <abilityName>字词错误</abilityName>
      <candidateList>
        <item>不符</item>
      </candidateList>
      <explain/>
      <paraID>47F73D02</paraID>
      <start>68</start>
      <end>69</end>
      <status>unmodified</status>
      <modifiedWord/>
      <trackRevisions>false</trackRevisions>
    </reviewItem>
    <reviewItem>
      <errorID>0a5bd47c-cc49-48a9-9087-879239c08dc1</errorID>
      <errorWord>作</errorWord>
      <group>L1_Word</group>
      <groupName>字词问题</groupName>
      <ability>L2_Typo</ability>
      <abilityName>字词错误</abilityName>
      <candidateList>
        <item>做</item>
      </candidateList>
      <explain>存在发音相同字词的误用。</explain>
      <paraID>4017F883</paraID>
      <start>29</start>
      <end>30</end>
      <status>unmodified</status>
      <modifiedWord/>
      <trackRevisions>false</trackRevisions>
    </reviewItem>
    <reviewItem>
      <errorID>133be0bb-8c00-4d56-9a3d-f5ae396b0b7c</errorID>
      <errorWord>"</errorWord>
      <group>L1_Format</group>
      <groupName>格式问题</groupName>
      <ability>L2_HalfPunc</ability>
      <abilityName>全半角检查</abilityName>
      <candidateList>
        <item>“</item>
      </candidateList>
      <explain>文本全半角错误。</explain>
      <paraID>2659E2E5</paraID>
      <start>2</start>
      <end>3</end>
      <status>unmodified</status>
      <modifiedWord/>
      <trackRevisions>false</trackRevisions>
    </reviewItem>
    <reviewItem>
      <errorID>acddb311-757f-4b13-a4ec-97648569640c</errorID>
      <errorWord>'</errorWord>
      <group>L1_Format</group>
      <groupName>格式问题</groupName>
      <ability>L2_HalfPunc</ability>
      <abilityName>全半角检查</abilityName>
      <candidateList/>
      <explain>文本全半角错误。</explain>
      <paraID>2659E2E5</paraID>
      <start>9</start>
      <end>10</end>
      <status>unmodified</status>
      <modifiedWord/>
      <trackRevisions>false</trackRevisions>
    </reviewItem>
    <reviewItem>
      <errorID>e25f37e6-d713-4c48-8166-11049d4554c5</errorID>
      <errorWord>'</errorWord>
      <group>L1_Format</group>
      <groupName>格式问题</groupName>
      <ability>L2_HalfPunc</ability>
      <abilityName>全半角检查</abilityName>
      <candidateList/>
      <explain>文本全半角错误。</explain>
      <paraID>2659E2E5</paraID>
      <start>16</start>
      <end>17</end>
      <status>unmodified</status>
      <modifiedWord/>
      <trackRevisions>false</trackRevisions>
    </reviewItem>
    <reviewItem>
      <errorID>e76c657b-c567-4c00-bbbe-56517495dfe0</errorID>
      <errorWord>"</errorWord>
      <group>L1_Format</group>
      <groupName>格式问题</groupName>
      <ability>L2_HalfPunc</ability>
      <abilityName>全半角检查</abilityName>
      <candidateList/>
      <explain>文本全半角错误。</explain>
      <paraID>2659E2E5</paraID>
      <start>18</start>
      <end>19</end>
      <status>unmodified</status>
      <modifiedWord/>
      <trackRevisions>false</trackRevisions>
    </reviewItem>
    <reviewItem>
      <errorID>bf185f4f-0ec1-4cc4-9319-1bfcb67d265a</errorID>
      <errorWord>施</errorWord>
      <group>L1_Word</group>
      <groupName>字词问题</groupName>
      <ability>L2_Typo</ability>
      <abilityName>字词错误</abilityName>
      <candidateList>
        <item/>
      </candidateList>
      <explain/>
      <paraID>2D741B25</paraID>
      <start>7</start>
      <end>8</end>
      <status>unmodified</status>
      <modifiedWord/>
      <trackRevisions>false</trackRevisions>
    </reviewItem>
    <reviewItem>
      <errorID>1104c5f4-0e88-488c-ad02-fb3696172d43</errorID>
      <errorWord>水泡</errorWord>
      <group>L1_Word</group>
      <groupName>字词问题</groupName>
      <ability>L2_Typo</ability>
      <abilityName>字词错误</abilityName>
      <candidateList>
        <item>水疱</item>
      </candidateList>
      <explain>存在发音相同字词的误用。</explain>
      <paraID>1409EC52</paraID>
      <start>54</start>
      <end>56</end>
      <status>unmodified</status>
      <modifiedWord/>
      <trackRevisions>false</trackRevisions>
    </reviewItem>
    <reviewItem>
      <errorID>7e4596da-f3a9-4141-b1ee-4d1572eb8124</errorID>
      <errorWord>灸泡</errorWord>
      <group>L1_Word</group>
      <groupName>字词问题</groupName>
      <ability>L2_Typo</ability>
      <abilityName>字词错误</abilityName>
      <candidateList>
        <item>浸泡</item>
      </candidateList>
      <explain>〈动〉在液体中泡：～蚕豆｜木桩长年～在水里容易朽烂。</explain>
      <paraID>1409EC52</paraID>
      <start>161</start>
      <end>163</end>
      <status>unmodified</status>
      <modifiedWord/>
      <trackRevisions>false</trackRevisions>
    </reviewItem>
    <reviewItem>
      <errorID>d9373fe7-7201-4971-99d5-3be94f0342ec</errorID>
      <errorWord>明明</errorWord>
      <group>L1_Word</group>
      <groupName>字词问题</groupName>
      <ability>L2_Typo</ability>
      <abilityName>字词错误</abilityName>
      <candidateList>
        <item>明</item>
      </candidateList>
      <explain/>
      <paraID>  897935</paraID>
      <start>22</start>
      <end>24</end>
      <status>unmodified</status>
      <modifiedWord/>
      <trackRevisions>false</trackRevisions>
    </reviewItem>
    <reviewItem>
      <errorID>82a4396a-ee29-4277-992b-9ec94d9c67b8</errorID>
      <errorWord>直观</errorWord>
      <group>L1_Word</group>
      <groupName>字词问题</groupName>
      <ability>L2_Typo</ability>
      <abilityName>字词错误</abilityName>
      <candidateList>
        <item>简单</item>
      </candidateList>
      <explain>“直观～复制”搭配不当，建议修改为“简单～复制”。</explain>
      <paraID>3C9BFD9F</paraID>
      <start>215</start>
      <end>217</end>
      <status>unmodified</status>
      <modifiedWord/>
      <trackRevisions>false</trackRevisions>
    </reviewItem>
    <reviewItem>
      <errorID>d6945c0e-de5d-432d-8bdb-cc75486cad19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38C9F8C2</paraID>
      <start>40</start>
      <end>41</end>
      <status>unmodified</status>
      <modifiedWord/>
      <trackRevisions>false</trackRevisions>
    </reviewItem>
    <reviewItem>
      <errorID>a18cc134-9715-4f55-ab59-d7527ca7966e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38C9F8C2</paraID>
      <start>48</start>
      <end>49</end>
      <status>unmodified</status>
      <modifiedWord/>
      <trackRevisions>false</trackRevisions>
    </reviewItem>
    <reviewItem>
      <errorID>6da1f8c7-5957-4096-af15-937812fb4887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38C9F8C2</paraID>
      <start>57</start>
      <end>58</end>
      <status>unmodified</status>
      <modifiedWord/>
      <trackRevisions>false</trackRevisions>
    </reviewItem>
    <reviewItem>
      <errorID>ea0f29a9-996d-4ce0-b10c-dcb845d14534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38C9F8C2</paraID>
      <start>65</start>
      <end>66</end>
      <status>unmodified</status>
      <modifiedWord/>
      <trackRevisions>false</trackRevisions>
    </reviewItem>
    <reviewItem>
      <errorID>5bba2905-3678-45ba-ac5c-0ec113340b49</errorID>
      <errorWord>需</errorWord>
      <group>L1_Word</group>
      <groupName>字词问题</groupName>
      <ability>L2_Typo</ability>
      <abilityName>字词错误</abilityName>
      <candidateList>
        <item>需要</item>
      </candidateList>
      <explain>❶〈动〉应该有或必须有：我们～一支强大的科学技术队伍。❷〈名〉对事物的欲望或要求：从群众的～出发。</explain>
      <paraID>38C9F8C2</paraID>
      <start>171</start>
      <end>172</end>
      <status>unmodified</status>
      <modifiedWord/>
      <trackRevisions>false</trackRevisions>
    </reviewItem>
    <reviewItem>
      <errorID>e7dde30c-231a-42c4-b286-ddb0a1d98555</errorID>
      <errorWord>意</errorWord>
      <group>L1_Word</group>
      <groupName>字词问题</groupName>
      <ability>L2_Typo</ability>
      <abilityName>字词错误</abilityName>
      <candidateList>
        <item>以</item>
      </candidateList>
      <explain>存在发音相同字词的误用。</explain>
      <paraID>31896AF6</paraID>
      <start>44</start>
      <end>45</end>
      <status>unmodified</status>
      <modifiedWord/>
      <trackRevisions>false</trackRevisions>
    </reviewItem>
    <reviewItem>
      <errorID>ee14a0bb-caf4-49e0-9c88-6a59662066be</errorID>
      <errorWord>？。</errorWord>
      <group>L1_Punc</group>
      <groupName>标点问题</groupName>
      <ability>L2_Punc</ability>
      <abilityName>标点符号检查</abilityName>
      <candidateList>
        <item>？</item>
      </candidateList>
      <explain/>
      <paraID>3F6B3C6B</paraID>
      <start>53</start>
      <end>55</end>
      <status>unmodified</status>
      <modifiedWord/>
      <trackRevisions>false</trackRevisions>
    </reviewItem>
    <reviewItem>
      <errorID>57fc5558-d15d-413b-ad7e-641ee18b8ff6</errorID>
      <errorWord>示指</errorWord>
      <group>L1_Word</group>
      <groupName>字词问题</groupName>
      <ability>L2_Typo</ability>
      <abilityName>字词错误</abilityName>
      <candidateList>
        <item>食指</item>
      </candidateList>
      <explain/>
      <paraID>5EBB82C8</paraID>
      <start>6</start>
      <end>8</end>
      <status>unmodified</status>
      <modifiedWord/>
      <trackRevisions>false</trackRevisions>
    </reviewItem>
    <reviewItem>
      <errorID>091b0f88-ac6a-4642-9d53-18d7beb0f7ff</errorID>
      <errorWord>”</errorWord>
      <group>L1_Punc</group>
      <groupName>标点问题</groupName>
      <ability>L2_Punc</ability>
      <abilityName>标点符号检查</abilityName>
      <candidateList/>
      <explain/>
      <paraID>6569DA67</paraID>
      <start>18</start>
      <end>19</end>
      <status>unmodified</status>
      <modifiedWord/>
      <trackRevisions>false</trackRevisions>
    </reviewItem>
    <reviewItem>
      <errorID>118054a3-92ef-4793-99a4-03781af576f0</errorID>
      <errorWord>五</errorWord>
      <group>L1_Word</group>
      <groupName>字词问题</groupName>
      <ability>L2_Typo</ability>
      <abilityName>字词错误</abilityName>
      <candidateList>
        <item>五个</item>
      </candidateList>
      <explain/>
      <paraID>32934863</paraID>
      <start>18</start>
      <end>19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0EAB6C-C109-4D30-8A5D-0DD200A8F1FE}">
  <ds:schemaRefs/>
</ds:datastoreItem>
</file>

<file path=docProps/app.xml><?xml version="1.0" encoding="utf-8"?>
<Properties xmlns="http://schemas.openxmlformats.org/officeDocument/2006/extended-properties" xmlns:vt="http://schemas.openxmlformats.org/officeDocument/2006/docPropsVTypes">
  <Template>Normal</Template>
  <Pages>150</Pages>
  <Words>14573</Words>
  <Characters>15498</Characters>
  <Lines>366</Lines>
  <Paragraphs>103</Paragraphs>
  <TotalTime>0</TotalTime>
  <ScaleCrop>false</ScaleCrop>
  <LinksUpToDate>false</LinksUpToDate>
  <CharactersWithSpaces>15799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2025-12-25T02:54:00Z</dcterms:created>
  <dc:creator>单祎文</dc:creator>
  <cp:lastModifiedBy>王喵喵</cp:lastModifiedBy>
  <dcterms:modified xsi:type="dcterms:W3CDTF">2026-09-21T01:55:14Z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FE562471AC0049FCAAB786EB642CF10B_11</vt:lpwstr>
  </property>
  <property fmtid="{D5CDD505-2E9C-101B-9397-08002B2CF9AE}" pid="4" name="KSOTemplateDocerSaveRecord">
    <vt:lpwstr>eyJoZGlkIjoiZTBkODljMjVjZWRmMjUyYzM1YmMxYjc1YjAzZjFlZjgiLCJ1c2VySWQiOiIzMzc3NzAyMzcifQ==</vt:lpwstr>
  </property>
</Properties>
</file>