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5"/>
        <w:tblW w:w="10924" w:type="dxa"/>
        <w:jc w:val="center"/>
        <w:tblLayout w:type="fixed"/>
        <w:tblCellMar>
          <w:top w:w="0" w:type="dxa"/>
          <w:left w:w="108" w:type="dxa"/>
          <w:bottom w:w="0" w:type="dxa"/>
          <w:right w:w="108" w:type="dxa"/>
        </w:tblCellMar>
      </w:tblPr>
      <w:tblGrid>
        <w:gridCol w:w="1730"/>
        <w:gridCol w:w="2663"/>
        <w:gridCol w:w="6531"/>
      </w:tblGrid>
      <w:tr w14:paraId="611A2826">
        <w:trPr>
          <w:trHeight w:val="1050" w:hRule="atLeast"/>
          <w:jc w:val="center"/>
        </w:trPr>
        <w:tc>
          <w:tcPr>
            <w:tcW w:w="4393" w:type="dxa"/>
            <w:gridSpan w:val="2"/>
          </w:tcPr>
          <w:p w14:paraId="54E2EA90">
            <w:pPr>
              <w:tabs>
                <w:tab w:val="left" w:pos="6420"/>
              </w:tabs>
              <w:spacing w:before="62" w:beforeLines="20" w:line="276" w:lineRule="auto"/>
              <w:ind w:right="600"/>
              <w:rPr>
                <w:rFonts w:ascii="Cambria" w:hAnsi="Cambria" w:eastAsia="黑体"/>
                <w:bCs/>
                <w:color w:val="000000" w:themeColor="text1"/>
                <w:sz w:val="24"/>
                <w:szCs w:val="24"/>
                <w14:textFill>
                  <w14:solidFill>
                    <w14:schemeClr w14:val="tx1"/>
                  </w14:solidFill>
                </w14:textFill>
              </w:rPr>
            </w:pPr>
            <w:r>
              <w:rPr>
                <w:rFonts w:ascii="Cambria" w:hAnsi="Cambria" w:eastAsia="黑体"/>
                <w:bCs/>
                <w:color w:val="000000" w:themeColor="text1"/>
                <w:sz w:val="24"/>
                <w:szCs w:val="24"/>
                <w14:textFill>
                  <w14:solidFill>
                    <w14:schemeClr w14:val="tx1"/>
                  </w14:solidFill>
                </w14:textFill>
              </w:rPr>
              <w:t>ICS **.***</w:t>
            </w:r>
          </w:p>
          <w:p w14:paraId="3AAFA598">
            <w:pPr>
              <w:tabs>
                <w:tab w:val="left" w:pos="6420"/>
              </w:tabs>
              <w:wordWrap w:val="0"/>
              <w:spacing w:before="62" w:beforeLines="20" w:line="276" w:lineRule="auto"/>
              <w:ind w:right="600"/>
              <w:rPr>
                <w:rFonts w:ascii="Cambria" w:hAnsi="Cambria" w:eastAsia="黑体"/>
                <w:b/>
                <w:color w:val="000000" w:themeColor="text1"/>
                <w:sz w:val="18"/>
                <w14:textFill>
                  <w14:solidFill>
                    <w14:schemeClr w14:val="tx1"/>
                  </w14:solidFill>
                </w14:textFill>
              </w:rPr>
            </w:pPr>
          </w:p>
        </w:tc>
        <w:tc>
          <w:tcPr>
            <w:tcW w:w="6531" w:type="dxa"/>
          </w:tcPr>
          <w:p w14:paraId="0AD0AB16">
            <w:pPr>
              <w:tabs>
                <w:tab w:val="left" w:pos="6574"/>
              </w:tabs>
              <w:wordWrap w:val="0"/>
              <w:spacing w:before="62" w:beforeLines="20" w:line="276" w:lineRule="auto"/>
              <w:ind w:left="2322" w:hanging="1995"/>
              <w:jc w:val="right"/>
              <w:rPr>
                <w:rFonts w:ascii="Cambria" w:hAnsi="Cambria" w:eastAsia="黑体"/>
                <w:b/>
                <w:color w:val="000000" w:themeColor="text1"/>
                <w:sz w:val="72"/>
                <w:szCs w:val="72"/>
                <w14:textFill>
                  <w14:solidFill>
                    <w14:schemeClr w14:val="tx1"/>
                  </w14:solidFill>
                </w14:textFill>
              </w:rPr>
            </w:pPr>
            <w:r>
              <w:rPr>
                <w:rFonts w:hint="eastAsia" w:ascii="Cambria" w:hAnsi="Cambria" w:eastAsia="黑体"/>
                <w:b/>
                <w:color w:val="000000" w:themeColor="text1"/>
                <w:sz w:val="76"/>
                <w14:textFill>
                  <w14:solidFill>
                    <w14:schemeClr w14:val="tx1"/>
                  </w14:solidFill>
                </w14:textFill>
              </w:rPr>
              <w:t xml:space="preserve">         </w:t>
            </w:r>
            <w:r>
              <w:rPr>
                <w:rFonts w:hint="eastAsia" w:ascii="Cambria" w:hAnsi="Cambria" w:eastAsia="黑体"/>
                <w:b/>
                <w:color w:val="000000" w:themeColor="text1"/>
                <w:sz w:val="72"/>
                <w:szCs w:val="72"/>
                <w14:textFill>
                  <w14:solidFill>
                    <w14:schemeClr w14:val="tx1"/>
                  </w14:solidFill>
                </w14:textFill>
              </w:rPr>
              <w:t xml:space="preserve"> </w:t>
            </w:r>
            <w:r>
              <w:rPr>
                <w:rFonts w:ascii="Cambria" w:hAnsi="Cambria" w:eastAsia="黑体"/>
                <w:b/>
                <w:color w:val="000000" w:themeColor="text1"/>
                <w:sz w:val="72"/>
                <w:szCs w:val="72"/>
                <w14:textFill>
                  <w14:solidFill>
                    <w14:schemeClr w14:val="tx1"/>
                  </w14:solidFill>
                </w14:textFill>
              </w:rPr>
              <w:t xml:space="preserve">SCM </w:t>
            </w:r>
          </w:p>
        </w:tc>
      </w:tr>
      <w:tr w14:paraId="749833C2">
        <w:tblPrEx>
          <w:tblCellMar>
            <w:top w:w="0" w:type="dxa"/>
            <w:left w:w="108" w:type="dxa"/>
            <w:bottom w:w="0" w:type="dxa"/>
            <w:right w:w="108" w:type="dxa"/>
          </w:tblCellMar>
        </w:tblPrEx>
        <w:trPr>
          <w:trHeight w:val="1581" w:hRule="atLeast"/>
          <w:jc w:val="center"/>
        </w:trPr>
        <w:tc>
          <w:tcPr>
            <w:tcW w:w="1730" w:type="dxa"/>
            <w:vAlign w:val="center"/>
          </w:tcPr>
          <w:p w14:paraId="31984AFB">
            <w:pPr>
              <w:spacing w:line="276" w:lineRule="auto"/>
              <w:ind w:left="980" w:hanging="560"/>
              <w:rPr>
                <w:rFonts w:ascii="Cambria" w:hAnsi="Cambria" w:eastAsia="黑体" w:cs="Arial"/>
                <w:color w:val="000000" w:themeColor="text1"/>
                <w:sz w:val="28"/>
                <w14:textFill>
                  <w14:solidFill>
                    <w14:schemeClr w14:val="tx1"/>
                  </w14:solidFill>
                </w14:textFill>
              </w:rPr>
            </w:pPr>
            <w:r>
              <w:rPr>
                <w:rFonts w:hint="eastAsia" w:ascii="Cambria" w:hAnsi="Cambria" w:eastAsia="黑体" w:cs="Arial"/>
                <w:color w:val="000000" w:themeColor="text1"/>
                <w:sz w:val="28"/>
                <w14:textFill>
                  <w14:solidFill>
                    <w14:schemeClr w14:val="tx1"/>
                  </w14:solidFill>
                </w14:textFill>
              </w:rPr>
              <w:drawing>
                <wp:anchor distT="0" distB="0" distL="114300" distR="114300" simplePos="0" relativeHeight="251661312" behindDoc="0" locked="0" layoutInCell="1" allowOverlap="1">
                  <wp:simplePos x="0" y="0"/>
                  <wp:positionH relativeFrom="column">
                    <wp:posOffset>0</wp:posOffset>
                  </wp:positionH>
                  <wp:positionV relativeFrom="paragraph">
                    <wp:posOffset>34925</wp:posOffset>
                  </wp:positionV>
                  <wp:extent cx="959485" cy="959485"/>
                  <wp:effectExtent l="0" t="0" r="2540" b="2540"/>
                  <wp:wrapNone/>
                  <wp:docPr id="2" name="图片 4" descr="中联标（正确）-八卦图是反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中联标（正确）-八卦图是反S"/>
                          <pic:cNvPicPr>
                            <a:picLocks noChangeAspect="1"/>
                          </pic:cNvPicPr>
                        </pic:nvPicPr>
                        <pic:blipFill>
                          <a:blip r:embed="rId7"/>
                          <a:stretch>
                            <a:fillRect/>
                          </a:stretch>
                        </pic:blipFill>
                        <pic:spPr>
                          <a:xfrm>
                            <a:off x="0" y="0"/>
                            <a:ext cx="959485" cy="959485"/>
                          </a:xfrm>
                          <a:prstGeom prst="rect">
                            <a:avLst/>
                          </a:prstGeom>
                          <a:noFill/>
                          <a:ln>
                            <a:noFill/>
                          </a:ln>
                        </pic:spPr>
                      </pic:pic>
                    </a:graphicData>
                  </a:graphic>
                </wp:anchor>
              </w:drawing>
            </w:r>
          </w:p>
        </w:tc>
        <w:tc>
          <w:tcPr>
            <w:tcW w:w="9194" w:type="dxa"/>
            <w:gridSpan w:val="2"/>
          </w:tcPr>
          <w:p w14:paraId="0153AC11">
            <w:pPr>
              <w:spacing w:before="249" w:beforeLines="80" w:line="276" w:lineRule="auto"/>
              <w:jc w:val="left"/>
              <w:rPr>
                <w:rFonts w:ascii="Cambria" w:hAnsi="Cambria" w:eastAsia="黑体" w:cs="Arial"/>
                <w:bCs/>
                <w:color w:val="000000" w:themeColor="text1"/>
                <w:sz w:val="36"/>
                <w:szCs w:val="36"/>
                <w14:textFill>
                  <w14:solidFill>
                    <w14:schemeClr w14:val="tx1"/>
                  </w14:solidFill>
                </w14:textFill>
              </w:rPr>
            </w:pPr>
            <w:r>
              <w:rPr>
                <w:rFonts w:hint="eastAsia" w:ascii="Cambria" w:hAnsi="Cambria" w:eastAsia="黑体" w:cs="Arial"/>
                <w:bCs/>
                <w:color w:val="000000" w:themeColor="text1"/>
                <w:spacing w:val="0"/>
                <w:kern w:val="0"/>
                <w:sz w:val="36"/>
                <w:szCs w:val="36"/>
                <w:fitText w:val="3600" w:id="802714542"/>
                <w14:textFill>
                  <w14:solidFill>
                    <w14:schemeClr w14:val="tx1"/>
                  </w14:solidFill>
                </w14:textFill>
              </w:rPr>
              <w:t>世界中医药学会联合会</w:t>
            </w:r>
            <w:r>
              <w:rPr>
                <w:rFonts w:hint="eastAsia" w:ascii="Cambria" w:hAnsi="Cambria" w:eastAsia="黑体" w:cs="Arial"/>
                <w:bCs/>
                <w:color w:val="000000" w:themeColor="text1"/>
                <w:kern w:val="0"/>
                <w:sz w:val="36"/>
                <w:szCs w:val="36"/>
                <w14:textFill>
                  <w14:solidFill>
                    <w14:schemeClr w14:val="tx1"/>
                  </w14:solidFill>
                </w14:textFill>
              </w:rPr>
              <w:t xml:space="preserve">               </w:t>
            </w:r>
          </w:p>
          <w:p w14:paraId="1420C601">
            <w:pPr>
              <w:spacing w:line="276" w:lineRule="auto"/>
              <w:jc w:val="left"/>
              <w:rPr>
                <w:rFonts w:ascii="Cambria" w:hAnsi="Cambria" w:eastAsia="黑体" w:cs="Arial"/>
                <w:color w:val="000000" w:themeColor="text1"/>
                <w:sz w:val="36"/>
                <w14:textFill>
                  <w14:solidFill>
                    <w14:schemeClr w14:val="tx1"/>
                  </w14:solidFill>
                </w14:textFill>
              </w:rPr>
            </w:pPr>
            <w:r>
              <w:rPr>
                <w:rFonts w:hint="eastAsia" w:ascii="Cambria" w:hAnsi="Cambria" w:eastAsia="黑体" w:cs="Arial"/>
                <w:color w:val="000000" w:themeColor="text1"/>
                <w:sz w:val="32"/>
                <w:szCs w:val="32"/>
                <w14:textFill>
                  <w14:solidFill>
                    <w14:schemeClr w14:val="tx1"/>
                  </w14:solidFill>
                </w14:textFill>
              </w:rPr>
              <w:t>World Federation of Chinese Medicine Societies</w:t>
            </w:r>
          </w:p>
        </w:tc>
      </w:tr>
      <w:tr w14:paraId="05B6D4B7">
        <w:tblPrEx>
          <w:tblCellMar>
            <w:top w:w="0" w:type="dxa"/>
            <w:left w:w="108" w:type="dxa"/>
            <w:bottom w:w="0" w:type="dxa"/>
            <w:right w:w="108" w:type="dxa"/>
          </w:tblCellMar>
        </w:tblPrEx>
        <w:trPr>
          <w:trHeight w:val="599" w:hRule="atLeast"/>
          <w:jc w:val="center"/>
        </w:trPr>
        <w:tc>
          <w:tcPr>
            <w:tcW w:w="10924" w:type="dxa"/>
            <w:gridSpan w:val="3"/>
            <w:tcBorders>
              <w:bottom w:val="single" w:color="auto" w:sz="4" w:space="0"/>
            </w:tcBorders>
          </w:tcPr>
          <w:p w14:paraId="2C00BBFE">
            <w:pPr>
              <w:spacing w:line="276" w:lineRule="auto"/>
              <w:ind w:left="32" w:right="24"/>
              <w:rPr>
                <w:rFonts w:hint="eastAsia" w:ascii="Cambria" w:hAnsi="Cambria" w:eastAsia="等线" w:cs="Arial"/>
                <w:color w:val="000000" w:themeColor="text1"/>
                <w:sz w:val="28"/>
                <w:lang w:val="en-US" w:eastAsia="zh-CN"/>
                <w14:textFill>
                  <w14:solidFill>
                    <w14:schemeClr w14:val="tx1"/>
                  </w14:solidFill>
                </w14:textFill>
              </w:rPr>
            </w:pPr>
            <w:r>
              <w:rPr>
                <w:rFonts w:ascii="Cambria" w:hAnsi="Cambria" w:eastAsia="等线" w:cs="Arial"/>
                <w:color w:val="000000" w:themeColor="text1"/>
                <w:sz w:val="24"/>
                <w:szCs w:val="32"/>
                <w14:textFill>
                  <w14:solidFill>
                    <w14:schemeClr w14:val="tx1"/>
                  </w14:solidFill>
                </w14:textFill>
              </w:rPr>
              <w:t xml:space="preserve">                                                        </w:t>
            </w:r>
            <w:r>
              <w:rPr>
                <w:rFonts w:hint="eastAsia" w:ascii="Cambria" w:hAnsi="Cambria" w:eastAsia="等线" w:cs="Arial"/>
                <w:color w:val="000000" w:themeColor="text1"/>
                <w:sz w:val="24"/>
                <w:szCs w:val="32"/>
                <w14:textFill>
                  <w14:solidFill>
                    <w14:schemeClr w14:val="tx1"/>
                  </w14:solidFill>
                </w14:textFill>
              </w:rPr>
              <w:t xml:space="preserve">          </w:t>
            </w:r>
            <w:r>
              <w:rPr>
                <w:rFonts w:ascii="Cambria" w:hAnsi="Cambria" w:eastAsia="等线" w:cs="Arial"/>
                <w:bCs/>
                <w:color w:val="000000" w:themeColor="text1"/>
                <w:sz w:val="28"/>
                <w:szCs w:val="28"/>
                <w14:textFill>
                  <w14:solidFill>
                    <w14:schemeClr w14:val="tx1"/>
                  </w14:solidFill>
                </w14:textFill>
              </w:rPr>
              <w:t xml:space="preserve"> </w:t>
            </w:r>
            <w:r>
              <w:rPr>
                <w:rFonts w:ascii="Cambria" w:hAnsi="Cambria" w:eastAsia="等线" w:cs="Arial"/>
                <w:b/>
                <w:color w:val="0C1F0E"/>
                <w:sz w:val="30"/>
                <w:szCs w:val="30"/>
              </w:rPr>
              <w:t>SCM</w:t>
            </w:r>
            <w:r>
              <w:rPr>
                <w:rFonts w:hint="eastAsia" w:ascii="Cambria" w:hAnsi="Cambria" w:eastAsia="等线" w:cs="Arial"/>
                <w:b/>
                <w:color w:val="0C1F0E"/>
                <w:sz w:val="30"/>
                <w:szCs w:val="30"/>
                <w:lang w:val="en-US" w:eastAsia="zh-CN"/>
              </w:rPr>
              <w:t>/NP</w:t>
            </w:r>
            <w:r>
              <w:rPr>
                <w:rFonts w:ascii="Cambria" w:hAnsi="Cambria" w:eastAsia="等线" w:cs="Arial"/>
                <w:b/>
                <w:color w:val="0C1F0E"/>
                <w:sz w:val="30"/>
                <w:szCs w:val="30"/>
              </w:rPr>
              <w:t>-20</w:t>
            </w:r>
            <w:r>
              <w:rPr>
                <w:rFonts w:hint="eastAsia" w:ascii="Cambria" w:hAnsi="Cambria" w:eastAsia="等线" w:cs="Arial"/>
                <w:b/>
                <w:color w:val="0C1F0E"/>
                <w:sz w:val="30"/>
                <w:szCs w:val="30"/>
                <w:lang w:val="en-US" w:eastAsia="zh-CN"/>
              </w:rPr>
              <w:t>25-19</w:t>
            </w:r>
            <w:r>
              <w:rPr>
                <w:rFonts w:hint="eastAsia" w:ascii="Cambria" w:hAnsi="Cambria" w:eastAsia="等线" w:cs="Arial"/>
                <w:b/>
                <w:color w:val="000000" w:themeColor="text1"/>
                <w:sz w:val="30"/>
                <w:szCs w:val="30"/>
                <w:lang w:val="en-US" w:eastAsia="zh-CN"/>
                <w14:textFill>
                  <w14:solidFill>
                    <w14:schemeClr w14:val="tx1"/>
                  </w14:solidFill>
                </w14:textFill>
              </w:rPr>
              <w:t>2</w:t>
            </w:r>
          </w:p>
        </w:tc>
      </w:tr>
      <w:tr w14:paraId="094DE3A7">
        <w:tblPrEx>
          <w:tblCellMar>
            <w:top w:w="0" w:type="dxa"/>
            <w:left w:w="108" w:type="dxa"/>
            <w:bottom w:w="0" w:type="dxa"/>
            <w:right w:w="108" w:type="dxa"/>
          </w:tblCellMar>
        </w:tblPrEx>
        <w:trPr>
          <w:trHeight w:val="6006" w:hRule="atLeast"/>
          <w:jc w:val="center"/>
        </w:trPr>
        <w:tc>
          <w:tcPr>
            <w:tcW w:w="10924" w:type="dxa"/>
            <w:gridSpan w:val="3"/>
            <w:tcBorders>
              <w:top w:val="single" w:color="auto" w:sz="4" w:space="0"/>
            </w:tcBorders>
          </w:tcPr>
          <w:p w14:paraId="4E9D967B">
            <w:pPr>
              <w:spacing w:line="276" w:lineRule="auto"/>
              <w:ind w:left="1384" w:hanging="964"/>
              <w:jc w:val="center"/>
              <w:rPr>
                <w:rFonts w:ascii="Cambria" w:hAnsi="Cambria" w:eastAsia="黑体"/>
                <w:b/>
                <w:color w:val="000000" w:themeColor="text1"/>
                <w:sz w:val="48"/>
                <w14:textFill>
                  <w14:solidFill>
                    <w14:schemeClr w14:val="tx1"/>
                  </w14:solidFill>
                </w14:textFill>
              </w:rPr>
            </w:pPr>
          </w:p>
          <w:p w14:paraId="736889CF">
            <w:pPr>
              <w:spacing w:line="276" w:lineRule="auto"/>
              <w:ind w:left="1384" w:hanging="964"/>
              <w:jc w:val="center"/>
              <w:rPr>
                <w:rFonts w:ascii="Cambria" w:hAnsi="Cambria" w:eastAsia="黑体"/>
                <w:b/>
                <w:color w:val="000000" w:themeColor="text1"/>
                <w:sz w:val="48"/>
                <w14:textFill>
                  <w14:solidFill>
                    <w14:schemeClr w14:val="tx1"/>
                  </w14:solidFill>
                </w14:textFill>
              </w:rPr>
            </w:pPr>
          </w:p>
          <w:p w14:paraId="5C190FED">
            <w:pPr>
              <w:spacing w:line="276" w:lineRule="auto"/>
              <w:ind w:left="1384" w:hanging="964"/>
              <w:jc w:val="center"/>
              <w:rPr>
                <w:rFonts w:ascii="Cambria" w:hAnsi="Cambria" w:eastAsia="黑体"/>
                <w:b/>
                <w:color w:val="000000" w:themeColor="text1"/>
                <w:sz w:val="48"/>
                <w14:textFill>
                  <w14:solidFill>
                    <w14:schemeClr w14:val="tx1"/>
                  </w14:solidFill>
                </w14:textFill>
              </w:rPr>
            </w:pPr>
          </w:p>
          <w:p w14:paraId="16F09F90">
            <w:pPr>
              <w:spacing w:line="276" w:lineRule="auto"/>
              <w:jc w:val="center"/>
              <w:rPr>
                <w:rFonts w:ascii="黑体" w:hAnsi="黑体" w:eastAsia="黑体" w:cs="黑体"/>
                <w:color w:val="000000" w:themeColor="text1"/>
                <w:kern w:val="0"/>
                <w:sz w:val="52"/>
                <w:szCs w:val="52"/>
                <w:lang w:bidi="ar"/>
                <w14:textFill>
                  <w14:solidFill>
                    <w14:schemeClr w14:val="tx1"/>
                  </w14:solidFill>
                </w14:textFill>
              </w:rPr>
            </w:pPr>
            <w:r>
              <w:rPr>
                <w:rFonts w:hint="eastAsia" w:ascii="黑体" w:hAnsi="黑体" w:eastAsia="黑体" w:cs="黑体"/>
                <w:color w:val="000000" w:themeColor="text1"/>
                <w:kern w:val="0"/>
                <w:sz w:val="52"/>
                <w:szCs w:val="52"/>
                <w:lang w:bidi="ar"/>
                <w14:textFill>
                  <w14:solidFill>
                    <w14:schemeClr w14:val="tx1"/>
                  </w14:solidFill>
                </w14:textFill>
              </w:rPr>
              <w:t>国际中医技术操作规范 儿科</w:t>
            </w:r>
          </w:p>
          <w:p w14:paraId="0B815EE0">
            <w:pPr>
              <w:spacing w:line="276" w:lineRule="auto"/>
              <w:jc w:val="center"/>
              <w:rPr>
                <w:rFonts w:ascii="Cambria" w:hAnsi="Cambria" w:eastAsia="黑体"/>
                <w:bCs/>
                <w:color w:val="000000" w:themeColor="text1"/>
                <w:sz w:val="52"/>
                <w:szCs w:val="52"/>
                <w14:textFill>
                  <w14:solidFill>
                    <w14:schemeClr w14:val="tx1"/>
                  </w14:solidFill>
                </w14:textFill>
              </w:rPr>
            </w:pPr>
            <w:r>
              <w:rPr>
                <w:rFonts w:hint="eastAsia" w:ascii="黑体" w:hAnsi="黑体" w:eastAsia="黑体" w:cs="黑体"/>
                <w:color w:val="000000" w:themeColor="text1"/>
                <w:kern w:val="0"/>
                <w:sz w:val="52"/>
                <w:szCs w:val="52"/>
                <w:lang w:bidi="ar"/>
                <w14:textFill>
                  <w14:solidFill>
                    <w14:schemeClr w14:val="tx1"/>
                  </w14:solidFill>
                </w14:textFill>
              </w:rPr>
              <w:t>第3部分:</w:t>
            </w:r>
            <w:r>
              <w:rPr>
                <w:rFonts w:hint="eastAsia" w:ascii="黑体" w:hAnsi="黑体" w:eastAsia="黑体" w:cs="黑体"/>
                <w:color w:val="000000" w:themeColor="text1"/>
                <w:sz w:val="52"/>
                <w:szCs w:val="52"/>
                <w14:textFill>
                  <w14:solidFill>
                    <w14:schemeClr w14:val="tx1"/>
                  </w14:solidFill>
                </w14:textFill>
              </w:rPr>
              <w:t>小儿针灸疗法</w:t>
            </w:r>
          </w:p>
          <w:p w14:paraId="0446C0CE">
            <w:pPr>
              <w:spacing w:line="276" w:lineRule="auto"/>
              <w:jc w:val="center"/>
              <w:rPr>
                <w:rFonts w:ascii="Cambria" w:hAnsi="Cambria" w:eastAsia="Times New Roman" w:cs="Cambria"/>
                <w:color w:val="000000" w:themeColor="text1"/>
                <w:spacing w:val="-1"/>
                <w:sz w:val="32"/>
                <w:szCs w:val="32"/>
                <w14:textFill>
                  <w14:solidFill>
                    <w14:schemeClr w14:val="tx1"/>
                  </w14:solidFill>
                </w14:textFill>
              </w:rPr>
            </w:pPr>
            <w:r>
              <w:rPr>
                <w:rFonts w:ascii="Cambria" w:hAnsi="Cambria" w:eastAsia="Times New Roman" w:cs="Cambria"/>
                <w:color w:val="000000" w:themeColor="text1"/>
                <w:spacing w:val="-1"/>
                <w:sz w:val="32"/>
                <w:szCs w:val="32"/>
                <w14:textFill>
                  <w14:solidFill>
                    <w14:schemeClr w14:val="tx1"/>
                  </w14:solidFill>
                </w14:textFill>
              </w:rPr>
              <w:t>International</w:t>
            </w:r>
            <w:r>
              <w:rPr>
                <w:rFonts w:ascii="Cambria" w:hAnsi="Cambria" w:eastAsia="Times New Roman" w:cs="Cambria"/>
                <w:color w:val="000000" w:themeColor="text1"/>
                <w:spacing w:val="80"/>
                <w:w w:val="101"/>
                <w:sz w:val="32"/>
                <w:szCs w:val="32"/>
                <w14:textFill>
                  <w14:solidFill>
                    <w14:schemeClr w14:val="tx1"/>
                  </w14:solidFill>
                </w14:textFill>
              </w:rPr>
              <w:t xml:space="preserve"> </w:t>
            </w:r>
            <w:r>
              <w:rPr>
                <w:rFonts w:ascii="Cambria" w:hAnsi="Cambria" w:cs="Cambria"/>
                <w:color w:val="000000" w:themeColor="text1"/>
                <w:spacing w:val="-1"/>
                <w:sz w:val="32"/>
                <w:szCs w:val="32"/>
                <w14:textFill>
                  <w14:solidFill>
                    <w14:schemeClr w14:val="tx1"/>
                  </w14:solidFill>
                </w14:textFill>
              </w:rPr>
              <w:t>s</w:t>
            </w:r>
            <w:r>
              <w:rPr>
                <w:rFonts w:ascii="Cambria" w:hAnsi="Cambria" w:eastAsia="Times New Roman" w:cs="Cambria"/>
                <w:color w:val="000000" w:themeColor="text1"/>
                <w:spacing w:val="-1"/>
                <w:sz w:val="32"/>
                <w:szCs w:val="32"/>
                <w14:textFill>
                  <w14:solidFill>
                    <w14:schemeClr w14:val="tx1"/>
                  </w14:solidFill>
                </w14:textFill>
              </w:rPr>
              <w:t>tandardized</w:t>
            </w:r>
            <w:r>
              <w:rPr>
                <w:rFonts w:ascii="Cambria" w:hAnsi="Cambria" w:eastAsia="Times New Roman" w:cs="Cambria"/>
                <w:color w:val="000000" w:themeColor="text1"/>
                <w:spacing w:val="60"/>
                <w:w w:val="101"/>
                <w:sz w:val="32"/>
                <w:szCs w:val="32"/>
                <w14:textFill>
                  <w14:solidFill>
                    <w14:schemeClr w14:val="tx1"/>
                  </w14:solidFill>
                </w14:textFill>
              </w:rPr>
              <w:t xml:space="preserve"> </w:t>
            </w:r>
            <w:r>
              <w:rPr>
                <w:rFonts w:ascii="Cambria" w:hAnsi="Cambria" w:cs="Cambria"/>
                <w:color w:val="000000" w:themeColor="text1"/>
                <w:spacing w:val="-1"/>
                <w:sz w:val="32"/>
                <w:szCs w:val="32"/>
                <w14:textFill>
                  <w14:solidFill>
                    <w14:schemeClr w14:val="tx1"/>
                  </w14:solidFill>
                </w14:textFill>
              </w:rPr>
              <w:t>m</w:t>
            </w:r>
            <w:r>
              <w:rPr>
                <w:rFonts w:ascii="Cambria" w:hAnsi="Cambria" w:eastAsia="Times New Roman" w:cs="Cambria"/>
                <w:color w:val="000000" w:themeColor="text1"/>
                <w:spacing w:val="-1"/>
                <w:sz w:val="32"/>
                <w:szCs w:val="32"/>
                <w14:textFill>
                  <w14:solidFill>
                    <w14:schemeClr w14:val="tx1"/>
                  </w14:solidFill>
                </w14:textFill>
              </w:rPr>
              <w:t>anipulations</w:t>
            </w:r>
            <w:r>
              <w:rPr>
                <w:rFonts w:ascii="Cambria" w:hAnsi="Cambria" w:eastAsia="Times New Roman" w:cs="Cambria"/>
                <w:color w:val="000000" w:themeColor="text1"/>
                <w:spacing w:val="66"/>
                <w:sz w:val="32"/>
                <w:szCs w:val="32"/>
                <w14:textFill>
                  <w14:solidFill>
                    <w14:schemeClr w14:val="tx1"/>
                  </w14:solidFill>
                </w14:textFill>
              </w:rPr>
              <w:t xml:space="preserve"> </w:t>
            </w:r>
            <w:r>
              <w:rPr>
                <w:rFonts w:ascii="Cambria" w:hAnsi="Cambria" w:eastAsia="Times New Roman" w:cs="Cambria"/>
                <w:color w:val="000000" w:themeColor="text1"/>
                <w:spacing w:val="-1"/>
                <w:sz w:val="32"/>
                <w:szCs w:val="32"/>
                <w14:textFill>
                  <w14:solidFill>
                    <w14:schemeClr w14:val="tx1"/>
                  </w14:solidFill>
                </w14:textFill>
              </w:rPr>
              <w:t>of</w:t>
            </w:r>
            <w:r>
              <w:rPr>
                <w:rFonts w:ascii="Cambria" w:hAnsi="Cambria" w:eastAsia="Times New Roman" w:cs="Cambria"/>
                <w:color w:val="000000" w:themeColor="text1"/>
                <w:spacing w:val="43"/>
                <w:sz w:val="32"/>
                <w:szCs w:val="32"/>
                <w14:textFill>
                  <w14:solidFill>
                    <w14:schemeClr w14:val="tx1"/>
                  </w14:solidFill>
                </w14:textFill>
              </w:rPr>
              <w:t xml:space="preserve"> </w:t>
            </w:r>
            <w:r>
              <w:rPr>
                <w:rFonts w:ascii="Cambria" w:hAnsi="Cambria" w:eastAsia="Times New Roman" w:cs="Cambria"/>
                <w:color w:val="000000" w:themeColor="text1"/>
                <w:spacing w:val="-1"/>
                <w:sz w:val="32"/>
                <w:szCs w:val="32"/>
                <w14:textFill>
                  <w14:solidFill>
                    <w14:schemeClr w14:val="tx1"/>
                  </w14:solidFill>
                </w14:textFill>
              </w:rPr>
              <w:t>Chinese</w:t>
            </w:r>
            <w:r>
              <w:rPr>
                <w:rFonts w:ascii="Cambria" w:hAnsi="Cambria" w:eastAsia="Times New Roman" w:cs="Cambria"/>
                <w:color w:val="000000" w:themeColor="text1"/>
                <w:spacing w:val="61"/>
                <w:sz w:val="32"/>
                <w:szCs w:val="32"/>
                <w14:textFill>
                  <w14:solidFill>
                    <w14:schemeClr w14:val="tx1"/>
                  </w14:solidFill>
                </w14:textFill>
              </w:rPr>
              <w:t xml:space="preserve"> </w:t>
            </w:r>
            <w:r>
              <w:rPr>
                <w:rFonts w:ascii="Cambria" w:hAnsi="Cambria" w:cs="Cambria"/>
                <w:color w:val="000000" w:themeColor="text1"/>
                <w:spacing w:val="-1"/>
                <w:sz w:val="32"/>
                <w:szCs w:val="32"/>
                <w14:textFill>
                  <w14:solidFill>
                    <w14:schemeClr w14:val="tx1"/>
                  </w14:solidFill>
                </w14:textFill>
              </w:rPr>
              <w:t>m</w:t>
            </w:r>
            <w:r>
              <w:rPr>
                <w:rFonts w:ascii="Cambria" w:hAnsi="Cambria" w:eastAsia="Times New Roman" w:cs="Cambria"/>
                <w:color w:val="000000" w:themeColor="text1"/>
                <w:spacing w:val="-1"/>
                <w:sz w:val="32"/>
                <w:szCs w:val="32"/>
                <w14:textFill>
                  <w14:solidFill>
                    <w14:schemeClr w14:val="tx1"/>
                  </w14:solidFill>
                </w14:textFill>
              </w:rPr>
              <w:t>edicine</w:t>
            </w:r>
            <w:r>
              <w:rPr>
                <w:rFonts w:hint="eastAsia" w:ascii="Cambria" w:hAnsi="Cambria" w:cs="Cambria"/>
                <w:color w:val="000000" w:themeColor="text1"/>
                <w:spacing w:val="-1"/>
                <w:sz w:val="32"/>
                <w:szCs w:val="32"/>
                <w14:textFill>
                  <w14:solidFill>
                    <w14:schemeClr w14:val="tx1"/>
                  </w14:solidFill>
                </w14:textFill>
              </w:rPr>
              <w:t xml:space="preserve"> </w:t>
            </w:r>
            <w:r>
              <w:rPr>
                <w:rFonts w:ascii="Cambria" w:hAnsi="Cambria" w:eastAsia="Times New Roman" w:cs="Cambria"/>
                <w:color w:val="000000" w:themeColor="text1"/>
                <w:spacing w:val="-1"/>
                <w:sz w:val="32"/>
                <w:szCs w:val="32"/>
                <w14:textFill>
                  <w14:solidFill>
                    <w14:schemeClr w14:val="tx1"/>
                  </w14:solidFill>
                </w14:textFill>
              </w:rPr>
              <w:t>Pediatrics</w:t>
            </w:r>
          </w:p>
          <w:p w14:paraId="10FBE02E">
            <w:pPr>
              <w:spacing w:line="276" w:lineRule="auto"/>
              <w:jc w:val="center"/>
              <w:rPr>
                <w:rFonts w:ascii="Cambria" w:hAnsi="Cambria" w:eastAsia="黑体" w:cs="Cambria"/>
                <w:bCs/>
                <w:color w:val="000000" w:themeColor="text1"/>
                <w:kern w:val="0"/>
                <w:sz w:val="32"/>
                <w:szCs w:val="32"/>
                <w14:textFill>
                  <w14:solidFill>
                    <w14:schemeClr w14:val="tx1"/>
                  </w14:solidFill>
                </w14:textFill>
              </w:rPr>
            </w:pPr>
            <w:r>
              <w:rPr>
                <w:rFonts w:hint="eastAsia" w:ascii="Cambria" w:hAnsi="Cambria" w:eastAsia="Times New Roman" w:cs="Cambria"/>
                <w:color w:val="000000" w:themeColor="text1"/>
                <w:spacing w:val="-1"/>
                <w:sz w:val="32"/>
                <w:szCs w:val="32"/>
                <w14:textFill>
                  <w14:solidFill>
                    <w14:schemeClr w14:val="tx1"/>
                  </w14:solidFill>
                </w14:textFill>
              </w:rPr>
              <w:t xml:space="preserve"> </w:t>
            </w:r>
            <w:r>
              <w:rPr>
                <w:rFonts w:ascii="Cambria" w:hAnsi="Cambria" w:eastAsia="Times New Roman" w:cs="Cambria"/>
                <w:color w:val="000000" w:themeColor="text1"/>
                <w:spacing w:val="-1"/>
                <w:sz w:val="32"/>
                <w:szCs w:val="32"/>
                <w14:textFill>
                  <w14:solidFill>
                    <w14:schemeClr w14:val="tx1"/>
                  </w14:solidFill>
                </w14:textFill>
              </w:rPr>
              <w:t>Part</w:t>
            </w:r>
            <w:r>
              <w:rPr>
                <w:rFonts w:hint="eastAsia" w:ascii="Cambria" w:hAnsi="Cambria" w:eastAsia="Times New Roman" w:cs="Cambria"/>
                <w:color w:val="000000" w:themeColor="text1"/>
                <w:spacing w:val="-1"/>
                <w:sz w:val="32"/>
                <w:szCs w:val="32"/>
                <w14:textFill>
                  <w14:solidFill>
                    <w14:schemeClr w14:val="tx1"/>
                  </w14:solidFill>
                </w14:textFill>
              </w:rPr>
              <w:t xml:space="preserve"> 3</w:t>
            </w:r>
            <w:r>
              <w:rPr>
                <w:rFonts w:ascii="Cambria" w:hAnsi="Cambria" w:eastAsia="Times New Roman" w:cs="Cambria"/>
                <w:color w:val="000000" w:themeColor="text1"/>
                <w:spacing w:val="-1"/>
                <w:sz w:val="32"/>
                <w:szCs w:val="32"/>
                <w14:textFill>
                  <w14:solidFill>
                    <w14:schemeClr w14:val="tx1"/>
                  </w14:solidFill>
                </w14:textFill>
              </w:rPr>
              <w:t>：</w:t>
            </w:r>
            <w:r>
              <w:rPr>
                <w:rFonts w:ascii="Cambria" w:hAnsi="Cambria" w:eastAsia="黑体" w:cs="Cambria"/>
                <w:bCs/>
                <w:color w:val="000000" w:themeColor="text1"/>
                <w:kern w:val="0"/>
                <w:sz w:val="32"/>
                <w:szCs w:val="32"/>
                <w14:textFill>
                  <w14:solidFill>
                    <w14:schemeClr w14:val="tx1"/>
                  </w14:solidFill>
                </w14:textFill>
              </w:rPr>
              <w:t>Acupuncture and Moxibustion</w:t>
            </w:r>
          </w:p>
          <w:p w14:paraId="6EFF9958">
            <w:pPr>
              <w:spacing w:line="276" w:lineRule="auto"/>
              <w:jc w:val="center"/>
              <w:rPr>
                <w:rFonts w:hint="eastAsia" w:ascii="Cambria" w:hAnsi="Cambria" w:eastAsia="黑体"/>
                <w:sz w:val="28"/>
                <w:szCs w:val="28"/>
              </w:rPr>
            </w:pPr>
          </w:p>
          <w:p w14:paraId="1E255287">
            <w:pPr>
              <w:spacing w:line="276" w:lineRule="auto"/>
              <w:jc w:val="center"/>
              <w:rPr>
                <w:rFonts w:ascii="Cambria" w:hAnsi="Cambria" w:eastAsia="黑体"/>
                <w:color w:val="000000" w:themeColor="text1"/>
                <w:sz w:val="32"/>
                <w:szCs w:val="32"/>
                <w14:textFill>
                  <w14:solidFill>
                    <w14:schemeClr w14:val="tx1"/>
                  </w14:solidFill>
                </w14:textFill>
              </w:rPr>
            </w:pPr>
            <w:r>
              <w:rPr>
                <w:rFonts w:hint="eastAsia" w:ascii="Cambria" w:hAnsi="Cambria" w:eastAsia="黑体"/>
                <w:sz w:val="32"/>
                <w:szCs w:val="32"/>
              </w:rPr>
              <w:t>（</w:t>
            </w:r>
            <w:r>
              <w:rPr>
                <w:rFonts w:hint="eastAsia" w:ascii="Cambria" w:hAnsi="Cambria" w:eastAsia="黑体"/>
                <w:sz w:val="32"/>
                <w:szCs w:val="32"/>
                <w:lang w:val="en-US" w:eastAsia="zh-CN"/>
              </w:rPr>
              <w:t>征求意见</w:t>
            </w:r>
            <w:r>
              <w:rPr>
                <w:rFonts w:hint="eastAsia" w:ascii="Cambria" w:hAnsi="Cambria" w:eastAsia="黑体"/>
                <w:sz w:val="32"/>
                <w:szCs w:val="32"/>
              </w:rPr>
              <w:t>草案</w:t>
            </w:r>
            <w:r>
              <w:rPr>
                <w:rFonts w:hint="eastAsia" w:ascii="Cambria" w:hAnsi="Cambria" w:eastAsia="黑体"/>
                <w:sz w:val="32"/>
                <w:szCs w:val="32"/>
                <w:lang w:val="en-US" w:eastAsia="zh-CN"/>
              </w:rPr>
              <w:t>，CD</w:t>
            </w:r>
            <w:bookmarkStart w:id="256" w:name="_GoBack"/>
            <w:bookmarkEnd w:id="256"/>
            <w:r>
              <w:rPr>
                <w:rFonts w:hint="eastAsia" w:ascii="Cambria" w:hAnsi="Cambria" w:eastAsia="黑体"/>
                <w:sz w:val="32"/>
                <w:szCs w:val="32"/>
              </w:rPr>
              <w:t>）</w:t>
            </w:r>
          </w:p>
          <w:p w14:paraId="2BC6B46B">
            <w:pPr>
              <w:spacing w:line="276" w:lineRule="auto"/>
              <w:jc w:val="center"/>
              <w:rPr>
                <w:rFonts w:ascii="Cambria" w:hAnsi="Cambria" w:eastAsia="黑体"/>
                <w:color w:val="000000" w:themeColor="text1"/>
                <w:sz w:val="32"/>
                <w:szCs w:val="32"/>
                <w14:textFill>
                  <w14:solidFill>
                    <w14:schemeClr w14:val="tx1"/>
                  </w14:solidFill>
                </w14:textFill>
              </w:rPr>
            </w:pPr>
          </w:p>
          <w:p w14:paraId="70081FCB">
            <w:pPr>
              <w:spacing w:line="276" w:lineRule="auto"/>
              <w:jc w:val="center"/>
              <w:rPr>
                <w:rFonts w:ascii="Cambria" w:hAnsi="Cambria" w:eastAsia="黑体"/>
                <w:color w:val="000000" w:themeColor="text1"/>
                <w:sz w:val="32"/>
                <w:szCs w:val="32"/>
                <w14:textFill>
                  <w14:solidFill>
                    <w14:schemeClr w14:val="tx1"/>
                  </w14:solidFill>
                </w14:textFill>
              </w:rPr>
            </w:pPr>
          </w:p>
          <w:p w14:paraId="4B0B07D3">
            <w:pPr>
              <w:spacing w:line="276" w:lineRule="auto"/>
              <w:jc w:val="center"/>
              <w:rPr>
                <w:rFonts w:ascii="Cambria" w:hAnsi="Cambria" w:eastAsia="黑体"/>
                <w:color w:val="000000" w:themeColor="text1"/>
                <w:sz w:val="32"/>
                <w:szCs w:val="32"/>
                <w14:textFill>
                  <w14:solidFill>
                    <w14:schemeClr w14:val="tx1"/>
                  </w14:solidFill>
                </w14:textFill>
              </w:rPr>
            </w:pPr>
          </w:p>
          <w:p w14:paraId="71376C20">
            <w:pPr>
              <w:spacing w:line="276" w:lineRule="auto"/>
              <w:jc w:val="center"/>
              <w:rPr>
                <w:rFonts w:ascii="Cambria" w:hAnsi="Cambria" w:eastAsia="黑体"/>
                <w:color w:val="000000" w:themeColor="text1"/>
                <w:sz w:val="32"/>
                <w:szCs w:val="32"/>
                <w14:textFill>
                  <w14:solidFill>
                    <w14:schemeClr w14:val="tx1"/>
                  </w14:solidFill>
                </w14:textFill>
              </w:rPr>
            </w:pPr>
          </w:p>
        </w:tc>
      </w:tr>
      <w:tr w14:paraId="723FA312">
        <w:tblPrEx>
          <w:tblCellMar>
            <w:top w:w="0" w:type="dxa"/>
            <w:left w:w="108" w:type="dxa"/>
            <w:bottom w:w="0" w:type="dxa"/>
            <w:right w:w="108" w:type="dxa"/>
          </w:tblCellMar>
        </w:tblPrEx>
        <w:trPr>
          <w:trHeight w:val="1770" w:hRule="atLeast"/>
          <w:jc w:val="center"/>
        </w:trPr>
        <w:tc>
          <w:tcPr>
            <w:tcW w:w="10924" w:type="dxa"/>
            <w:gridSpan w:val="3"/>
          </w:tcPr>
          <w:p w14:paraId="2141A86B">
            <w:pPr>
              <w:spacing w:line="276" w:lineRule="auto"/>
              <w:rPr>
                <w:color w:val="000000" w:themeColor="text1"/>
                <w:sz w:val="28"/>
                <w14:textFill>
                  <w14:solidFill>
                    <w14:schemeClr w14:val="tx1"/>
                  </w14:solidFill>
                </w14:textFill>
              </w:rPr>
            </w:pPr>
          </w:p>
          <w:p w14:paraId="1DAF5F0F">
            <w:pPr>
              <w:spacing w:line="276" w:lineRule="auto"/>
              <w:rPr>
                <w:rFonts w:ascii="黑体" w:hAnsi="黑体" w:eastAsia="黑体" w:cs="宋体"/>
                <w:color w:val="000000" w:themeColor="text1"/>
                <w:sz w:val="28"/>
                <w14:textFill>
                  <w14:solidFill>
                    <w14:schemeClr w14:val="tx1"/>
                  </w14:solidFill>
                </w14:textFill>
              </w:rPr>
            </w:pPr>
            <w:r>
              <w:rPr>
                <w:rFonts w:hint="eastAsia" w:ascii="黑体" w:hAnsi="黑体" w:eastAsia="黑体" w:cs="宋体"/>
                <w:color w:val="000000" w:themeColor="text1"/>
                <w:sz w:val="28"/>
                <w:szCs w:val="28"/>
                <w14:textFill>
                  <w14:solidFill>
                    <w14:schemeClr w14:val="tx1"/>
                  </w14:solidFill>
                </w14:textFill>
              </w:rPr>
              <w:t>世界中联</w:t>
            </w:r>
            <w:r>
              <w:rPr>
                <w:rFonts w:hint="eastAsia" w:ascii="黑体" w:hAnsi="黑体" w:eastAsia="黑体" w:cs="宋体"/>
                <w:color w:val="000000" w:themeColor="text1"/>
                <w:sz w:val="28"/>
                <w14:textFill>
                  <w14:solidFill>
                    <w14:schemeClr w14:val="tx1"/>
                  </w14:solidFill>
                </w14:textFill>
              </w:rPr>
              <w:t>国际组织标准</w:t>
            </w:r>
            <w:r>
              <w:rPr>
                <w:rFonts w:hint="eastAsia" w:ascii="黑体" w:hAnsi="黑体" w:eastAsia="黑体"/>
                <w:color w:val="000000" w:themeColor="text1"/>
                <w:sz w:val="28"/>
                <w14:textFill>
                  <w14:solidFill>
                    <w14:schemeClr w14:val="tx1"/>
                  </w14:solidFill>
                </w14:textFill>
              </w:rPr>
              <w:t xml:space="preserve">  </w:t>
            </w:r>
            <w:r>
              <w:rPr>
                <w:rFonts w:hint="eastAsia"/>
                <w:color w:val="000000" w:themeColor="text1"/>
                <w:sz w:val="28"/>
                <w14:textFill>
                  <w14:solidFill>
                    <w14:schemeClr w14:val="tx1"/>
                  </w14:solidFill>
                </w14:textFill>
              </w:rPr>
              <w:t xml:space="preserve">                           </w:t>
            </w:r>
            <w:r>
              <w:rPr>
                <w:rFonts w:hint="eastAsia" w:ascii="宋体" w:hAnsi="宋体" w:cs="宋体"/>
                <w:color w:val="000000" w:themeColor="text1"/>
                <w:sz w:val="28"/>
                <w14:textFill>
                  <w14:solidFill>
                    <w14:schemeClr w14:val="tx1"/>
                  </w14:solidFill>
                </w14:textFill>
              </w:rPr>
              <w:t xml:space="preserve">        </w:t>
            </w:r>
            <w:r>
              <w:rPr>
                <w:rFonts w:hint="eastAsia" w:ascii="黑体" w:hAnsi="黑体" w:eastAsia="黑体" w:cs="宋体"/>
                <w:color w:val="000000" w:themeColor="text1"/>
                <w:sz w:val="28"/>
                <w:szCs w:val="28"/>
                <w14:textFill>
                  <w14:solidFill>
                    <w14:schemeClr w14:val="tx1"/>
                  </w14:solidFill>
                </w14:textFill>
              </w:rPr>
              <w:t>20**-**-**发布实施</w:t>
            </w:r>
          </w:p>
          <w:p w14:paraId="039C0396">
            <w:pPr>
              <w:spacing w:line="276" w:lineRule="auto"/>
              <w:rPr>
                <w:color w:val="000000" w:themeColor="text1"/>
                <w:sz w:val="28"/>
                <w14:textFill>
                  <w14:solidFill>
                    <w14:schemeClr w14:val="tx1"/>
                  </w14:solidFill>
                </w14:textFill>
              </w:rPr>
            </w:pPr>
            <w:r>
              <w:rPr>
                <w:rFonts w:eastAsia="华文仿宋"/>
                <w:color w:val="000000" w:themeColor="text1"/>
                <w:szCs w:val="22"/>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245745</wp:posOffset>
                      </wp:positionV>
                      <wp:extent cx="6838315" cy="31750"/>
                      <wp:effectExtent l="0" t="4445" r="635" b="11430"/>
                      <wp:wrapNone/>
                      <wp:docPr id="1027" name="直接连接符 1027"/>
                      <wp:cNvGraphicFramePr/>
                      <a:graphic xmlns:a="http://schemas.openxmlformats.org/drawingml/2006/main">
                        <a:graphicData uri="http://schemas.microsoft.com/office/word/2010/wordprocessingShape">
                          <wps:wsp>
                            <wps:cNvCnPr/>
                            <wps:spPr>
                              <a:xfrm>
                                <a:off x="0" y="0"/>
                                <a:ext cx="6360795" cy="31750"/>
                              </a:xfrm>
                              <a:prstGeom prst="line">
                                <a:avLst/>
                              </a:prstGeom>
                              <a:ln w="9525" cap="flat" cmpd="sng">
                                <a:solidFill>
                                  <a:srgbClr val="000000"/>
                                </a:solidFill>
                                <a:prstDash val="solid"/>
                                <a:round/>
                              </a:ln>
                              <a:effectLst/>
                            </wps:spPr>
                            <wps:bodyPr/>
                          </wps:wsp>
                        </a:graphicData>
                      </a:graphic>
                    </wp:anchor>
                  </w:drawing>
                </mc:Choice>
                <mc:Fallback>
                  <w:pict>
                    <v:line id="_x0000_s1026" o:spid="_x0000_s1026" o:spt="20" style="position:absolute;left:0pt;margin-left:0pt;margin-top:19.35pt;height:2.5pt;width:538.45pt;z-index:251659264;mso-width-relative:page;mso-height-relative:page;" filled="f" stroked="t" coordsize="21600,21600" o:gfxdata="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b6VOd9YAAAAHAQAADwAA&#10;AAAAAAABACAAAAAiAAAAZHJzL2Rvd25yZXYueG1sUEsBAhQAFAAAAAgAh07iQOsmhGTfAQAApgMA&#10;AA4AAAAAAAAAAQAgAAAAJQEAAGRycy9lMm9Eb2MueG1sUEsFBgAAAAAGAAYAWQEAAHYFAAAAAA==&#10;">
                      <v:fill on="f" focussize="0,0"/>
                      <v:stroke color="#000000" joinstyle="round"/>
                      <v:imagedata o:title=""/>
                      <o:lock v:ext="edit" aspectratio="f"/>
                    </v:line>
                  </w:pict>
                </mc:Fallback>
              </mc:AlternateContent>
            </w:r>
            <w:r>
              <w:rPr>
                <w:rFonts w:hint="eastAsia" w:ascii="Cambria"/>
                <w:color w:val="000000" w:themeColor="text1"/>
                <w:sz w:val="24"/>
                <w14:textFill>
                  <w14:solidFill>
                    <w14:schemeClr w14:val="tx1"/>
                  </w14:solidFill>
                </w14:textFill>
              </w:rPr>
              <w:t>International Standard of WFCMS</w:t>
            </w:r>
            <w:r>
              <w:rPr>
                <w:rFonts w:hint="eastAsia"/>
                <w:color w:val="000000" w:themeColor="text1"/>
                <w:sz w:val="24"/>
                <w14:textFill>
                  <w14:solidFill>
                    <w14:schemeClr w14:val="tx1"/>
                  </w14:solidFill>
                </w14:textFill>
              </w:rPr>
              <w:t xml:space="preserve"> </w:t>
            </w:r>
            <w:r>
              <w:rPr>
                <w:rFonts w:hint="eastAsia"/>
                <w:color w:val="000000" w:themeColor="text1"/>
                <w:sz w:val="28"/>
                <w14:textFill>
                  <w14:solidFill>
                    <w14:schemeClr w14:val="tx1"/>
                  </w14:solidFill>
                </w14:textFill>
              </w:rPr>
              <w:t xml:space="preserve">                        </w:t>
            </w:r>
            <w:r>
              <w:rPr>
                <w:rFonts w:hint="eastAsia" w:ascii="Cambria"/>
                <w:color w:val="000000" w:themeColor="text1"/>
                <w:sz w:val="24"/>
                <w14:textFill>
                  <w14:solidFill>
                    <w14:schemeClr w14:val="tx1"/>
                  </w14:solidFill>
                </w14:textFill>
              </w:rPr>
              <w:t>Issued &amp; implemented on ** **, 20**</w:t>
            </w:r>
          </w:p>
        </w:tc>
      </w:tr>
    </w:tbl>
    <w:p w14:paraId="61D72912">
      <w:pPr>
        <w:spacing w:before="313" w:beforeLines="100" w:after="313" w:afterLines="100" w:line="276" w:lineRule="auto"/>
        <w:ind w:left="0" w:leftChars="0" w:right="0" w:rightChars="0" w:firstLine="0" w:firstLineChars="0"/>
        <w:jc w:val="center"/>
      </w:pPr>
      <w:r>
        <w:rPr>
          <w:rFonts w:hint="eastAsia" w:ascii="黑体" w:hAnsi="黑体" w:eastAsia="黑体" w:cs="黑体"/>
          <w:b w:val="0"/>
          <w:bCs w:val="0"/>
          <w:color w:val="000000" w:themeColor="text1"/>
          <w:sz w:val="32"/>
          <w:szCs w:val="32"/>
          <w14:textFill>
            <w14:solidFill>
              <w14:schemeClr w14:val="tx1"/>
            </w14:solidFill>
          </w14:textFill>
        </w:rPr>
        <w:t>目  次</w:t>
      </w:r>
    </w:p>
    <w:sdt>
      <w:sdtPr>
        <w:rPr>
          <w:rFonts w:hint="eastAsia" w:ascii="黑体" w:hAnsi="黑体" w:eastAsia="黑体" w:cs="黑体"/>
          <w:b w:val="0"/>
          <w:bCs w:val="0"/>
          <w:kern w:val="2"/>
          <w:sz w:val="32"/>
          <w:szCs w:val="32"/>
          <w:lang w:val="en-US" w:eastAsia="zh-CN" w:bidi="ar-SA"/>
        </w:rPr>
        <w:id w:val="147476996"/>
        <w15:color w:val="DBDBDB"/>
        <w:docPartObj>
          <w:docPartGallery w:val="Table of Contents"/>
          <w:docPartUnique/>
        </w:docPartObj>
      </w:sdtPr>
      <w:sdtEndPr>
        <w:rPr>
          <w:rFonts w:hint="default" w:ascii="Cambria" w:hAnsi="Cambria" w:eastAsia="黑体" w:cs="Cambria"/>
          <w:b w:val="0"/>
          <w:bCs w:val="0"/>
          <w:kern w:val="2"/>
          <w:sz w:val="32"/>
          <w:szCs w:val="32"/>
          <w:lang w:val="en-US" w:eastAsia="zh-CN" w:bidi="ar-SA"/>
        </w:rPr>
      </w:sdtEndPr>
      <w:sdtContent>
        <w:p w14:paraId="48F89A19">
          <w:pPr>
            <w:spacing w:before="313" w:beforeLines="100" w:after="313" w:afterLines="100" w:line="276" w:lineRule="auto"/>
            <w:jc w:val="center"/>
            <w:rPr>
              <w:rFonts w:hint="eastAsia" w:ascii="黑体" w:hAnsi="黑体" w:eastAsia="黑体" w:cs="黑体"/>
              <w:b w:val="0"/>
              <w:bCs w:val="0"/>
              <w:sz w:val="32"/>
              <w:szCs w:val="32"/>
            </w:rPr>
          </w:pPr>
        </w:p>
        <w:p w14:paraId="1EFBBB29">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TOC \o "1-2" \h \u </w:instrText>
          </w:r>
          <w:r>
            <w:rPr>
              <w:rFonts w:hint="default" w:ascii="Cambria" w:hAnsi="Cambria" w:cs="Cambria"/>
            </w:rPr>
            <w:fldChar w:fldCharType="separate"/>
          </w:r>
          <w:r>
            <w:rPr>
              <w:rFonts w:hint="default" w:ascii="Cambria" w:hAnsi="Cambria" w:cs="Cambria"/>
            </w:rPr>
            <w:fldChar w:fldCharType="begin"/>
          </w:r>
          <w:r>
            <w:rPr>
              <w:rFonts w:hint="default" w:ascii="Cambria" w:hAnsi="Cambria" w:cs="Cambria"/>
            </w:rPr>
            <w:instrText xml:space="preserve"> HYPERLINK \l _Toc31599 </w:instrText>
          </w:r>
          <w:r>
            <w:rPr>
              <w:rFonts w:hint="default" w:ascii="Cambria" w:hAnsi="Cambria" w:cs="Cambria"/>
            </w:rPr>
            <w:fldChar w:fldCharType="separate"/>
          </w:r>
          <w:r>
            <w:rPr>
              <w:rFonts w:hint="default" w:ascii="Cambria" w:hAnsi="Cambria" w:eastAsia="宋体" w:cs="Cambria"/>
              <w:szCs w:val="21"/>
            </w:rPr>
            <w:t>前  言</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_Toc31599 \h </w:instrText>
          </w:r>
          <w:r>
            <w:rPr>
              <w:rFonts w:hint="default" w:ascii="Cambria" w:hAnsi="Cambria" w:cs="Cambria"/>
            </w:rPr>
            <w:fldChar w:fldCharType="separate"/>
          </w:r>
          <w:r>
            <w:rPr>
              <w:rFonts w:hint="default" w:ascii="Cambria" w:hAnsi="Cambria" w:cs="Cambria"/>
            </w:rPr>
            <w:t>I</w:t>
          </w:r>
          <w:r>
            <w:rPr>
              <w:rFonts w:hint="default" w:ascii="Cambria" w:hAnsi="Cambria" w:cs="Cambria"/>
            </w:rPr>
            <w:fldChar w:fldCharType="end"/>
          </w:r>
          <w:r>
            <w:rPr>
              <w:rFonts w:hint="default" w:ascii="Cambria" w:hAnsi="Cambria" w:cs="Cambria"/>
            </w:rPr>
            <w:fldChar w:fldCharType="end"/>
          </w:r>
        </w:p>
        <w:p w14:paraId="72C845AC">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_Toc1931 </w:instrText>
          </w:r>
          <w:r>
            <w:rPr>
              <w:rFonts w:hint="default" w:ascii="Cambria" w:hAnsi="Cambria" w:cs="Cambria"/>
            </w:rPr>
            <w:fldChar w:fldCharType="separate"/>
          </w:r>
          <w:r>
            <w:rPr>
              <w:rFonts w:hint="default" w:ascii="Cambria" w:hAnsi="Cambria" w:eastAsia="宋体" w:cs="Cambria"/>
            </w:rPr>
            <w:t>引  言</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_Toc1931 \h </w:instrText>
          </w:r>
          <w:r>
            <w:rPr>
              <w:rFonts w:hint="default" w:ascii="Cambria" w:hAnsi="Cambria" w:cs="Cambria"/>
            </w:rPr>
            <w:fldChar w:fldCharType="separate"/>
          </w:r>
          <w:r>
            <w:rPr>
              <w:rFonts w:hint="default" w:ascii="Cambria" w:hAnsi="Cambria" w:cs="Cambria"/>
            </w:rPr>
            <w:t>II</w:t>
          </w:r>
          <w:r>
            <w:rPr>
              <w:rFonts w:hint="default" w:ascii="Cambria" w:hAnsi="Cambria" w:cs="Cambria"/>
            </w:rPr>
            <w:fldChar w:fldCharType="end"/>
          </w:r>
          <w:r>
            <w:rPr>
              <w:rFonts w:hint="default" w:ascii="Cambria" w:hAnsi="Cambria" w:cs="Cambria"/>
            </w:rPr>
            <w:fldChar w:fldCharType="end"/>
          </w:r>
        </w:p>
        <w:p w14:paraId="727C4FF2">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_Toc21984 </w:instrText>
          </w:r>
          <w:r>
            <w:rPr>
              <w:rFonts w:hint="default" w:ascii="Cambria" w:hAnsi="Cambria" w:cs="Cambria"/>
            </w:rPr>
            <w:fldChar w:fldCharType="separate"/>
          </w:r>
          <w:r>
            <w:rPr>
              <w:rFonts w:hint="default" w:ascii="Cambria" w:hAnsi="Cambria" w:eastAsia="宋体" w:cs="Cambria"/>
              <w:szCs w:val="21"/>
            </w:rPr>
            <w:t>1 范围</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_Toc21984 \h </w:instrText>
          </w:r>
          <w:r>
            <w:rPr>
              <w:rFonts w:hint="default" w:ascii="Cambria" w:hAnsi="Cambria" w:cs="Cambria"/>
            </w:rPr>
            <w:fldChar w:fldCharType="separate"/>
          </w:r>
          <w:r>
            <w:rPr>
              <w:rFonts w:hint="default" w:ascii="Cambria" w:hAnsi="Cambria" w:cs="Cambria"/>
            </w:rPr>
            <w:t>1</w:t>
          </w:r>
          <w:r>
            <w:rPr>
              <w:rFonts w:hint="default" w:ascii="Cambria" w:hAnsi="Cambria" w:cs="Cambria"/>
            </w:rPr>
            <w:fldChar w:fldCharType="end"/>
          </w:r>
          <w:r>
            <w:rPr>
              <w:rFonts w:hint="default" w:ascii="Cambria" w:hAnsi="Cambria" w:cs="Cambria"/>
            </w:rPr>
            <w:fldChar w:fldCharType="end"/>
          </w:r>
        </w:p>
        <w:p w14:paraId="4022B6DF">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_Toc4371 </w:instrText>
          </w:r>
          <w:r>
            <w:rPr>
              <w:rFonts w:hint="default" w:ascii="Cambria" w:hAnsi="Cambria" w:cs="Cambria"/>
            </w:rPr>
            <w:fldChar w:fldCharType="separate"/>
          </w:r>
          <w:r>
            <w:rPr>
              <w:rFonts w:hint="default" w:ascii="Cambria" w:hAnsi="Cambria" w:eastAsia="宋体" w:cs="Cambria"/>
              <w:szCs w:val="21"/>
            </w:rPr>
            <w:t>2 规范性引用文件</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_Toc4371 \h </w:instrText>
          </w:r>
          <w:r>
            <w:rPr>
              <w:rFonts w:hint="default" w:ascii="Cambria" w:hAnsi="Cambria" w:cs="Cambria"/>
            </w:rPr>
            <w:fldChar w:fldCharType="separate"/>
          </w:r>
          <w:r>
            <w:rPr>
              <w:rFonts w:hint="default" w:ascii="Cambria" w:hAnsi="Cambria" w:cs="Cambria"/>
            </w:rPr>
            <w:t>1</w:t>
          </w:r>
          <w:r>
            <w:rPr>
              <w:rFonts w:hint="default" w:ascii="Cambria" w:hAnsi="Cambria" w:cs="Cambria"/>
            </w:rPr>
            <w:fldChar w:fldCharType="end"/>
          </w:r>
          <w:r>
            <w:rPr>
              <w:rFonts w:hint="default" w:ascii="Cambria" w:hAnsi="Cambria" w:cs="Cambria"/>
            </w:rPr>
            <w:fldChar w:fldCharType="end"/>
          </w:r>
        </w:p>
        <w:p w14:paraId="06C9D5A8">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_Toc12883 </w:instrText>
          </w:r>
          <w:r>
            <w:rPr>
              <w:rFonts w:hint="default" w:ascii="Cambria" w:hAnsi="Cambria" w:cs="Cambria"/>
            </w:rPr>
            <w:fldChar w:fldCharType="separate"/>
          </w:r>
          <w:r>
            <w:rPr>
              <w:rFonts w:hint="default" w:ascii="Cambria" w:hAnsi="Cambria" w:eastAsia="宋体" w:cs="Cambria"/>
              <w:szCs w:val="21"/>
            </w:rPr>
            <w:t>3 术语和定义</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_Toc12883 \h </w:instrText>
          </w:r>
          <w:r>
            <w:rPr>
              <w:rFonts w:hint="default" w:ascii="Cambria" w:hAnsi="Cambria" w:cs="Cambria"/>
            </w:rPr>
            <w:fldChar w:fldCharType="separate"/>
          </w:r>
          <w:r>
            <w:rPr>
              <w:rFonts w:hint="default" w:ascii="Cambria" w:hAnsi="Cambria" w:cs="Cambria"/>
            </w:rPr>
            <w:t>1</w:t>
          </w:r>
          <w:r>
            <w:rPr>
              <w:rFonts w:hint="default" w:ascii="Cambria" w:hAnsi="Cambria" w:cs="Cambria"/>
            </w:rPr>
            <w:fldChar w:fldCharType="end"/>
          </w:r>
          <w:r>
            <w:rPr>
              <w:rFonts w:hint="default" w:ascii="Cambria" w:hAnsi="Cambria" w:cs="Cambria"/>
            </w:rPr>
            <w:fldChar w:fldCharType="end"/>
          </w:r>
        </w:p>
        <w:p w14:paraId="408CD117">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_Toc17850 </w:instrText>
          </w:r>
          <w:r>
            <w:rPr>
              <w:rFonts w:hint="default" w:ascii="Cambria" w:hAnsi="Cambria" w:cs="Cambria"/>
            </w:rPr>
            <w:fldChar w:fldCharType="separate"/>
          </w:r>
          <w:r>
            <w:rPr>
              <w:rFonts w:hint="default" w:ascii="Cambria" w:hAnsi="Cambria" w:eastAsia="宋体" w:cs="Cambria"/>
              <w:szCs w:val="21"/>
            </w:rPr>
            <w:t>4 小儿毫针疗法操作步骤与要求</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_Toc17850 \h </w:instrText>
          </w:r>
          <w:r>
            <w:rPr>
              <w:rFonts w:hint="default" w:ascii="Cambria" w:hAnsi="Cambria" w:cs="Cambria"/>
            </w:rPr>
            <w:fldChar w:fldCharType="separate"/>
          </w:r>
          <w:r>
            <w:rPr>
              <w:rFonts w:hint="default" w:ascii="Cambria" w:hAnsi="Cambria" w:cs="Cambria"/>
            </w:rPr>
            <w:t>4</w:t>
          </w:r>
          <w:r>
            <w:rPr>
              <w:rFonts w:hint="default" w:ascii="Cambria" w:hAnsi="Cambria" w:cs="Cambria"/>
            </w:rPr>
            <w:fldChar w:fldCharType="end"/>
          </w:r>
          <w:r>
            <w:rPr>
              <w:rFonts w:hint="default" w:ascii="Cambria" w:hAnsi="Cambria" w:cs="Cambria"/>
            </w:rPr>
            <w:fldChar w:fldCharType="end"/>
          </w:r>
        </w:p>
        <w:p w14:paraId="1A8D843A">
          <w:pPr>
            <w:pStyle w:val="11"/>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_Toc5888 </w:instrText>
          </w:r>
          <w:r>
            <w:rPr>
              <w:rFonts w:hint="default" w:ascii="Cambria" w:hAnsi="Cambria" w:cs="Cambria"/>
            </w:rPr>
            <w:fldChar w:fldCharType="separate"/>
          </w:r>
          <w:r>
            <w:rPr>
              <w:rFonts w:hint="default" w:ascii="Cambria" w:hAnsi="Cambria" w:eastAsia="宋体" w:cs="Cambria"/>
            </w:rPr>
            <w:t>4.1 施术前准备</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_Toc5888 \h </w:instrText>
          </w:r>
          <w:r>
            <w:rPr>
              <w:rFonts w:hint="default" w:ascii="Cambria" w:hAnsi="Cambria" w:cs="Cambria"/>
            </w:rPr>
            <w:fldChar w:fldCharType="separate"/>
          </w:r>
          <w:r>
            <w:rPr>
              <w:rFonts w:hint="default" w:ascii="Cambria" w:hAnsi="Cambria" w:cs="Cambria"/>
            </w:rPr>
            <w:t>4</w:t>
          </w:r>
          <w:r>
            <w:rPr>
              <w:rFonts w:hint="default" w:ascii="Cambria" w:hAnsi="Cambria" w:cs="Cambria"/>
            </w:rPr>
            <w:fldChar w:fldCharType="end"/>
          </w:r>
          <w:r>
            <w:rPr>
              <w:rFonts w:hint="default" w:ascii="Cambria" w:hAnsi="Cambria" w:cs="Cambria"/>
            </w:rPr>
            <w:fldChar w:fldCharType="end"/>
          </w:r>
        </w:p>
        <w:p w14:paraId="30DCA85E">
          <w:pPr>
            <w:pStyle w:val="11"/>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_Toc28146 </w:instrText>
          </w:r>
          <w:r>
            <w:rPr>
              <w:rFonts w:hint="default" w:ascii="Cambria" w:hAnsi="Cambria" w:cs="Cambria"/>
            </w:rPr>
            <w:fldChar w:fldCharType="separate"/>
          </w:r>
          <w:r>
            <w:rPr>
              <w:rFonts w:hint="default" w:ascii="Cambria" w:hAnsi="Cambria" w:eastAsia="宋体" w:cs="Cambria"/>
            </w:rPr>
            <w:t>4.2 施术方法</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_Toc28146 \h </w:instrText>
          </w:r>
          <w:r>
            <w:rPr>
              <w:rFonts w:hint="default" w:ascii="Cambria" w:hAnsi="Cambria" w:cs="Cambria"/>
            </w:rPr>
            <w:fldChar w:fldCharType="separate"/>
          </w:r>
          <w:r>
            <w:rPr>
              <w:rFonts w:hint="default" w:ascii="Cambria" w:hAnsi="Cambria" w:cs="Cambria"/>
            </w:rPr>
            <w:t>5</w:t>
          </w:r>
          <w:r>
            <w:rPr>
              <w:rFonts w:hint="default" w:ascii="Cambria" w:hAnsi="Cambria" w:cs="Cambria"/>
            </w:rPr>
            <w:fldChar w:fldCharType="end"/>
          </w:r>
          <w:r>
            <w:rPr>
              <w:rFonts w:hint="default" w:ascii="Cambria" w:hAnsi="Cambria" w:cs="Cambria"/>
            </w:rPr>
            <w:fldChar w:fldCharType="end"/>
          </w:r>
        </w:p>
        <w:p w14:paraId="1470A68B">
          <w:pPr>
            <w:pStyle w:val="11"/>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_Toc321 </w:instrText>
          </w:r>
          <w:r>
            <w:rPr>
              <w:rFonts w:hint="default" w:ascii="Cambria" w:hAnsi="Cambria" w:cs="Cambria"/>
            </w:rPr>
            <w:fldChar w:fldCharType="separate"/>
          </w:r>
          <w:r>
            <w:rPr>
              <w:rFonts w:hint="default" w:ascii="Cambria" w:hAnsi="Cambria" w:eastAsia="宋体" w:cs="Cambria"/>
            </w:rPr>
            <w:t>4.3 术后护理</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_Toc321 \h </w:instrText>
          </w:r>
          <w:r>
            <w:rPr>
              <w:rFonts w:hint="default" w:ascii="Cambria" w:hAnsi="Cambria" w:cs="Cambria"/>
            </w:rPr>
            <w:fldChar w:fldCharType="separate"/>
          </w:r>
          <w:r>
            <w:rPr>
              <w:rFonts w:hint="default" w:ascii="Cambria" w:hAnsi="Cambria" w:cs="Cambria"/>
            </w:rPr>
            <w:t>7</w:t>
          </w:r>
          <w:r>
            <w:rPr>
              <w:rFonts w:hint="default" w:ascii="Cambria" w:hAnsi="Cambria" w:cs="Cambria"/>
            </w:rPr>
            <w:fldChar w:fldCharType="end"/>
          </w:r>
          <w:r>
            <w:rPr>
              <w:rFonts w:hint="default" w:ascii="Cambria" w:hAnsi="Cambria" w:cs="Cambria"/>
            </w:rPr>
            <w:fldChar w:fldCharType="end"/>
          </w:r>
        </w:p>
        <w:p w14:paraId="08760A07">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_Toc21905 </w:instrText>
          </w:r>
          <w:r>
            <w:rPr>
              <w:rFonts w:hint="default" w:ascii="Cambria" w:hAnsi="Cambria" w:cs="Cambria"/>
            </w:rPr>
            <w:fldChar w:fldCharType="separate"/>
          </w:r>
          <w:r>
            <w:rPr>
              <w:rFonts w:hint="default" w:ascii="Cambria" w:hAnsi="Cambria" w:eastAsia="宋体" w:cs="Cambria"/>
              <w:szCs w:val="21"/>
            </w:rPr>
            <w:t>5 小儿三棱针疗法操作步骤与要求</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_Toc21905 \h </w:instrText>
          </w:r>
          <w:r>
            <w:rPr>
              <w:rFonts w:hint="default" w:ascii="Cambria" w:hAnsi="Cambria" w:cs="Cambria"/>
            </w:rPr>
            <w:fldChar w:fldCharType="separate"/>
          </w:r>
          <w:r>
            <w:rPr>
              <w:rFonts w:hint="default" w:ascii="Cambria" w:hAnsi="Cambria" w:cs="Cambria"/>
            </w:rPr>
            <w:t>7</w:t>
          </w:r>
          <w:r>
            <w:rPr>
              <w:rFonts w:hint="default" w:ascii="Cambria" w:hAnsi="Cambria" w:cs="Cambria"/>
            </w:rPr>
            <w:fldChar w:fldCharType="end"/>
          </w:r>
          <w:r>
            <w:rPr>
              <w:rFonts w:hint="default" w:ascii="Cambria" w:hAnsi="Cambria" w:cs="Cambria"/>
            </w:rPr>
            <w:fldChar w:fldCharType="end"/>
          </w:r>
        </w:p>
        <w:p w14:paraId="2E49D9DD">
          <w:pPr>
            <w:pStyle w:val="11"/>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_Toc27096 </w:instrText>
          </w:r>
          <w:r>
            <w:rPr>
              <w:rFonts w:hint="default" w:ascii="Cambria" w:hAnsi="Cambria" w:cs="Cambria"/>
            </w:rPr>
            <w:fldChar w:fldCharType="separate"/>
          </w:r>
          <w:r>
            <w:rPr>
              <w:rFonts w:hint="default" w:ascii="Cambria" w:hAnsi="Cambria" w:eastAsia="宋体" w:cs="Cambria"/>
            </w:rPr>
            <w:t>5.1 施术前准备</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_Toc27096 \h </w:instrText>
          </w:r>
          <w:r>
            <w:rPr>
              <w:rFonts w:hint="default" w:ascii="Cambria" w:hAnsi="Cambria" w:cs="Cambria"/>
            </w:rPr>
            <w:fldChar w:fldCharType="separate"/>
          </w:r>
          <w:r>
            <w:rPr>
              <w:rFonts w:hint="default" w:ascii="Cambria" w:hAnsi="Cambria" w:cs="Cambria"/>
            </w:rPr>
            <w:t>7</w:t>
          </w:r>
          <w:r>
            <w:rPr>
              <w:rFonts w:hint="default" w:ascii="Cambria" w:hAnsi="Cambria" w:cs="Cambria"/>
            </w:rPr>
            <w:fldChar w:fldCharType="end"/>
          </w:r>
          <w:r>
            <w:rPr>
              <w:rFonts w:hint="default" w:ascii="Cambria" w:hAnsi="Cambria" w:cs="Cambria"/>
            </w:rPr>
            <w:fldChar w:fldCharType="end"/>
          </w:r>
        </w:p>
        <w:p w14:paraId="562370BD">
          <w:pPr>
            <w:pStyle w:val="11"/>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_Toc1426 </w:instrText>
          </w:r>
          <w:r>
            <w:rPr>
              <w:rFonts w:hint="default" w:ascii="Cambria" w:hAnsi="Cambria" w:cs="Cambria"/>
            </w:rPr>
            <w:fldChar w:fldCharType="separate"/>
          </w:r>
          <w:r>
            <w:rPr>
              <w:rFonts w:hint="default" w:ascii="Cambria" w:hAnsi="Cambria" w:eastAsia="宋体" w:cs="Cambria"/>
            </w:rPr>
            <w:t>5.2 施术方法</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_Toc1426 \h </w:instrText>
          </w:r>
          <w:r>
            <w:rPr>
              <w:rFonts w:hint="default" w:ascii="Cambria" w:hAnsi="Cambria" w:cs="Cambria"/>
            </w:rPr>
            <w:fldChar w:fldCharType="separate"/>
          </w:r>
          <w:r>
            <w:rPr>
              <w:rFonts w:hint="default" w:ascii="Cambria" w:hAnsi="Cambria" w:cs="Cambria"/>
            </w:rPr>
            <w:t>7</w:t>
          </w:r>
          <w:r>
            <w:rPr>
              <w:rFonts w:hint="default" w:ascii="Cambria" w:hAnsi="Cambria" w:cs="Cambria"/>
            </w:rPr>
            <w:fldChar w:fldCharType="end"/>
          </w:r>
          <w:r>
            <w:rPr>
              <w:rFonts w:hint="default" w:ascii="Cambria" w:hAnsi="Cambria" w:cs="Cambria"/>
            </w:rPr>
            <w:fldChar w:fldCharType="end"/>
          </w:r>
        </w:p>
        <w:p w14:paraId="145DDBC0">
          <w:pPr>
            <w:pStyle w:val="11"/>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_Toc17443 </w:instrText>
          </w:r>
          <w:r>
            <w:rPr>
              <w:rFonts w:hint="default" w:ascii="Cambria" w:hAnsi="Cambria" w:cs="Cambria"/>
            </w:rPr>
            <w:fldChar w:fldCharType="separate"/>
          </w:r>
          <w:r>
            <w:rPr>
              <w:rFonts w:hint="default" w:ascii="Cambria" w:hAnsi="Cambria" w:eastAsia="宋体" w:cs="Cambria"/>
            </w:rPr>
            <w:t>5.3 施术后处理</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_Toc17443 \h </w:instrText>
          </w:r>
          <w:r>
            <w:rPr>
              <w:rFonts w:hint="default" w:ascii="Cambria" w:hAnsi="Cambria" w:cs="Cambria"/>
            </w:rPr>
            <w:fldChar w:fldCharType="separate"/>
          </w:r>
          <w:r>
            <w:rPr>
              <w:rFonts w:hint="default" w:ascii="Cambria" w:hAnsi="Cambria" w:cs="Cambria"/>
            </w:rPr>
            <w:t>8</w:t>
          </w:r>
          <w:r>
            <w:rPr>
              <w:rFonts w:hint="default" w:ascii="Cambria" w:hAnsi="Cambria" w:cs="Cambria"/>
            </w:rPr>
            <w:fldChar w:fldCharType="end"/>
          </w:r>
          <w:r>
            <w:rPr>
              <w:rFonts w:hint="default" w:ascii="Cambria" w:hAnsi="Cambria" w:cs="Cambria"/>
            </w:rPr>
            <w:fldChar w:fldCharType="end"/>
          </w:r>
        </w:p>
        <w:p w14:paraId="03CEAF81">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_Toc16609 </w:instrText>
          </w:r>
          <w:r>
            <w:rPr>
              <w:rFonts w:hint="default" w:ascii="Cambria" w:hAnsi="Cambria" w:cs="Cambria"/>
            </w:rPr>
            <w:fldChar w:fldCharType="separate"/>
          </w:r>
          <w:r>
            <w:rPr>
              <w:rFonts w:hint="default" w:ascii="Cambria" w:hAnsi="Cambria" w:eastAsia="宋体" w:cs="Cambria"/>
              <w:szCs w:val="21"/>
            </w:rPr>
            <w:t>6 刺四缝疗法操作步骤与要求</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_Toc16609 \h </w:instrText>
          </w:r>
          <w:r>
            <w:rPr>
              <w:rFonts w:hint="default" w:ascii="Cambria" w:hAnsi="Cambria" w:cs="Cambria"/>
            </w:rPr>
            <w:fldChar w:fldCharType="separate"/>
          </w:r>
          <w:r>
            <w:rPr>
              <w:rFonts w:hint="default" w:ascii="Cambria" w:hAnsi="Cambria" w:cs="Cambria"/>
            </w:rPr>
            <w:t>8</w:t>
          </w:r>
          <w:r>
            <w:rPr>
              <w:rFonts w:hint="default" w:ascii="Cambria" w:hAnsi="Cambria" w:cs="Cambria"/>
            </w:rPr>
            <w:fldChar w:fldCharType="end"/>
          </w:r>
          <w:r>
            <w:rPr>
              <w:rFonts w:hint="default" w:ascii="Cambria" w:hAnsi="Cambria" w:cs="Cambria"/>
            </w:rPr>
            <w:fldChar w:fldCharType="end"/>
          </w:r>
        </w:p>
        <w:p w14:paraId="34D83BE6">
          <w:pPr>
            <w:pStyle w:val="11"/>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_Toc6213 </w:instrText>
          </w:r>
          <w:r>
            <w:rPr>
              <w:rFonts w:hint="default" w:ascii="Cambria" w:hAnsi="Cambria" w:cs="Cambria"/>
            </w:rPr>
            <w:fldChar w:fldCharType="separate"/>
          </w:r>
          <w:r>
            <w:rPr>
              <w:rFonts w:hint="default" w:ascii="Cambria" w:hAnsi="Cambria" w:eastAsia="宋体" w:cs="Cambria"/>
            </w:rPr>
            <w:t>6.1 施术前准备</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_Toc6213 \h </w:instrText>
          </w:r>
          <w:r>
            <w:rPr>
              <w:rFonts w:hint="default" w:ascii="Cambria" w:hAnsi="Cambria" w:cs="Cambria"/>
            </w:rPr>
            <w:fldChar w:fldCharType="separate"/>
          </w:r>
          <w:r>
            <w:rPr>
              <w:rFonts w:hint="default" w:ascii="Cambria" w:hAnsi="Cambria" w:cs="Cambria"/>
            </w:rPr>
            <w:t>8</w:t>
          </w:r>
          <w:r>
            <w:rPr>
              <w:rFonts w:hint="default" w:ascii="Cambria" w:hAnsi="Cambria" w:cs="Cambria"/>
            </w:rPr>
            <w:fldChar w:fldCharType="end"/>
          </w:r>
          <w:r>
            <w:rPr>
              <w:rFonts w:hint="default" w:ascii="Cambria" w:hAnsi="Cambria" w:cs="Cambria"/>
            </w:rPr>
            <w:fldChar w:fldCharType="end"/>
          </w:r>
        </w:p>
        <w:p w14:paraId="437BEEB8">
          <w:pPr>
            <w:pStyle w:val="11"/>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_Toc1139 </w:instrText>
          </w:r>
          <w:r>
            <w:rPr>
              <w:rFonts w:hint="default" w:ascii="Cambria" w:hAnsi="Cambria" w:cs="Cambria"/>
            </w:rPr>
            <w:fldChar w:fldCharType="separate"/>
          </w:r>
          <w:r>
            <w:rPr>
              <w:rFonts w:hint="default" w:ascii="Cambria" w:hAnsi="Cambria" w:eastAsia="宋体" w:cs="Cambria"/>
            </w:rPr>
            <w:t>6.2 施术方法</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_Toc1139 \h </w:instrText>
          </w:r>
          <w:r>
            <w:rPr>
              <w:rFonts w:hint="default" w:ascii="Cambria" w:hAnsi="Cambria" w:cs="Cambria"/>
            </w:rPr>
            <w:fldChar w:fldCharType="separate"/>
          </w:r>
          <w:r>
            <w:rPr>
              <w:rFonts w:hint="default" w:ascii="Cambria" w:hAnsi="Cambria" w:cs="Cambria"/>
            </w:rPr>
            <w:t>9</w:t>
          </w:r>
          <w:r>
            <w:rPr>
              <w:rFonts w:hint="default" w:ascii="Cambria" w:hAnsi="Cambria" w:cs="Cambria"/>
            </w:rPr>
            <w:fldChar w:fldCharType="end"/>
          </w:r>
          <w:r>
            <w:rPr>
              <w:rFonts w:hint="default" w:ascii="Cambria" w:hAnsi="Cambria" w:cs="Cambria"/>
            </w:rPr>
            <w:fldChar w:fldCharType="end"/>
          </w:r>
        </w:p>
        <w:p w14:paraId="4FA75C7D">
          <w:pPr>
            <w:pStyle w:val="11"/>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_Toc5966 </w:instrText>
          </w:r>
          <w:r>
            <w:rPr>
              <w:rFonts w:hint="default" w:ascii="Cambria" w:hAnsi="Cambria" w:cs="Cambria"/>
            </w:rPr>
            <w:fldChar w:fldCharType="separate"/>
          </w:r>
          <w:r>
            <w:rPr>
              <w:rFonts w:hint="default" w:ascii="Cambria" w:hAnsi="Cambria" w:eastAsia="宋体" w:cs="Cambria"/>
            </w:rPr>
            <w:t>6.3 施术后处理</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_Toc5966 \h </w:instrText>
          </w:r>
          <w:r>
            <w:rPr>
              <w:rFonts w:hint="default" w:ascii="Cambria" w:hAnsi="Cambria" w:cs="Cambria"/>
            </w:rPr>
            <w:fldChar w:fldCharType="separate"/>
          </w:r>
          <w:r>
            <w:rPr>
              <w:rFonts w:hint="default" w:ascii="Cambria" w:hAnsi="Cambria" w:cs="Cambria"/>
            </w:rPr>
            <w:t>9</w:t>
          </w:r>
          <w:r>
            <w:rPr>
              <w:rFonts w:hint="default" w:ascii="Cambria" w:hAnsi="Cambria" w:cs="Cambria"/>
            </w:rPr>
            <w:fldChar w:fldCharType="end"/>
          </w:r>
          <w:r>
            <w:rPr>
              <w:rFonts w:hint="default" w:ascii="Cambria" w:hAnsi="Cambria" w:cs="Cambria"/>
            </w:rPr>
            <w:fldChar w:fldCharType="end"/>
          </w:r>
        </w:p>
        <w:p w14:paraId="7BDCE2D2">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_Toc3387 </w:instrText>
          </w:r>
          <w:r>
            <w:rPr>
              <w:rFonts w:hint="default" w:ascii="Cambria" w:hAnsi="Cambria" w:cs="Cambria"/>
            </w:rPr>
            <w:fldChar w:fldCharType="separate"/>
          </w:r>
          <w:r>
            <w:rPr>
              <w:rFonts w:hint="default" w:ascii="Cambria" w:hAnsi="Cambria" w:eastAsia="宋体" w:cs="Cambria"/>
              <w:szCs w:val="21"/>
            </w:rPr>
            <w:t>7 小儿艾灸疗法操作步骤与要求</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_Toc3387 \h </w:instrText>
          </w:r>
          <w:r>
            <w:rPr>
              <w:rFonts w:hint="default" w:ascii="Cambria" w:hAnsi="Cambria" w:cs="Cambria"/>
            </w:rPr>
            <w:fldChar w:fldCharType="separate"/>
          </w:r>
          <w:r>
            <w:rPr>
              <w:rFonts w:hint="default" w:ascii="Cambria" w:hAnsi="Cambria" w:cs="Cambria"/>
            </w:rPr>
            <w:t>9</w:t>
          </w:r>
          <w:r>
            <w:rPr>
              <w:rFonts w:hint="default" w:ascii="Cambria" w:hAnsi="Cambria" w:cs="Cambria"/>
            </w:rPr>
            <w:fldChar w:fldCharType="end"/>
          </w:r>
          <w:r>
            <w:rPr>
              <w:rFonts w:hint="default" w:ascii="Cambria" w:hAnsi="Cambria" w:cs="Cambria"/>
            </w:rPr>
            <w:fldChar w:fldCharType="end"/>
          </w:r>
        </w:p>
        <w:p w14:paraId="381F1C6A">
          <w:pPr>
            <w:pStyle w:val="11"/>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_Toc16870 </w:instrText>
          </w:r>
          <w:r>
            <w:rPr>
              <w:rFonts w:hint="default" w:ascii="Cambria" w:hAnsi="Cambria" w:cs="Cambria"/>
            </w:rPr>
            <w:fldChar w:fldCharType="separate"/>
          </w:r>
          <w:r>
            <w:rPr>
              <w:rFonts w:hint="default" w:ascii="Cambria" w:hAnsi="Cambria" w:eastAsia="宋体" w:cs="Cambria"/>
            </w:rPr>
            <w:t>7.1 施术前准备</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_Toc16870 \h </w:instrText>
          </w:r>
          <w:r>
            <w:rPr>
              <w:rFonts w:hint="default" w:ascii="Cambria" w:hAnsi="Cambria" w:cs="Cambria"/>
            </w:rPr>
            <w:fldChar w:fldCharType="separate"/>
          </w:r>
          <w:r>
            <w:rPr>
              <w:rFonts w:hint="default" w:ascii="Cambria" w:hAnsi="Cambria" w:cs="Cambria"/>
            </w:rPr>
            <w:t>9</w:t>
          </w:r>
          <w:r>
            <w:rPr>
              <w:rFonts w:hint="default" w:ascii="Cambria" w:hAnsi="Cambria" w:cs="Cambria"/>
            </w:rPr>
            <w:fldChar w:fldCharType="end"/>
          </w:r>
          <w:r>
            <w:rPr>
              <w:rFonts w:hint="default" w:ascii="Cambria" w:hAnsi="Cambria" w:cs="Cambria"/>
            </w:rPr>
            <w:fldChar w:fldCharType="end"/>
          </w:r>
        </w:p>
        <w:p w14:paraId="72784A92">
          <w:pPr>
            <w:pStyle w:val="11"/>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_Toc15041 </w:instrText>
          </w:r>
          <w:r>
            <w:rPr>
              <w:rFonts w:hint="default" w:ascii="Cambria" w:hAnsi="Cambria" w:cs="Cambria"/>
            </w:rPr>
            <w:fldChar w:fldCharType="separate"/>
          </w:r>
          <w:r>
            <w:rPr>
              <w:rFonts w:hint="default" w:ascii="Cambria" w:hAnsi="Cambria" w:eastAsia="宋体" w:cs="Cambria"/>
            </w:rPr>
            <w:t>7.2 施术方法</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_Toc15041 \h </w:instrText>
          </w:r>
          <w:r>
            <w:rPr>
              <w:rFonts w:hint="default" w:ascii="Cambria" w:hAnsi="Cambria" w:cs="Cambria"/>
            </w:rPr>
            <w:fldChar w:fldCharType="separate"/>
          </w:r>
          <w:r>
            <w:rPr>
              <w:rFonts w:hint="default" w:ascii="Cambria" w:hAnsi="Cambria" w:cs="Cambria"/>
            </w:rPr>
            <w:t>10</w:t>
          </w:r>
          <w:r>
            <w:rPr>
              <w:rFonts w:hint="default" w:ascii="Cambria" w:hAnsi="Cambria" w:cs="Cambria"/>
            </w:rPr>
            <w:fldChar w:fldCharType="end"/>
          </w:r>
          <w:r>
            <w:rPr>
              <w:rFonts w:hint="default" w:ascii="Cambria" w:hAnsi="Cambria" w:cs="Cambria"/>
            </w:rPr>
            <w:fldChar w:fldCharType="end"/>
          </w:r>
        </w:p>
        <w:p w14:paraId="37947BE9">
          <w:pPr>
            <w:pStyle w:val="11"/>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_Toc15623 </w:instrText>
          </w:r>
          <w:r>
            <w:rPr>
              <w:rFonts w:hint="default" w:ascii="Cambria" w:hAnsi="Cambria" w:cs="Cambria"/>
            </w:rPr>
            <w:fldChar w:fldCharType="separate"/>
          </w:r>
          <w:r>
            <w:rPr>
              <w:rFonts w:hint="default" w:ascii="Cambria" w:hAnsi="Cambria" w:eastAsia="宋体" w:cs="Cambria"/>
            </w:rPr>
            <w:t>7.3 术后护理</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_Toc15623 \h </w:instrText>
          </w:r>
          <w:r>
            <w:rPr>
              <w:rFonts w:hint="default" w:ascii="Cambria" w:hAnsi="Cambria" w:cs="Cambria"/>
            </w:rPr>
            <w:fldChar w:fldCharType="separate"/>
          </w:r>
          <w:r>
            <w:rPr>
              <w:rFonts w:hint="default" w:ascii="Cambria" w:hAnsi="Cambria" w:cs="Cambria"/>
            </w:rPr>
            <w:t>12</w:t>
          </w:r>
          <w:r>
            <w:rPr>
              <w:rFonts w:hint="default" w:ascii="Cambria" w:hAnsi="Cambria" w:cs="Cambria"/>
            </w:rPr>
            <w:fldChar w:fldCharType="end"/>
          </w:r>
          <w:r>
            <w:rPr>
              <w:rFonts w:hint="default" w:ascii="Cambria" w:hAnsi="Cambria" w:cs="Cambria"/>
            </w:rPr>
            <w:fldChar w:fldCharType="end"/>
          </w:r>
        </w:p>
        <w:p w14:paraId="73AF4F70">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_Toc7008 </w:instrText>
          </w:r>
          <w:r>
            <w:rPr>
              <w:rFonts w:hint="default" w:ascii="Cambria" w:hAnsi="Cambria" w:cs="Cambria"/>
            </w:rPr>
            <w:fldChar w:fldCharType="separate"/>
          </w:r>
          <w:r>
            <w:rPr>
              <w:rFonts w:hint="default" w:ascii="Cambria" w:hAnsi="Cambria" w:eastAsia="宋体" w:cs="Cambria"/>
              <w:szCs w:val="21"/>
            </w:rPr>
            <w:t>8 注意事项和禁忌</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_Toc7008 \h </w:instrText>
          </w:r>
          <w:r>
            <w:rPr>
              <w:rFonts w:hint="default" w:ascii="Cambria" w:hAnsi="Cambria" w:cs="Cambria"/>
            </w:rPr>
            <w:fldChar w:fldCharType="separate"/>
          </w:r>
          <w:r>
            <w:rPr>
              <w:rFonts w:hint="default" w:ascii="Cambria" w:hAnsi="Cambria" w:cs="Cambria"/>
            </w:rPr>
            <w:t>12</w:t>
          </w:r>
          <w:r>
            <w:rPr>
              <w:rFonts w:hint="default" w:ascii="Cambria" w:hAnsi="Cambria" w:cs="Cambria"/>
            </w:rPr>
            <w:fldChar w:fldCharType="end"/>
          </w:r>
          <w:r>
            <w:rPr>
              <w:rFonts w:hint="default" w:ascii="Cambria" w:hAnsi="Cambria" w:cs="Cambria"/>
            </w:rPr>
            <w:fldChar w:fldCharType="end"/>
          </w:r>
        </w:p>
        <w:p w14:paraId="3571634C">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_Toc3526 </w:instrText>
          </w:r>
          <w:r>
            <w:rPr>
              <w:rFonts w:hint="default" w:ascii="Cambria" w:hAnsi="Cambria" w:cs="Cambria"/>
            </w:rPr>
            <w:fldChar w:fldCharType="separate"/>
          </w:r>
          <w:r>
            <w:rPr>
              <w:rFonts w:hint="default" w:ascii="Cambria" w:hAnsi="Cambria" w:eastAsia="宋体" w:cs="Cambria"/>
            </w:rPr>
            <w:t>附录</w:t>
          </w:r>
          <w:r>
            <w:rPr>
              <w:rFonts w:hint="eastAsia" w:ascii="Cambria" w:hAnsi="Cambria" w:eastAsia="宋体" w:cs="Cambria"/>
              <w:lang w:val="en-US" w:eastAsia="zh-CN"/>
            </w:rPr>
            <w:t>A</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_Toc6001 </w:instrText>
          </w:r>
          <w:r>
            <w:rPr>
              <w:rFonts w:hint="default" w:ascii="Cambria" w:hAnsi="Cambria" w:cs="Cambria"/>
            </w:rPr>
            <w:fldChar w:fldCharType="separate"/>
          </w:r>
          <w:r>
            <w:rPr>
              <w:rFonts w:hint="default" w:ascii="Cambria" w:hAnsi="Cambria" w:eastAsia="宋体" w:cs="Cambria"/>
            </w:rPr>
            <w:t>（资料性）</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_Toc31814 </w:instrText>
          </w:r>
          <w:r>
            <w:rPr>
              <w:rFonts w:hint="default" w:ascii="Cambria" w:hAnsi="Cambria" w:cs="Cambria"/>
            </w:rPr>
            <w:fldChar w:fldCharType="separate"/>
          </w:r>
          <w:r>
            <w:rPr>
              <w:rFonts w:hint="default" w:ascii="Cambria" w:hAnsi="Cambria" w:eastAsia="宋体" w:cs="Cambria"/>
            </w:rPr>
            <w:t>常用毫针</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_Toc31814 \h </w:instrText>
          </w:r>
          <w:r>
            <w:rPr>
              <w:rFonts w:hint="default" w:ascii="Cambria" w:hAnsi="Cambria" w:cs="Cambria"/>
            </w:rPr>
            <w:fldChar w:fldCharType="separate"/>
          </w:r>
          <w:r>
            <w:rPr>
              <w:rFonts w:hint="default" w:ascii="Cambria" w:hAnsi="Cambria" w:cs="Cambria"/>
            </w:rPr>
            <w:t>13</w:t>
          </w:r>
          <w:r>
            <w:rPr>
              <w:rFonts w:hint="default" w:ascii="Cambria" w:hAnsi="Cambria" w:cs="Cambria"/>
            </w:rPr>
            <w:fldChar w:fldCharType="end"/>
          </w:r>
          <w:r>
            <w:rPr>
              <w:rFonts w:hint="default" w:ascii="Cambria" w:hAnsi="Cambria" w:cs="Cambria"/>
            </w:rPr>
            <w:fldChar w:fldCharType="end"/>
          </w:r>
        </w:p>
        <w:p w14:paraId="26D8A8AF">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_Toc6905 </w:instrText>
          </w:r>
          <w:r>
            <w:rPr>
              <w:rFonts w:hint="default" w:ascii="Cambria" w:hAnsi="Cambria" w:cs="Cambria"/>
            </w:rPr>
            <w:fldChar w:fldCharType="separate"/>
          </w:r>
          <w:r>
            <w:rPr>
              <w:rFonts w:hint="default" w:ascii="Cambria" w:hAnsi="Cambria" w:eastAsia="宋体" w:cs="Cambria"/>
            </w:rPr>
            <w:t>附录B</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_Toc7996 </w:instrText>
          </w:r>
          <w:r>
            <w:rPr>
              <w:rFonts w:hint="default" w:ascii="Cambria" w:hAnsi="Cambria" w:cs="Cambria"/>
            </w:rPr>
            <w:fldChar w:fldCharType="separate"/>
          </w:r>
          <w:r>
            <w:rPr>
              <w:rFonts w:hint="default" w:ascii="Cambria" w:hAnsi="Cambria" w:eastAsia="宋体" w:cs="Cambria"/>
            </w:rPr>
            <w:t>（资料性）</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_Toc22925 </w:instrText>
          </w:r>
          <w:r>
            <w:rPr>
              <w:rFonts w:hint="default" w:ascii="Cambria" w:hAnsi="Cambria" w:cs="Cambria"/>
            </w:rPr>
            <w:fldChar w:fldCharType="separate"/>
          </w:r>
          <w:r>
            <w:rPr>
              <w:rFonts w:hint="default" w:ascii="Cambria" w:hAnsi="Cambria" w:eastAsia="宋体" w:cs="Cambria"/>
            </w:rPr>
            <w:t>针刺手法</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_Toc22925 \h </w:instrText>
          </w:r>
          <w:r>
            <w:rPr>
              <w:rFonts w:hint="default" w:ascii="Cambria" w:hAnsi="Cambria" w:cs="Cambria"/>
            </w:rPr>
            <w:fldChar w:fldCharType="separate"/>
          </w:r>
          <w:r>
            <w:rPr>
              <w:rFonts w:hint="default" w:ascii="Cambria" w:hAnsi="Cambria" w:cs="Cambria"/>
            </w:rPr>
            <w:t>14</w:t>
          </w:r>
          <w:r>
            <w:rPr>
              <w:rFonts w:hint="default" w:ascii="Cambria" w:hAnsi="Cambria" w:cs="Cambria"/>
            </w:rPr>
            <w:fldChar w:fldCharType="end"/>
          </w:r>
          <w:r>
            <w:rPr>
              <w:rFonts w:hint="default" w:ascii="Cambria" w:hAnsi="Cambria" w:cs="Cambria"/>
            </w:rPr>
            <w:fldChar w:fldCharType="end"/>
          </w:r>
        </w:p>
        <w:p w14:paraId="7809EB6D">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_Toc23738 </w:instrText>
          </w:r>
          <w:r>
            <w:rPr>
              <w:rFonts w:hint="default" w:ascii="Cambria" w:hAnsi="Cambria" w:cs="Cambria"/>
            </w:rPr>
            <w:fldChar w:fldCharType="separate"/>
          </w:r>
          <w:r>
            <w:rPr>
              <w:rFonts w:hint="default" w:ascii="Cambria" w:hAnsi="Cambria" w:eastAsia="宋体" w:cs="Cambria"/>
            </w:rPr>
            <w:t>附录</w:t>
          </w:r>
          <w:r>
            <w:rPr>
              <w:rFonts w:hint="eastAsia" w:ascii="Cambria" w:hAnsi="Cambria" w:eastAsia="宋体" w:cs="Cambria"/>
              <w:lang w:val="en-US" w:eastAsia="zh-CN"/>
            </w:rPr>
            <w:t>C</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_Toc26248 </w:instrText>
          </w:r>
          <w:r>
            <w:rPr>
              <w:rFonts w:hint="default" w:ascii="Cambria" w:hAnsi="Cambria" w:cs="Cambria"/>
            </w:rPr>
            <w:fldChar w:fldCharType="separate"/>
          </w:r>
          <w:r>
            <w:rPr>
              <w:rFonts w:hint="default" w:ascii="Cambria" w:hAnsi="Cambria" w:eastAsia="宋体" w:cs="Cambria"/>
            </w:rPr>
            <w:t>（资料性）</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_Toc21008 </w:instrText>
          </w:r>
          <w:r>
            <w:rPr>
              <w:rFonts w:hint="default" w:ascii="Cambria" w:hAnsi="Cambria" w:cs="Cambria"/>
            </w:rPr>
            <w:fldChar w:fldCharType="separate"/>
          </w:r>
          <w:r>
            <w:rPr>
              <w:rFonts w:hint="default" w:ascii="Cambria" w:hAnsi="Cambria" w:eastAsia="宋体" w:cs="Cambria"/>
            </w:rPr>
            <w:t>刺四缝疗程</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_Toc21008 \h </w:instrText>
          </w:r>
          <w:r>
            <w:rPr>
              <w:rFonts w:hint="default" w:ascii="Cambria" w:hAnsi="Cambria" w:cs="Cambria"/>
            </w:rPr>
            <w:fldChar w:fldCharType="separate"/>
          </w:r>
          <w:r>
            <w:rPr>
              <w:rFonts w:hint="default" w:ascii="Cambria" w:hAnsi="Cambria" w:cs="Cambria"/>
            </w:rPr>
            <w:t>17</w:t>
          </w:r>
          <w:r>
            <w:rPr>
              <w:rFonts w:hint="default" w:ascii="Cambria" w:hAnsi="Cambria" w:cs="Cambria"/>
            </w:rPr>
            <w:fldChar w:fldCharType="end"/>
          </w:r>
          <w:r>
            <w:rPr>
              <w:rFonts w:hint="default" w:ascii="Cambria" w:hAnsi="Cambria" w:cs="Cambria"/>
            </w:rPr>
            <w:fldChar w:fldCharType="end"/>
          </w:r>
        </w:p>
        <w:p w14:paraId="50604BC3">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_Toc27596 </w:instrText>
          </w:r>
          <w:r>
            <w:rPr>
              <w:rFonts w:hint="default" w:ascii="Cambria" w:hAnsi="Cambria" w:cs="Cambria"/>
            </w:rPr>
            <w:fldChar w:fldCharType="separate"/>
          </w:r>
          <w:r>
            <w:rPr>
              <w:rFonts w:hint="default" w:ascii="Cambria" w:hAnsi="Cambria" w:eastAsia="宋体" w:cs="Cambria"/>
            </w:rPr>
            <w:t>附录</w:t>
          </w:r>
          <w:r>
            <w:rPr>
              <w:rFonts w:hint="eastAsia" w:ascii="Cambria" w:hAnsi="Cambria" w:eastAsia="宋体" w:cs="Cambria"/>
              <w:lang w:val="en-US" w:eastAsia="zh-CN"/>
            </w:rPr>
            <w:t>D</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_Toc25612 </w:instrText>
          </w:r>
          <w:r>
            <w:rPr>
              <w:rFonts w:hint="default" w:ascii="Cambria" w:hAnsi="Cambria" w:cs="Cambria"/>
            </w:rPr>
            <w:fldChar w:fldCharType="separate"/>
          </w:r>
          <w:r>
            <w:rPr>
              <w:rFonts w:hint="default" w:ascii="Cambria" w:hAnsi="Cambria" w:eastAsia="宋体" w:cs="Cambria"/>
            </w:rPr>
            <w:t>（资料性）</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_Toc23455 </w:instrText>
          </w:r>
          <w:r>
            <w:rPr>
              <w:rFonts w:hint="default" w:ascii="Cambria" w:hAnsi="Cambria" w:cs="Cambria"/>
            </w:rPr>
            <w:fldChar w:fldCharType="separate"/>
          </w:r>
          <w:r>
            <w:rPr>
              <w:rFonts w:hint="default" w:ascii="Cambria" w:hAnsi="Cambria" w:eastAsia="宋体" w:cs="Cambria"/>
            </w:rPr>
            <w:t>常用间接灸</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_Toc23455 \h </w:instrText>
          </w:r>
          <w:r>
            <w:rPr>
              <w:rFonts w:hint="default" w:ascii="Cambria" w:hAnsi="Cambria" w:cs="Cambria"/>
            </w:rPr>
            <w:fldChar w:fldCharType="separate"/>
          </w:r>
          <w:r>
            <w:rPr>
              <w:rFonts w:hint="default" w:ascii="Cambria" w:hAnsi="Cambria" w:cs="Cambria"/>
            </w:rPr>
            <w:t>18</w:t>
          </w:r>
          <w:r>
            <w:rPr>
              <w:rFonts w:hint="default" w:ascii="Cambria" w:hAnsi="Cambria" w:cs="Cambria"/>
            </w:rPr>
            <w:fldChar w:fldCharType="end"/>
          </w:r>
          <w:r>
            <w:rPr>
              <w:rFonts w:hint="default" w:ascii="Cambria" w:hAnsi="Cambria" w:cs="Cambria"/>
            </w:rPr>
            <w:fldChar w:fldCharType="end"/>
          </w:r>
        </w:p>
        <w:p w14:paraId="024D6BD0">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_Toc479 </w:instrText>
          </w:r>
          <w:r>
            <w:rPr>
              <w:rFonts w:hint="default" w:ascii="Cambria" w:hAnsi="Cambria" w:cs="Cambria"/>
            </w:rPr>
            <w:fldChar w:fldCharType="separate"/>
          </w:r>
          <w:r>
            <w:rPr>
              <w:rFonts w:hint="default" w:ascii="Cambria" w:hAnsi="Cambria" w:eastAsia="宋体" w:cs="Cambria"/>
            </w:rPr>
            <w:t>附录</w:t>
          </w:r>
          <w:r>
            <w:rPr>
              <w:rFonts w:hint="eastAsia" w:ascii="Cambria" w:hAnsi="Cambria" w:eastAsia="宋体" w:cs="Cambria"/>
              <w:lang w:val="en-US" w:eastAsia="zh-CN"/>
            </w:rPr>
            <w:t>E</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_Toc7782 </w:instrText>
          </w:r>
          <w:r>
            <w:rPr>
              <w:rFonts w:hint="default" w:ascii="Cambria" w:hAnsi="Cambria" w:cs="Cambria"/>
            </w:rPr>
            <w:fldChar w:fldCharType="separate"/>
          </w:r>
          <w:r>
            <w:rPr>
              <w:rFonts w:hint="default" w:ascii="Cambria" w:hAnsi="Cambria" w:eastAsia="宋体" w:cs="Cambria"/>
            </w:rPr>
            <w:t>（资料性）</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_Toc14440 </w:instrText>
          </w:r>
          <w:r>
            <w:rPr>
              <w:rFonts w:hint="default" w:ascii="Cambria" w:hAnsi="Cambria" w:cs="Cambria"/>
            </w:rPr>
            <w:fldChar w:fldCharType="separate"/>
          </w:r>
          <w:r>
            <w:rPr>
              <w:rFonts w:hint="default" w:ascii="Cambria" w:hAnsi="Cambria" w:eastAsia="宋体" w:cs="Cambria"/>
            </w:rPr>
            <w:t>常用温灸器</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_Toc14440 \h </w:instrText>
          </w:r>
          <w:r>
            <w:rPr>
              <w:rFonts w:hint="default" w:ascii="Cambria" w:hAnsi="Cambria" w:cs="Cambria"/>
            </w:rPr>
            <w:fldChar w:fldCharType="separate"/>
          </w:r>
          <w:r>
            <w:rPr>
              <w:rFonts w:hint="default" w:ascii="Cambria" w:hAnsi="Cambria" w:cs="Cambria"/>
            </w:rPr>
            <w:t>19</w:t>
          </w:r>
          <w:r>
            <w:rPr>
              <w:rFonts w:hint="default" w:ascii="Cambria" w:hAnsi="Cambria" w:cs="Cambria"/>
            </w:rPr>
            <w:fldChar w:fldCharType="end"/>
          </w:r>
          <w:r>
            <w:rPr>
              <w:rFonts w:hint="default" w:ascii="Cambria" w:hAnsi="Cambria" w:cs="Cambria"/>
            </w:rPr>
            <w:fldChar w:fldCharType="end"/>
          </w:r>
        </w:p>
        <w:p w14:paraId="15FD5C13">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_Toc848 </w:instrText>
          </w:r>
          <w:r>
            <w:rPr>
              <w:rFonts w:hint="default" w:ascii="Cambria" w:hAnsi="Cambria" w:cs="Cambria"/>
            </w:rPr>
            <w:fldChar w:fldCharType="separate"/>
          </w:r>
          <w:r>
            <w:rPr>
              <w:rFonts w:hint="default" w:ascii="Cambria" w:hAnsi="Cambria" w:eastAsia="宋体" w:cs="Cambria"/>
            </w:rPr>
            <w:t>附录</w:t>
          </w:r>
          <w:r>
            <w:rPr>
              <w:rFonts w:hint="eastAsia" w:ascii="Cambria" w:hAnsi="Cambria" w:eastAsia="宋体" w:cs="Cambria"/>
              <w:lang w:val="en-US" w:eastAsia="zh-CN"/>
            </w:rPr>
            <w:t>F</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_Toc24769 </w:instrText>
          </w:r>
          <w:r>
            <w:rPr>
              <w:rFonts w:hint="default" w:ascii="Cambria" w:hAnsi="Cambria" w:cs="Cambria"/>
            </w:rPr>
            <w:fldChar w:fldCharType="separate"/>
          </w:r>
          <w:r>
            <w:rPr>
              <w:rFonts w:hint="default" w:ascii="Cambria" w:hAnsi="Cambria" w:eastAsia="宋体" w:cs="Cambria"/>
            </w:rPr>
            <w:t>（资料性）</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_Toc13094 </w:instrText>
          </w:r>
          <w:r>
            <w:rPr>
              <w:rFonts w:hint="default" w:ascii="Cambria" w:hAnsi="Cambria" w:cs="Cambria"/>
            </w:rPr>
            <w:fldChar w:fldCharType="separate"/>
          </w:r>
          <w:r>
            <w:rPr>
              <w:rFonts w:hint="default" w:ascii="Cambria" w:hAnsi="Cambria" w:eastAsia="宋体" w:cs="Cambria"/>
            </w:rPr>
            <w:t>常用艾条</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_Toc13094 \h </w:instrText>
          </w:r>
          <w:r>
            <w:rPr>
              <w:rFonts w:hint="default" w:ascii="Cambria" w:hAnsi="Cambria" w:cs="Cambria"/>
            </w:rPr>
            <w:fldChar w:fldCharType="separate"/>
          </w:r>
          <w:r>
            <w:rPr>
              <w:rFonts w:hint="default" w:ascii="Cambria" w:hAnsi="Cambria" w:cs="Cambria"/>
            </w:rPr>
            <w:t>20</w:t>
          </w:r>
          <w:r>
            <w:rPr>
              <w:rFonts w:hint="default" w:ascii="Cambria" w:hAnsi="Cambria" w:cs="Cambria"/>
            </w:rPr>
            <w:fldChar w:fldCharType="end"/>
          </w:r>
          <w:r>
            <w:rPr>
              <w:rFonts w:hint="default" w:ascii="Cambria" w:hAnsi="Cambria" w:cs="Cambria"/>
            </w:rPr>
            <w:fldChar w:fldCharType="end"/>
          </w:r>
        </w:p>
        <w:p w14:paraId="7604F4BD">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_Toc19514 </w:instrText>
          </w:r>
          <w:r>
            <w:rPr>
              <w:rFonts w:hint="default" w:ascii="Cambria" w:hAnsi="Cambria" w:cs="Cambria"/>
            </w:rPr>
            <w:fldChar w:fldCharType="separate"/>
          </w:r>
          <w:r>
            <w:rPr>
              <w:rFonts w:hint="default" w:ascii="Cambria" w:hAnsi="Cambria" w:eastAsia="宋体" w:cs="Cambria"/>
            </w:rPr>
            <w:t>附录</w:t>
          </w:r>
          <w:r>
            <w:rPr>
              <w:rFonts w:hint="eastAsia" w:ascii="Cambria" w:hAnsi="Cambria" w:eastAsia="宋体" w:cs="Cambria"/>
              <w:lang w:val="en-US" w:eastAsia="zh-CN"/>
            </w:rPr>
            <w:t>G</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_Toc7908 </w:instrText>
          </w:r>
          <w:r>
            <w:rPr>
              <w:rFonts w:hint="default" w:ascii="Cambria" w:hAnsi="Cambria" w:cs="Cambria"/>
            </w:rPr>
            <w:fldChar w:fldCharType="separate"/>
          </w:r>
          <w:r>
            <w:rPr>
              <w:rFonts w:hint="default" w:ascii="Cambria" w:hAnsi="Cambria" w:eastAsia="宋体" w:cs="Cambria"/>
            </w:rPr>
            <w:t>（资料性）</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_Toc8488 </w:instrText>
          </w:r>
          <w:r>
            <w:rPr>
              <w:rFonts w:hint="default" w:ascii="Cambria" w:hAnsi="Cambria" w:cs="Cambria"/>
            </w:rPr>
            <w:fldChar w:fldCharType="separate"/>
          </w:r>
          <w:r>
            <w:rPr>
              <w:rFonts w:hint="default" w:ascii="Cambria" w:hAnsi="Cambria" w:eastAsia="宋体" w:cs="Cambria"/>
            </w:rPr>
            <w:t>艾灸量、治疗时间及疗程、晕灸的处理办法</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_Toc8488 \h </w:instrText>
          </w:r>
          <w:r>
            <w:rPr>
              <w:rFonts w:hint="default" w:ascii="Cambria" w:hAnsi="Cambria" w:cs="Cambria"/>
            </w:rPr>
            <w:fldChar w:fldCharType="separate"/>
          </w:r>
          <w:r>
            <w:rPr>
              <w:rFonts w:hint="default" w:ascii="Cambria" w:hAnsi="Cambria" w:cs="Cambria"/>
            </w:rPr>
            <w:t>21</w:t>
          </w:r>
          <w:r>
            <w:rPr>
              <w:rFonts w:hint="default" w:ascii="Cambria" w:hAnsi="Cambria" w:cs="Cambria"/>
            </w:rPr>
            <w:fldChar w:fldCharType="end"/>
          </w:r>
          <w:r>
            <w:rPr>
              <w:rFonts w:hint="default" w:ascii="Cambria" w:hAnsi="Cambria" w:cs="Cambria"/>
            </w:rPr>
            <w:fldChar w:fldCharType="end"/>
          </w:r>
        </w:p>
        <w:p w14:paraId="3C608D13">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_Toc28609 </w:instrText>
          </w:r>
          <w:r>
            <w:rPr>
              <w:rFonts w:hint="default" w:ascii="Cambria" w:hAnsi="Cambria" w:cs="Cambria"/>
            </w:rPr>
            <w:fldChar w:fldCharType="separate"/>
          </w:r>
          <w:r>
            <w:rPr>
              <w:rFonts w:hint="default" w:ascii="Cambria" w:hAnsi="Cambria" w:eastAsia="宋体" w:cs="Cambria"/>
            </w:rPr>
            <w:t>附录</w:t>
          </w:r>
          <w:r>
            <w:rPr>
              <w:rFonts w:hint="eastAsia" w:ascii="Cambria" w:hAnsi="Cambria" w:eastAsia="宋体" w:cs="Cambria"/>
              <w:lang w:val="en-US" w:eastAsia="zh-CN"/>
            </w:rPr>
            <w:t>H</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_Toc30517 </w:instrText>
          </w:r>
          <w:r>
            <w:rPr>
              <w:rFonts w:hint="default" w:ascii="Cambria" w:hAnsi="Cambria" w:cs="Cambria"/>
            </w:rPr>
            <w:fldChar w:fldCharType="separate"/>
          </w:r>
          <w:r>
            <w:rPr>
              <w:rFonts w:hint="default" w:ascii="Cambria" w:hAnsi="Cambria" w:eastAsia="宋体" w:cs="Cambria"/>
            </w:rPr>
            <w:t>（资料性）</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_Toc27855 </w:instrText>
          </w:r>
          <w:r>
            <w:rPr>
              <w:rFonts w:hint="default" w:ascii="Cambria" w:hAnsi="Cambria" w:cs="Cambria"/>
            </w:rPr>
            <w:fldChar w:fldCharType="separate"/>
          </w:r>
          <w:r>
            <w:rPr>
              <w:rFonts w:hint="default" w:ascii="Cambria" w:hAnsi="Cambria" w:eastAsia="宋体" w:cs="Cambria"/>
            </w:rPr>
            <w:t>小儿针灸疗法注意事项</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_Toc27855 \h </w:instrText>
          </w:r>
          <w:r>
            <w:rPr>
              <w:rFonts w:hint="default" w:ascii="Cambria" w:hAnsi="Cambria" w:cs="Cambria"/>
            </w:rPr>
            <w:fldChar w:fldCharType="separate"/>
          </w:r>
          <w:r>
            <w:rPr>
              <w:rFonts w:hint="default" w:ascii="Cambria" w:hAnsi="Cambria" w:cs="Cambria"/>
            </w:rPr>
            <w:t>22</w:t>
          </w:r>
          <w:r>
            <w:rPr>
              <w:rFonts w:hint="default" w:ascii="Cambria" w:hAnsi="Cambria" w:cs="Cambria"/>
            </w:rPr>
            <w:fldChar w:fldCharType="end"/>
          </w:r>
          <w:r>
            <w:rPr>
              <w:rFonts w:hint="default" w:ascii="Cambria" w:hAnsi="Cambria" w:cs="Cambria"/>
            </w:rPr>
            <w:fldChar w:fldCharType="end"/>
          </w:r>
        </w:p>
        <w:p w14:paraId="2D301E4C">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_Toc30476 </w:instrText>
          </w:r>
          <w:r>
            <w:rPr>
              <w:rFonts w:hint="default" w:ascii="Cambria" w:hAnsi="Cambria" w:cs="Cambria"/>
            </w:rPr>
            <w:fldChar w:fldCharType="separate"/>
          </w:r>
          <w:r>
            <w:rPr>
              <w:rFonts w:hint="default" w:ascii="Cambria" w:hAnsi="Cambria" w:eastAsia="宋体" w:cs="Cambria"/>
            </w:rPr>
            <w:t>附录</w:t>
          </w:r>
          <w:r>
            <w:rPr>
              <w:rFonts w:hint="eastAsia" w:ascii="Cambria" w:hAnsi="Cambria" w:eastAsia="宋体" w:cs="Cambria"/>
              <w:lang w:val="en-US" w:eastAsia="zh-CN"/>
            </w:rPr>
            <w:t>I</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_Toc10854 </w:instrText>
          </w:r>
          <w:r>
            <w:rPr>
              <w:rFonts w:hint="default" w:ascii="Cambria" w:hAnsi="Cambria" w:cs="Cambria"/>
            </w:rPr>
            <w:fldChar w:fldCharType="separate"/>
          </w:r>
          <w:r>
            <w:rPr>
              <w:rFonts w:hint="default" w:ascii="Cambria" w:hAnsi="Cambria" w:eastAsia="宋体" w:cs="Cambria"/>
            </w:rPr>
            <w:t>（资料性）</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_Toc8346 </w:instrText>
          </w:r>
          <w:r>
            <w:rPr>
              <w:rFonts w:hint="default" w:ascii="Cambria" w:hAnsi="Cambria" w:cs="Cambria"/>
            </w:rPr>
            <w:fldChar w:fldCharType="separate"/>
          </w:r>
          <w:r>
            <w:rPr>
              <w:rFonts w:hint="default" w:ascii="Cambria" w:hAnsi="Cambria" w:eastAsia="宋体" w:cs="Cambria"/>
            </w:rPr>
            <w:t>小儿针灸疗法禁忌</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_Toc8346 \h </w:instrText>
          </w:r>
          <w:r>
            <w:rPr>
              <w:rFonts w:hint="default" w:ascii="Cambria" w:hAnsi="Cambria" w:cs="Cambria"/>
            </w:rPr>
            <w:fldChar w:fldCharType="separate"/>
          </w:r>
          <w:r>
            <w:rPr>
              <w:rFonts w:hint="default" w:ascii="Cambria" w:hAnsi="Cambria" w:cs="Cambria"/>
            </w:rPr>
            <w:t>23</w:t>
          </w:r>
          <w:r>
            <w:rPr>
              <w:rFonts w:hint="default" w:ascii="Cambria" w:hAnsi="Cambria" w:cs="Cambria"/>
            </w:rPr>
            <w:fldChar w:fldCharType="end"/>
          </w:r>
          <w:r>
            <w:rPr>
              <w:rFonts w:hint="default" w:ascii="Cambria" w:hAnsi="Cambria" w:cs="Cambria"/>
            </w:rPr>
            <w:fldChar w:fldCharType="end"/>
          </w:r>
        </w:p>
        <w:p w14:paraId="13DF1AE4">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_Toc14820 </w:instrText>
          </w:r>
          <w:r>
            <w:rPr>
              <w:rFonts w:hint="default" w:ascii="Cambria" w:hAnsi="Cambria" w:cs="Cambria"/>
            </w:rPr>
            <w:fldChar w:fldCharType="separate"/>
          </w:r>
          <w:r>
            <w:rPr>
              <w:rFonts w:hint="default" w:ascii="Cambria" w:hAnsi="Cambria" w:eastAsia="宋体" w:cs="Cambria"/>
            </w:rPr>
            <w:t>参考文献</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_Toc14820 \h </w:instrText>
          </w:r>
          <w:r>
            <w:rPr>
              <w:rFonts w:hint="default" w:ascii="Cambria" w:hAnsi="Cambria" w:cs="Cambria"/>
            </w:rPr>
            <w:fldChar w:fldCharType="separate"/>
          </w:r>
          <w:r>
            <w:rPr>
              <w:rFonts w:hint="default" w:ascii="Cambria" w:hAnsi="Cambria" w:cs="Cambria"/>
            </w:rPr>
            <w:t>24</w:t>
          </w:r>
          <w:r>
            <w:rPr>
              <w:rFonts w:hint="default" w:ascii="Cambria" w:hAnsi="Cambria" w:cs="Cambria"/>
            </w:rPr>
            <w:fldChar w:fldCharType="end"/>
          </w:r>
          <w:r>
            <w:rPr>
              <w:rFonts w:hint="default" w:ascii="Cambria" w:hAnsi="Cambria" w:cs="Cambria"/>
            </w:rPr>
            <w:fldChar w:fldCharType="end"/>
          </w:r>
        </w:p>
        <w:p w14:paraId="44454847">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_Toc13381 </w:instrText>
          </w:r>
          <w:r>
            <w:rPr>
              <w:rFonts w:hint="default" w:ascii="Cambria" w:hAnsi="Cambria" w:cs="Cambria"/>
            </w:rPr>
            <w:fldChar w:fldCharType="separate"/>
          </w:r>
          <w:r>
            <w:rPr>
              <w:rFonts w:hint="default" w:ascii="Cambria" w:hAnsi="Cambria" w:eastAsia="宋体" w:cs="Cambria"/>
              <w:bCs/>
              <w:szCs w:val="21"/>
            </w:rPr>
            <w:t>Foreword</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_Toc13381 \h </w:instrText>
          </w:r>
          <w:r>
            <w:rPr>
              <w:rFonts w:hint="default" w:ascii="Cambria" w:hAnsi="Cambria" w:cs="Cambria"/>
            </w:rPr>
            <w:fldChar w:fldCharType="separate"/>
          </w:r>
          <w:r>
            <w:rPr>
              <w:rFonts w:hint="default" w:ascii="Cambria" w:hAnsi="Cambria" w:cs="Cambria"/>
            </w:rPr>
            <w:t>25</w:t>
          </w:r>
          <w:r>
            <w:rPr>
              <w:rFonts w:hint="default" w:ascii="Cambria" w:hAnsi="Cambria" w:cs="Cambria"/>
            </w:rPr>
            <w:fldChar w:fldCharType="end"/>
          </w:r>
          <w:r>
            <w:rPr>
              <w:rFonts w:hint="default" w:ascii="Cambria" w:hAnsi="Cambria" w:cs="Cambria"/>
            </w:rPr>
            <w:fldChar w:fldCharType="end"/>
          </w:r>
        </w:p>
        <w:p w14:paraId="4576CB23">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_Toc1174 </w:instrText>
          </w:r>
          <w:r>
            <w:rPr>
              <w:rFonts w:hint="default" w:ascii="Cambria" w:hAnsi="Cambria" w:cs="Cambria"/>
            </w:rPr>
            <w:fldChar w:fldCharType="separate"/>
          </w:r>
          <w:r>
            <w:rPr>
              <w:rFonts w:hint="default" w:ascii="Cambria" w:hAnsi="Cambria" w:eastAsia="宋体" w:cs="Cambria"/>
              <w:bCs/>
              <w:szCs w:val="21"/>
            </w:rPr>
            <w:t>Introduction</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_Toc1174 \h </w:instrText>
          </w:r>
          <w:r>
            <w:rPr>
              <w:rFonts w:hint="default" w:ascii="Cambria" w:hAnsi="Cambria" w:cs="Cambria"/>
            </w:rPr>
            <w:fldChar w:fldCharType="separate"/>
          </w:r>
          <w:r>
            <w:rPr>
              <w:rFonts w:hint="default" w:ascii="Cambria" w:hAnsi="Cambria" w:cs="Cambria"/>
            </w:rPr>
            <w:t>27</w:t>
          </w:r>
          <w:r>
            <w:rPr>
              <w:rFonts w:hint="default" w:ascii="Cambria" w:hAnsi="Cambria" w:cs="Cambria"/>
            </w:rPr>
            <w:fldChar w:fldCharType="end"/>
          </w:r>
          <w:r>
            <w:rPr>
              <w:rFonts w:hint="default" w:ascii="Cambria" w:hAnsi="Cambria" w:cs="Cambria"/>
            </w:rPr>
            <w:fldChar w:fldCharType="end"/>
          </w:r>
        </w:p>
        <w:p w14:paraId="25EB3A18">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_Toc24247 </w:instrText>
          </w:r>
          <w:r>
            <w:rPr>
              <w:rFonts w:hint="default" w:ascii="Cambria" w:hAnsi="Cambria" w:cs="Cambria"/>
            </w:rPr>
            <w:fldChar w:fldCharType="separate"/>
          </w:r>
          <w:r>
            <w:rPr>
              <w:rFonts w:hint="default" w:ascii="Cambria" w:hAnsi="Cambria" w:eastAsia="宋体" w:cs="Cambria"/>
              <w:bCs/>
              <w:szCs w:val="21"/>
            </w:rPr>
            <w:t>1 Scope</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_Toc24247 \h </w:instrText>
          </w:r>
          <w:r>
            <w:rPr>
              <w:rFonts w:hint="default" w:ascii="Cambria" w:hAnsi="Cambria" w:cs="Cambria"/>
            </w:rPr>
            <w:fldChar w:fldCharType="separate"/>
          </w:r>
          <w:r>
            <w:rPr>
              <w:rFonts w:hint="default" w:ascii="Cambria" w:hAnsi="Cambria" w:cs="Cambria"/>
            </w:rPr>
            <w:t>29</w:t>
          </w:r>
          <w:r>
            <w:rPr>
              <w:rFonts w:hint="default" w:ascii="Cambria" w:hAnsi="Cambria" w:cs="Cambria"/>
            </w:rPr>
            <w:fldChar w:fldCharType="end"/>
          </w:r>
          <w:r>
            <w:rPr>
              <w:rFonts w:hint="default" w:ascii="Cambria" w:hAnsi="Cambria" w:cs="Cambria"/>
            </w:rPr>
            <w:fldChar w:fldCharType="end"/>
          </w:r>
        </w:p>
        <w:p w14:paraId="128041E9">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_Toc4806 </w:instrText>
          </w:r>
          <w:r>
            <w:rPr>
              <w:rFonts w:hint="default" w:ascii="Cambria" w:hAnsi="Cambria" w:cs="Cambria"/>
            </w:rPr>
            <w:fldChar w:fldCharType="separate"/>
          </w:r>
          <w:r>
            <w:rPr>
              <w:rFonts w:hint="default" w:ascii="Cambria" w:hAnsi="Cambria" w:cs="Cambria"/>
              <w:bCs/>
              <w:szCs w:val="21"/>
            </w:rPr>
            <w:t>2 Normative references</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_Toc4806 \h </w:instrText>
          </w:r>
          <w:r>
            <w:rPr>
              <w:rFonts w:hint="default" w:ascii="Cambria" w:hAnsi="Cambria" w:cs="Cambria"/>
            </w:rPr>
            <w:fldChar w:fldCharType="separate"/>
          </w:r>
          <w:r>
            <w:rPr>
              <w:rFonts w:hint="default" w:ascii="Cambria" w:hAnsi="Cambria" w:cs="Cambria"/>
            </w:rPr>
            <w:t>29</w:t>
          </w:r>
          <w:r>
            <w:rPr>
              <w:rFonts w:hint="default" w:ascii="Cambria" w:hAnsi="Cambria" w:cs="Cambria"/>
            </w:rPr>
            <w:fldChar w:fldCharType="end"/>
          </w:r>
          <w:r>
            <w:rPr>
              <w:rFonts w:hint="default" w:ascii="Cambria" w:hAnsi="Cambria" w:cs="Cambria"/>
            </w:rPr>
            <w:fldChar w:fldCharType="end"/>
          </w:r>
        </w:p>
        <w:p w14:paraId="76E51B01">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_Toc1080 </w:instrText>
          </w:r>
          <w:r>
            <w:rPr>
              <w:rFonts w:hint="default" w:ascii="Cambria" w:hAnsi="Cambria" w:cs="Cambria"/>
            </w:rPr>
            <w:fldChar w:fldCharType="separate"/>
          </w:r>
          <w:r>
            <w:rPr>
              <w:rFonts w:hint="default" w:ascii="Cambria" w:hAnsi="Cambria" w:eastAsia="宋体" w:cs="Cambria"/>
              <w:bCs/>
              <w:szCs w:val="21"/>
            </w:rPr>
            <w:t>3 Terms and definitions</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_Toc1080 \h </w:instrText>
          </w:r>
          <w:r>
            <w:rPr>
              <w:rFonts w:hint="default" w:ascii="Cambria" w:hAnsi="Cambria" w:cs="Cambria"/>
            </w:rPr>
            <w:fldChar w:fldCharType="separate"/>
          </w:r>
          <w:r>
            <w:rPr>
              <w:rFonts w:hint="default" w:ascii="Cambria" w:hAnsi="Cambria" w:cs="Cambria"/>
            </w:rPr>
            <w:t>29</w:t>
          </w:r>
          <w:r>
            <w:rPr>
              <w:rFonts w:hint="default" w:ascii="Cambria" w:hAnsi="Cambria" w:cs="Cambria"/>
            </w:rPr>
            <w:fldChar w:fldCharType="end"/>
          </w:r>
          <w:r>
            <w:rPr>
              <w:rFonts w:hint="default" w:ascii="Cambria" w:hAnsi="Cambria" w:cs="Cambria"/>
            </w:rPr>
            <w:fldChar w:fldCharType="end"/>
          </w:r>
        </w:p>
        <w:p w14:paraId="64ED4121">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_Toc18486 </w:instrText>
          </w:r>
          <w:r>
            <w:rPr>
              <w:rFonts w:hint="default" w:ascii="Cambria" w:hAnsi="Cambria" w:cs="Cambria"/>
            </w:rPr>
            <w:fldChar w:fldCharType="separate"/>
          </w:r>
          <w:r>
            <w:rPr>
              <w:rFonts w:hint="default" w:ascii="Cambria" w:hAnsi="Cambria" w:eastAsia="宋体" w:cs="Cambria"/>
              <w:bCs/>
              <w:szCs w:val="21"/>
            </w:rPr>
            <w:t>4 Procedure Steps and Requirements for Pediatric Filiform Needle Therapy</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_Toc18486 \h </w:instrText>
          </w:r>
          <w:r>
            <w:rPr>
              <w:rFonts w:hint="default" w:ascii="Cambria" w:hAnsi="Cambria" w:cs="Cambria"/>
            </w:rPr>
            <w:fldChar w:fldCharType="separate"/>
          </w:r>
          <w:r>
            <w:rPr>
              <w:rFonts w:hint="default" w:ascii="Cambria" w:hAnsi="Cambria" w:cs="Cambria"/>
            </w:rPr>
            <w:t>33</w:t>
          </w:r>
          <w:r>
            <w:rPr>
              <w:rFonts w:hint="default" w:ascii="Cambria" w:hAnsi="Cambria" w:cs="Cambria"/>
            </w:rPr>
            <w:fldChar w:fldCharType="end"/>
          </w:r>
          <w:r>
            <w:rPr>
              <w:rFonts w:hint="default" w:ascii="Cambria" w:hAnsi="Cambria" w:cs="Cambria"/>
            </w:rPr>
            <w:fldChar w:fldCharType="end"/>
          </w:r>
        </w:p>
        <w:p w14:paraId="016A36E9">
          <w:pPr>
            <w:pStyle w:val="11"/>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_Toc12206 </w:instrText>
          </w:r>
          <w:r>
            <w:rPr>
              <w:rFonts w:hint="default" w:ascii="Cambria" w:hAnsi="Cambria" w:cs="Cambria"/>
            </w:rPr>
            <w:fldChar w:fldCharType="separate"/>
          </w:r>
          <w:r>
            <w:rPr>
              <w:rFonts w:hint="default" w:ascii="Cambria" w:hAnsi="Cambria" w:eastAsia="宋体" w:cs="Cambria"/>
              <w:bCs/>
              <w:szCs w:val="21"/>
            </w:rPr>
            <w:t>4.1 Preparation before treatment</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_Toc12206 \h </w:instrText>
          </w:r>
          <w:r>
            <w:rPr>
              <w:rFonts w:hint="default" w:ascii="Cambria" w:hAnsi="Cambria" w:cs="Cambria"/>
            </w:rPr>
            <w:fldChar w:fldCharType="separate"/>
          </w:r>
          <w:r>
            <w:rPr>
              <w:rFonts w:hint="default" w:ascii="Cambria" w:hAnsi="Cambria" w:cs="Cambria"/>
            </w:rPr>
            <w:t>33</w:t>
          </w:r>
          <w:r>
            <w:rPr>
              <w:rFonts w:hint="default" w:ascii="Cambria" w:hAnsi="Cambria" w:cs="Cambria"/>
            </w:rPr>
            <w:fldChar w:fldCharType="end"/>
          </w:r>
          <w:r>
            <w:rPr>
              <w:rFonts w:hint="default" w:ascii="Cambria" w:hAnsi="Cambria" w:cs="Cambria"/>
            </w:rPr>
            <w:fldChar w:fldCharType="end"/>
          </w:r>
        </w:p>
        <w:p w14:paraId="3F871F10">
          <w:pPr>
            <w:pStyle w:val="11"/>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_Toc10655 </w:instrText>
          </w:r>
          <w:r>
            <w:rPr>
              <w:rFonts w:hint="default" w:ascii="Cambria" w:hAnsi="Cambria" w:cs="Cambria"/>
            </w:rPr>
            <w:fldChar w:fldCharType="separate"/>
          </w:r>
          <w:r>
            <w:rPr>
              <w:rFonts w:hint="default" w:ascii="Cambria" w:hAnsi="Cambria" w:eastAsia="宋体" w:cs="Cambria"/>
              <w:bCs/>
              <w:szCs w:val="21"/>
            </w:rPr>
            <w:t>4.2 Manipulation methods</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_Toc10655 \h </w:instrText>
          </w:r>
          <w:r>
            <w:rPr>
              <w:rFonts w:hint="default" w:ascii="Cambria" w:hAnsi="Cambria" w:cs="Cambria"/>
            </w:rPr>
            <w:fldChar w:fldCharType="separate"/>
          </w:r>
          <w:r>
            <w:rPr>
              <w:rFonts w:hint="default" w:ascii="Cambria" w:hAnsi="Cambria" w:cs="Cambria"/>
            </w:rPr>
            <w:t>34</w:t>
          </w:r>
          <w:r>
            <w:rPr>
              <w:rFonts w:hint="default" w:ascii="Cambria" w:hAnsi="Cambria" w:cs="Cambria"/>
            </w:rPr>
            <w:fldChar w:fldCharType="end"/>
          </w:r>
          <w:r>
            <w:rPr>
              <w:rFonts w:hint="default" w:ascii="Cambria" w:hAnsi="Cambria" w:cs="Cambria"/>
            </w:rPr>
            <w:fldChar w:fldCharType="end"/>
          </w:r>
        </w:p>
        <w:p w14:paraId="125EC0BE">
          <w:pPr>
            <w:pStyle w:val="11"/>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_Toc2741 </w:instrText>
          </w:r>
          <w:r>
            <w:rPr>
              <w:rFonts w:hint="default" w:ascii="Cambria" w:hAnsi="Cambria" w:cs="Cambria"/>
            </w:rPr>
            <w:fldChar w:fldCharType="separate"/>
          </w:r>
          <w:r>
            <w:rPr>
              <w:rFonts w:hint="default" w:ascii="Cambria" w:hAnsi="Cambria" w:eastAsia="宋体" w:cs="Cambria"/>
              <w:bCs/>
              <w:szCs w:val="21"/>
            </w:rPr>
            <w:t>4.3 Post-treatment care</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_Toc2741 \h </w:instrText>
          </w:r>
          <w:r>
            <w:rPr>
              <w:rFonts w:hint="default" w:ascii="Cambria" w:hAnsi="Cambria" w:cs="Cambria"/>
            </w:rPr>
            <w:fldChar w:fldCharType="separate"/>
          </w:r>
          <w:r>
            <w:rPr>
              <w:rFonts w:hint="default" w:ascii="Cambria" w:hAnsi="Cambria" w:cs="Cambria"/>
            </w:rPr>
            <w:t>37</w:t>
          </w:r>
          <w:r>
            <w:rPr>
              <w:rFonts w:hint="default" w:ascii="Cambria" w:hAnsi="Cambria" w:cs="Cambria"/>
            </w:rPr>
            <w:fldChar w:fldCharType="end"/>
          </w:r>
          <w:r>
            <w:rPr>
              <w:rFonts w:hint="default" w:ascii="Cambria" w:hAnsi="Cambria" w:cs="Cambria"/>
            </w:rPr>
            <w:fldChar w:fldCharType="end"/>
          </w:r>
        </w:p>
        <w:p w14:paraId="776141D2">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_Toc6883 </w:instrText>
          </w:r>
          <w:r>
            <w:rPr>
              <w:rFonts w:hint="default" w:ascii="Cambria" w:hAnsi="Cambria" w:cs="Cambria"/>
            </w:rPr>
            <w:fldChar w:fldCharType="separate"/>
          </w:r>
          <w:r>
            <w:rPr>
              <w:rFonts w:hint="default" w:ascii="Cambria" w:hAnsi="Cambria" w:cs="Cambria"/>
              <w:bCs/>
              <w:szCs w:val="21"/>
            </w:rPr>
            <w:t>5 Operating procedures and requirements for pediatric three-edge needle therapy</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_Toc6883 \h </w:instrText>
          </w:r>
          <w:r>
            <w:rPr>
              <w:rFonts w:hint="default" w:ascii="Cambria" w:hAnsi="Cambria" w:cs="Cambria"/>
            </w:rPr>
            <w:fldChar w:fldCharType="separate"/>
          </w:r>
          <w:r>
            <w:rPr>
              <w:rFonts w:hint="default" w:ascii="Cambria" w:hAnsi="Cambria" w:cs="Cambria"/>
            </w:rPr>
            <w:t>37</w:t>
          </w:r>
          <w:r>
            <w:rPr>
              <w:rFonts w:hint="default" w:ascii="Cambria" w:hAnsi="Cambria" w:cs="Cambria"/>
            </w:rPr>
            <w:fldChar w:fldCharType="end"/>
          </w:r>
          <w:r>
            <w:rPr>
              <w:rFonts w:hint="default" w:ascii="Cambria" w:hAnsi="Cambria" w:cs="Cambria"/>
            </w:rPr>
            <w:fldChar w:fldCharType="end"/>
          </w:r>
        </w:p>
        <w:p w14:paraId="5D26D5F5">
          <w:pPr>
            <w:pStyle w:val="11"/>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_Toc12151 </w:instrText>
          </w:r>
          <w:r>
            <w:rPr>
              <w:rFonts w:hint="default" w:ascii="Cambria" w:hAnsi="Cambria" w:cs="Cambria"/>
            </w:rPr>
            <w:fldChar w:fldCharType="separate"/>
          </w:r>
          <w:r>
            <w:rPr>
              <w:rFonts w:hint="default" w:ascii="Cambria" w:hAnsi="Cambria" w:eastAsia="宋体" w:cs="Cambria"/>
              <w:bCs/>
              <w:szCs w:val="21"/>
            </w:rPr>
            <w:t>5.1 Preparation before treatment</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_Toc12151 \h </w:instrText>
          </w:r>
          <w:r>
            <w:rPr>
              <w:rFonts w:hint="default" w:ascii="Cambria" w:hAnsi="Cambria" w:cs="Cambria"/>
            </w:rPr>
            <w:fldChar w:fldCharType="separate"/>
          </w:r>
          <w:r>
            <w:rPr>
              <w:rFonts w:hint="default" w:ascii="Cambria" w:hAnsi="Cambria" w:cs="Cambria"/>
            </w:rPr>
            <w:t>37</w:t>
          </w:r>
          <w:r>
            <w:rPr>
              <w:rFonts w:hint="default" w:ascii="Cambria" w:hAnsi="Cambria" w:cs="Cambria"/>
            </w:rPr>
            <w:fldChar w:fldCharType="end"/>
          </w:r>
          <w:r>
            <w:rPr>
              <w:rFonts w:hint="default" w:ascii="Cambria" w:hAnsi="Cambria" w:cs="Cambria"/>
            </w:rPr>
            <w:fldChar w:fldCharType="end"/>
          </w:r>
        </w:p>
        <w:p w14:paraId="44C82848">
          <w:pPr>
            <w:pStyle w:val="11"/>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_Toc17428 </w:instrText>
          </w:r>
          <w:r>
            <w:rPr>
              <w:rFonts w:hint="default" w:ascii="Cambria" w:hAnsi="Cambria" w:cs="Cambria"/>
            </w:rPr>
            <w:fldChar w:fldCharType="separate"/>
          </w:r>
          <w:r>
            <w:rPr>
              <w:rFonts w:hint="default" w:ascii="Cambria" w:hAnsi="Cambria" w:eastAsia="宋体" w:cs="Cambria"/>
              <w:bCs/>
              <w:szCs w:val="21"/>
            </w:rPr>
            <w:t>5.2 Manipulation methods</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_Toc17428 \h </w:instrText>
          </w:r>
          <w:r>
            <w:rPr>
              <w:rFonts w:hint="default" w:ascii="Cambria" w:hAnsi="Cambria" w:cs="Cambria"/>
            </w:rPr>
            <w:fldChar w:fldCharType="separate"/>
          </w:r>
          <w:r>
            <w:rPr>
              <w:rFonts w:hint="default" w:ascii="Cambria" w:hAnsi="Cambria" w:cs="Cambria"/>
            </w:rPr>
            <w:t>39</w:t>
          </w:r>
          <w:r>
            <w:rPr>
              <w:rFonts w:hint="default" w:ascii="Cambria" w:hAnsi="Cambria" w:cs="Cambria"/>
            </w:rPr>
            <w:fldChar w:fldCharType="end"/>
          </w:r>
          <w:r>
            <w:rPr>
              <w:rFonts w:hint="default" w:ascii="Cambria" w:hAnsi="Cambria" w:cs="Cambria"/>
            </w:rPr>
            <w:fldChar w:fldCharType="end"/>
          </w:r>
        </w:p>
        <w:p w14:paraId="1E5C1F66">
          <w:pPr>
            <w:pStyle w:val="11"/>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_Toc27168 </w:instrText>
          </w:r>
          <w:r>
            <w:rPr>
              <w:rFonts w:hint="default" w:ascii="Cambria" w:hAnsi="Cambria" w:cs="Cambria"/>
            </w:rPr>
            <w:fldChar w:fldCharType="separate"/>
          </w:r>
          <w:r>
            <w:rPr>
              <w:rFonts w:hint="default" w:ascii="Cambria" w:hAnsi="Cambria" w:eastAsia="宋体" w:cs="Cambria"/>
              <w:bCs/>
              <w:szCs w:val="21"/>
            </w:rPr>
            <w:t>5.3 Post-procedural management</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_Toc27168 \h </w:instrText>
          </w:r>
          <w:r>
            <w:rPr>
              <w:rFonts w:hint="default" w:ascii="Cambria" w:hAnsi="Cambria" w:cs="Cambria"/>
            </w:rPr>
            <w:fldChar w:fldCharType="separate"/>
          </w:r>
          <w:r>
            <w:rPr>
              <w:rFonts w:hint="default" w:ascii="Cambria" w:hAnsi="Cambria" w:cs="Cambria"/>
            </w:rPr>
            <w:t>39</w:t>
          </w:r>
          <w:r>
            <w:rPr>
              <w:rFonts w:hint="default" w:ascii="Cambria" w:hAnsi="Cambria" w:cs="Cambria"/>
            </w:rPr>
            <w:fldChar w:fldCharType="end"/>
          </w:r>
          <w:r>
            <w:rPr>
              <w:rFonts w:hint="default" w:ascii="Cambria" w:hAnsi="Cambria" w:cs="Cambria"/>
            </w:rPr>
            <w:fldChar w:fldCharType="end"/>
          </w:r>
        </w:p>
        <w:p w14:paraId="4C7C99E3">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_Toc31621 </w:instrText>
          </w:r>
          <w:r>
            <w:rPr>
              <w:rFonts w:hint="default" w:ascii="Cambria" w:hAnsi="Cambria" w:cs="Cambria"/>
            </w:rPr>
            <w:fldChar w:fldCharType="separate"/>
          </w:r>
          <w:r>
            <w:rPr>
              <w:rFonts w:hint="default" w:ascii="Cambria" w:hAnsi="Cambria" w:cs="Cambria"/>
              <w:bCs/>
              <w:szCs w:val="21"/>
            </w:rPr>
            <w:t>6 Operating steps and requirements for Sifeng pricking therapy</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_Toc31621 \h </w:instrText>
          </w:r>
          <w:r>
            <w:rPr>
              <w:rFonts w:hint="default" w:ascii="Cambria" w:hAnsi="Cambria" w:cs="Cambria"/>
            </w:rPr>
            <w:fldChar w:fldCharType="separate"/>
          </w:r>
          <w:r>
            <w:rPr>
              <w:rFonts w:hint="default" w:ascii="Cambria" w:hAnsi="Cambria" w:cs="Cambria"/>
            </w:rPr>
            <w:t>40</w:t>
          </w:r>
          <w:r>
            <w:rPr>
              <w:rFonts w:hint="default" w:ascii="Cambria" w:hAnsi="Cambria" w:cs="Cambria"/>
            </w:rPr>
            <w:fldChar w:fldCharType="end"/>
          </w:r>
          <w:r>
            <w:rPr>
              <w:rFonts w:hint="default" w:ascii="Cambria" w:hAnsi="Cambria" w:cs="Cambria"/>
            </w:rPr>
            <w:fldChar w:fldCharType="end"/>
          </w:r>
        </w:p>
        <w:p w14:paraId="7F9FF8D6">
          <w:pPr>
            <w:pStyle w:val="11"/>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_Toc28456 </w:instrText>
          </w:r>
          <w:r>
            <w:rPr>
              <w:rFonts w:hint="default" w:ascii="Cambria" w:hAnsi="Cambria" w:cs="Cambria"/>
            </w:rPr>
            <w:fldChar w:fldCharType="separate"/>
          </w:r>
          <w:r>
            <w:rPr>
              <w:rFonts w:hint="default" w:ascii="Cambria" w:hAnsi="Cambria" w:eastAsia="宋体" w:cs="Cambria"/>
              <w:bCs/>
              <w:szCs w:val="21"/>
            </w:rPr>
            <w:t>6.1 Pre-treatment preparation</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_Toc28456 \h </w:instrText>
          </w:r>
          <w:r>
            <w:rPr>
              <w:rFonts w:hint="default" w:ascii="Cambria" w:hAnsi="Cambria" w:cs="Cambria"/>
            </w:rPr>
            <w:fldChar w:fldCharType="separate"/>
          </w:r>
          <w:r>
            <w:rPr>
              <w:rFonts w:hint="default" w:ascii="Cambria" w:hAnsi="Cambria" w:cs="Cambria"/>
            </w:rPr>
            <w:t>40</w:t>
          </w:r>
          <w:r>
            <w:rPr>
              <w:rFonts w:hint="default" w:ascii="Cambria" w:hAnsi="Cambria" w:cs="Cambria"/>
            </w:rPr>
            <w:fldChar w:fldCharType="end"/>
          </w:r>
          <w:r>
            <w:rPr>
              <w:rFonts w:hint="default" w:ascii="Cambria" w:hAnsi="Cambria" w:cs="Cambria"/>
            </w:rPr>
            <w:fldChar w:fldCharType="end"/>
          </w:r>
        </w:p>
        <w:p w14:paraId="0C3D109D">
          <w:pPr>
            <w:pStyle w:val="11"/>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_Toc17784 </w:instrText>
          </w:r>
          <w:r>
            <w:rPr>
              <w:rFonts w:hint="default" w:ascii="Cambria" w:hAnsi="Cambria" w:cs="Cambria"/>
            </w:rPr>
            <w:fldChar w:fldCharType="separate"/>
          </w:r>
          <w:r>
            <w:rPr>
              <w:rFonts w:hint="default" w:ascii="Cambria" w:hAnsi="Cambria" w:eastAsia="宋体" w:cs="Cambria"/>
              <w:bCs/>
              <w:szCs w:val="21"/>
            </w:rPr>
            <w:t>6.2 Manipulation methods</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_Toc17784 \h </w:instrText>
          </w:r>
          <w:r>
            <w:rPr>
              <w:rFonts w:hint="default" w:ascii="Cambria" w:hAnsi="Cambria" w:cs="Cambria"/>
            </w:rPr>
            <w:fldChar w:fldCharType="separate"/>
          </w:r>
          <w:r>
            <w:rPr>
              <w:rFonts w:hint="default" w:ascii="Cambria" w:hAnsi="Cambria" w:cs="Cambria"/>
            </w:rPr>
            <w:t>41</w:t>
          </w:r>
          <w:r>
            <w:rPr>
              <w:rFonts w:hint="default" w:ascii="Cambria" w:hAnsi="Cambria" w:cs="Cambria"/>
            </w:rPr>
            <w:fldChar w:fldCharType="end"/>
          </w:r>
          <w:r>
            <w:rPr>
              <w:rFonts w:hint="default" w:ascii="Cambria" w:hAnsi="Cambria" w:cs="Cambria"/>
            </w:rPr>
            <w:fldChar w:fldCharType="end"/>
          </w:r>
        </w:p>
        <w:p w14:paraId="49C6A193">
          <w:pPr>
            <w:pStyle w:val="11"/>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_Toc29903 </w:instrText>
          </w:r>
          <w:r>
            <w:rPr>
              <w:rFonts w:hint="default" w:ascii="Cambria" w:hAnsi="Cambria" w:cs="Cambria"/>
            </w:rPr>
            <w:fldChar w:fldCharType="separate"/>
          </w:r>
          <w:r>
            <w:rPr>
              <w:rFonts w:hint="default" w:ascii="Cambria" w:hAnsi="Cambria" w:eastAsia="宋体" w:cs="Cambria"/>
              <w:bCs/>
              <w:szCs w:val="21"/>
            </w:rPr>
            <w:t>6.3 Post-treatment handling</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_Toc29903 \h </w:instrText>
          </w:r>
          <w:r>
            <w:rPr>
              <w:rFonts w:hint="default" w:ascii="Cambria" w:hAnsi="Cambria" w:cs="Cambria"/>
            </w:rPr>
            <w:fldChar w:fldCharType="separate"/>
          </w:r>
          <w:r>
            <w:rPr>
              <w:rFonts w:hint="default" w:ascii="Cambria" w:hAnsi="Cambria" w:cs="Cambria"/>
            </w:rPr>
            <w:t>41</w:t>
          </w:r>
          <w:r>
            <w:rPr>
              <w:rFonts w:hint="default" w:ascii="Cambria" w:hAnsi="Cambria" w:cs="Cambria"/>
            </w:rPr>
            <w:fldChar w:fldCharType="end"/>
          </w:r>
          <w:r>
            <w:rPr>
              <w:rFonts w:hint="default" w:ascii="Cambria" w:hAnsi="Cambria" w:cs="Cambria"/>
            </w:rPr>
            <w:fldChar w:fldCharType="end"/>
          </w:r>
        </w:p>
        <w:p w14:paraId="0BBCF1EB">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_Toc15911 </w:instrText>
          </w:r>
          <w:r>
            <w:rPr>
              <w:rFonts w:hint="default" w:ascii="Cambria" w:hAnsi="Cambria" w:cs="Cambria"/>
            </w:rPr>
            <w:fldChar w:fldCharType="separate"/>
          </w:r>
          <w:r>
            <w:rPr>
              <w:rFonts w:hint="default" w:ascii="Cambria" w:hAnsi="Cambria" w:cs="Cambria"/>
              <w:bCs/>
              <w:szCs w:val="21"/>
            </w:rPr>
            <w:t>7 Operating procedures and requirements for pediatric moxibustion therapy</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_Toc15911 \h </w:instrText>
          </w:r>
          <w:r>
            <w:rPr>
              <w:rFonts w:hint="default" w:ascii="Cambria" w:hAnsi="Cambria" w:cs="Cambria"/>
            </w:rPr>
            <w:fldChar w:fldCharType="separate"/>
          </w:r>
          <w:r>
            <w:rPr>
              <w:rFonts w:hint="default" w:ascii="Cambria" w:hAnsi="Cambria" w:cs="Cambria"/>
            </w:rPr>
            <w:t>41</w:t>
          </w:r>
          <w:r>
            <w:rPr>
              <w:rFonts w:hint="default" w:ascii="Cambria" w:hAnsi="Cambria" w:cs="Cambria"/>
            </w:rPr>
            <w:fldChar w:fldCharType="end"/>
          </w:r>
          <w:r>
            <w:rPr>
              <w:rFonts w:hint="default" w:ascii="Cambria" w:hAnsi="Cambria" w:cs="Cambria"/>
            </w:rPr>
            <w:fldChar w:fldCharType="end"/>
          </w:r>
        </w:p>
        <w:p w14:paraId="6F9E4001">
          <w:pPr>
            <w:pStyle w:val="11"/>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_Toc20852 </w:instrText>
          </w:r>
          <w:r>
            <w:rPr>
              <w:rFonts w:hint="default" w:ascii="Cambria" w:hAnsi="Cambria" w:cs="Cambria"/>
            </w:rPr>
            <w:fldChar w:fldCharType="separate"/>
          </w:r>
          <w:r>
            <w:rPr>
              <w:rFonts w:hint="default" w:ascii="Cambria" w:hAnsi="Cambria" w:eastAsia="宋体" w:cs="Cambria"/>
              <w:bCs/>
              <w:szCs w:val="21"/>
            </w:rPr>
            <w:t>7.1 Preparation before treatment</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_Toc20852 \h </w:instrText>
          </w:r>
          <w:r>
            <w:rPr>
              <w:rFonts w:hint="default" w:ascii="Cambria" w:hAnsi="Cambria" w:cs="Cambria"/>
            </w:rPr>
            <w:fldChar w:fldCharType="separate"/>
          </w:r>
          <w:r>
            <w:rPr>
              <w:rFonts w:hint="default" w:ascii="Cambria" w:hAnsi="Cambria" w:cs="Cambria"/>
            </w:rPr>
            <w:t>41</w:t>
          </w:r>
          <w:r>
            <w:rPr>
              <w:rFonts w:hint="default" w:ascii="Cambria" w:hAnsi="Cambria" w:cs="Cambria"/>
            </w:rPr>
            <w:fldChar w:fldCharType="end"/>
          </w:r>
          <w:r>
            <w:rPr>
              <w:rFonts w:hint="default" w:ascii="Cambria" w:hAnsi="Cambria" w:cs="Cambria"/>
            </w:rPr>
            <w:fldChar w:fldCharType="end"/>
          </w:r>
        </w:p>
        <w:p w14:paraId="3232DEC4">
          <w:pPr>
            <w:pStyle w:val="11"/>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_Toc10559 </w:instrText>
          </w:r>
          <w:r>
            <w:rPr>
              <w:rFonts w:hint="default" w:ascii="Cambria" w:hAnsi="Cambria" w:cs="Cambria"/>
            </w:rPr>
            <w:fldChar w:fldCharType="separate"/>
          </w:r>
          <w:r>
            <w:rPr>
              <w:rFonts w:hint="default" w:ascii="Cambria" w:hAnsi="Cambria" w:eastAsia="宋体" w:cs="Cambria"/>
              <w:bCs/>
              <w:szCs w:val="21"/>
            </w:rPr>
            <w:t>7.2 Manipulation methods</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_Toc10559 \h </w:instrText>
          </w:r>
          <w:r>
            <w:rPr>
              <w:rFonts w:hint="default" w:ascii="Cambria" w:hAnsi="Cambria" w:cs="Cambria"/>
            </w:rPr>
            <w:fldChar w:fldCharType="separate"/>
          </w:r>
          <w:r>
            <w:rPr>
              <w:rFonts w:hint="default" w:ascii="Cambria" w:hAnsi="Cambria" w:cs="Cambria"/>
            </w:rPr>
            <w:t>43</w:t>
          </w:r>
          <w:r>
            <w:rPr>
              <w:rFonts w:hint="default" w:ascii="Cambria" w:hAnsi="Cambria" w:cs="Cambria"/>
            </w:rPr>
            <w:fldChar w:fldCharType="end"/>
          </w:r>
          <w:r>
            <w:rPr>
              <w:rFonts w:hint="default" w:ascii="Cambria" w:hAnsi="Cambria" w:cs="Cambria"/>
            </w:rPr>
            <w:fldChar w:fldCharType="end"/>
          </w:r>
        </w:p>
        <w:p w14:paraId="7705F333">
          <w:pPr>
            <w:pStyle w:val="11"/>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_Toc3508 </w:instrText>
          </w:r>
          <w:r>
            <w:rPr>
              <w:rFonts w:hint="default" w:ascii="Cambria" w:hAnsi="Cambria" w:cs="Cambria"/>
            </w:rPr>
            <w:fldChar w:fldCharType="separate"/>
          </w:r>
          <w:r>
            <w:rPr>
              <w:rFonts w:hint="default" w:ascii="Cambria" w:hAnsi="Cambria" w:eastAsia="宋体" w:cs="Cambria"/>
              <w:bCs/>
              <w:szCs w:val="21"/>
            </w:rPr>
            <w:t>7.3 Post-treatment care</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_Toc3508 \h </w:instrText>
          </w:r>
          <w:r>
            <w:rPr>
              <w:rFonts w:hint="default" w:ascii="Cambria" w:hAnsi="Cambria" w:cs="Cambria"/>
            </w:rPr>
            <w:fldChar w:fldCharType="separate"/>
          </w:r>
          <w:r>
            <w:rPr>
              <w:rFonts w:hint="default" w:ascii="Cambria" w:hAnsi="Cambria" w:cs="Cambria"/>
            </w:rPr>
            <w:t>45</w:t>
          </w:r>
          <w:r>
            <w:rPr>
              <w:rFonts w:hint="default" w:ascii="Cambria" w:hAnsi="Cambria" w:cs="Cambria"/>
            </w:rPr>
            <w:fldChar w:fldCharType="end"/>
          </w:r>
          <w:r>
            <w:rPr>
              <w:rFonts w:hint="default" w:ascii="Cambria" w:hAnsi="Cambria" w:cs="Cambria"/>
            </w:rPr>
            <w:fldChar w:fldCharType="end"/>
          </w:r>
        </w:p>
        <w:p w14:paraId="5B29C288">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_Toc31238 </w:instrText>
          </w:r>
          <w:r>
            <w:rPr>
              <w:rFonts w:hint="default" w:ascii="Cambria" w:hAnsi="Cambria" w:cs="Cambria"/>
            </w:rPr>
            <w:fldChar w:fldCharType="separate"/>
          </w:r>
          <w:r>
            <w:rPr>
              <w:rFonts w:hint="default" w:ascii="Cambria" w:hAnsi="Cambria" w:cs="Cambria"/>
              <w:bCs/>
              <w:szCs w:val="21"/>
            </w:rPr>
            <w:t>8 Precautions and contraindications</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_Toc31238 \h </w:instrText>
          </w:r>
          <w:r>
            <w:rPr>
              <w:rFonts w:hint="default" w:ascii="Cambria" w:hAnsi="Cambria" w:cs="Cambria"/>
            </w:rPr>
            <w:fldChar w:fldCharType="separate"/>
          </w:r>
          <w:r>
            <w:rPr>
              <w:rFonts w:hint="default" w:ascii="Cambria" w:hAnsi="Cambria" w:cs="Cambria"/>
            </w:rPr>
            <w:t>45</w:t>
          </w:r>
          <w:r>
            <w:rPr>
              <w:rFonts w:hint="default" w:ascii="Cambria" w:hAnsi="Cambria" w:cs="Cambria"/>
            </w:rPr>
            <w:fldChar w:fldCharType="end"/>
          </w:r>
          <w:r>
            <w:rPr>
              <w:rFonts w:hint="default" w:ascii="Cambria" w:hAnsi="Cambria" w:cs="Cambria"/>
            </w:rPr>
            <w:fldChar w:fldCharType="end"/>
          </w:r>
        </w:p>
        <w:p w14:paraId="1AC7B489">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_Toc4210 </w:instrText>
          </w:r>
          <w:r>
            <w:rPr>
              <w:rFonts w:hint="default" w:ascii="Cambria" w:hAnsi="Cambria" w:cs="Cambria"/>
            </w:rPr>
            <w:fldChar w:fldCharType="separate"/>
          </w:r>
          <w:r>
            <w:rPr>
              <w:rFonts w:hint="default" w:ascii="Cambria" w:hAnsi="Cambria" w:cs="Cambria"/>
              <w:bCs/>
              <w:szCs w:val="21"/>
              <w:lang w:val="en-US"/>
            </w:rPr>
            <w:t>Annex A</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_Toc438 </w:instrText>
          </w:r>
          <w:r>
            <w:rPr>
              <w:rFonts w:hint="default" w:ascii="Cambria" w:hAnsi="Cambria" w:cs="Cambria"/>
            </w:rPr>
            <w:fldChar w:fldCharType="separate"/>
          </w:r>
          <w:r>
            <w:rPr>
              <w:rFonts w:hint="default" w:ascii="Cambria" w:hAnsi="Cambria" w:cs="Cambria"/>
              <w:bCs/>
              <w:szCs w:val="21"/>
              <w:lang w:val="en-US"/>
            </w:rPr>
            <w:t>(informative)</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_Toc31804 </w:instrText>
          </w:r>
          <w:r>
            <w:rPr>
              <w:rFonts w:hint="default" w:ascii="Cambria" w:hAnsi="Cambria" w:cs="Cambria"/>
            </w:rPr>
            <w:fldChar w:fldCharType="separate"/>
          </w:r>
          <w:r>
            <w:rPr>
              <w:rFonts w:hint="default" w:ascii="Cambria" w:hAnsi="Cambria" w:cs="Cambria"/>
              <w:bCs/>
              <w:szCs w:val="21"/>
              <w:lang w:val="en-US"/>
            </w:rPr>
            <w:t>Commonly used filiform needles</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_Toc31804 \h </w:instrText>
          </w:r>
          <w:r>
            <w:rPr>
              <w:rFonts w:hint="default" w:ascii="Cambria" w:hAnsi="Cambria" w:cs="Cambria"/>
            </w:rPr>
            <w:fldChar w:fldCharType="separate"/>
          </w:r>
          <w:r>
            <w:rPr>
              <w:rFonts w:hint="default" w:ascii="Cambria" w:hAnsi="Cambria" w:cs="Cambria"/>
            </w:rPr>
            <w:t>46</w:t>
          </w:r>
          <w:r>
            <w:rPr>
              <w:rFonts w:hint="default" w:ascii="Cambria" w:hAnsi="Cambria" w:cs="Cambria"/>
            </w:rPr>
            <w:fldChar w:fldCharType="end"/>
          </w:r>
          <w:r>
            <w:rPr>
              <w:rFonts w:hint="default" w:ascii="Cambria" w:hAnsi="Cambria" w:cs="Cambria"/>
            </w:rPr>
            <w:fldChar w:fldCharType="end"/>
          </w:r>
        </w:p>
        <w:p w14:paraId="37BF9754">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_Toc7655 </w:instrText>
          </w:r>
          <w:r>
            <w:rPr>
              <w:rFonts w:hint="default" w:ascii="Cambria" w:hAnsi="Cambria" w:cs="Cambria"/>
            </w:rPr>
            <w:fldChar w:fldCharType="separate"/>
          </w:r>
          <w:r>
            <w:rPr>
              <w:rFonts w:hint="default" w:ascii="Cambria" w:hAnsi="Cambria" w:cs="Cambria"/>
              <w:bCs/>
              <w:szCs w:val="21"/>
              <w:lang w:val="en-US"/>
            </w:rPr>
            <w:t>Annex B</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_Toc20640 </w:instrText>
          </w:r>
          <w:r>
            <w:rPr>
              <w:rFonts w:hint="default" w:ascii="Cambria" w:hAnsi="Cambria" w:cs="Cambria"/>
            </w:rPr>
            <w:fldChar w:fldCharType="separate"/>
          </w:r>
          <w:r>
            <w:rPr>
              <w:rFonts w:hint="default" w:ascii="Cambria" w:hAnsi="Cambria" w:cs="Cambria"/>
              <w:bCs/>
              <w:szCs w:val="21"/>
              <w:lang w:val="en-US"/>
            </w:rPr>
            <w:t>(informative)</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_Toc20210 </w:instrText>
          </w:r>
          <w:r>
            <w:rPr>
              <w:rFonts w:hint="default" w:ascii="Cambria" w:hAnsi="Cambria" w:cs="Cambria"/>
            </w:rPr>
            <w:fldChar w:fldCharType="separate"/>
          </w:r>
          <w:r>
            <w:rPr>
              <w:rFonts w:hint="default" w:ascii="Cambria" w:hAnsi="Cambria" w:cs="Cambria"/>
              <w:bCs/>
              <w:szCs w:val="21"/>
              <w:lang w:val="en-US"/>
            </w:rPr>
            <w:t>Acupuncture manipulations</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_Toc20210 \h </w:instrText>
          </w:r>
          <w:r>
            <w:rPr>
              <w:rFonts w:hint="default" w:ascii="Cambria" w:hAnsi="Cambria" w:cs="Cambria"/>
            </w:rPr>
            <w:fldChar w:fldCharType="separate"/>
          </w:r>
          <w:r>
            <w:rPr>
              <w:rFonts w:hint="default" w:ascii="Cambria" w:hAnsi="Cambria" w:cs="Cambria"/>
            </w:rPr>
            <w:t>47</w:t>
          </w:r>
          <w:r>
            <w:rPr>
              <w:rFonts w:hint="default" w:ascii="Cambria" w:hAnsi="Cambria" w:cs="Cambria"/>
            </w:rPr>
            <w:fldChar w:fldCharType="end"/>
          </w:r>
          <w:r>
            <w:rPr>
              <w:rFonts w:hint="default" w:ascii="Cambria" w:hAnsi="Cambria" w:cs="Cambria"/>
            </w:rPr>
            <w:fldChar w:fldCharType="end"/>
          </w:r>
        </w:p>
        <w:p w14:paraId="5BD7DF40">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_Toc14198 </w:instrText>
          </w:r>
          <w:r>
            <w:rPr>
              <w:rFonts w:hint="default" w:ascii="Cambria" w:hAnsi="Cambria" w:cs="Cambria"/>
            </w:rPr>
            <w:fldChar w:fldCharType="separate"/>
          </w:r>
          <w:r>
            <w:rPr>
              <w:rFonts w:hint="default" w:ascii="Cambria" w:hAnsi="Cambria" w:cs="Cambria"/>
              <w:bCs/>
              <w:szCs w:val="21"/>
              <w:lang w:val="en-US"/>
            </w:rPr>
            <w:t>Annex C</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_Toc7854 </w:instrText>
          </w:r>
          <w:r>
            <w:rPr>
              <w:rFonts w:hint="default" w:ascii="Cambria" w:hAnsi="Cambria" w:cs="Cambria"/>
            </w:rPr>
            <w:fldChar w:fldCharType="separate"/>
          </w:r>
          <w:r>
            <w:rPr>
              <w:rFonts w:hint="default" w:ascii="Cambria" w:hAnsi="Cambria" w:cs="Cambria"/>
              <w:bCs/>
              <w:szCs w:val="21"/>
              <w:lang w:val="en-US"/>
            </w:rPr>
            <w:t>(informative)</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_Toc25896 </w:instrText>
          </w:r>
          <w:r>
            <w:rPr>
              <w:rFonts w:hint="default" w:ascii="Cambria" w:hAnsi="Cambria" w:cs="Cambria"/>
            </w:rPr>
            <w:fldChar w:fldCharType="separate"/>
          </w:r>
          <w:r>
            <w:rPr>
              <w:rFonts w:hint="default" w:ascii="Cambria" w:hAnsi="Cambria" w:cs="Cambria"/>
              <w:bCs/>
              <w:szCs w:val="21"/>
              <w:lang w:val="en-US"/>
            </w:rPr>
            <w:t xml:space="preserve">Treatment course for </w:t>
          </w:r>
          <w:r>
            <w:rPr>
              <w:rFonts w:hint="default" w:ascii="Cambria" w:hAnsi="Cambria" w:cs="Cambria"/>
              <w:bCs/>
              <w:i/>
              <w:iCs/>
              <w:szCs w:val="21"/>
              <w:lang w:val="en-US"/>
            </w:rPr>
            <w:t>Si Feng</w:t>
          </w:r>
          <w:r>
            <w:rPr>
              <w:rFonts w:hint="default" w:ascii="Cambria" w:hAnsi="Cambria" w:cs="Cambria"/>
              <w:bCs/>
              <w:szCs w:val="21"/>
              <w:lang w:val="en-US"/>
            </w:rPr>
            <w:t xml:space="preserve"> (EX-UE 10) pricking therapy</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_Toc25896 \h </w:instrText>
          </w:r>
          <w:r>
            <w:rPr>
              <w:rFonts w:hint="default" w:ascii="Cambria" w:hAnsi="Cambria" w:cs="Cambria"/>
            </w:rPr>
            <w:fldChar w:fldCharType="separate"/>
          </w:r>
          <w:r>
            <w:rPr>
              <w:rFonts w:hint="default" w:ascii="Cambria" w:hAnsi="Cambria" w:cs="Cambria"/>
            </w:rPr>
            <w:t>53</w:t>
          </w:r>
          <w:r>
            <w:rPr>
              <w:rFonts w:hint="default" w:ascii="Cambria" w:hAnsi="Cambria" w:cs="Cambria"/>
            </w:rPr>
            <w:fldChar w:fldCharType="end"/>
          </w:r>
          <w:r>
            <w:rPr>
              <w:rFonts w:hint="default" w:ascii="Cambria" w:hAnsi="Cambria" w:cs="Cambria"/>
            </w:rPr>
            <w:fldChar w:fldCharType="end"/>
          </w:r>
        </w:p>
        <w:p w14:paraId="2493CA09">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_Toc16902 </w:instrText>
          </w:r>
          <w:r>
            <w:rPr>
              <w:rFonts w:hint="default" w:ascii="Cambria" w:hAnsi="Cambria" w:cs="Cambria"/>
            </w:rPr>
            <w:fldChar w:fldCharType="separate"/>
          </w:r>
          <w:r>
            <w:rPr>
              <w:rFonts w:hint="default" w:ascii="Cambria" w:hAnsi="Cambria" w:cs="Cambria"/>
              <w:bCs/>
              <w:szCs w:val="21"/>
              <w:lang w:val="en-US"/>
            </w:rPr>
            <w:t>Annex D</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_Toc27768 </w:instrText>
          </w:r>
          <w:r>
            <w:rPr>
              <w:rFonts w:hint="default" w:ascii="Cambria" w:hAnsi="Cambria" w:cs="Cambria"/>
            </w:rPr>
            <w:fldChar w:fldCharType="separate"/>
          </w:r>
          <w:r>
            <w:rPr>
              <w:rFonts w:hint="default" w:ascii="Cambria" w:hAnsi="Cambria" w:cs="Cambria"/>
              <w:bCs/>
              <w:szCs w:val="21"/>
              <w:lang w:val="en-US"/>
            </w:rPr>
            <w:t>(informative)</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_Toc29741 </w:instrText>
          </w:r>
          <w:r>
            <w:rPr>
              <w:rFonts w:hint="default" w:ascii="Cambria" w:hAnsi="Cambria" w:cs="Cambria"/>
            </w:rPr>
            <w:fldChar w:fldCharType="separate"/>
          </w:r>
          <w:r>
            <w:rPr>
              <w:rFonts w:hint="default" w:ascii="Cambria" w:hAnsi="Cambria" w:cs="Cambria"/>
              <w:bCs/>
              <w:szCs w:val="21"/>
              <w:lang w:val="en-US"/>
            </w:rPr>
            <w:t>Commonly used indirect moxibustion</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_Toc29741 \h </w:instrText>
          </w:r>
          <w:r>
            <w:rPr>
              <w:rFonts w:hint="default" w:ascii="Cambria" w:hAnsi="Cambria" w:cs="Cambria"/>
            </w:rPr>
            <w:fldChar w:fldCharType="separate"/>
          </w:r>
          <w:r>
            <w:rPr>
              <w:rFonts w:hint="default" w:ascii="Cambria" w:hAnsi="Cambria" w:cs="Cambria"/>
            </w:rPr>
            <w:t>54</w:t>
          </w:r>
          <w:r>
            <w:rPr>
              <w:rFonts w:hint="default" w:ascii="Cambria" w:hAnsi="Cambria" w:cs="Cambria"/>
            </w:rPr>
            <w:fldChar w:fldCharType="end"/>
          </w:r>
          <w:r>
            <w:rPr>
              <w:rFonts w:hint="default" w:ascii="Cambria" w:hAnsi="Cambria" w:cs="Cambria"/>
            </w:rPr>
            <w:fldChar w:fldCharType="end"/>
          </w:r>
        </w:p>
        <w:p w14:paraId="759968F2">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_Toc10594 </w:instrText>
          </w:r>
          <w:r>
            <w:rPr>
              <w:rFonts w:hint="default" w:ascii="Cambria" w:hAnsi="Cambria" w:cs="Cambria"/>
            </w:rPr>
            <w:fldChar w:fldCharType="separate"/>
          </w:r>
          <w:r>
            <w:rPr>
              <w:rFonts w:hint="default" w:ascii="Cambria" w:hAnsi="Cambria" w:cs="Cambria"/>
              <w:bCs/>
              <w:szCs w:val="21"/>
              <w:lang w:val="en-US"/>
            </w:rPr>
            <w:t>Annex E</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_Toc16506 </w:instrText>
          </w:r>
          <w:r>
            <w:rPr>
              <w:rFonts w:hint="default" w:ascii="Cambria" w:hAnsi="Cambria" w:cs="Cambria"/>
            </w:rPr>
            <w:fldChar w:fldCharType="separate"/>
          </w:r>
          <w:r>
            <w:rPr>
              <w:rFonts w:hint="default" w:ascii="Cambria" w:hAnsi="Cambria" w:cs="Cambria"/>
              <w:bCs/>
              <w:szCs w:val="21"/>
              <w:lang w:val="en-US"/>
            </w:rPr>
            <w:t>(informative)</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_Toc17407 </w:instrText>
          </w:r>
          <w:r>
            <w:rPr>
              <w:rFonts w:hint="default" w:ascii="Cambria" w:hAnsi="Cambria" w:cs="Cambria"/>
            </w:rPr>
            <w:fldChar w:fldCharType="separate"/>
          </w:r>
          <w:r>
            <w:rPr>
              <w:rFonts w:hint="default" w:ascii="Cambria" w:hAnsi="Cambria" w:cs="Cambria"/>
              <w:bCs/>
              <w:szCs w:val="21"/>
              <w:lang w:val="en-US"/>
            </w:rPr>
            <w:t>Commonly used moxibustion devices</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_Toc17407 \h </w:instrText>
          </w:r>
          <w:r>
            <w:rPr>
              <w:rFonts w:hint="default" w:ascii="Cambria" w:hAnsi="Cambria" w:cs="Cambria"/>
            </w:rPr>
            <w:fldChar w:fldCharType="separate"/>
          </w:r>
          <w:r>
            <w:rPr>
              <w:rFonts w:hint="default" w:ascii="Cambria" w:hAnsi="Cambria" w:cs="Cambria"/>
            </w:rPr>
            <w:t>56</w:t>
          </w:r>
          <w:r>
            <w:rPr>
              <w:rFonts w:hint="default" w:ascii="Cambria" w:hAnsi="Cambria" w:cs="Cambria"/>
            </w:rPr>
            <w:fldChar w:fldCharType="end"/>
          </w:r>
          <w:r>
            <w:rPr>
              <w:rFonts w:hint="default" w:ascii="Cambria" w:hAnsi="Cambria" w:cs="Cambria"/>
            </w:rPr>
            <w:fldChar w:fldCharType="end"/>
          </w:r>
        </w:p>
        <w:p w14:paraId="376C8EB1">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_Toc22586 </w:instrText>
          </w:r>
          <w:r>
            <w:rPr>
              <w:rFonts w:hint="default" w:ascii="Cambria" w:hAnsi="Cambria" w:cs="Cambria"/>
            </w:rPr>
            <w:fldChar w:fldCharType="separate"/>
          </w:r>
          <w:r>
            <w:rPr>
              <w:rFonts w:hint="default" w:ascii="Cambria" w:hAnsi="Cambria" w:cs="Cambria"/>
              <w:bCs/>
              <w:szCs w:val="21"/>
              <w:lang w:val="en-US"/>
            </w:rPr>
            <w:t>Annex F</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_Toc5017 </w:instrText>
          </w:r>
          <w:r>
            <w:rPr>
              <w:rFonts w:hint="default" w:ascii="Cambria" w:hAnsi="Cambria" w:cs="Cambria"/>
            </w:rPr>
            <w:fldChar w:fldCharType="separate"/>
          </w:r>
          <w:r>
            <w:rPr>
              <w:rFonts w:hint="default" w:ascii="Cambria" w:hAnsi="Cambria" w:cs="Cambria"/>
              <w:bCs/>
              <w:szCs w:val="21"/>
              <w:lang w:val="en-US"/>
            </w:rPr>
            <w:t>(informative)</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_Toc11093 </w:instrText>
          </w:r>
          <w:r>
            <w:rPr>
              <w:rFonts w:hint="default" w:ascii="Cambria" w:hAnsi="Cambria" w:cs="Cambria"/>
            </w:rPr>
            <w:fldChar w:fldCharType="separate"/>
          </w:r>
          <w:r>
            <w:rPr>
              <w:rFonts w:hint="default" w:ascii="Cambria" w:hAnsi="Cambria" w:cs="Cambria"/>
              <w:bCs/>
              <w:szCs w:val="21"/>
              <w:lang w:val="en-US"/>
            </w:rPr>
            <w:t>Commonly used moxa sticks</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_Toc11093 \h </w:instrText>
          </w:r>
          <w:r>
            <w:rPr>
              <w:rFonts w:hint="default" w:ascii="Cambria" w:hAnsi="Cambria" w:cs="Cambria"/>
            </w:rPr>
            <w:fldChar w:fldCharType="separate"/>
          </w:r>
          <w:r>
            <w:rPr>
              <w:rFonts w:hint="default" w:ascii="Cambria" w:hAnsi="Cambria" w:cs="Cambria"/>
            </w:rPr>
            <w:t>58</w:t>
          </w:r>
          <w:r>
            <w:rPr>
              <w:rFonts w:hint="default" w:ascii="Cambria" w:hAnsi="Cambria" w:cs="Cambria"/>
            </w:rPr>
            <w:fldChar w:fldCharType="end"/>
          </w:r>
          <w:r>
            <w:rPr>
              <w:rFonts w:hint="default" w:ascii="Cambria" w:hAnsi="Cambria" w:cs="Cambria"/>
            </w:rPr>
            <w:fldChar w:fldCharType="end"/>
          </w:r>
        </w:p>
        <w:p w14:paraId="204F4CF0">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_Toc31748 </w:instrText>
          </w:r>
          <w:r>
            <w:rPr>
              <w:rFonts w:hint="default" w:ascii="Cambria" w:hAnsi="Cambria" w:cs="Cambria"/>
            </w:rPr>
            <w:fldChar w:fldCharType="separate"/>
          </w:r>
          <w:r>
            <w:rPr>
              <w:rFonts w:hint="default" w:ascii="Cambria" w:hAnsi="Cambria" w:cs="Cambria"/>
              <w:bCs/>
              <w:szCs w:val="21"/>
              <w:lang w:val="en-US"/>
            </w:rPr>
            <w:t>Annex G</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_Toc25874 </w:instrText>
          </w:r>
          <w:r>
            <w:rPr>
              <w:rFonts w:hint="default" w:ascii="Cambria" w:hAnsi="Cambria" w:cs="Cambria"/>
            </w:rPr>
            <w:fldChar w:fldCharType="separate"/>
          </w:r>
          <w:r>
            <w:rPr>
              <w:rFonts w:hint="default" w:ascii="Cambria" w:hAnsi="Cambria" w:cs="Cambria"/>
              <w:bCs/>
              <w:szCs w:val="21"/>
              <w:lang w:val="en-US"/>
            </w:rPr>
            <w:t>(informative)</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_Toc12871 </w:instrText>
          </w:r>
          <w:r>
            <w:rPr>
              <w:rFonts w:hint="default" w:ascii="Cambria" w:hAnsi="Cambria" w:cs="Cambria"/>
            </w:rPr>
            <w:fldChar w:fldCharType="separate"/>
          </w:r>
          <w:r>
            <w:rPr>
              <w:rFonts w:hint="default" w:ascii="Cambria" w:hAnsi="Cambria" w:cs="Cambria"/>
              <w:bCs/>
              <w:szCs w:val="21"/>
              <w:lang w:val="en-US"/>
            </w:rPr>
            <w:t>Moxibustion dose, treatment time, treatment course, and management of fainting during moxibustion</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_Toc12871 \h </w:instrText>
          </w:r>
          <w:r>
            <w:rPr>
              <w:rFonts w:hint="default" w:ascii="Cambria" w:hAnsi="Cambria" w:cs="Cambria"/>
            </w:rPr>
            <w:fldChar w:fldCharType="separate"/>
          </w:r>
          <w:r>
            <w:rPr>
              <w:rFonts w:hint="default" w:ascii="Cambria" w:hAnsi="Cambria" w:cs="Cambria"/>
            </w:rPr>
            <w:t>59</w:t>
          </w:r>
          <w:r>
            <w:rPr>
              <w:rFonts w:hint="default" w:ascii="Cambria" w:hAnsi="Cambria" w:cs="Cambria"/>
            </w:rPr>
            <w:fldChar w:fldCharType="end"/>
          </w:r>
          <w:r>
            <w:rPr>
              <w:rFonts w:hint="default" w:ascii="Cambria" w:hAnsi="Cambria" w:cs="Cambria"/>
            </w:rPr>
            <w:fldChar w:fldCharType="end"/>
          </w:r>
        </w:p>
        <w:p w14:paraId="7DD5AE10">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_Toc9336 </w:instrText>
          </w:r>
          <w:r>
            <w:rPr>
              <w:rFonts w:hint="default" w:ascii="Cambria" w:hAnsi="Cambria" w:cs="Cambria"/>
            </w:rPr>
            <w:fldChar w:fldCharType="separate"/>
          </w:r>
          <w:r>
            <w:rPr>
              <w:rFonts w:hint="default" w:ascii="Cambria" w:hAnsi="Cambria" w:cs="Cambria"/>
              <w:bCs/>
              <w:szCs w:val="21"/>
              <w:lang w:val="en-US"/>
            </w:rPr>
            <w:t>Annex H</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_Toc10151 </w:instrText>
          </w:r>
          <w:r>
            <w:rPr>
              <w:rFonts w:hint="default" w:ascii="Cambria" w:hAnsi="Cambria" w:cs="Cambria"/>
            </w:rPr>
            <w:fldChar w:fldCharType="separate"/>
          </w:r>
          <w:r>
            <w:rPr>
              <w:rFonts w:hint="default" w:ascii="Cambria" w:hAnsi="Cambria" w:cs="Cambria"/>
              <w:bCs/>
              <w:szCs w:val="21"/>
              <w:lang w:val="en-US"/>
            </w:rPr>
            <w:t>(informative)</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_Toc27006 </w:instrText>
          </w:r>
          <w:r>
            <w:rPr>
              <w:rFonts w:hint="default" w:ascii="Cambria" w:hAnsi="Cambria" w:cs="Cambria"/>
            </w:rPr>
            <w:fldChar w:fldCharType="separate"/>
          </w:r>
          <w:r>
            <w:rPr>
              <w:rFonts w:hint="default" w:ascii="Cambria" w:hAnsi="Cambria" w:cs="Cambria"/>
              <w:bCs/>
              <w:szCs w:val="21"/>
              <w:lang w:val="en-US"/>
            </w:rPr>
            <w:t>Precautions for pediatric acupuncture and moxibustion therapy</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_Toc27006 \h </w:instrText>
          </w:r>
          <w:r>
            <w:rPr>
              <w:rFonts w:hint="default" w:ascii="Cambria" w:hAnsi="Cambria" w:cs="Cambria"/>
            </w:rPr>
            <w:fldChar w:fldCharType="separate"/>
          </w:r>
          <w:r>
            <w:rPr>
              <w:rFonts w:hint="default" w:ascii="Cambria" w:hAnsi="Cambria" w:cs="Cambria"/>
            </w:rPr>
            <w:t>61</w:t>
          </w:r>
          <w:r>
            <w:rPr>
              <w:rFonts w:hint="default" w:ascii="Cambria" w:hAnsi="Cambria" w:cs="Cambria"/>
            </w:rPr>
            <w:fldChar w:fldCharType="end"/>
          </w:r>
          <w:r>
            <w:rPr>
              <w:rFonts w:hint="default" w:ascii="Cambria" w:hAnsi="Cambria" w:cs="Cambria"/>
            </w:rPr>
            <w:fldChar w:fldCharType="end"/>
          </w:r>
        </w:p>
        <w:p w14:paraId="7A9D4680">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_Toc24952 </w:instrText>
          </w:r>
          <w:r>
            <w:rPr>
              <w:rFonts w:hint="default" w:ascii="Cambria" w:hAnsi="Cambria" w:cs="Cambria"/>
            </w:rPr>
            <w:fldChar w:fldCharType="separate"/>
          </w:r>
          <w:r>
            <w:rPr>
              <w:rFonts w:hint="default" w:ascii="Cambria" w:hAnsi="Cambria" w:cs="Cambria"/>
              <w:bCs/>
              <w:szCs w:val="21"/>
              <w:lang w:val="en-US"/>
            </w:rPr>
            <w:t>Annex I</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_Toc30717 </w:instrText>
          </w:r>
          <w:r>
            <w:rPr>
              <w:rFonts w:hint="default" w:ascii="Cambria" w:hAnsi="Cambria" w:cs="Cambria"/>
            </w:rPr>
            <w:fldChar w:fldCharType="separate"/>
          </w:r>
          <w:r>
            <w:rPr>
              <w:rFonts w:hint="default" w:ascii="Cambria" w:hAnsi="Cambria" w:cs="Cambria"/>
              <w:bCs/>
              <w:szCs w:val="21"/>
              <w:lang w:val="en-US"/>
            </w:rPr>
            <w:t>(informative)</w:t>
          </w:r>
          <w:r>
            <w:rPr>
              <w:rFonts w:hint="default" w:ascii="Cambria" w:hAnsi="Cambria" w:cs="Cambria"/>
            </w:rPr>
            <w:fldChar w:fldCharType="end"/>
          </w:r>
          <w:r>
            <w:rPr>
              <w:rFonts w:hint="default" w:ascii="Cambria" w:hAnsi="Cambria" w:cs="Cambria"/>
            </w:rPr>
            <w:fldChar w:fldCharType="begin"/>
          </w:r>
          <w:r>
            <w:rPr>
              <w:rFonts w:hint="default" w:ascii="Cambria" w:hAnsi="Cambria" w:cs="Cambria"/>
            </w:rPr>
            <w:instrText xml:space="preserve"> HYPERLINK \l _Toc1664 </w:instrText>
          </w:r>
          <w:r>
            <w:rPr>
              <w:rFonts w:hint="default" w:ascii="Cambria" w:hAnsi="Cambria" w:cs="Cambria"/>
            </w:rPr>
            <w:fldChar w:fldCharType="separate"/>
          </w:r>
          <w:r>
            <w:rPr>
              <w:rFonts w:hint="default" w:ascii="Cambria" w:hAnsi="Cambria" w:cs="Cambria"/>
              <w:bCs/>
              <w:szCs w:val="21"/>
              <w:lang w:val="en-US"/>
            </w:rPr>
            <w:t>Contraindications for pediatric acupuncture and moxibustion therapy</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_Toc1664 \h </w:instrText>
          </w:r>
          <w:r>
            <w:rPr>
              <w:rFonts w:hint="default" w:ascii="Cambria" w:hAnsi="Cambria" w:cs="Cambria"/>
            </w:rPr>
            <w:fldChar w:fldCharType="separate"/>
          </w:r>
          <w:r>
            <w:rPr>
              <w:rFonts w:hint="default" w:ascii="Cambria" w:hAnsi="Cambria" w:cs="Cambria"/>
            </w:rPr>
            <w:t>63</w:t>
          </w:r>
          <w:r>
            <w:rPr>
              <w:rFonts w:hint="default" w:ascii="Cambria" w:hAnsi="Cambria" w:cs="Cambria"/>
            </w:rPr>
            <w:fldChar w:fldCharType="end"/>
          </w:r>
          <w:r>
            <w:rPr>
              <w:rFonts w:hint="default" w:ascii="Cambria" w:hAnsi="Cambria" w:cs="Cambria"/>
            </w:rPr>
            <w:fldChar w:fldCharType="end"/>
          </w:r>
        </w:p>
        <w:p w14:paraId="6E457C67">
          <w:pPr>
            <w:pStyle w:val="10"/>
            <w:tabs>
              <w:tab w:val="right" w:leader="dot" w:pos="8306"/>
            </w:tabs>
            <w:spacing w:line="276" w:lineRule="auto"/>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_Toc15473 </w:instrText>
          </w:r>
          <w:r>
            <w:rPr>
              <w:rFonts w:hint="default" w:ascii="Cambria" w:hAnsi="Cambria" w:cs="Cambria"/>
            </w:rPr>
            <w:fldChar w:fldCharType="separate"/>
          </w:r>
          <w:r>
            <w:rPr>
              <w:rFonts w:hint="default" w:ascii="Cambria" w:hAnsi="Cambria" w:eastAsia="宋体" w:cs="Cambria"/>
              <w:bCs/>
              <w:szCs w:val="21"/>
            </w:rPr>
            <w:t>References</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_Toc15473 \h </w:instrText>
          </w:r>
          <w:r>
            <w:rPr>
              <w:rFonts w:hint="default" w:ascii="Cambria" w:hAnsi="Cambria" w:cs="Cambria"/>
            </w:rPr>
            <w:fldChar w:fldCharType="separate"/>
          </w:r>
          <w:r>
            <w:rPr>
              <w:rFonts w:hint="default" w:ascii="Cambria" w:hAnsi="Cambria" w:cs="Cambria"/>
            </w:rPr>
            <w:t>65</w:t>
          </w:r>
          <w:r>
            <w:rPr>
              <w:rFonts w:hint="default" w:ascii="Cambria" w:hAnsi="Cambria" w:cs="Cambria"/>
            </w:rPr>
            <w:fldChar w:fldCharType="end"/>
          </w:r>
          <w:r>
            <w:rPr>
              <w:rFonts w:hint="default" w:ascii="Cambria" w:hAnsi="Cambria" w:cs="Cambria"/>
            </w:rPr>
            <w:fldChar w:fldCharType="end"/>
          </w:r>
        </w:p>
        <w:p w14:paraId="22A60C4A">
          <w:pPr>
            <w:spacing w:line="276" w:lineRule="auto"/>
            <w:rPr>
              <w:rFonts w:hint="default" w:ascii="Cambria" w:hAnsi="Cambria" w:cs="Cambria"/>
            </w:rPr>
          </w:pPr>
          <w:r>
            <w:rPr>
              <w:rFonts w:hint="default" w:ascii="Cambria" w:hAnsi="Cambria" w:cs="Cambria"/>
            </w:rPr>
            <w:fldChar w:fldCharType="end"/>
          </w:r>
        </w:p>
      </w:sdtContent>
    </w:sdt>
    <w:p w14:paraId="3C61E424">
      <w:pPr>
        <w:spacing w:line="276" w:lineRule="auto"/>
        <w:rPr>
          <w:rFonts w:hint="default" w:ascii="Cambria" w:hAnsi="Cambria" w:cs="Cambria"/>
        </w:rPr>
      </w:pPr>
    </w:p>
    <w:p w14:paraId="18B8627D">
      <w:pPr>
        <w:spacing w:before="0" w:beforeLines="-2147483648" w:after="0" w:afterLines="-2147483648" w:line="240" w:lineRule="auto"/>
        <w:jc w:val="left"/>
        <w:outlineLvl w:val="9"/>
        <w:rPr>
          <w:rFonts w:ascii="Cambria" w:hAnsi="Cambria" w:eastAsia="黑体" w:cs="宋体"/>
          <w:color w:val="000000" w:themeColor="text1"/>
          <w:sz w:val="21"/>
          <w:szCs w:val="21"/>
          <w14:textFill>
            <w14:solidFill>
              <w14:schemeClr w14:val="tx1"/>
            </w14:solidFill>
          </w14:textFill>
        </w:rPr>
      </w:pPr>
      <w:bookmarkStart w:id="0" w:name="_Toc31599"/>
      <w:bookmarkStart w:id="1" w:name="_Toc18742"/>
      <w:bookmarkStart w:id="2" w:name="_Toc24202"/>
      <w:bookmarkStart w:id="3" w:name="_Toc396730187"/>
      <w:bookmarkStart w:id="4" w:name="_Toc21729"/>
      <w:r>
        <w:rPr>
          <w:rFonts w:ascii="Cambria" w:hAnsi="Cambria" w:eastAsia="黑体" w:cs="宋体"/>
          <w:color w:val="000000" w:themeColor="text1"/>
          <w:sz w:val="21"/>
          <w:szCs w:val="21"/>
          <w14:textFill>
            <w14:solidFill>
              <w14:schemeClr w14:val="tx1"/>
            </w14:solidFill>
          </w14:textFill>
        </w:rPr>
        <w:br w:type="page"/>
      </w:r>
    </w:p>
    <w:p w14:paraId="3CC56ED0">
      <w:pPr>
        <w:spacing w:before="312" w:beforeLines="100" w:after="312" w:afterLines="100" w:line="276" w:lineRule="auto"/>
        <w:jc w:val="center"/>
        <w:outlineLvl w:val="0"/>
        <w:rPr>
          <w:rFonts w:ascii="Cambria" w:hAnsi="Cambria" w:eastAsia="黑体" w:cs="宋体"/>
          <w:color w:val="000000" w:themeColor="text1"/>
          <w:sz w:val="32"/>
          <w:szCs w:val="30"/>
          <w14:textFill>
            <w14:solidFill>
              <w14:schemeClr w14:val="tx1"/>
            </w14:solidFill>
          </w14:textFill>
        </w:rPr>
      </w:pPr>
      <w:r>
        <w:rPr>
          <w:rFonts w:ascii="Cambria" w:hAnsi="Cambria" w:eastAsia="黑体" w:cs="宋体"/>
          <w:color w:val="000000" w:themeColor="text1"/>
          <w:sz w:val="32"/>
          <w:szCs w:val="30"/>
          <w14:textFill>
            <w14:solidFill>
              <w14:schemeClr w14:val="tx1"/>
            </w14:solidFill>
          </w14:textFill>
        </w:rPr>
        <w:t>前</w:t>
      </w:r>
      <w:r>
        <w:rPr>
          <w:rFonts w:hint="eastAsia" w:ascii="Cambria" w:hAnsi="Cambria" w:eastAsia="黑体" w:cs="宋体"/>
          <w:color w:val="000000" w:themeColor="text1"/>
          <w:sz w:val="32"/>
          <w:szCs w:val="30"/>
          <w14:textFill>
            <w14:solidFill>
              <w14:schemeClr w14:val="tx1"/>
            </w14:solidFill>
          </w14:textFill>
        </w:rPr>
        <w:t xml:space="preserve">  </w:t>
      </w:r>
      <w:r>
        <w:rPr>
          <w:rFonts w:ascii="Cambria" w:hAnsi="Cambria" w:eastAsia="黑体" w:cs="宋体"/>
          <w:color w:val="000000" w:themeColor="text1"/>
          <w:sz w:val="32"/>
          <w:szCs w:val="30"/>
          <w14:textFill>
            <w14:solidFill>
              <w14:schemeClr w14:val="tx1"/>
            </w14:solidFill>
          </w14:textFill>
        </w:rPr>
        <w:t>言</w:t>
      </w:r>
      <w:bookmarkEnd w:id="0"/>
      <w:bookmarkEnd w:id="1"/>
      <w:bookmarkEnd w:id="2"/>
      <w:bookmarkEnd w:id="3"/>
    </w:p>
    <w:p w14:paraId="0176FE00">
      <w:pPr>
        <w:pStyle w:val="24"/>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Times New Roman"/>
          <w:szCs w:val="18"/>
          <w:highlight w:val="none"/>
          <w:lang w:eastAsia="zh-CN"/>
        </w:rPr>
      </w:pPr>
      <w:r>
        <w:rPr>
          <w:rFonts w:hint="eastAsia" w:ascii="宋体" w:hAnsi="宋体" w:eastAsia="宋体" w:cs="Times New Roman"/>
          <w:szCs w:val="18"/>
          <w:highlight w:val="none"/>
          <w:lang w:eastAsia="zh-CN"/>
        </w:rPr>
        <w:t>本文件为《国际中医技术操作规范</w:t>
      </w:r>
      <w:r>
        <w:rPr>
          <w:rFonts w:hint="eastAsia" w:ascii="宋体" w:hAnsi="宋体" w:eastAsia="宋体" w:cs="Times New Roman"/>
          <w:szCs w:val="18"/>
          <w:highlight w:val="none"/>
          <w:lang w:val="en-US" w:eastAsia="zh-CN"/>
        </w:rPr>
        <w:t xml:space="preserve"> </w:t>
      </w:r>
      <w:r>
        <w:rPr>
          <w:rFonts w:hint="eastAsia" w:ascii="宋体" w:hAnsi="宋体" w:eastAsia="宋体" w:cs="Times New Roman"/>
          <w:szCs w:val="18"/>
          <w:highlight w:val="none"/>
          <w:lang w:eastAsia="zh-CN"/>
        </w:rPr>
        <w:t>儿科》的第</w:t>
      </w:r>
      <w:r>
        <w:rPr>
          <w:rFonts w:hint="eastAsia" w:ascii="宋体" w:hAnsi="宋体" w:cs="Times New Roman"/>
          <w:szCs w:val="18"/>
          <w:highlight w:val="none"/>
          <w:lang w:val="en-US" w:eastAsia="zh-CN"/>
        </w:rPr>
        <w:t>3</w:t>
      </w:r>
      <w:r>
        <w:rPr>
          <w:rFonts w:hint="eastAsia" w:ascii="宋体" w:hAnsi="宋体" w:eastAsia="宋体" w:cs="Times New Roman"/>
          <w:szCs w:val="18"/>
          <w:highlight w:val="none"/>
          <w:lang w:eastAsia="zh-CN"/>
        </w:rPr>
        <w:t>部分。《国际中医技术操作规范</w:t>
      </w:r>
      <w:r>
        <w:rPr>
          <w:rFonts w:hint="eastAsia" w:ascii="宋体" w:hAnsi="宋体" w:eastAsia="宋体" w:cs="Times New Roman"/>
          <w:szCs w:val="18"/>
          <w:highlight w:val="none"/>
          <w:lang w:val="en-US" w:eastAsia="zh-CN"/>
        </w:rPr>
        <w:t xml:space="preserve"> </w:t>
      </w:r>
      <w:r>
        <w:rPr>
          <w:rFonts w:hint="eastAsia" w:ascii="宋体" w:hAnsi="宋体" w:eastAsia="宋体" w:cs="Times New Roman"/>
          <w:szCs w:val="18"/>
          <w:highlight w:val="none"/>
          <w:lang w:eastAsia="zh-CN"/>
        </w:rPr>
        <w:t>儿科》已经发布了以下部分：</w:t>
      </w:r>
    </w:p>
    <w:p w14:paraId="6F138E02">
      <w:pPr>
        <w:pStyle w:val="24"/>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Times New Roman"/>
          <w:szCs w:val="18"/>
          <w:highlight w:val="none"/>
          <w:lang w:eastAsia="zh-CN"/>
        </w:rPr>
      </w:pPr>
      <w:r>
        <w:rPr>
          <w:rFonts w:hint="eastAsia" w:ascii="宋体" w:hAnsi="宋体" w:eastAsia="宋体" w:cs="Times New Roman"/>
          <w:szCs w:val="18"/>
          <w:highlight w:val="none"/>
          <w:lang w:eastAsia="zh-CN"/>
        </w:rPr>
        <w:t>——第1部分：小儿内治给药方法</w:t>
      </w:r>
    </w:p>
    <w:p w14:paraId="426FA506">
      <w:pPr>
        <w:pStyle w:val="24"/>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Times New Roman"/>
          <w:szCs w:val="18"/>
          <w:highlight w:val="none"/>
          <w:lang w:eastAsia="zh-CN"/>
        </w:rPr>
      </w:pPr>
      <w:r>
        <w:rPr>
          <w:rFonts w:hint="eastAsia" w:ascii="宋体" w:hAnsi="宋体" w:eastAsia="宋体" w:cs="Times New Roman"/>
          <w:szCs w:val="18"/>
          <w:highlight w:val="none"/>
          <w:lang w:eastAsia="zh-CN"/>
        </w:rPr>
        <w:t>——第2部分：小儿常用外治法</w:t>
      </w:r>
    </w:p>
    <w:p w14:paraId="2F793093">
      <w:pPr>
        <w:pStyle w:val="24"/>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Times New Roman"/>
          <w:szCs w:val="18"/>
          <w:highlight w:val="none"/>
          <w:lang w:eastAsia="zh-CN"/>
        </w:rPr>
      </w:pPr>
      <w:r>
        <w:rPr>
          <w:rFonts w:hint="eastAsia" w:ascii="宋体" w:hAnsi="宋体" w:eastAsia="宋体" w:cs="Times New Roman"/>
          <w:szCs w:val="18"/>
          <w:highlight w:val="none"/>
          <w:lang w:eastAsia="zh-CN"/>
        </w:rPr>
        <w:t>——第3部分：小儿针灸疗法</w:t>
      </w:r>
    </w:p>
    <w:p w14:paraId="62890B84">
      <w:pPr>
        <w:pStyle w:val="24"/>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Times New Roman"/>
          <w:szCs w:val="18"/>
          <w:highlight w:val="none"/>
          <w:lang w:eastAsia="zh-CN"/>
        </w:rPr>
      </w:pPr>
      <w:r>
        <w:rPr>
          <w:rFonts w:hint="eastAsia" w:ascii="宋体" w:hAnsi="宋体" w:eastAsia="宋体" w:cs="Times New Roman"/>
          <w:szCs w:val="18"/>
          <w:highlight w:val="none"/>
          <w:lang w:eastAsia="zh-CN"/>
        </w:rPr>
        <w:t>——第4部分：小儿推拿疗法</w:t>
      </w:r>
    </w:p>
    <w:p w14:paraId="4A4C6433">
      <w:pPr>
        <w:pStyle w:val="24"/>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Times New Roman"/>
          <w:szCs w:val="18"/>
          <w:highlight w:val="none"/>
          <w:lang w:eastAsia="zh-CN"/>
        </w:rPr>
      </w:pPr>
      <w:r>
        <w:rPr>
          <w:rFonts w:hint="eastAsia" w:ascii="宋体" w:hAnsi="宋体" w:eastAsia="宋体" w:cs="Times New Roman"/>
          <w:szCs w:val="18"/>
          <w:highlight w:val="none"/>
          <w:lang w:eastAsia="zh-CN"/>
        </w:rPr>
        <w:t>——第5部分：小儿拔罐疗法</w:t>
      </w:r>
    </w:p>
    <w:p w14:paraId="27709967">
      <w:pPr>
        <w:pStyle w:val="24"/>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Times New Roman"/>
          <w:szCs w:val="18"/>
          <w:highlight w:val="none"/>
          <w:lang w:eastAsia="zh-CN"/>
        </w:rPr>
      </w:pPr>
      <w:r>
        <w:rPr>
          <w:rFonts w:hint="eastAsia" w:ascii="宋体" w:hAnsi="宋体" w:eastAsia="宋体" w:cs="Times New Roman"/>
          <w:szCs w:val="18"/>
          <w:highlight w:val="none"/>
          <w:lang w:eastAsia="zh-CN"/>
        </w:rPr>
        <w:t>本文件无相关被替代、废止的文件。</w:t>
      </w:r>
    </w:p>
    <w:p w14:paraId="16064896">
      <w:pPr>
        <w:pStyle w:val="24"/>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Times New Roman"/>
          <w:szCs w:val="18"/>
          <w:highlight w:val="none"/>
          <w:lang w:eastAsia="zh-CN"/>
        </w:rPr>
      </w:pPr>
      <w:r>
        <w:rPr>
          <w:rFonts w:hint="eastAsia" w:ascii="宋体" w:hAnsi="宋体" w:eastAsia="宋体" w:cs="Times New Roman"/>
          <w:szCs w:val="18"/>
          <w:highlight w:val="none"/>
          <w:lang w:eastAsia="zh-CN"/>
        </w:rPr>
        <w:t>本文件制订以中华人民共和国国家标准（指导性技术文件）《GB/Z 40893.2-2021 中医技术操作规范</w:t>
      </w:r>
      <w:r>
        <w:rPr>
          <w:rFonts w:hint="eastAsia" w:ascii="宋体" w:hAnsi="宋体" w:eastAsia="宋体" w:cs="Times New Roman"/>
          <w:szCs w:val="18"/>
          <w:highlight w:val="none"/>
          <w:lang w:val="en-US" w:eastAsia="zh-CN"/>
        </w:rPr>
        <w:t xml:space="preserve"> </w:t>
      </w:r>
      <w:r>
        <w:rPr>
          <w:rFonts w:hint="eastAsia" w:ascii="宋体" w:hAnsi="宋体" w:eastAsia="宋体" w:cs="Times New Roman"/>
          <w:szCs w:val="18"/>
          <w:highlight w:val="none"/>
          <w:lang w:eastAsia="zh-CN"/>
        </w:rPr>
        <w:t>儿科</w:t>
      </w:r>
      <w:r>
        <w:rPr>
          <w:rFonts w:hint="eastAsia" w:ascii="宋体" w:hAnsi="宋体" w:eastAsia="宋体" w:cs="Times New Roman"/>
          <w:szCs w:val="18"/>
          <w:highlight w:val="none"/>
          <w:lang w:val="en-US" w:eastAsia="zh-CN"/>
        </w:rPr>
        <w:t xml:space="preserve"> </w:t>
      </w:r>
      <w:r>
        <w:rPr>
          <w:rFonts w:hint="eastAsia" w:ascii="宋体" w:hAnsi="宋体" w:eastAsia="宋体" w:cs="Times New Roman"/>
          <w:szCs w:val="18"/>
          <w:highlight w:val="none"/>
          <w:lang w:eastAsia="zh-CN"/>
        </w:rPr>
        <w:t>第</w:t>
      </w:r>
      <w:r>
        <w:rPr>
          <w:rFonts w:hint="eastAsia" w:ascii="宋体" w:hAnsi="宋体" w:cs="Times New Roman"/>
          <w:szCs w:val="18"/>
          <w:highlight w:val="none"/>
          <w:lang w:val="en-US" w:eastAsia="zh-CN"/>
        </w:rPr>
        <w:t>3</w:t>
      </w:r>
      <w:r>
        <w:rPr>
          <w:rFonts w:hint="eastAsia" w:ascii="宋体" w:hAnsi="宋体" w:eastAsia="宋体" w:cs="Times New Roman"/>
          <w:szCs w:val="18"/>
          <w:highlight w:val="none"/>
          <w:lang w:eastAsia="zh-CN"/>
        </w:rPr>
        <w:t>部分：小儿针灸疗法》为基础转化形成。</w:t>
      </w:r>
    </w:p>
    <w:p w14:paraId="149536BC">
      <w:pPr>
        <w:pStyle w:val="24"/>
        <w:spacing w:line="276" w:lineRule="auto"/>
        <w:rPr>
          <w:rFonts w:ascii="宋体" w:hAnsi="宋体"/>
          <w:color w:val="000000" w:themeColor="text1"/>
          <w:szCs w:val="18"/>
          <w14:textFill>
            <w14:solidFill>
              <w14:schemeClr w14:val="tx1"/>
            </w14:solidFill>
          </w14:textFill>
        </w:rPr>
      </w:pPr>
      <w:r>
        <w:rPr>
          <w:rFonts w:hint="eastAsia" w:ascii="宋体" w:hAnsi="宋体"/>
          <w:color w:val="000000" w:themeColor="text1"/>
          <w:szCs w:val="18"/>
          <w14:textFill>
            <w14:solidFill>
              <w14:schemeClr w14:val="tx1"/>
            </w14:solidFill>
          </w14:textFill>
        </w:rPr>
        <w:t>请注意本文件的某些内容可能涉及专利。本文件的发布机构不承担识别专利的责任。</w:t>
      </w:r>
    </w:p>
    <w:p w14:paraId="1F6B87FC">
      <w:pPr>
        <w:pStyle w:val="24"/>
        <w:spacing w:line="276" w:lineRule="auto"/>
        <w:rPr>
          <w:rFonts w:hint="eastAsia" w:ascii="宋体" w:hAnsi="宋体" w:eastAsia="宋体"/>
          <w:color w:val="000000" w:themeColor="text1"/>
          <w:szCs w:val="18"/>
          <w:lang w:val="en-US" w:eastAsia="zh-CN"/>
          <w14:textFill>
            <w14:solidFill>
              <w14:schemeClr w14:val="tx1"/>
            </w14:solidFill>
          </w14:textFill>
        </w:rPr>
      </w:pPr>
      <w:r>
        <w:rPr>
          <w:rFonts w:hint="eastAsia" w:ascii="宋体" w:hAnsi="宋体"/>
          <w:color w:val="000000" w:themeColor="text1"/>
          <w:szCs w:val="18"/>
          <w14:textFill>
            <w14:solidFill>
              <w14:schemeClr w14:val="tx1"/>
            </w14:solidFill>
          </w14:textFill>
        </w:rPr>
        <w:t>主要起草单位：南京中医药大学附属医院</w:t>
      </w:r>
      <w:r>
        <w:rPr>
          <w:rFonts w:hint="eastAsia" w:ascii="宋体" w:hAnsi="宋体"/>
          <w:color w:val="000000" w:themeColor="text1"/>
          <w:szCs w:val="18"/>
          <w:lang w:eastAsia="zh-CN"/>
          <w14:textFill>
            <w14:solidFill>
              <w14:schemeClr w14:val="tx1"/>
            </w14:solidFill>
          </w14:textFill>
        </w:rPr>
        <w:t>。</w:t>
      </w:r>
    </w:p>
    <w:p w14:paraId="1AE6F373">
      <w:pPr>
        <w:pStyle w:val="24"/>
        <w:spacing w:line="276" w:lineRule="auto"/>
        <w:rPr>
          <w:rFonts w:ascii="宋体" w:hAnsi="宋体"/>
          <w:color w:val="000000" w:themeColor="text1"/>
          <w:szCs w:val="18"/>
          <w14:textFill>
            <w14:solidFill>
              <w14:schemeClr w14:val="tx1"/>
            </w14:solidFill>
          </w14:textFill>
        </w:rPr>
      </w:pPr>
      <w:r>
        <w:rPr>
          <w:rFonts w:hint="eastAsia" w:ascii="宋体" w:hAnsi="宋体"/>
          <w:color w:val="000000" w:themeColor="text1"/>
          <w:szCs w:val="18"/>
          <w14:textFill>
            <w14:solidFill>
              <w14:schemeClr w14:val="tx1"/>
            </w14:solidFill>
          </w14:textFill>
        </w:rPr>
        <w:t>参与起草的单位：新加坡中医研究院、澳大利亚奋进自然健康学院、越南中央儿童医院、加拿大太平洋中医学院、马来西亚拉曼大学、厦门长庚医院。</w:t>
      </w:r>
    </w:p>
    <w:p w14:paraId="1D1C5E11">
      <w:pPr>
        <w:pStyle w:val="24"/>
        <w:spacing w:line="276" w:lineRule="auto"/>
        <w:rPr>
          <w:rFonts w:ascii="宋体" w:hAnsi="宋体"/>
          <w:color w:val="000000" w:themeColor="text1"/>
          <w:szCs w:val="18"/>
          <w14:textFill>
            <w14:solidFill>
              <w14:schemeClr w14:val="tx1"/>
            </w14:solidFill>
          </w14:textFill>
        </w:rPr>
      </w:pPr>
      <w:r>
        <w:rPr>
          <w:rFonts w:hint="eastAsia" w:ascii="宋体" w:hAnsi="宋体"/>
          <w:color w:val="000000" w:themeColor="text1"/>
          <w:szCs w:val="18"/>
          <w14:textFill>
            <w14:solidFill>
              <w14:schemeClr w14:val="tx1"/>
            </w14:solidFill>
          </w14:textFill>
        </w:rPr>
        <w:t>主要起草人：</w:t>
      </w:r>
    </w:p>
    <w:p w14:paraId="5EB1ECB5">
      <w:pPr>
        <w:pStyle w:val="24"/>
        <w:spacing w:line="276" w:lineRule="auto"/>
        <w:ind w:firstLine="840" w:firstLineChars="400"/>
        <w:rPr>
          <w:rFonts w:hint="eastAsia" w:ascii="宋体" w:hAnsi="宋体" w:eastAsia="宋体"/>
          <w:color w:val="000000" w:themeColor="text1"/>
          <w:szCs w:val="18"/>
          <w:lang w:eastAsia="zh-CN"/>
          <w14:textFill>
            <w14:solidFill>
              <w14:schemeClr w14:val="tx1"/>
            </w14:solidFill>
          </w14:textFill>
        </w:rPr>
      </w:pPr>
      <w:r>
        <w:rPr>
          <w:rFonts w:hint="eastAsia" w:ascii="宋体" w:hAnsi="宋体"/>
          <w:color w:val="000000" w:themeColor="text1"/>
          <w:szCs w:val="18"/>
          <w14:textFill>
            <w14:solidFill>
              <w14:schemeClr w14:val="tx1"/>
            </w14:solidFill>
          </w14:textFill>
        </w:rPr>
        <w:t>中    国：赵霞、单祎文、倪光夏、陈秀珍</w:t>
      </w:r>
      <w:r>
        <w:rPr>
          <w:rFonts w:hint="eastAsia" w:ascii="宋体" w:hAnsi="宋体"/>
          <w:color w:val="000000" w:themeColor="text1"/>
          <w:szCs w:val="18"/>
          <w:lang w:eastAsia="zh-CN"/>
          <w14:textFill>
            <w14:solidFill>
              <w14:schemeClr w14:val="tx1"/>
            </w14:solidFill>
          </w14:textFill>
        </w:rPr>
        <w:t>，</w:t>
      </w:r>
      <w:r>
        <w:rPr>
          <w:rFonts w:hint="eastAsia" w:ascii="宋体" w:hAnsi="宋体"/>
          <w:color w:val="000000" w:themeColor="text1"/>
          <w:szCs w:val="18"/>
          <w14:textFill>
            <w14:solidFill>
              <w14:schemeClr w14:val="tx1"/>
            </w14:solidFill>
          </w14:textFill>
        </w:rPr>
        <w:t>蔡承翰</w:t>
      </w:r>
      <w:r>
        <w:rPr>
          <w:rFonts w:hint="eastAsia" w:ascii="宋体" w:hAnsi="宋体"/>
          <w:color w:val="000000" w:themeColor="text1"/>
          <w:szCs w:val="18"/>
          <w:lang w:eastAsia="zh-CN"/>
          <w14:textFill>
            <w14:solidFill>
              <w14:schemeClr w14:val="tx1"/>
            </w14:solidFill>
          </w14:textFill>
        </w:rPr>
        <w:t>（</w:t>
      </w:r>
      <w:r>
        <w:rPr>
          <w:rFonts w:hint="eastAsia" w:ascii="宋体" w:hAnsi="宋体"/>
          <w:color w:val="000000" w:themeColor="text1"/>
          <w:szCs w:val="18"/>
          <w14:textFill>
            <w14:solidFill>
              <w14:schemeClr w14:val="tx1"/>
            </w14:solidFill>
          </w14:textFill>
        </w:rPr>
        <w:t>中国台湾</w:t>
      </w:r>
      <w:r>
        <w:rPr>
          <w:rFonts w:hint="eastAsia" w:ascii="宋体" w:hAnsi="宋体"/>
          <w:color w:val="000000" w:themeColor="text1"/>
          <w:szCs w:val="18"/>
          <w:lang w:eastAsia="zh-CN"/>
          <w14:textFill>
            <w14:solidFill>
              <w14:schemeClr w14:val="tx1"/>
            </w14:solidFill>
          </w14:textFill>
        </w:rPr>
        <w:t>）。</w:t>
      </w:r>
    </w:p>
    <w:p w14:paraId="598854ED">
      <w:pPr>
        <w:spacing w:line="276" w:lineRule="auto"/>
        <w:rPr>
          <w:rFonts w:hint="eastAsia" w:ascii="宋体" w:hAnsi="宋体"/>
          <w:color w:val="000000" w:themeColor="text1"/>
          <w:szCs w:val="18"/>
          <w14:textFill>
            <w14:solidFill>
              <w14:schemeClr w14:val="tx1"/>
            </w14:solidFill>
          </w14:textFill>
        </w:rPr>
      </w:pPr>
      <w:r>
        <w:rPr>
          <w:rFonts w:hint="eastAsia" w:ascii="宋体" w:hAnsi="宋体"/>
          <w:color w:val="000000" w:themeColor="text1"/>
          <w:szCs w:val="18"/>
          <w14:textFill>
            <w14:solidFill>
              <w14:schemeClr w14:val="tx1"/>
            </w14:solidFill>
          </w14:textFill>
        </w:rPr>
        <w:t xml:space="preserve"> </w:t>
      </w:r>
      <w:r>
        <w:rPr>
          <w:rFonts w:ascii="宋体" w:hAnsi="宋体"/>
          <w:color w:val="000000" w:themeColor="text1"/>
          <w:szCs w:val="18"/>
          <w14:textFill>
            <w14:solidFill>
              <w14:schemeClr w14:val="tx1"/>
            </w14:solidFill>
          </w14:textFill>
        </w:rPr>
        <w:t xml:space="preserve">   </w:t>
      </w:r>
      <w:r>
        <w:rPr>
          <w:rFonts w:hint="eastAsia" w:ascii="宋体" w:hAnsi="宋体"/>
          <w:color w:val="000000" w:themeColor="text1"/>
          <w:szCs w:val="18"/>
          <w14:textFill>
            <w14:solidFill>
              <w14:schemeClr w14:val="tx1"/>
            </w14:solidFill>
          </w14:textFill>
        </w:rPr>
        <w:t>参与起草人：</w:t>
      </w:r>
    </w:p>
    <w:p w14:paraId="103D2979">
      <w:pPr>
        <w:pStyle w:val="24"/>
        <w:spacing w:line="276" w:lineRule="auto"/>
        <w:ind w:firstLine="840" w:firstLineChars="400"/>
        <w:rPr>
          <w:rFonts w:hint="eastAsia" w:ascii="宋体" w:hAnsi="宋体" w:eastAsia="宋体"/>
          <w:color w:val="000000" w:themeColor="text1"/>
          <w:szCs w:val="18"/>
          <w:lang w:eastAsia="zh-CN"/>
          <w14:textFill>
            <w14:solidFill>
              <w14:schemeClr w14:val="tx1"/>
            </w14:solidFill>
          </w14:textFill>
        </w:rPr>
      </w:pPr>
      <w:r>
        <w:rPr>
          <w:rFonts w:hint="eastAsia" w:ascii="宋体" w:hAnsi="宋体"/>
          <w:color w:val="000000" w:themeColor="text1"/>
          <w:szCs w:val="18"/>
          <w14:textFill>
            <w14:solidFill>
              <w14:schemeClr w14:val="tx1"/>
            </w14:solidFill>
          </w14:textFill>
        </w:rPr>
        <w:t>新 加 坡：吴佳盛</w:t>
      </w:r>
      <w:r>
        <w:rPr>
          <w:rFonts w:hint="eastAsia" w:ascii="宋体" w:hAnsi="宋体"/>
          <w:color w:val="000000" w:themeColor="text1"/>
          <w:szCs w:val="18"/>
          <w:lang w:eastAsia="zh-CN"/>
          <w14:textFill>
            <w14:solidFill>
              <w14:schemeClr w14:val="tx1"/>
            </w14:solidFill>
          </w14:textFill>
        </w:rPr>
        <w:t>。</w:t>
      </w:r>
    </w:p>
    <w:p w14:paraId="2F8470EB">
      <w:pPr>
        <w:pStyle w:val="24"/>
        <w:spacing w:line="276" w:lineRule="auto"/>
        <w:ind w:firstLine="840" w:firstLineChars="400"/>
        <w:rPr>
          <w:rFonts w:hint="eastAsia" w:ascii="宋体" w:hAnsi="宋体" w:eastAsia="宋体"/>
          <w:color w:val="000000" w:themeColor="text1"/>
          <w:szCs w:val="18"/>
          <w:lang w:eastAsia="zh-CN"/>
          <w14:textFill>
            <w14:solidFill>
              <w14:schemeClr w14:val="tx1"/>
            </w14:solidFill>
          </w14:textFill>
        </w:rPr>
      </w:pPr>
      <w:r>
        <w:rPr>
          <w:rFonts w:hint="eastAsia" w:ascii="宋体" w:hAnsi="宋体"/>
          <w:color w:val="000000" w:themeColor="text1"/>
          <w:szCs w:val="18"/>
          <w14:textFill>
            <w14:solidFill>
              <w14:schemeClr w14:val="tx1"/>
            </w14:solidFill>
          </w14:textFill>
        </w:rPr>
        <w:t>澳大利亚：乔木林</w:t>
      </w:r>
      <w:r>
        <w:rPr>
          <w:rFonts w:hint="eastAsia" w:ascii="宋体" w:hAnsi="宋体"/>
          <w:color w:val="000000" w:themeColor="text1"/>
          <w:szCs w:val="18"/>
          <w:lang w:eastAsia="zh-CN"/>
          <w14:textFill>
            <w14:solidFill>
              <w14:schemeClr w14:val="tx1"/>
            </w14:solidFill>
          </w14:textFill>
        </w:rPr>
        <w:t>。</w:t>
      </w:r>
    </w:p>
    <w:p w14:paraId="26702D86">
      <w:pPr>
        <w:pStyle w:val="24"/>
        <w:spacing w:line="276" w:lineRule="auto"/>
        <w:ind w:firstLine="840" w:firstLineChars="400"/>
        <w:rPr>
          <w:rFonts w:hint="eastAsia" w:ascii="宋体" w:hAnsi="宋体" w:eastAsia="宋体"/>
          <w:color w:val="000000" w:themeColor="text1"/>
          <w:szCs w:val="18"/>
          <w:lang w:eastAsia="zh-CN"/>
          <w14:textFill>
            <w14:solidFill>
              <w14:schemeClr w14:val="tx1"/>
            </w14:solidFill>
          </w14:textFill>
        </w:rPr>
      </w:pPr>
      <w:r>
        <w:rPr>
          <w:rFonts w:hint="eastAsia" w:ascii="宋体" w:hAnsi="宋体"/>
          <w:color w:val="000000" w:themeColor="text1"/>
          <w:szCs w:val="18"/>
          <w14:textFill>
            <w14:solidFill>
              <w14:schemeClr w14:val="tx1"/>
            </w14:solidFill>
          </w14:textFill>
        </w:rPr>
        <w:t>越    南：阮红明</w:t>
      </w:r>
      <w:r>
        <w:rPr>
          <w:rFonts w:hint="eastAsia" w:ascii="宋体" w:hAnsi="宋体"/>
          <w:color w:val="000000" w:themeColor="text1"/>
          <w:szCs w:val="18"/>
          <w:lang w:eastAsia="zh-CN"/>
          <w14:textFill>
            <w14:solidFill>
              <w14:schemeClr w14:val="tx1"/>
            </w14:solidFill>
          </w14:textFill>
        </w:rPr>
        <w:t>。</w:t>
      </w:r>
    </w:p>
    <w:p w14:paraId="616AF26F">
      <w:pPr>
        <w:pStyle w:val="24"/>
        <w:spacing w:line="276" w:lineRule="auto"/>
        <w:ind w:firstLine="840" w:firstLineChars="400"/>
        <w:rPr>
          <w:rFonts w:hint="eastAsia" w:ascii="宋体" w:hAnsi="宋体" w:eastAsia="宋体"/>
          <w:color w:val="000000" w:themeColor="text1"/>
          <w:szCs w:val="18"/>
          <w:lang w:eastAsia="zh-CN"/>
          <w14:textFill>
            <w14:solidFill>
              <w14:schemeClr w14:val="tx1"/>
            </w14:solidFill>
          </w14:textFill>
        </w:rPr>
      </w:pPr>
      <w:r>
        <w:rPr>
          <w:rFonts w:hint="eastAsia" w:ascii="宋体" w:hAnsi="宋体"/>
          <w:color w:val="000000" w:themeColor="text1"/>
          <w:szCs w:val="18"/>
          <w14:textFill>
            <w14:solidFill>
              <w14:schemeClr w14:val="tx1"/>
            </w14:solidFill>
          </w14:textFill>
        </w:rPr>
        <w:t>加 拿 大：陈晓燕</w:t>
      </w:r>
      <w:r>
        <w:rPr>
          <w:rFonts w:hint="eastAsia" w:ascii="宋体" w:hAnsi="宋体"/>
          <w:color w:val="000000" w:themeColor="text1"/>
          <w:szCs w:val="18"/>
          <w:lang w:eastAsia="zh-CN"/>
          <w14:textFill>
            <w14:solidFill>
              <w14:schemeClr w14:val="tx1"/>
            </w14:solidFill>
          </w14:textFill>
        </w:rPr>
        <w:t>。</w:t>
      </w:r>
    </w:p>
    <w:p w14:paraId="10AFE12F">
      <w:pPr>
        <w:pStyle w:val="24"/>
        <w:spacing w:line="276" w:lineRule="auto"/>
        <w:ind w:firstLine="840" w:firstLineChars="400"/>
        <w:rPr>
          <w:rFonts w:hint="eastAsia" w:ascii="宋体" w:hAnsi="宋体" w:eastAsia="宋体"/>
          <w:color w:val="000000" w:themeColor="text1"/>
          <w:szCs w:val="18"/>
          <w:lang w:eastAsia="zh-CN"/>
          <w14:textFill>
            <w14:solidFill>
              <w14:schemeClr w14:val="tx1"/>
            </w14:solidFill>
          </w14:textFill>
        </w:rPr>
      </w:pPr>
      <w:r>
        <w:rPr>
          <w:rFonts w:hint="eastAsia" w:ascii="宋体" w:hAnsi="宋体"/>
          <w:color w:val="000000" w:themeColor="text1"/>
          <w:szCs w:val="18"/>
          <w14:textFill>
            <w14:solidFill>
              <w14:schemeClr w14:val="tx1"/>
            </w14:solidFill>
          </w14:textFill>
        </w:rPr>
        <w:t>马来西亚：郑秀芬</w:t>
      </w:r>
      <w:r>
        <w:rPr>
          <w:rFonts w:hint="eastAsia" w:ascii="宋体" w:hAnsi="宋体"/>
          <w:color w:val="000000" w:themeColor="text1"/>
          <w:szCs w:val="18"/>
          <w:lang w:eastAsia="zh-CN"/>
          <w14:textFill>
            <w14:solidFill>
              <w14:schemeClr w14:val="tx1"/>
            </w14:solidFill>
          </w14:textFill>
        </w:rPr>
        <w:t>。</w:t>
      </w:r>
    </w:p>
    <w:p w14:paraId="7828A4E9">
      <w:pPr>
        <w:pStyle w:val="24"/>
        <w:spacing w:line="276" w:lineRule="auto"/>
        <w:ind w:firstLine="840" w:firstLineChars="400"/>
        <w:rPr>
          <w:rFonts w:hint="eastAsia" w:ascii="宋体" w:hAnsi="宋体"/>
          <w:color w:val="000000" w:themeColor="text1"/>
          <w:szCs w:val="18"/>
          <w14:textFill>
            <w14:solidFill>
              <w14:schemeClr w14:val="tx1"/>
            </w14:solidFill>
          </w14:textFill>
        </w:rPr>
      </w:pPr>
    </w:p>
    <w:p w14:paraId="43A1C244">
      <w:pPr>
        <w:pStyle w:val="24"/>
        <w:spacing w:line="276" w:lineRule="auto"/>
        <w:rPr>
          <w:rFonts w:ascii="宋体" w:hAnsi="宋体"/>
          <w:color w:val="000000" w:themeColor="text1"/>
          <w:szCs w:val="18"/>
          <w14:textFill>
            <w14:solidFill>
              <w14:schemeClr w14:val="tx1"/>
            </w14:solidFill>
          </w14:textFill>
        </w:rPr>
      </w:pPr>
      <w:r>
        <w:rPr>
          <w:rFonts w:hint="eastAsia" w:ascii="宋体" w:hAnsi="宋体"/>
          <w:color w:val="000000" w:themeColor="text1"/>
          <w:szCs w:val="18"/>
          <w14:textFill>
            <w14:solidFill>
              <w14:schemeClr w14:val="tx1"/>
            </w14:solidFill>
          </w14:textFill>
        </w:rPr>
        <w:t>本文件的起草程序遵守了世界中医药学会联合会发布的SCM1.1-2021 《标准化工作导则第1部分：标准制修订与发布》。</w:t>
      </w:r>
    </w:p>
    <w:p w14:paraId="341F30EE">
      <w:pPr>
        <w:pStyle w:val="24"/>
        <w:spacing w:line="276" w:lineRule="auto"/>
        <w:rPr>
          <w:rFonts w:ascii="宋体" w:hAnsi="宋体"/>
          <w:color w:val="000000" w:themeColor="text1"/>
          <w:szCs w:val="18"/>
          <w14:textFill>
            <w14:solidFill>
              <w14:schemeClr w14:val="tx1"/>
            </w14:solidFill>
          </w14:textFill>
        </w:rPr>
      </w:pPr>
      <w:r>
        <w:rPr>
          <w:rFonts w:hint="eastAsia" w:ascii="宋体" w:hAnsi="宋体"/>
          <w:color w:val="000000" w:themeColor="text1"/>
          <w:szCs w:val="18"/>
          <w14:textFill>
            <w14:solidFill>
              <w14:schemeClr w14:val="tx1"/>
            </w14:solidFill>
          </w14:textFill>
        </w:rPr>
        <w:t>本文件翻译人员为***。若发生异议，以中文文本为准。</w:t>
      </w:r>
    </w:p>
    <w:p w14:paraId="67CED148">
      <w:pPr>
        <w:pStyle w:val="24"/>
        <w:spacing w:line="276" w:lineRule="auto"/>
        <w:rPr>
          <w:rFonts w:ascii="宋体" w:hAnsi="宋体"/>
          <w:color w:val="000000" w:themeColor="text1"/>
          <w:szCs w:val="18"/>
          <w14:textFill>
            <w14:solidFill>
              <w14:schemeClr w14:val="tx1"/>
            </w14:solidFill>
          </w14:textFill>
        </w:rPr>
      </w:pPr>
      <w:r>
        <w:rPr>
          <w:rFonts w:hint="eastAsia" w:ascii="宋体" w:hAnsi="宋体"/>
          <w:color w:val="000000" w:themeColor="text1"/>
          <w:szCs w:val="18"/>
          <w14:textFill>
            <w14:solidFill>
              <w14:schemeClr w14:val="tx1"/>
            </w14:solidFill>
          </w14:textFill>
        </w:rPr>
        <w:t>本文件由世界中医药学会联合会发布，版权归世界中医药学会联合会所有。</w:t>
      </w:r>
    </w:p>
    <w:p w14:paraId="2820AFF1">
      <w:pPr>
        <w:pStyle w:val="24"/>
        <w:spacing w:line="276" w:lineRule="auto"/>
        <w:rPr>
          <w:rFonts w:ascii="宋体" w:hAnsi="宋体"/>
          <w:color w:val="000000" w:themeColor="text1"/>
          <w:szCs w:val="18"/>
          <w14:textFill>
            <w14:solidFill>
              <w14:schemeClr w14:val="tx1"/>
            </w14:solidFill>
          </w14:textFill>
        </w:rPr>
      </w:pPr>
    </w:p>
    <w:p w14:paraId="4B61F183">
      <w:pPr>
        <w:spacing w:line="276" w:lineRule="auto"/>
        <w:rPr>
          <w:rFonts w:ascii="宋体" w:hAnsi="宋体"/>
          <w:color w:val="000000" w:themeColor="text1"/>
          <w:szCs w:val="18"/>
          <w14:textFill>
            <w14:solidFill>
              <w14:schemeClr w14:val="tx1"/>
            </w14:solidFill>
          </w14:textFill>
        </w:rPr>
      </w:pPr>
      <w:r>
        <w:rPr>
          <w:rFonts w:hint="eastAsia" w:ascii="宋体" w:hAnsi="宋体"/>
          <w:color w:val="000000" w:themeColor="text1"/>
          <w:szCs w:val="18"/>
          <w14:textFill>
            <w14:solidFill>
              <w14:schemeClr w14:val="tx1"/>
            </w14:solidFill>
          </w14:textFill>
        </w:rPr>
        <w:br w:type="page"/>
      </w:r>
    </w:p>
    <w:p w14:paraId="52ADC58F">
      <w:pPr>
        <w:spacing w:before="312" w:beforeLines="100" w:after="312" w:afterLines="100" w:line="276" w:lineRule="auto"/>
        <w:jc w:val="center"/>
        <w:outlineLvl w:val="0"/>
        <w:rPr>
          <w:rFonts w:ascii="Cambria" w:hAnsi="Cambria" w:eastAsia="黑体" w:cs="宋体"/>
          <w:color w:val="000000" w:themeColor="text1"/>
          <w:sz w:val="32"/>
          <w14:textFill>
            <w14:solidFill>
              <w14:schemeClr w14:val="tx1"/>
            </w14:solidFill>
          </w14:textFill>
        </w:rPr>
      </w:pPr>
      <w:bookmarkStart w:id="5" w:name="_Toc10373"/>
      <w:bookmarkStart w:id="6" w:name="_Toc32636"/>
      <w:bookmarkStart w:id="7" w:name="_Toc1931"/>
      <w:r>
        <w:rPr>
          <w:rFonts w:ascii="Cambria" w:hAnsi="Cambria" w:eastAsia="黑体" w:cs="宋体"/>
          <w:color w:val="000000" w:themeColor="text1"/>
          <w:sz w:val="32"/>
          <w14:textFill>
            <w14:solidFill>
              <w14:schemeClr w14:val="tx1"/>
            </w14:solidFill>
          </w14:textFill>
        </w:rPr>
        <w:t>引</w:t>
      </w:r>
      <w:r>
        <w:rPr>
          <w:rFonts w:hint="eastAsia" w:ascii="Cambria" w:hAnsi="Cambria" w:eastAsia="黑体" w:cs="宋体"/>
          <w:color w:val="000000" w:themeColor="text1"/>
          <w:sz w:val="32"/>
          <w14:textFill>
            <w14:solidFill>
              <w14:schemeClr w14:val="tx1"/>
            </w14:solidFill>
          </w14:textFill>
        </w:rPr>
        <w:t xml:space="preserve">  </w:t>
      </w:r>
      <w:r>
        <w:rPr>
          <w:rFonts w:ascii="Cambria" w:hAnsi="Cambria" w:eastAsia="黑体" w:cs="宋体"/>
          <w:color w:val="000000" w:themeColor="text1"/>
          <w:sz w:val="32"/>
          <w14:textFill>
            <w14:solidFill>
              <w14:schemeClr w14:val="tx1"/>
            </w14:solidFill>
          </w14:textFill>
        </w:rPr>
        <w:t>言</w:t>
      </w:r>
      <w:bookmarkEnd w:id="5"/>
      <w:bookmarkEnd w:id="6"/>
      <w:bookmarkEnd w:id="7"/>
    </w:p>
    <w:p w14:paraId="57D9E770">
      <w:pPr>
        <w:pStyle w:val="24"/>
        <w:spacing w:line="276" w:lineRule="auto"/>
        <w:rPr>
          <w:rFonts w:ascii="Times New Roman Regular" w:hAnsi="Times New Roman Regular" w:cs="Times New Roman Regular"/>
          <w:color w:val="000000" w:themeColor="text1"/>
          <w:szCs w:val="18"/>
          <w14:textFill>
            <w14:solidFill>
              <w14:schemeClr w14:val="tx1"/>
            </w14:solidFill>
          </w14:textFill>
        </w:rPr>
      </w:pPr>
      <w:r>
        <w:rPr>
          <w:rFonts w:hint="eastAsia" w:ascii="宋体" w:hAnsi="宋体"/>
          <w:color w:val="000000" w:themeColor="text1"/>
          <w:szCs w:val="18"/>
          <w14:textFill>
            <w14:solidFill>
              <w14:schemeClr w14:val="tx1"/>
            </w14:solidFill>
          </w14:textFill>
        </w:rPr>
        <w:t>随着全球范围内对中医药的认可度不断提升，中医儿科作为中医药体系的重要组成部分，其国际标准化需求日益迫切。中医儿科技术操作涵盖较多内容，经多轮论证研讨选取具有中医特色的儿科常用治疗操作技术进行编制，</w:t>
      </w:r>
      <w:r>
        <w:rPr>
          <w:rFonts w:ascii="Times New Roman Regular" w:hAnsi="Times New Roman Regular" w:cs="Times New Roman Regular"/>
          <w:color w:val="000000" w:themeColor="text1"/>
          <w:szCs w:val="18"/>
          <w14:textFill>
            <w14:solidFill>
              <w14:schemeClr w14:val="tx1"/>
            </w14:solidFill>
          </w14:textFill>
        </w:rPr>
        <w:t>并根据技术操作的形式及特点分为</w:t>
      </w:r>
      <w:r>
        <w:rPr>
          <w:rFonts w:hint="eastAsia" w:ascii="Times New Roman Regular" w:hAnsi="Times New Roman Regular" w:cs="Times New Roman Regular"/>
          <w:color w:val="000000" w:themeColor="text1"/>
          <w:szCs w:val="18"/>
          <w14:textFill>
            <w14:solidFill>
              <w14:schemeClr w14:val="tx1"/>
            </w14:solidFill>
          </w14:textFill>
        </w:rPr>
        <w:t>5</w:t>
      </w:r>
      <w:r>
        <w:rPr>
          <w:rFonts w:ascii="Times New Roman Regular" w:hAnsi="Times New Roman Regular" w:cs="Times New Roman Regular"/>
          <w:color w:val="000000" w:themeColor="text1"/>
          <w:szCs w:val="18"/>
          <w14:textFill>
            <w14:solidFill>
              <w14:schemeClr w14:val="tx1"/>
            </w14:solidFill>
          </w14:textFill>
        </w:rPr>
        <w:t>部分。</w:t>
      </w:r>
      <w:r>
        <w:rPr>
          <w:rFonts w:hint="eastAsia" w:ascii="Times New Roman Regular" w:hAnsi="Times New Roman Regular" w:cs="Times New Roman Regular"/>
          <w:color w:val="000000" w:themeColor="text1"/>
          <w:szCs w:val="18"/>
          <w14:textFill>
            <w14:solidFill>
              <w14:schemeClr w14:val="tx1"/>
            </w14:solidFill>
          </w14:textFill>
        </w:rPr>
        <w:t>技术</w:t>
      </w:r>
      <w:r>
        <w:rPr>
          <w:rFonts w:ascii="Times New Roman Regular" w:hAnsi="Times New Roman Regular" w:cs="Times New Roman Regular"/>
          <w:color w:val="000000" w:themeColor="text1"/>
          <w:szCs w:val="18"/>
          <w14:textFill>
            <w14:solidFill>
              <w14:schemeClr w14:val="tx1"/>
            </w14:solidFill>
          </w14:textFill>
        </w:rPr>
        <w:t>内容在中医儿科学术界具有广泛性、普适性，对于</w:t>
      </w:r>
      <w:r>
        <w:rPr>
          <w:rFonts w:hint="eastAsia" w:ascii="宋体" w:hAnsi="宋体"/>
          <w:color w:val="000000" w:themeColor="text1"/>
          <w:szCs w:val="18"/>
          <w14:textFill>
            <w14:solidFill>
              <w14:schemeClr w14:val="tx1"/>
            </w14:solidFill>
          </w14:textFill>
        </w:rPr>
        <w:t>满足</w:t>
      </w:r>
      <w:r>
        <w:rPr>
          <w:rFonts w:ascii="Times New Roman Regular" w:hAnsi="Times New Roman Regular" w:cs="Times New Roman Regular"/>
          <w:color w:val="000000" w:themeColor="text1"/>
          <w:szCs w:val="18"/>
          <w14:textFill>
            <w14:solidFill>
              <w14:schemeClr w14:val="tx1"/>
            </w14:solidFill>
          </w14:textFill>
        </w:rPr>
        <w:t>全球中医儿科医师</w:t>
      </w:r>
      <w:r>
        <w:rPr>
          <w:rFonts w:hint="eastAsia" w:ascii="宋体" w:hAnsi="宋体"/>
          <w:color w:val="000000" w:themeColor="text1"/>
          <w:szCs w:val="18"/>
          <w14:textFill>
            <w14:solidFill>
              <w14:schemeClr w14:val="tx1"/>
            </w14:solidFill>
          </w14:textFill>
        </w:rPr>
        <w:t>临床</w:t>
      </w:r>
      <w:r>
        <w:rPr>
          <w:rFonts w:ascii="Times New Roman Regular" w:hAnsi="Times New Roman Regular" w:cs="Times New Roman Regular"/>
          <w:color w:val="000000" w:themeColor="text1"/>
          <w:szCs w:val="18"/>
          <w14:textFill>
            <w14:solidFill>
              <w14:schemeClr w14:val="tx1"/>
            </w14:solidFill>
          </w14:textFill>
        </w:rPr>
        <w:t>学习应用</w:t>
      </w:r>
      <w:r>
        <w:rPr>
          <w:rFonts w:hint="eastAsia" w:ascii="宋体" w:hAnsi="宋体"/>
          <w:color w:val="000000" w:themeColor="text1"/>
          <w:szCs w:val="18"/>
          <w14:textFill>
            <w14:solidFill>
              <w14:schemeClr w14:val="tx1"/>
            </w14:solidFill>
          </w14:textFill>
        </w:rPr>
        <w:t>的迫切需要</w:t>
      </w:r>
      <w:r>
        <w:rPr>
          <w:rFonts w:ascii="Times New Roman Regular" w:hAnsi="Times New Roman Regular" w:cs="Times New Roman Regular"/>
          <w:color w:val="000000" w:themeColor="text1"/>
          <w:szCs w:val="18"/>
          <w14:textFill>
            <w14:solidFill>
              <w14:schemeClr w14:val="tx1"/>
            </w14:solidFill>
          </w14:textFill>
        </w:rPr>
        <w:t>，促进</w:t>
      </w:r>
      <w:r>
        <w:rPr>
          <w:rFonts w:hint="eastAsia" w:ascii="Times New Roman Regular" w:hAnsi="Times New Roman Regular" w:cs="Times New Roman Regular"/>
          <w:color w:val="000000" w:themeColor="text1"/>
          <w:szCs w:val="18"/>
          <w14:textFill>
            <w14:solidFill>
              <w14:schemeClr w14:val="tx1"/>
            </w14:solidFill>
          </w14:textFill>
        </w:rPr>
        <w:t>世界</w:t>
      </w:r>
      <w:r>
        <w:rPr>
          <w:rFonts w:ascii="Times New Roman Regular" w:hAnsi="Times New Roman Regular" w:cs="Times New Roman Regular"/>
          <w:color w:val="000000" w:themeColor="text1"/>
          <w:szCs w:val="18"/>
          <w14:textFill>
            <w14:solidFill>
              <w14:schemeClr w14:val="tx1"/>
            </w14:solidFill>
          </w14:textFill>
        </w:rPr>
        <w:t>中医儿科临床技术操作规范化</w:t>
      </w:r>
      <w:r>
        <w:rPr>
          <w:rFonts w:hint="eastAsia" w:ascii="Times New Roman Regular" w:hAnsi="Times New Roman Regular" w:cs="Times New Roman Regular"/>
          <w:color w:val="000000" w:themeColor="text1"/>
          <w:szCs w:val="18"/>
          <w14:textFill>
            <w14:solidFill>
              <w14:schemeClr w14:val="tx1"/>
            </w14:solidFill>
          </w14:textFill>
        </w:rPr>
        <w:t>、标准化</w:t>
      </w:r>
      <w:r>
        <w:rPr>
          <w:rFonts w:ascii="Times New Roman Regular" w:hAnsi="Times New Roman Regular" w:cs="Times New Roman Regular"/>
          <w:color w:val="000000" w:themeColor="text1"/>
          <w:szCs w:val="18"/>
          <w14:textFill>
            <w14:solidFill>
              <w14:schemeClr w14:val="tx1"/>
            </w14:solidFill>
          </w14:textFill>
        </w:rPr>
        <w:t>具有重要价值</w:t>
      </w:r>
      <w:r>
        <w:rPr>
          <w:rFonts w:hint="eastAsia" w:ascii="Times New Roman Regular" w:hAnsi="Times New Roman Regular" w:cs="Times New Roman Regular"/>
          <w:color w:val="000000" w:themeColor="text1"/>
          <w:szCs w:val="18"/>
          <w14:textFill>
            <w14:solidFill>
              <w14:schemeClr w14:val="tx1"/>
            </w14:solidFill>
          </w14:textFill>
        </w:rPr>
        <w:t>；</w:t>
      </w:r>
      <w:r>
        <w:rPr>
          <w:rFonts w:ascii="Times New Roman Regular" w:hAnsi="Times New Roman Regular" w:cs="Times New Roman Regular"/>
          <w:color w:val="000000" w:themeColor="text1"/>
          <w:szCs w:val="18"/>
          <w14:textFill>
            <w14:solidFill>
              <w14:schemeClr w14:val="tx1"/>
            </w14:solidFill>
          </w14:textFill>
        </w:rPr>
        <w:t>对于中医儿科标准化</w:t>
      </w:r>
      <w:r>
        <w:rPr>
          <w:rFonts w:hint="eastAsia" w:ascii="Times New Roman Regular" w:hAnsi="Times New Roman Regular" w:cs="Times New Roman Regular"/>
          <w:color w:val="000000" w:themeColor="text1"/>
          <w:szCs w:val="18"/>
          <w14:textFill>
            <w14:solidFill>
              <w14:schemeClr w14:val="tx1"/>
            </w14:solidFill>
          </w14:textFill>
        </w:rPr>
        <w:t>、</w:t>
      </w:r>
      <w:r>
        <w:rPr>
          <w:rFonts w:hint="eastAsia" w:ascii="宋体" w:hAnsi="宋体"/>
          <w:color w:val="000000" w:themeColor="text1"/>
          <w:szCs w:val="18"/>
          <w14:textFill>
            <w14:solidFill>
              <w14:schemeClr w14:val="tx1"/>
            </w14:solidFill>
          </w14:textFill>
        </w:rPr>
        <w:t>现代化、国际化</w:t>
      </w:r>
      <w:r>
        <w:rPr>
          <w:rFonts w:ascii="Times New Roman Regular" w:hAnsi="Times New Roman Regular" w:cs="Times New Roman Regular"/>
          <w:color w:val="000000" w:themeColor="text1"/>
          <w:szCs w:val="18"/>
          <w14:textFill>
            <w14:solidFill>
              <w14:schemeClr w14:val="tx1"/>
            </w14:solidFill>
          </w14:textFill>
        </w:rPr>
        <w:t>具有示范意义。</w:t>
      </w:r>
    </w:p>
    <w:p w14:paraId="24D744B8">
      <w:pPr>
        <w:pStyle w:val="24"/>
        <w:spacing w:line="276" w:lineRule="auto"/>
        <w:rPr>
          <w:rFonts w:ascii="宋体" w:hAnsi="宋体"/>
          <w:color w:val="000000" w:themeColor="text1"/>
          <w:szCs w:val="18"/>
          <w14:textFill>
            <w14:solidFill>
              <w14:schemeClr w14:val="tx1"/>
            </w14:solidFill>
          </w14:textFill>
        </w:rPr>
      </w:pPr>
      <w:r>
        <w:rPr>
          <w:rFonts w:ascii="宋体" w:hAnsi="宋体"/>
          <w:color w:val="000000" w:themeColor="text1"/>
          <w:szCs w:val="18"/>
          <w14:textFill>
            <w14:solidFill>
              <w14:schemeClr w14:val="tx1"/>
            </w14:solidFill>
          </w14:textFill>
        </w:rPr>
        <w:t>《</w:t>
      </w:r>
      <w:r>
        <w:rPr>
          <w:rFonts w:hint="eastAsia" w:ascii="宋体" w:hAnsi="宋体"/>
          <w:color w:val="000000" w:themeColor="text1"/>
          <w:szCs w:val="18"/>
          <w14:textFill>
            <w14:solidFill>
              <w14:schemeClr w14:val="tx1"/>
            </w14:solidFill>
          </w14:textFill>
        </w:rPr>
        <w:t>国际</w:t>
      </w:r>
      <w:r>
        <w:rPr>
          <w:rFonts w:ascii="宋体" w:hAnsi="宋体"/>
          <w:color w:val="000000" w:themeColor="text1"/>
          <w:szCs w:val="18"/>
          <w14:textFill>
            <w14:solidFill>
              <w14:schemeClr w14:val="tx1"/>
            </w14:solidFill>
          </w14:textFill>
        </w:rPr>
        <w:t>中医技术操作规范</w:t>
      </w:r>
      <w:r>
        <w:rPr>
          <w:rFonts w:hint="eastAsia" w:ascii="宋体" w:hAnsi="宋体"/>
          <w:color w:val="000000" w:themeColor="text1"/>
          <w:szCs w:val="18"/>
          <w14:textFill>
            <w14:solidFill>
              <w14:schemeClr w14:val="tx1"/>
            </w14:solidFill>
          </w14:textFill>
        </w:rPr>
        <w:t xml:space="preserve"> </w:t>
      </w:r>
      <w:r>
        <w:rPr>
          <w:rFonts w:ascii="宋体" w:hAnsi="宋体"/>
          <w:color w:val="000000" w:themeColor="text1"/>
          <w:szCs w:val="18"/>
          <w14:textFill>
            <w14:solidFill>
              <w14:schemeClr w14:val="tx1"/>
            </w14:solidFill>
          </w14:textFill>
        </w:rPr>
        <w:t>儿科》系列是中医儿科临床常用的技术方法，是治疗</w:t>
      </w:r>
      <w:r>
        <w:rPr>
          <w:rFonts w:hint="eastAsia" w:ascii="宋体" w:hAnsi="宋体"/>
          <w:color w:val="000000" w:themeColor="text1"/>
          <w:szCs w:val="18"/>
          <w14:textFill>
            <w14:solidFill>
              <w14:schemeClr w14:val="tx1"/>
            </w14:solidFill>
          </w14:textFill>
        </w:rPr>
        <w:t>儿科</w:t>
      </w:r>
      <w:r>
        <w:rPr>
          <w:rFonts w:ascii="宋体" w:hAnsi="宋体"/>
          <w:color w:val="000000" w:themeColor="text1"/>
          <w:szCs w:val="18"/>
          <w14:textFill>
            <w14:solidFill>
              <w14:schemeClr w14:val="tx1"/>
            </w14:solidFill>
          </w14:textFill>
        </w:rPr>
        <w:t>疾病、提高疗效的重要手段，主要包括以下</w:t>
      </w:r>
      <w:r>
        <w:rPr>
          <w:rFonts w:hint="eastAsia" w:ascii="宋体" w:hAnsi="宋体"/>
          <w:color w:val="000000" w:themeColor="text1"/>
          <w:szCs w:val="18"/>
          <w14:textFill>
            <w14:solidFill>
              <w14:schemeClr w14:val="tx1"/>
            </w14:solidFill>
          </w14:textFill>
        </w:rPr>
        <w:t>5</w:t>
      </w:r>
      <w:r>
        <w:rPr>
          <w:rFonts w:ascii="宋体" w:hAnsi="宋体"/>
          <w:color w:val="000000" w:themeColor="text1"/>
          <w:szCs w:val="18"/>
          <w14:textFill>
            <w14:solidFill>
              <w14:schemeClr w14:val="tx1"/>
            </w14:solidFill>
          </w14:textFill>
        </w:rPr>
        <w:t>部分：</w:t>
      </w:r>
    </w:p>
    <w:p w14:paraId="3D7AFE08">
      <w:pPr>
        <w:pStyle w:val="24"/>
        <w:spacing w:line="276" w:lineRule="auto"/>
        <w:rPr>
          <w:rFonts w:ascii="宋体" w:hAnsi="宋体"/>
          <w:color w:val="000000" w:themeColor="text1"/>
          <w:szCs w:val="18"/>
          <w14:textFill>
            <w14:solidFill>
              <w14:schemeClr w14:val="tx1"/>
            </w14:solidFill>
          </w14:textFill>
        </w:rPr>
      </w:pPr>
      <w:r>
        <w:rPr>
          <w:rFonts w:ascii="宋体" w:hAnsi="宋体"/>
          <w:color w:val="000000" w:themeColor="text1"/>
          <w:szCs w:val="18"/>
          <w14:textFill>
            <w14:solidFill>
              <w14:schemeClr w14:val="tx1"/>
            </w14:solidFill>
          </w14:textFill>
        </w:rPr>
        <w:t>——第1部分：小儿内治给药方法</w:t>
      </w:r>
    </w:p>
    <w:p w14:paraId="5C40A0E4">
      <w:pPr>
        <w:pStyle w:val="24"/>
        <w:spacing w:line="276" w:lineRule="auto"/>
        <w:rPr>
          <w:rFonts w:ascii="宋体" w:hAnsi="宋体"/>
          <w:color w:val="000000" w:themeColor="text1"/>
          <w:szCs w:val="18"/>
          <w14:textFill>
            <w14:solidFill>
              <w14:schemeClr w14:val="tx1"/>
            </w14:solidFill>
          </w14:textFill>
        </w:rPr>
      </w:pPr>
      <w:r>
        <w:rPr>
          <w:rFonts w:ascii="宋体" w:hAnsi="宋体"/>
          <w:color w:val="000000" w:themeColor="text1"/>
          <w:szCs w:val="18"/>
          <w14:textFill>
            <w14:solidFill>
              <w14:schemeClr w14:val="tx1"/>
            </w14:solidFill>
          </w14:textFill>
        </w:rPr>
        <w:t>——第2部分：小儿常用外治法</w:t>
      </w:r>
    </w:p>
    <w:p w14:paraId="0D54140F">
      <w:pPr>
        <w:pStyle w:val="24"/>
        <w:spacing w:line="276" w:lineRule="auto"/>
        <w:rPr>
          <w:rFonts w:ascii="宋体" w:hAnsi="宋体"/>
          <w:color w:val="000000" w:themeColor="text1"/>
          <w:szCs w:val="18"/>
          <w14:textFill>
            <w14:solidFill>
              <w14:schemeClr w14:val="tx1"/>
            </w14:solidFill>
          </w14:textFill>
        </w:rPr>
      </w:pPr>
      <w:r>
        <w:rPr>
          <w:rFonts w:ascii="宋体" w:hAnsi="宋体"/>
          <w:color w:val="000000" w:themeColor="text1"/>
          <w:szCs w:val="18"/>
          <w14:textFill>
            <w14:solidFill>
              <w14:schemeClr w14:val="tx1"/>
            </w14:solidFill>
          </w14:textFill>
        </w:rPr>
        <w:t>——第3部分：小儿针灸疗法</w:t>
      </w:r>
    </w:p>
    <w:p w14:paraId="37012ECB">
      <w:pPr>
        <w:pStyle w:val="24"/>
        <w:spacing w:line="276" w:lineRule="auto"/>
        <w:rPr>
          <w:rFonts w:ascii="宋体" w:hAnsi="宋体"/>
          <w:color w:val="000000" w:themeColor="text1"/>
          <w:szCs w:val="18"/>
          <w14:textFill>
            <w14:solidFill>
              <w14:schemeClr w14:val="tx1"/>
            </w14:solidFill>
          </w14:textFill>
        </w:rPr>
      </w:pPr>
      <w:r>
        <w:rPr>
          <w:rFonts w:ascii="宋体" w:hAnsi="宋体"/>
          <w:color w:val="000000" w:themeColor="text1"/>
          <w:szCs w:val="18"/>
          <w14:textFill>
            <w14:solidFill>
              <w14:schemeClr w14:val="tx1"/>
            </w14:solidFill>
          </w14:textFill>
        </w:rPr>
        <w:t>——第4部分：</w:t>
      </w:r>
      <w:r>
        <w:rPr>
          <w:rFonts w:hint="eastAsia" w:ascii="宋体" w:hAnsi="宋体"/>
          <w:color w:val="000000" w:themeColor="text1"/>
          <w:szCs w:val="18"/>
          <w14:textFill>
            <w14:solidFill>
              <w14:schemeClr w14:val="tx1"/>
            </w14:solidFill>
          </w14:textFill>
        </w:rPr>
        <w:t>小儿推拿疗法</w:t>
      </w:r>
    </w:p>
    <w:p w14:paraId="6BCD051D">
      <w:pPr>
        <w:pStyle w:val="24"/>
        <w:spacing w:line="276" w:lineRule="auto"/>
        <w:rPr>
          <w:rFonts w:ascii="宋体" w:hAnsi="宋体"/>
          <w:color w:val="000000" w:themeColor="text1"/>
          <w:szCs w:val="18"/>
          <w14:textFill>
            <w14:solidFill>
              <w14:schemeClr w14:val="tx1"/>
            </w14:solidFill>
          </w14:textFill>
        </w:rPr>
      </w:pPr>
      <w:r>
        <w:rPr>
          <w:rFonts w:ascii="宋体" w:hAnsi="宋体"/>
          <w:color w:val="000000" w:themeColor="text1"/>
          <w:szCs w:val="18"/>
          <w14:textFill>
            <w14:solidFill>
              <w14:schemeClr w14:val="tx1"/>
            </w14:solidFill>
          </w14:textFill>
        </w:rPr>
        <w:t>——第</w:t>
      </w:r>
      <w:r>
        <w:rPr>
          <w:rFonts w:hint="eastAsia" w:ascii="宋体" w:hAnsi="宋体"/>
          <w:color w:val="000000" w:themeColor="text1"/>
          <w:szCs w:val="18"/>
          <w14:textFill>
            <w14:solidFill>
              <w14:schemeClr w14:val="tx1"/>
            </w14:solidFill>
          </w14:textFill>
        </w:rPr>
        <w:t>5</w:t>
      </w:r>
      <w:r>
        <w:rPr>
          <w:rFonts w:ascii="宋体" w:hAnsi="宋体"/>
          <w:color w:val="000000" w:themeColor="text1"/>
          <w:szCs w:val="18"/>
          <w14:textFill>
            <w14:solidFill>
              <w14:schemeClr w14:val="tx1"/>
            </w14:solidFill>
          </w14:textFill>
        </w:rPr>
        <w:t>部分：小儿拔罐疗法</w:t>
      </w:r>
    </w:p>
    <w:p w14:paraId="0966A440">
      <w:pPr>
        <w:pStyle w:val="24"/>
        <w:spacing w:line="276" w:lineRule="auto"/>
        <w:rPr>
          <w:rFonts w:ascii="宋体" w:hAnsi="宋体"/>
          <w:color w:val="000000" w:themeColor="text1"/>
          <w:szCs w:val="18"/>
          <w14:textFill>
            <w14:solidFill>
              <w14:schemeClr w14:val="tx1"/>
            </w14:solidFill>
          </w14:textFill>
        </w:rPr>
      </w:pPr>
      <w:r>
        <w:rPr>
          <w:rFonts w:ascii="宋体" w:hAnsi="宋体"/>
          <w:color w:val="000000" w:themeColor="text1"/>
          <w:szCs w:val="18"/>
          <w14:textFill>
            <w14:solidFill>
              <w14:schemeClr w14:val="tx1"/>
            </w14:solidFill>
          </w14:textFill>
        </w:rPr>
        <w:t>小儿针灸疗法主要包括小儿毫针刺法、小儿三棱针疗法、刺四缝疗法、小儿艾灸疗法等，这些疗法在儿科临床治疗疾病中发挥着重要作用。尽管针灸疗法在成人、小儿均有广泛应用，但是由于小儿特有的生理病理以及解剖特点，在操作方面具有其特殊性，为了使治疗效果更加显著以及保障操作的安全性，小儿针灸疗法的规范化、标准化在中医儿科临床</w:t>
      </w:r>
      <w:r>
        <w:rPr>
          <w:rFonts w:hint="eastAsia" w:ascii="宋体" w:hAnsi="宋体"/>
          <w:color w:val="000000" w:themeColor="text1"/>
          <w:szCs w:val="18"/>
          <w14:textFill>
            <w14:solidFill>
              <w14:schemeClr w14:val="tx1"/>
            </w14:solidFill>
          </w14:textFill>
        </w:rPr>
        <w:t>就显得更为</w:t>
      </w:r>
      <w:r>
        <w:rPr>
          <w:rFonts w:ascii="宋体" w:hAnsi="宋体"/>
          <w:color w:val="000000" w:themeColor="text1"/>
          <w:szCs w:val="18"/>
          <w14:textFill>
            <w14:solidFill>
              <w14:schemeClr w14:val="tx1"/>
            </w14:solidFill>
          </w14:textFill>
        </w:rPr>
        <w:t>重要。</w:t>
      </w:r>
    </w:p>
    <w:p w14:paraId="2E444F75">
      <w:pPr>
        <w:pStyle w:val="24"/>
        <w:spacing w:line="276" w:lineRule="auto"/>
        <w:rPr>
          <w:rFonts w:ascii="Cambria" w:hAnsi="Cambria" w:eastAsia="黑体" w:cs="宋体"/>
          <w:color w:val="000000" w:themeColor="text1"/>
          <w:sz w:val="32"/>
          <w:szCs w:val="28"/>
          <w14:textFill>
            <w14:solidFill>
              <w14:schemeClr w14:val="tx1"/>
            </w14:solidFill>
          </w14:textFill>
        </w:rPr>
      </w:pPr>
      <w:r>
        <w:rPr>
          <w:rFonts w:ascii="宋体" w:hAnsi="宋体"/>
          <w:color w:val="000000" w:themeColor="text1"/>
          <w:szCs w:val="18"/>
          <w14:textFill>
            <w14:solidFill>
              <w14:schemeClr w14:val="tx1"/>
            </w14:solidFill>
          </w14:textFill>
        </w:rPr>
        <w:t>本文件是在充分搜集和整理古今中医专家经验的基础上，结合目前中医儿科临床实践，征求了</w:t>
      </w:r>
      <w:r>
        <w:rPr>
          <w:rFonts w:hint="eastAsia" w:ascii="宋体" w:hAnsi="宋体"/>
          <w:color w:val="000000" w:themeColor="text1"/>
          <w14:textFill>
            <w14:solidFill>
              <w14:schemeClr w14:val="tx1"/>
            </w14:solidFill>
          </w14:textFill>
        </w:rPr>
        <w:t>海内外行业内著名专家意见编制而成，随着临床应用和科研进展将进行修订、补充，定期更新。</w:t>
      </w:r>
    </w:p>
    <w:p w14:paraId="0DA85D33">
      <w:pPr>
        <w:pStyle w:val="24"/>
        <w:spacing w:line="276" w:lineRule="auto"/>
        <w:rPr>
          <w:rFonts w:ascii="宋体" w:hAnsi="宋体"/>
          <w:color w:val="000000" w:themeColor="text1"/>
          <w:szCs w:val="18"/>
          <w:highlight w:val="none"/>
          <w14:textFill>
            <w14:solidFill>
              <w14:schemeClr w14:val="tx1"/>
            </w14:solidFill>
          </w14:textFill>
        </w:rPr>
      </w:pPr>
      <w:r>
        <w:rPr>
          <w:rFonts w:hint="eastAsia" w:ascii="宋体" w:hAnsi="宋体"/>
          <w:color w:val="000000" w:themeColor="text1"/>
          <w:szCs w:val="18"/>
          <w:highlight w:val="none"/>
          <w14:textFill>
            <w14:solidFill>
              <w14:schemeClr w14:val="tx1"/>
            </w14:solidFill>
          </w14:textFill>
        </w:rPr>
        <w:t>【重要声明】本标准所涉及针灸操作，实施者应遵守所在国家或地区的法律法规及执业范围要求。</w:t>
      </w:r>
    </w:p>
    <w:p w14:paraId="4D82E804">
      <w:pPr>
        <w:spacing w:line="276" w:lineRule="auto"/>
        <w:rPr>
          <w:rFonts w:ascii="Cambria" w:hAnsi="Cambria" w:eastAsia="黑体" w:cs="宋体"/>
          <w:color w:val="000000" w:themeColor="text1"/>
          <w:sz w:val="32"/>
          <w:szCs w:val="28"/>
          <w:highlight w:val="none"/>
          <w14:textFill>
            <w14:solidFill>
              <w14:schemeClr w14:val="tx1"/>
            </w14:solidFill>
          </w14:textFill>
        </w:rPr>
        <w:sectPr>
          <w:footerReference r:id="rId3" w:type="default"/>
          <w:pgSz w:w="11906" w:h="16838"/>
          <w:pgMar w:top="1440" w:right="1800" w:bottom="1440" w:left="1800" w:header="851" w:footer="992" w:gutter="0"/>
          <w:pgNumType w:fmt="upperRoman" w:start="1"/>
          <w:cols w:space="425" w:num="1"/>
          <w:docGrid w:type="lines" w:linePitch="312" w:charSpace="0"/>
        </w:sectPr>
      </w:pPr>
    </w:p>
    <w:p w14:paraId="6BE8D5F4">
      <w:pPr>
        <w:spacing w:line="276" w:lineRule="auto"/>
        <w:jc w:val="center"/>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kern w:val="0"/>
          <w:sz w:val="32"/>
          <w:szCs w:val="32"/>
          <w:lang w:bidi="ar"/>
          <w14:textFill>
            <w14:solidFill>
              <w14:schemeClr w14:val="tx1"/>
            </w14:solidFill>
          </w14:textFill>
        </w:rPr>
        <w:t>国际中医技术操作规范 儿科 第3部分:</w:t>
      </w:r>
      <w:r>
        <w:rPr>
          <w:rFonts w:hint="eastAsia" w:ascii="黑体" w:hAnsi="黑体" w:eastAsia="黑体" w:cs="黑体"/>
          <w:color w:val="000000" w:themeColor="text1"/>
          <w:sz w:val="32"/>
          <w:szCs w:val="32"/>
          <w14:textFill>
            <w14:solidFill>
              <w14:schemeClr w14:val="tx1"/>
            </w14:solidFill>
          </w14:textFill>
        </w:rPr>
        <w:t>小儿针灸疗法</w:t>
      </w:r>
    </w:p>
    <w:p w14:paraId="3354734F">
      <w:pPr>
        <w:spacing w:before="312" w:beforeLines="100" w:after="312" w:afterLines="100" w:line="276" w:lineRule="auto"/>
        <w:outlineLvl w:val="0"/>
        <w:rPr>
          <w:rFonts w:ascii="黑体" w:hAnsi="黑体" w:eastAsia="黑体" w:cs="宋体"/>
          <w:color w:val="000000" w:themeColor="text1"/>
          <w:szCs w:val="18"/>
          <w14:textFill>
            <w14:solidFill>
              <w14:schemeClr w14:val="tx1"/>
            </w14:solidFill>
          </w14:textFill>
        </w:rPr>
      </w:pPr>
      <w:bookmarkStart w:id="8" w:name="_Toc396730189"/>
      <w:bookmarkStart w:id="9" w:name="_Toc21984"/>
      <w:bookmarkStart w:id="10" w:name="_Toc7771"/>
      <w:bookmarkStart w:id="11" w:name="_Toc22069"/>
      <w:r>
        <w:rPr>
          <w:rFonts w:ascii="黑体" w:hAnsi="黑体" w:eastAsia="黑体" w:cs="宋体"/>
          <w:color w:val="000000" w:themeColor="text1"/>
          <w:szCs w:val="18"/>
          <w14:textFill>
            <w14:solidFill>
              <w14:schemeClr w14:val="tx1"/>
            </w14:solidFill>
          </w14:textFill>
        </w:rPr>
        <w:t>1</w:t>
      </w:r>
      <w:r>
        <w:rPr>
          <w:rFonts w:hint="eastAsia" w:ascii="黑体" w:hAnsi="黑体" w:eastAsia="黑体" w:cs="宋体"/>
          <w:color w:val="000000" w:themeColor="text1"/>
          <w:szCs w:val="18"/>
          <w14:textFill>
            <w14:solidFill>
              <w14:schemeClr w14:val="tx1"/>
            </w14:solidFill>
          </w14:textFill>
        </w:rPr>
        <w:t xml:space="preserve"> </w:t>
      </w:r>
      <w:r>
        <w:rPr>
          <w:rFonts w:ascii="黑体" w:hAnsi="黑体" w:eastAsia="黑体" w:cs="宋体"/>
          <w:color w:val="000000" w:themeColor="text1"/>
          <w:szCs w:val="18"/>
          <w14:textFill>
            <w14:solidFill>
              <w14:schemeClr w14:val="tx1"/>
            </w14:solidFill>
          </w14:textFill>
        </w:rPr>
        <w:t>范围</w:t>
      </w:r>
      <w:bookmarkEnd w:id="8"/>
      <w:bookmarkEnd w:id="9"/>
      <w:bookmarkEnd w:id="10"/>
      <w:bookmarkEnd w:id="11"/>
    </w:p>
    <w:p w14:paraId="2924E5A8">
      <w:pPr>
        <w:spacing w:line="276" w:lineRule="auto"/>
        <w:ind w:firstLine="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本文件</w:t>
      </w:r>
      <w:r>
        <w:rPr>
          <w:rFonts w:hint="eastAsia" w:ascii="宋体" w:hAnsi="宋体"/>
          <w:color w:val="000000" w:themeColor="text1"/>
          <w:lang w:val="en-US" w:eastAsia="zh-CN"/>
          <w14:textFill>
            <w14:solidFill>
              <w14:schemeClr w14:val="tx1"/>
            </w14:solidFill>
          </w14:textFill>
        </w:rPr>
        <w:t>规定了</w:t>
      </w:r>
      <w:r>
        <w:rPr>
          <w:rFonts w:hint="eastAsia" w:ascii="宋体" w:hAnsi="宋体"/>
          <w:color w:val="000000" w:themeColor="text1"/>
          <w14:textFill>
            <w14:solidFill>
              <w14:schemeClr w14:val="tx1"/>
            </w14:solidFill>
          </w14:textFill>
        </w:rPr>
        <w:t>小儿毫针刺法、小儿三棱针疗法、刺四缝疗法、小儿艾灸</w:t>
      </w:r>
      <w:r>
        <w:rPr>
          <w:rStyle w:val="20"/>
          <w:rFonts w:hint="eastAsia" w:ascii="Cambria" w:hAnsi="Cambria" w:cs="宋体"/>
          <w:color w:val="000000" w:themeColor="text1"/>
          <w14:textFill>
            <w14:solidFill>
              <w14:schemeClr w14:val="tx1"/>
            </w14:solidFill>
          </w14:textFill>
        </w:rPr>
        <w:t>疗法</w:t>
      </w:r>
      <w:r>
        <w:rPr>
          <w:rFonts w:hint="eastAsia" w:ascii="宋体" w:hAnsi="宋体"/>
          <w:color w:val="000000" w:themeColor="text1"/>
          <w14:textFill>
            <w14:solidFill>
              <w14:schemeClr w14:val="tx1"/>
            </w14:solidFill>
          </w14:textFill>
        </w:rPr>
        <w:t>的操作步骤与要求，并给出了注意事项与禁忌。</w:t>
      </w:r>
    </w:p>
    <w:p w14:paraId="2AD9F7F2">
      <w:pPr>
        <w:spacing w:line="276" w:lineRule="auto"/>
        <w:ind w:firstLine="420"/>
        <w:rPr>
          <w:rFonts w:ascii="Cambria" w:hAnsi="Cambria" w:cs="Cambria"/>
          <w:color w:val="000000" w:themeColor="text1"/>
          <w14:textFill>
            <w14:solidFill>
              <w14:schemeClr w14:val="tx1"/>
            </w14:solidFill>
          </w14:textFill>
        </w:rPr>
      </w:pPr>
      <w:r>
        <w:rPr>
          <w:rFonts w:hint="eastAsia" w:ascii="Cambria" w:hAnsi="Cambria" w:cs="Cambria"/>
          <w:color w:val="000000" w:themeColor="text1"/>
          <w14:textFill>
            <w14:solidFill>
              <w14:schemeClr w14:val="tx1"/>
            </w14:solidFill>
          </w14:textFill>
        </w:rPr>
        <w:t>本文件</w:t>
      </w:r>
      <w:r>
        <w:rPr>
          <w:rFonts w:hint="eastAsia" w:ascii="宋体" w:hAnsi="宋体" w:cs="宋体"/>
          <w:color w:val="000000" w:themeColor="text1"/>
          <w14:textFill>
            <w14:solidFill>
              <w14:schemeClr w14:val="tx1"/>
            </w14:solidFill>
          </w14:textFill>
        </w:rPr>
        <w:t>适</w:t>
      </w:r>
      <w:r>
        <w:rPr>
          <w:rFonts w:hint="eastAsia" w:ascii="Cambria" w:hAnsi="Cambria" w:cs="Cambria"/>
          <w:color w:val="000000" w:themeColor="text1"/>
          <w14:textFill>
            <w14:solidFill>
              <w14:schemeClr w14:val="tx1"/>
            </w14:solidFill>
          </w14:textFill>
        </w:rPr>
        <w:t>用于各国中医医疗、卫生统计、中医病案管理、中医临床医疗质量评定、科研、教学、学术交流等领域。</w:t>
      </w:r>
    </w:p>
    <w:p w14:paraId="5EC30629">
      <w:pPr>
        <w:spacing w:before="312" w:beforeLines="100" w:after="312" w:afterLines="100" w:line="276" w:lineRule="auto"/>
        <w:outlineLvl w:val="0"/>
        <w:rPr>
          <w:rFonts w:ascii="黑体" w:hAnsi="黑体" w:eastAsia="黑体" w:cs="宋体"/>
          <w:color w:val="000000" w:themeColor="text1"/>
          <w:szCs w:val="18"/>
          <w14:textFill>
            <w14:solidFill>
              <w14:schemeClr w14:val="tx1"/>
            </w14:solidFill>
          </w14:textFill>
        </w:rPr>
      </w:pPr>
      <w:bookmarkStart w:id="12" w:name="_Toc8176"/>
      <w:bookmarkStart w:id="13" w:name="_Toc396730190"/>
      <w:bookmarkStart w:id="14" w:name="_Toc4371"/>
      <w:bookmarkStart w:id="15" w:name="_Toc10846"/>
      <w:r>
        <w:rPr>
          <w:rFonts w:ascii="黑体" w:hAnsi="黑体" w:eastAsia="黑体" w:cs="宋体"/>
          <w:color w:val="000000" w:themeColor="text1"/>
          <w:szCs w:val="18"/>
          <w14:textFill>
            <w14:solidFill>
              <w14:schemeClr w14:val="tx1"/>
            </w14:solidFill>
          </w14:textFill>
        </w:rPr>
        <w:t>2 规范性引用文件</w:t>
      </w:r>
      <w:bookmarkEnd w:id="12"/>
      <w:bookmarkEnd w:id="13"/>
      <w:bookmarkEnd w:id="14"/>
      <w:r>
        <w:rPr>
          <w:rFonts w:ascii="黑体" w:hAnsi="黑体" w:eastAsia="黑体" w:cs="宋体"/>
          <w:color w:val="000000" w:themeColor="text1"/>
          <w:szCs w:val="18"/>
          <w14:textFill>
            <w14:solidFill>
              <w14:schemeClr w14:val="tx1"/>
            </w14:solidFill>
          </w14:textFill>
        </w:rPr>
        <w:t xml:space="preserve">  </w:t>
      </w:r>
      <w:bookmarkEnd w:id="15"/>
    </w:p>
    <w:p w14:paraId="6CD15D64">
      <w:pPr>
        <w:spacing w:line="276" w:lineRule="auto"/>
        <w:ind w:firstLine="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51662E22">
      <w:pPr>
        <w:spacing w:before="31" w:beforeLines="10" w:line="276" w:lineRule="auto"/>
        <w:ind w:firstLine="420" w:firstLineChars="200"/>
        <w:rPr>
          <w:rFonts w:ascii="Cambria" w:hAnsi="Cambria" w:cs="Cambria"/>
          <w:color w:val="000000" w:themeColor="text1"/>
          <w:highlight w:val="none"/>
          <w14:textFill>
            <w14:solidFill>
              <w14:schemeClr w14:val="tx1"/>
            </w14:solidFill>
          </w14:textFill>
        </w:rPr>
      </w:pPr>
      <w:r>
        <w:rPr>
          <w:rFonts w:ascii="Cambria" w:hAnsi="Cambria" w:cs="Cambria"/>
          <w:color w:val="000000" w:themeColor="text1"/>
          <w:highlight w:val="none"/>
          <w14:textFill>
            <w14:solidFill>
              <w14:schemeClr w14:val="tx1"/>
            </w14:solidFill>
          </w14:textFill>
        </w:rPr>
        <w:t>GB/T 12346-2021  经穴名称与定位</w:t>
      </w:r>
    </w:p>
    <w:p w14:paraId="413519B3">
      <w:pPr>
        <w:spacing w:before="31" w:beforeLines="10" w:line="276" w:lineRule="auto"/>
        <w:ind w:firstLine="420" w:firstLineChars="200"/>
        <w:rPr>
          <w:rFonts w:ascii="Cambria" w:hAnsi="Cambria" w:cs="Cambria"/>
          <w:color w:val="000000" w:themeColor="text1"/>
          <w:highlight w:val="none"/>
          <w14:textFill>
            <w14:solidFill>
              <w14:schemeClr w14:val="tx1"/>
            </w14:solidFill>
          </w14:textFill>
        </w:rPr>
      </w:pPr>
      <w:r>
        <w:rPr>
          <w:rFonts w:hint="eastAsia" w:ascii="Cambria" w:hAnsi="Cambria" w:cs="Cambria"/>
          <w:color w:val="000000" w:themeColor="text1"/>
          <w:highlight w:val="none"/>
          <w14:textFill>
            <w14:solidFill>
              <w14:schemeClr w14:val="tx1"/>
            </w14:solidFill>
          </w14:textFill>
        </w:rPr>
        <w:t>GB/T 40997-2021  经外奇穴名称与定位</w:t>
      </w:r>
    </w:p>
    <w:p w14:paraId="3F0805EF">
      <w:pPr>
        <w:spacing w:before="31" w:beforeLines="10" w:line="276" w:lineRule="auto"/>
        <w:ind w:firstLine="420" w:firstLineChars="200"/>
        <w:rPr>
          <w:rFonts w:hint="eastAsia" w:ascii="Cambria" w:hAnsi="Cambria" w:cs="Cambria"/>
          <w:color w:val="000000" w:themeColor="text1"/>
          <w:highlight w:val="none"/>
          <w14:textFill>
            <w14:solidFill>
              <w14:schemeClr w14:val="tx1"/>
            </w14:solidFill>
          </w14:textFill>
        </w:rPr>
      </w:pPr>
      <w:r>
        <w:rPr>
          <w:rFonts w:hint="eastAsia" w:ascii="Cambria" w:hAnsi="Cambria" w:cs="Cambria"/>
          <w:color w:val="000000" w:themeColor="text1"/>
          <w:highlight w:val="none"/>
          <w:lang w:val="en-US" w:eastAsia="zh-CN"/>
          <w14:textFill>
            <w14:solidFill>
              <w14:schemeClr w14:val="tx1"/>
            </w14:solidFill>
          </w14:textFill>
        </w:rPr>
        <w:t xml:space="preserve">2008  </w:t>
      </w:r>
      <w:r>
        <w:rPr>
          <w:rFonts w:ascii="Cambria" w:hAnsi="Cambria" w:cs="Cambria"/>
          <w:color w:val="000000" w:themeColor="text1"/>
          <w:highlight w:val="none"/>
          <w14:textFill>
            <w14:solidFill>
              <w14:schemeClr w14:val="tx1"/>
            </w14:solidFill>
          </w14:textFill>
        </w:rPr>
        <w:t>WHO国际针灸标准穴位</w:t>
      </w:r>
    </w:p>
    <w:p w14:paraId="4259D123">
      <w:pPr>
        <w:spacing w:before="312" w:beforeLines="100" w:after="312" w:afterLines="100" w:line="276" w:lineRule="auto"/>
        <w:outlineLvl w:val="0"/>
        <w:rPr>
          <w:rFonts w:ascii="黑体" w:hAnsi="黑体" w:eastAsia="黑体" w:cs="宋体"/>
          <w:color w:val="000000" w:themeColor="text1"/>
          <w:szCs w:val="18"/>
          <w14:textFill>
            <w14:solidFill>
              <w14:schemeClr w14:val="tx1"/>
            </w14:solidFill>
          </w14:textFill>
        </w:rPr>
      </w:pPr>
      <w:bookmarkStart w:id="16" w:name="_Toc10573"/>
      <w:bookmarkStart w:id="17" w:name="_Toc396730192"/>
      <w:bookmarkStart w:id="18" w:name="_Toc866"/>
      <w:bookmarkStart w:id="19" w:name="_Toc12883"/>
      <w:r>
        <w:rPr>
          <w:rFonts w:ascii="黑体" w:hAnsi="黑体" w:eastAsia="黑体" w:cs="宋体"/>
          <w:color w:val="000000" w:themeColor="text1"/>
          <w:szCs w:val="18"/>
          <w14:textFill>
            <w14:solidFill>
              <w14:schemeClr w14:val="tx1"/>
            </w14:solidFill>
          </w14:textFill>
        </w:rPr>
        <w:t>3 术语和定义</w:t>
      </w:r>
      <w:bookmarkEnd w:id="16"/>
      <w:bookmarkEnd w:id="17"/>
      <w:bookmarkEnd w:id="18"/>
      <w:bookmarkEnd w:id="19"/>
      <w:r>
        <w:rPr>
          <w:rFonts w:ascii="黑体" w:hAnsi="黑体" w:eastAsia="黑体" w:cs="宋体"/>
          <w:color w:val="000000" w:themeColor="text1"/>
          <w:szCs w:val="18"/>
          <w14:textFill>
            <w14:solidFill>
              <w14:schemeClr w14:val="tx1"/>
            </w14:solidFill>
          </w14:textFill>
        </w:rPr>
        <w:t xml:space="preserve">  </w:t>
      </w:r>
    </w:p>
    <w:p w14:paraId="39D2623B">
      <w:pPr>
        <w:spacing w:line="276" w:lineRule="auto"/>
        <w:ind w:firstLine="360"/>
        <w:rPr>
          <w:rFonts w:ascii="Cambria" w:hAnsi="Cambria" w:cs="宋体"/>
          <w:color w:val="000000" w:themeColor="text1"/>
          <w14:textFill>
            <w14:solidFill>
              <w14:schemeClr w14:val="tx1"/>
            </w14:solidFill>
          </w14:textFill>
        </w:rPr>
      </w:pPr>
      <w:bookmarkStart w:id="20" w:name="_Toc396730193"/>
      <w:r>
        <w:rPr>
          <w:rFonts w:ascii="Cambria" w:hAnsi="Cambria" w:cs="宋体"/>
          <w:color w:val="000000" w:themeColor="text1"/>
          <w14:textFill>
            <w14:solidFill>
              <w14:schemeClr w14:val="tx1"/>
            </w14:solidFill>
          </w14:textFill>
        </w:rPr>
        <w:t>下列术语和定义适用于本文件。</w:t>
      </w:r>
      <w:bookmarkEnd w:id="20"/>
    </w:p>
    <w:p w14:paraId="7210B5D6">
      <w:pPr>
        <w:tabs>
          <w:tab w:val="left" w:pos="360"/>
          <w:tab w:val="left" w:pos="540"/>
        </w:tabs>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3.1</w:t>
      </w:r>
    </w:p>
    <w:p w14:paraId="20AAFFE6">
      <w:pPr>
        <w:spacing w:before="156" w:beforeLines="50" w:after="156" w:afterLines="50" w:line="276" w:lineRule="auto"/>
        <w:ind w:firstLine="420"/>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小儿毫针刺法</w:t>
      </w:r>
    </w:p>
    <w:p w14:paraId="3C794129">
      <w:pPr>
        <w:spacing w:line="276" w:lineRule="auto"/>
        <w:ind w:firstLine="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用毫针刺入患儿一定部位（腧穴），并运用各种手法，以调整阴阳、防治疾病的方法。</w:t>
      </w:r>
    </w:p>
    <w:p w14:paraId="609641D1">
      <w:pPr>
        <w:tabs>
          <w:tab w:val="left" w:pos="360"/>
          <w:tab w:val="left" w:pos="540"/>
        </w:tabs>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3.2</w:t>
      </w:r>
    </w:p>
    <w:p w14:paraId="4307404C">
      <w:pPr>
        <w:spacing w:before="156" w:beforeLines="50" w:after="156" w:afterLines="50" w:line="276" w:lineRule="auto"/>
        <w:ind w:firstLine="420"/>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得气</w:t>
      </w:r>
    </w:p>
    <w:p w14:paraId="3ED663E7">
      <w:pPr>
        <w:spacing w:line="276" w:lineRule="auto"/>
        <w:ind w:firstLine="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毫针进针后在腧穴部位所产生的痠、麻、胀、重等感觉，称为得气，又称针感或针刺感应，表示经气已至针下。</w:t>
      </w:r>
    </w:p>
    <w:p w14:paraId="25115BE1">
      <w:pPr>
        <w:tabs>
          <w:tab w:val="left" w:pos="360"/>
          <w:tab w:val="left" w:pos="540"/>
        </w:tabs>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3.3</w:t>
      </w:r>
    </w:p>
    <w:p w14:paraId="68BDB966">
      <w:pPr>
        <w:spacing w:before="156" w:beforeLines="50" w:after="156" w:afterLines="50" w:line="276" w:lineRule="auto"/>
        <w:ind w:firstLine="420"/>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晕针</w:t>
      </w:r>
    </w:p>
    <w:p w14:paraId="27E3DBD9">
      <w:pPr>
        <w:spacing w:line="276" w:lineRule="auto"/>
        <w:ind w:firstLine="420"/>
        <w:rPr>
          <w:rFonts w:ascii="宋体" w:hAnsi="宋体"/>
          <w:color w:val="000000" w:themeColor="text1"/>
          <w:sz w:val="18"/>
          <w:szCs w:val="18"/>
          <w14:textFill>
            <w14:solidFill>
              <w14:schemeClr w14:val="tx1"/>
            </w14:solidFill>
          </w14:textFill>
        </w:rPr>
      </w:pPr>
      <w:r>
        <w:rPr>
          <w:rFonts w:hint="eastAsia" w:ascii="宋体" w:hAnsi="宋体"/>
          <w:color w:val="000000" w:themeColor="text1"/>
          <w14:textFill>
            <w14:solidFill>
              <w14:schemeClr w14:val="tx1"/>
            </w14:solidFill>
          </w14:textFill>
        </w:rPr>
        <w:t>在针刺过程中，患儿突然出现头晕目眩、面色苍白、心慌气短、倦怠乏力、恶心欲呕、身出冷汗，甚至晕厥的现象。</w:t>
      </w:r>
    </w:p>
    <w:p w14:paraId="0CCE5B9A">
      <w:pPr>
        <w:tabs>
          <w:tab w:val="left" w:pos="360"/>
          <w:tab w:val="left" w:pos="540"/>
        </w:tabs>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3.4</w:t>
      </w:r>
    </w:p>
    <w:p w14:paraId="7EB108E7">
      <w:pPr>
        <w:spacing w:before="156" w:beforeLines="50" w:after="156" w:afterLines="50" w:line="276" w:lineRule="auto"/>
        <w:ind w:firstLine="420"/>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三棱针</w:t>
      </w:r>
    </w:p>
    <w:p w14:paraId="5D97F3E8">
      <w:pPr>
        <w:spacing w:line="276" w:lineRule="auto"/>
        <w:ind w:firstLine="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用不锈钢制成，针柄稍粗呈圆柱形，针身呈三棱状，尖端三面有刃，针尖锋利的针具。</w:t>
      </w:r>
    </w:p>
    <w:p w14:paraId="059D5564">
      <w:pPr>
        <w:spacing w:line="276" w:lineRule="auto"/>
        <w:ind w:firstLine="420"/>
        <w:rPr>
          <w:rFonts w:hint="eastAsia" w:ascii="宋体" w:hAnsi="宋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注：</w:t>
      </w:r>
      <w:r>
        <w:rPr>
          <w:rFonts w:hint="eastAsia" w:ascii="宋体" w:hAnsi="宋体"/>
          <w:color w:val="000000" w:themeColor="text1"/>
          <w:sz w:val="18"/>
          <w:szCs w:val="18"/>
          <w14:textFill>
            <w14:solidFill>
              <w14:schemeClr w14:val="tx1"/>
            </w14:solidFill>
          </w14:textFill>
        </w:rPr>
        <w:t>三棱针分大、小2个型号，大号：2.6mm，小号：1.6mm。</w:t>
      </w:r>
    </w:p>
    <w:p w14:paraId="27B98998">
      <w:pPr>
        <w:tabs>
          <w:tab w:val="left" w:pos="360"/>
          <w:tab w:val="left" w:pos="540"/>
        </w:tabs>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3.5</w:t>
      </w:r>
    </w:p>
    <w:p w14:paraId="0866E585">
      <w:pPr>
        <w:spacing w:before="156" w:beforeLines="50" w:after="156" w:afterLines="50" w:line="276" w:lineRule="auto"/>
        <w:ind w:firstLine="420"/>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三棱针点刺法</w:t>
      </w:r>
    </w:p>
    <w:p w14:paraId="7E4C2FA8">
      <w:pPr>
        <w:spacing w:line="276" w:lineRule="auto"/>
        <w:ind w:firstLine="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用三棱针快速刺入患者特定浅表部位后快速出针的方法。</w:t>
      </w:r>
    </w:p>
    <w:p w14:paraId="0D92C778">
      <w:pPr>
        <w:tabs>
          <w:tab w:val="left" w:pos="360"/>
          <w:tab w:val="left" w:pos="540"/>
        </w:tabs>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3.6</w:t>
      </w:r>
    </w:p>
    <w:p w14:paraId="584DDEB5">
      <w:pPr>
        <w:spacing w:before="156" w:beforeLines="50" w:after="156" w:afterLines="50" w:line="276" w:lineRule="auto"/>
        <w:ind w:firstLine="420"/>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三棱针刺络法</w:t>
      </w:r>
    </w:p>
    <w:p w14:paraId="1B97860A">
      <w:pPr>
        <w:spacing w:line="276" w:lineRule="auto"/>
        <w:ind w:firstLine="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用三棱针刺破患者特定部位的血络，放出适量血液的方法。</w:t>
      </w:r>
    </w:p>
    <w:p w14:paraId="13260CF7">
      <w:pPr>
        <w:tabs>
          <w:tab w:val="left" w:pos="360"/>
          <w:tab w:val="left" w:pos="540"/>
        </w:tabs>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3.7</w:t>
      </w:r>
    </w:p>
    <w:p w14:paraId="121CDB33">
      <w:pPr>
        <w:spacing w:before="156" w:beforeLines="50" w:after="156" w:afterLines="50" w:line="276" w:lineRule="auto"/>
        <w:ind w:firstLine="420"/>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三棱针散刺法</w:t>
      </w:r>
    </w:p>
    <w:p w14:paraId="31C086B2">
      <w:pPr>
        <w:spacing w:line="276" w:lineRule="auto"/>
        <w:ind w:firstLine="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用三棱针在患者特定部位施行多点点刺的方法。</w:t>
      </w:r>
    </w:p>
    <w:p w14:paraId="07AC9974">
      <w:pPr>
        <w:tabs>
          <w:tab w:val="left" w:pos="360"/>
          <w:tab w:val="left" w:pos="540"/>
        </w:tabs>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3.8</w:t>
      </w:r>
    </w:p>
    <w:p w14:paraId="5CEA18F4">
      <w:pPr>
        <w:spacing w:before="156" w:beforeLines="50" w:after="156" w:afterLines="50" w:line="276" w:lineRule="auto"/>
        <w:ind w:firstLine="420"/>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三棱针挑治法</w:t>
      </w:r>
    </w:p>
    <w:p w14:paraId="1E5ADCCF">
      <w:pPr>
        <w:spacing w:line="276" w:lineRule="auto"/>
        <w:ind w:firstLine="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用三棱针刺入患者特定部位，挑破皮肤或皮下组织的方法。</w:t>
      </w:r>
    </w:p>
    <w:p w14:paraId="751947B5">
      <w:pPr>
        <w:tabs>
          <w:tab w:val="left" w:pos="360"/>
          <w:tab w:val="left" w:pos="540"/>
        </w:tabs>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3.9</w:t>
      </w:r>
    </w:p>
    <w:p w14:paraId="44F8ADDF">
      <w:pPr>
        <w:spacing w:before="156" w:beforeLines="50" w:after="156" w:afterLines="50" w:line="276" w:lineRule="auto"/>
        <w:ind w:firstLine="420"/>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刺四缝</w:t>
      </w:r>
    </w:p>
    <w:p w14:paraId="25E7213D">
      <w:pPr>
        <w:spacing w:line="276" w:lineRule="auto"/>
        <w:ind w:firstLine="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用三棱针快速点刺患儿四缝穴后迅速出针并挤出适量黄水、黏液或血珠以治疗相关疾病的方法。</w:t>
      </w:r>
    </w:p>
    <w:p w14:paraId="1CA3FC92">
      <w:pPr>
        <w:tabs>
          <w:tab w:val="left" w:pos="360"/>
          <w:tab w:val="left" w:pos="540"/>
        </w:tabs>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3.10</w:t>
      </w:r>
    </w:p>
    <w:p w14:paraId="757AA65B">
      <w:pPr>
        <w:spacing w:before="156" w:beforeLines="50" w:after="156" w:afterLines="50" w:line="276" w:lineRule="auto"/>
        <w:ind w:firstLine="420"/>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四缝穴</w:t>
      </w:r>
    </w:p>
    <w:p w14:paraId="0CDFB91F">
      <w:pPr>
        <w:spacing w:line="276" w:lineRule="auto"/>
        <w:ind w:firstLine="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在小儿第2～5指掌面的近侧指间关节横纹的中央，每手4穴。</w:t>
      </w:r>
    </w:p>
    <w:p w14:paraId="2C3F7503">
      <w:pPr>
        <w:tabs>
          <w:tab w:val="left" w:pos="360"/>
          <w:tab w:val="left" w:pos="540"/>
        </w:tabs>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3.11</w:t>
      </w:r>
    </w:p>
    <w:p w14:paraId="6F31EA51">
      <w:pPr>
        <w:spacing w:before="156" w:beforeLines="50" w:after="156" w:afterLines="50" w:line="276" w:lineRule="auto"/>
        <w:ind w:firstLine="420"/>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小儿艾灸</w:t>
      </w:r>
    </w:p>
    <w:p w14:paraId="0039D790">
      <w:pPr>
        <w:spacing w:line="276" w:lineRule="auto"/>
        <w:ind w:firstLine="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以儿童患者为对象，用艾绒或以艾绒为主要成分制成的灸材，点燃后悬置或放置在穴位、病变部位，进行烧灼、温熨，借灸火温热力以及药物的作用，达到治病、防病和保健目的的一种外治方法。</w:t>
      </w:r>
    </w:p>
    <w:p w14:paraId="233D1173">
      <w:pPr>
        <w:tabs>
          <w:tab w:val="left" w:pos="360"/>
          <w:tab w:val="left" w:pos="540"/>
        </w:tabs>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3.12</w:t>
      </w:r>
    </w:p>
    <w:p w14:paraId="3EEE6699">
      <w:pPr>
        <w:spacing w:before="156" w:beforeLines="50" w:after="156" w:afterLines="50" w:line="276" w:lineRule="auto"/>
        <w:ind w:firstLine="420"/>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艾绒</w:t>
      </w:r>
    </w:p>
    <w:p w14:paraId="7CB3FC96">
      <w:pPr>
        <w:spacing w:line="276" w:lineRule="auto"/>
        <w:ind w:firstLine="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艾叶经加工制成的淡黄色细软绒状物。</w:t>
      </w:r>
    </w:p>
    <w:p w14:paraId="2BAD6BD9">
      <w:pPr>
        <w:tabs>
          <w:tab w:val="left" w:pos="360"/>
          <w:tab w:val="left" w:pos="540"/>
        </w:tabs>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3.13</w:t>
      </w:r>
    </w:p>
    <w:p w14:paraId="493AE52F">
      <w:pPr>
        <w:spacing w:before="156" w:beforeLines="50" w:after="156" w:afterLines="50" w:line="276" w:lineRule="auto"/>
        <w:ind w:firstLine="420"/>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艾条</w:t>
      </w:r>
    </w:p>
    <w:p w14:paraId="1576630E">
      <w:pPr>
        <w:spacing w:line="276" w:lineRule="auto"/>
        <w:ind w:firstLine="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用艾绒为主要成分卷成的圆柱形长条。</w:t>
      </w:r>
    </w:p>
    <w:p w14:paraId="5003BD01">
      <w:pPr>
        <w:spacing w:line="276" w:lineRule="auto"/>
        <w:ind w:firstLine="420"/>
        <w:rPr>
          <w:rFonts w:ascii="宋体" w:hAnsi="宋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注：</w:t>
      </w:r>
      <w:r>
        <w:rPr>
          <w:rFonts w:hint="eastAsia" w:ascii="宋体" w:hAnsi="宋体"/>
          <w:color w:val="000000" w:themeColor="text1"/>
          <w:sz w:val="18"/>
          <w:szCs w:val="18"/>
          <w14:textFill>
            <w14:solidFill>
              <w14:schemeClr w14:val="tx1"/>
            </w14:solidFill>
          </w14:textFill>
        </w:rPr>
        <w:t>根据内含药物的有无，分为药艾条和清艾条。</w:t>
      </w:r>
    </w:p>
    <w:p w14:paraId="12C0111F">
      <w:pPr>
        <w:tabs>
          <w:tab w:val="left" w:pos="360"/>
          <w:tab w:val="left" w:pos="540"/>
        </w:tabs>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3.14</w:t>
      </w:r>
    </w:p>
    <w:p w14:paraId="0A33DBEC">
      <w:pPr>
        <w:spacing w:before="156" w:beforeLines="50" w:after="156" w:afterLines="50" w:line="276" w:lineRule="auto"/>
        <w:ind w:firstLine="420"/>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艾炷</w:t>
      </w:r>
    </w:p>
    <w:p w14:paraId="5D405EB0">
      <w:pPr>
        <w:spacing w:line="276" w:lineRule="auto"/>
        <w:ind w:firstLine="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用手工或器具将艾绒制作成小圆锥形。</w:t>
      </w:r>
    </w:p>
    <w:p w14:paraId="537A5A4C">
      <w:pPr>
        <w:spacing w:line="276" w:lineRule="auto"/>
        <w:ind w:firstLine="420"/>
        <w:rPr>
          <w:rFonts w:ascii="宋体" w:hAnsi="宋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注：</w:t>
      </w:r>
      <w:r>
        <w:rPr>
          <w:rFonts w:hint="eastAsia" w:ascii="宋体" w:hAnsi="宋体"/>
          <w:color w:val="000000" w:themeColor="text1"/>
          <w:sz w:val="18"/>
          <w:szCs w:val="18"/>
          <w14:textFill>
            <w14:solidFill>
              <w14:schemeClr w14:val="tx1"/>
            </w14:solidFill>
          </w14:textFill>
        </w:rPr>
        <w:t>每燃1个艾炷，称灸1壮。</w:t>
      </w:r>
    </w:p>
    <w:p w14:paraId="56938095">
      <w:pPr>
        <w:tabs>
          <w:tab w:val="left" w:pos="360"/>
          <w:tab w:val="left" w:pos="540"/>
        </w:tabs>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3.15</w:t>
      </w:r>
    </w:p>
    <w:p w14:paraId="5B0BB8AB">
      <w:pPr>
        <w:spacing w:before="156" w:beforeLines="50" w:after="156" w:afterLines="50" w:line="276" w:lineRule="auto"/>
        <w:ind w:firstLine="420"/>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悬起灸</w:t>
      </w:r>
    </w:p>
    <w:p w14:paraId="2DF23670">
      <w:pPr>
        <w:spacing w:line="276" w:lineRule="auto"/>
        <w:ind w:firstLine="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将点燃的艾条悬于施灸部位之上进行熏灼的一种灸法。</w:t>
      </w:r>
    </w:p>
    <w:p w14:paraId="04EF0D33">
      <w:pPr>
        <w:spacing w:line="276" w:lineRule="auto"/>
        <w:ind w:firstLine="420"/>
        <w:rPr>
          <w:rFonts w:hint="eastAsia" w:ascii="宋体" w:hAnsi="宋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注：</w:t>
      </w:r>
      <w:r>
        <w:rPr>
          <w:rFonts w:hint="eastAsia" w:ascii="宋体" w:hAnsi="宋体"/>
          <w:color w:val="000000" w:themeColor="text1"/>
          <w:sz w:val="18"/>
          <w:szCs w:val="18"/>
          <w14:textFill>
            <w14:solidFill>
              <w14:schemeClr w14:val="tx1"/>
            </w14:solidFill>
          </w14:textFill>
        </w:rPr>
        <w:t>按其操作方法的不同又分为温和灸、雀啄灸和回旋灸。</w:t>
      </w:r>
    </w:p>
    <w:p w14:paraId="096B563E">
      <w:pPr>
        <w:tabs>
          <w:tab w:val="left" w:pos="360"/>
          <w:tab w:val="left" w:pos="540"/>
        </w:tabs>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3.16</w:t>
      </w:r>
    </w:p>
    <w:p w14:paraId="636050A9">
      <w:pPr>
        <w:spacing w:before="156" w:beforeLines="50" w:after="156" w:afterLines="50" w:line="276" w:lineRule="auto"/>
        <w:ind w:firstLine="420"/>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实按灸</w:t>
      </w:r>
    </w:p>
    <w:p w14:paraId="308F5408">
      <w:pPr>
        <w:spacing w:line="276" w:lineRule="auto"/>
        <w:ind w:firstLine="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将点燃的艾条直接紧按在覆盖于穴位上的棉布之上进行熏灼的一种灸法。</w:t>
      </w:r>
    </w:p>
    <w:p w14:paraId="423704C9">
      <w:pPr>
        <w:tabs>
          <w:tab w:val="left" w:pos="360"/>
          <w:tab w:val="left" w:pos="540"/>
        </w:tabs>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3.17</w:t>
      </w:r>
    </w:p>
    <w:p w14:paraId="1A7A7E93">
      <w:pPr>
        <w:spacing w:before="156" w:beforeLines="50" w:after="156" w:afterLines="50" w:line="276" w:lineRule="auto"/>
        <w:ind w:firstLine="420"/>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直接灸</w:t>
      </w:r>
    </w:p>
    <w:p w14:paraId="1029DFB9">
      <w:pPr>
        <w:spacing w:line="276" w:lineRule="auto"/>
        <w:ind w:firstLine="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将艾炷直接放置在穴位皮肤上施灸的一种方法。</w:t>
      </w:r>
    </w:p>
    <w:p w14:paraId="50340889">
      <w:pPr>
        <w:spacing w:line="276" w:lineRule="auto"/>
        <w:ind w:firstLine="420"/>
        <w:rPr>
          <w:rFonts w:hint="eastAsia" w:ascii="宋体" w:hAnsi="宋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注：</w:t>
      </w:r>
      <w:r>
        <w:rPr>
          <w:rFonts w:hint="eastAsia" w:ascii="宋体" w:hAnsi="宋体"/>
          <w:color w:val="000000" w:themeColor="text1"/>
          <w:sz w:val="18"/>
          <w:szCs w:val="18"/>
          <w14:textFill>
            <w14:solidFill>
              <w14:schemeClr w14:val="tx1"/>
            </w14:solidFill>
          </w14:textFill>
        </w:rPr>
        <w:t>根据对皮肤刺激程度的不同，又分为化脓灸法和非化脓灸法。</w:t>
      </w:r>
    </w:p>
    <w:p w14:paraId="08916B02">
      <w:pPr>
        <w:tabs>
          <w:tab w:val="left" w:pos="360"/>
          <w:tab w:val="left" w:pos="540"/>
        </w:tabs>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3.18</w:t>
      </w:r>
    </w:p>
    <w:p w14:paraId="27A4CE8A">
      <w:pPr>
        <w:spacing w:before="156" w:beforeLines="50" w:after="156" w:afterLines="50" w:line="276" w:lineRule="auto"/>
        <w:ind w:firstLine="420"/>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间接灸</w:t>
      </w:r>
    </w:p>
    <w:p w14:paraId="4AAC8D0D">
      <w:pPr>
        <w:spacing w:line="276" w:lineRule="auto"/>
        <w:ind w:firstLine="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在艾炷与皮肤之间垫隔适当的中药材后施灸的一种方法。</w:t>
      </w:r>
    </w:p>
    <w:p w14:paraId="2F25654C">
      <w:pPr>
        <w:spacing w:line="276" w:lineRule="auto"/>
        <w:ind w:firstLine="420"/>
        <w:rPr>
          <w:rFonts w:hint="eastAsia" w:ascii="宋体" w:hAnsi="宋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注：</w:t>
      </w:r>
      <w:r>
        <w:rPr>
          <w:rFonts w:hint="eastAsia" w:ascii="宋体" w:hAnsi="宋体"/>
          <w:color w:val="000000" w:themeColor="text1"/>
          <w:sz w:val="18"/>
          <w:szCs w:val="18"/>
          <w14:textFill>
            <w14:solidFill>
              <w14:schemeClr w14:val="tx1"/>
            </w14:solidFill>
          </w14:textFill>
        </w:rPr>
        <w:t>根据选用中药材的不同，又分为不同的间接灸，如隔姜灸、隔蒜灸等。</w:t>
      </w:r>
    </w:p>
    <w:p w14:paraId="122DB77A">
      <w:pPr>
        <w:tabs>
          <w:tab w:val="left" w:pos="360"/>
          <w:tab w:val="left" w:pos="540"/>
        </w:tabs>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3.19</w:t>
      </w:r>
    </w:p>
    <w:p w14:paraId="3682814F">
      <w:pPr>
        <w:spacing w:before="156" w:beforeLines="50" w:after="156" w:afterLines="50" w:line="276" w:lineRule="auto"/>
        <w:ind w:firstLine="420"/>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温针灸</w:t>
      </w:r>
    </w:p>
    <w:p w14:paraId="6C9BD145">
      <w:pPr>
        <w:spacing w:line="276" w:lineRule="auto"/>
        <w:ind w:firstLine="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毫针留针时在针柄上置以艾绒（艾团或艾条段）施灸，是针刺与艾灸结合应用的方法。</w:t>
      </w:r>
    </w:p>
    <w:p w14:paraId="72285DF1">
      <w:pPr>
        <w:tabs>
          <w:tab w:val="left" w:pos="360"/>
          <w:tab w:val="left" w:pos="540"/>
        </w:tabs>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3.20</w:t>
      </w:r>
    </w:p>
    <w:p w14:paraId="6C5A2876">
      <w:pPr>
        <w:spacing w:before="156" w:beforeLines="50" w:after="156" w:afterLines="50" w:line="276" w:lineRule="auto"/>
        <w:ind w:firstLine="420"/>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温灸器灸</w:t>
      </w:r>
    </w:p>
    <w:p w14:paraId="529FA743">
      <w:pPr>
        <w:spacing w:line="276" w:lineRule="auto"/>
        <w:ind w:firstLine="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利用灸架、灸筒、灸盒等专门用于施灸的器具进行艾灸的方法。</w:t>
      </w:r>
    </w:p>
    <w:p w14:paraId="180AC12F">
      <w:pPr>
        <w:tabs>
          <w:tab w:val="left" w:pos="360"/>
          <w:tab w:val="left" w:pos="540"/>
        </w:tabs>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3.21</w:t>
      </w:r>
    </w:p>
    <w:p w14:paraId="0CEE644C">
      <w:pPr>
        <w:spacing w:before="156" w:beforeLines="50" w:after="156" w:afterLines="50" w:line="276" w:lineRule="auto"/>
        <w:ind w:firstLine="420"/>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晕灸</w:t>
      </w:r>
    </w:p>
    <w:p w14:paraId="1B82AFAA">
      <w:pPr>
        <w:spacing w:line="276" w:lineRule="auto"/>
        <w:ind w:firstLine="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患者在接受艾灸治疗过程中发生晕厥反应的现象。</w:t>
      </w:r>
    </w:p>
    <w:p w14:paraId="3D356F4B">
      <w:pPr>
        <w:spacing w:line="276" w:lineRule="auto"/>
        <w:ind w:left="357" w:leftChars="170" w:firstLine="0" w:firstLineChars="0"/>
        <w:rPr>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注：</w:t>
      </w:r>
      <w:r>
        <w:rPr>
          <w:rFonts w:hint="eastAsia" w:ascii="宋体" w:hAnsi="宋体"/>
          <w:color w:val="000000" w:themeColor="text1"/>
          <w:sz w:val="18"/>
          <w:szCs w:val="18"/>
          <w14:textFill>
            <w14:solidFill>
              <w14:schemeClr w14:val="tx1"/>
            </w14:solidFill>
          </w14:textFill>
        </w:rPr>
        <w:t>晕灸常表现为突然出现头晕目眩、面色苍白、恶心呕吐、汗出、心慌、四肢发凉、血压下降，重者出现神志昏迷、跌仆、唇甲青紫、二便失禁、大汗、四肢厥逆、脉微欲绝等症状。</w:t>
      </w:r>
    </w:p>
    <w:p w14:paraId="30EFA1BE">
      <w:pPr>
        <w:spacing w:before="312" w:beforeLines="100" w:after="312" w:afterLines="100" w:line="276" w:lineRule="auto"/>
        <w:outlineLvl w:val="0"/>
        <w:rPr>
          <w:rFonts w:ascii="黑体" w:hAnsi="黑体" w:eastAsia="黑体" w:cs="宋体"/>
          <w:color w:val="000000" w:themeColor="text1"/>
          <w:szCs w:val="18"/>
          <w14:textFill>
            <w14:solidFill>
              <w14:schemeClr w14:val="tx1"/>
            </w14:solidFill>
          </w14:textFill>
        </w:rPr>
      </w:pPr>
      <w:bookmarkStart w:id="21" w:name="_Toc31929"/>
      <w:bookmarkStart w:id="22" w:name="_Toc7262"/>
      <w:bookmarkStart w:id="23" w:name="_Toc17850"/>
      <w:r>
        <w:rPr>
          <w:rFonts w:ascii="黑体" w:hAnsi="黑体" w:eastAsia="黑体" w:cs="宋体"/>
          <w:color w:val="000000" w:themeColor="text1"/>
          <w:szCs w:val="18"/>
          <w14:textFill>
            <w14:solidFill>
              <w14:schemeClr w14:val="tx1"/>
            </w14:solidFill>
          </w14:textFill>
        </w:rPr>
        <w:t>4 小儿毫针疗法操作步骤与要求</w:t>
      </w:r>
      <w:bookmarkEnd w:id="21"/>
      <w:bookmarkEnd w:id="22"/>
      <w:bookmarkEnd w:id="23"/>
      <w:r>
        <w:rPr>
          <w:rFonts w:ascii="黑体" w:hAnsi="黑体" w:eastAsia="黑体" w:cs="宋体"/>
          <w:color w:val="000000" w:themeColor="text1"/>
          <w:szCs w:val="18"/>
          <w14:textFill>
            <w14:solidFill>
              <w14:schemeClr w14:val="tx1"/>
            </w14:solidFill>
          </w14:textFill>
        </w:rPr>
        <w:t xml:space="preserve">  </w:t>
      </w:r>
    </w:p>
    <w:p w14:paraId="6E435A6F">
      <w:pPr>
        <w:tabs>
          <w:tab w:val="left" w:pos="360"/>
          <w:tab w:val="left" w:pos="540"/>
        </w:tabs>
        <w:spacing w:before="156" w:beforeLines="50" w:after="156" w:afterLines="50" w:line="276" w:lineRule="auto"/>
        <w:outlineLvl w:val="1"/>
        <w:rPr>
          <w:rFonts w:ascii="黑体" w:hAnsi="黑体" w:eastAsia="黑体"/>
          <w:color w:val="000000" w:themeColor="text1"/>
          <w14:textFill>
            <w14:solidFill>
              <w14:schemeClr w14:val="tx1"/>
            </w14:solidFill>
          </w14:textFill>
        </w:rPr>
      </w:pPr>
      <w:bookmarkStart w:id="24" w:name="_Toc5888"/>
      <w:r>
        <w:rPr>
          <w:rFonts w:hint="eastAsia" w:ascii="黑体" w:hAnsi="黑体" w:eastAsia="黑体"/>
          <w:color w:val="000000" w:themeColor="text1"/>
          <w14:textFill>
            <w14:solidFill>
              <w14:schemeClr w14:val="tx1"/>
            </w14:solidFill>
          </w14:textFill>
        </w:rPr>
        <w:t>4.1 施术前准备</w:t>
      </w:r>
      <w:bookmarkEnd w:id="24"/>
    </w:p>
    <w:p w14:paraId="5D1B419A">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4.1.1 针具选择</w:t>
      </w:r>
    </w:p>
    <w:p w14:paraId="29129ABB">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根据患儿年龄大小、病情需要和操作部位，选择不同规格的一次性毫针。针身应光滑、无锈蚀；针尖应端正不偏、尖中带圆、锐利适度、进针阻力小，无倒钩；针根处不可有剥蚀伤痕；针柄缠丝要牢固不松脱。常用毫针的规格参见</w:t>
      </w:r>
      <w:r>
        <w:rPr>
          <w:rFonts w:hint="eastAsia" w:ascii="黑体" w:hAnsi="黑体" w:eastAsia="黑体" w:cs="黑体"/>
          <w:color w:val="000000" w:themeColor="text1"/>
          <w14:textFill>
            <w14:solidFill>
              <w14:schemeClr w14:val="tx1"/>
            </w14:solidFill>
          </w14:textFill>
        </w:rPr>
        <w:t>附录Ａ</w:t>
      </w:r>
      <w:r>
        <w:rPr>
          <w:rFonts w:hint="eastAsia"/>
          <w:color w:val="000000" w:themeColor="text1"/>
          <w14:textFill>
            <w14:solidFill>
              <w14:schemeClr w14:val="tx1"/>
            </w14:solidFill>
          </w14:textFill>
        </w:rPr>
        <w:t>。</w:t>
      </w:r>
    </w:p>
    <w:p w14:paraId="5A717DE5">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4.1.2  消毒</w:t>
      </w:r>
    </w:p>
    <w:p w14:paraId="553EEE08">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4.1.2.1 针具</w:t>
      </w:r>
    </w:p>
    <w:p w14:paraId="214E48B0">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选用一次性毫针。</w:t>
      </w:r>
    </w:p>
    <w:p w14:paraId="1BEB4F73">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4.1.2.2 部位</w:t>
      </w:r>
    </w:p>
    <w:p w14:paraId="2DAC628C">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用含75％乙醇或0.5％～1％碘伏的棉球或棉签在施术部位由中心向外做环形擦拭。</w:t>
      </w:r>
    </w:p>
    <w:p w14:paraId="325AF228">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4.1.2.3 操作者</w:t>
      </w:r>
    </w:p>
    <w:p w14:paraId="0CD49C0D">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操作者双手应用肥皂水清洗，清水冲净后用75％乙醇棉球擦拭。</w:t>
      </w:r>
    </w:p>
    <w:p w14:paraId="32255FEC">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4.1.3 环境</w:t>
      </w:r>
    </w:p>
    <w:p w14:paraId="5BF60E64">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治疗室内清洁，安静，光线明亮，温度适宜，避免吹风受凉。</w:t>
      </w:r>
    </w:p>
    <w:p w14:paraId="391D6F79">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4.1.4 体位</w:t>
      </w:r>
    </w:p>
    <w:p w14:paraId="77FAA68B">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针刺时对患儿体位的选择，应以操作者能够正确取穴、施术方便、患儿在留针和行针时感到舒适为原则。患儿常用的体位有卧位和坐位。</w:t>
      </w:r>
    </w:p>
    <w:p w14:paraId="41EDE740">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4.1.5 穴位</w:t>
      </w:r>
    </w:p>
    <w:p w14:paraId="4FF571E9">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根据病症选取适当的穴位或治疗部位。穴位定位应符合</w:t>
      </w:r>
      <w:r>
        <w:rPr>
          <w:rFonts w:hint="eastAsia" w:ascii="宋体" w:hAnsi="宋体" w:cs="宋体"/>
          <w:color w:val="000000" w:themeColor="text1"/>
          <w14:textFill>
            <w14:solidFill>
              <w14:schemeClr w14:val="tx1"/>
            </w14:solidFill>
          </w14:textFill>
        </w:rPr>
        <w:t>WHO国际针灸标准穴位、</w:t>
      </w:r>
      <w:r>
        <w:rPr>
          <w:rFonts w:hint="eastAsia"/>
          <w:color w:val="000000" w:themeColor="text1"/>
          <w14:textFill>
            <w14:solidFill>
              <w14:schemeClr w14:val="tx1"/>
            </w14:solidFill>
          </w14:textFill>
        </w:rPr>
        <w:t>GB/T 12346、GB/T 40997的规定。</w:t>
      </w:r>
    </w:p>
    <w:p w14:paraId="78638305">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4.1.6 术前护理</w:t>
      </w:r>
    </w:p>
    <w:p w14:paraId="5AA1C0D1">
      <w:pPr>
        <w:spacing w:line="276" w:lineRule="auto"/>
        <w:ind w:firstLine="42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a) </w:t>
      </w:r>
      <w:r>
        <w:rPr>
          <w:rFonts w:hint="eastAsia"/>
          <w:color w:val="000000" w:themeColor="text1"/>
          <w14:textFill>
            <w14:solidFill>
              <w14:schemeClr w14:val="tx1"/>
            </w14:solidFill>
          </w14:textFill>
        </w:rPr>
        <w:t>备齐针刺器具至患儿床边。</w:t>
      </w:r>
    </w:p>
    <w:p w14:paraId="55376E7F">
      <w:pPr>
        <w:spacing w:line="276" w:lineRule="auto"/>
        <w:ind w:firstLine="42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b) </w:t>
      </w:r>
      <w:r>
        <w:rPr>
          <w:rFonts w:hint="eastAsia"/>
          <w:color w:val="000000" w:themeColor="text1"/>
          <w14:textFill>
            <w14:solidFill>
              <w14:schemeClr w14:val="tx1"/>
            </w14:solidFill>
          </w14:textFill>
        </w:rPr>
        <w:t>对</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岁及以上儿童做好心理护理，说明治疗的意义和注意事项，进行精神安慰与鼓励，消除患儿的紧张恐惧情绪，使患儿及家长能积极主动配合操作。</w:t>
      </w:r>
    </w:p>
    <w:p w14:paraId="1D5E702C">
      <w:pPr>
        <w:spacing w:line="276" w:lineRule="auto"/>
        <w:ind w:firstLine="42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c) </w:t>
      </w:r>
      <w:r>
        <w:rPr>
          <w:rFonts w:hint="eastAsia"/>
          <w:color w:val="000000" w:themeColor="text1"/>
          <w14:textFill>
            <w14:solidFill>
              <w14:schemeClr w14:val="tx1"/>
            </w14:solidFill>
          </w14:textFill>
        </w:rPr>
        <w:t>对3岁以下不能合作的患儿，可由家长协助，抱持固定患儿于合适体位。</w:t>
      </w:r>
    </w:p>
    <w:p w14:paraId="068FD46B">
      <w:pPr>
        <w:tabs>
          <w:tab w:val="left" w:pos="360"/>
          <w:tab w:val="left" w:pos="540"/>
        </w:tabs>
        <w:spacing w:before="156" w:beforeLines="50" w:after="156" w:afterLines="50" w:line="276" w:lineRule="auto"/>
        <w:outlineLvl w:val="1"/>
        <w:rPr>
          <w:rFonts w:ascii="黑体" w:hAnsi="黑体" w:eastAsia="黑体"/>
          <w:color w:val="000000" w:themeColor="text1"/>
          <w14:textFill>
            <w14:solidFill>
              <w14:schemeClr w14:val="tx1"/>
            </w14:solidFill>
          </w14:textFill>
        </w:rPr>
      </w:pPr>
      <w:bookmarkStart w:id="25" w:name="_Toc28146"/>
      <w:r>
        <w:rPr>
          <w:rFonts w:hint="eastAsia" w:ascii="黑体" w:hAnsi="黑体" w:eastAsia="黑体"/>
          <w:color w:val="000000" w:themeColor="text1"/>
          <w14:textFill>
            <w14:solidFill>
              <w14:schemeClr w14:val="tx1"/>
            </w14:solidFill>
          </w14:textFill>
        </w:rPr>
        <w:t>4.2 施术方法</w:t>
      </w:r>
      <w:bookmarkEnd w:id="25"/>
      <w:r>
        <w:rPr>
          <w:rFonts w:hint="eastAsia" w:ascii="黑体" w:hAnsi="黑体" w:eastAsia="黑体"/>
          <w:color w:val="000000" w:themeColor="text1"/>
          <w14:textFill>
            <w14:solidFill>
              <w14:schemeClr w14:val="tx1"/>
            </w14:solidFill>
          </w14:textFill>
        </w:rPr>
        <w:t xml:space="preserve">  </w:t>
      </w:r>
    </w:p>
    <w:p w14:paraId="21C5240A">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4.2.1 进针方法</w:t>
      </w:r>
    </w:p>
    <w:p w14:paraId="0AC4F942">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给儿童施针手法宜轻，刺入宜浅。临床应根据腧穴所在部位的解剖特点、进针深度、手法特点等具体情况，以便于进针、易于得气、避免痛感为目的，灵活选用进针手法。</w:t>
      </w:r>
    </w:p>
    <w:p w14:paraId="38C56BD5">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4.2.1.1 单手进针法</w:t>
      </w:r>
    </w:p>
    <w:p w14:paraId="49C888B2">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操作者用右手拇、示指持毫针，中指端紧靠穴位，指腹抵住针体中部，拇、示指向下用力，中指随之屈曲，将毫针刺入穴位内适当深度。此法多用于短毫针的进针。</w:t>
      </w:r>
    </w:p>
    <w:p w14:paraId="7DEF25DB">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4.2.1.2 双手进针法</w:t>
      </w:r>
    </w:p>
    <w:p w14:paraId="3EC2B858">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4.2.1.2.1 指切进针法</w:t>
      </w:r>
    </w:p>
    <w:p w14:paraId="72574712">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操作者用消毒的左手拇指或示指端切按在腧穴位置上，右手持针，紧靠左手指切处将针刺入穴位内适当深度。该法适应于短针，注意针刺时稍带捻转，一捻即进，减少疼痛。</w:t>
      </w:r>
    </w:p>
    <w:p w14:paraId="6F1D285E">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4.2.1.2.2 夹持进针法</w:t>
      </w:r>
    </w:p>
    <w:p w14:paraId="457AFABC">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操作者用消毒的左手拇、示指夹持针身下端，距离针尖约1cm处，右手拇、示指持针柄，然后双手同时协同用力刺入腧穴真皮层，再以右手捻动针柄，将针刺入穴位内适当深度。此法适用于长毫针的进针。</w:t>
      </w:r>
    </w:p>
    <w:p w14:paraId="04C06D9D">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4.2.1.2.3 舒张进针法</w:t>
      </w:r>
    </w:p>
    <w:p w14:paraId="3250AC49">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操作者用押手</w:t>
      </w:r>
      <w:r>
        <w:rPr>
          <w:rFonts w:hint="eastAsia"/>
          <w:color w:val="000000" w:themeColor="text1"/>
          <w:lang w:val="en-US" w:eastAsia="zh-CN"/>
          <w14:textFill>
            <w14:solidFill>
              <w14:schemeClr w14:val="tx1"/>
            </w14:solidFill>
          </w14:textFill>
        </w:rPr>
        <w:t>示</w:t>
      </w:r>
      <w:r>
        <w:rPr>
          <w:rFonts w:hint="eastAsia"/>
          <w:color w:val="000000" w:themeColor="text1"/>
          <w14:textFill>
            <w14:solidFill>
              <w14:schemeClr w14:val="tx1"/>
            </w14:solidFill>
          </w14:textFill>
        </w:rPr>
        <w:t>、中指或拇、中指将所刺腧穴部位皮肤撑开绷紧，刺手持针刺入。用于皮肤较松软处进针。</w:t>
      </w:r>
    </w:p>
    <w:p w14:paraId="14DE7E45">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4.2.1.2.4 提捏进针法</w:t>
      </w:r>
    </w:p>
    <w:p w14:paraId="39B29892">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操作者用押手拇、</w:t>
      </w:r>
      <w:r>
        <w:rPr>
          <w:rFonts w:hint="eastAsia"/>
          <w:color w:val="000000" w:themeColor="text1"/>
          <w:lang w:val="en-US" w:eastAsia="zh-CN"/>
          <w14:textFill>
            <w14:solidFill>
              <w14:schemeClr w14:val="tx1"/>
            </w14:solidFill>
          </w14:textFill>
        </w:rPr>
        <w:t>示</w:t>
      </w:r>
      <w:r>
        <w:rPr>
          <w:rFonts w:hint="eastAsia"/>
          <w:color w:val="000000" w:themeColor="text1"/>
          <w14:textFill>
            <w14:solidFill>
              <w14:schemeClr w14:val="tx1"/>
            </w14:solidFill>
          </w14:textFill>
        </w:rPr>
        <w:t>指将欲刺腧穴两旁的皮肤提捏起，刺手持针从提捏的腧穴上刺入。用于皮肉浅薄处进针。</w:t>
      </w:r>
    </w:p>
    <w:p w14:paraId="4796CC9D">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4.2.1.3 管针进针法</w:t>
      </w:r>
    </w:p>
    <w:p w14:paraId="5A941CCA">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将针先插入用玻璃、塑料或金属制成的比针短7.5 mm（3分）的小针管内，触及腧穴表面皮肤；押手压紧针管，刺手</w:t>
      </w:r>
      <w:r>
        <w:rPr>
          <w:rFonts w:hint="eastAsia"/>
          <w:color w:val="000000" w:themeColor="text1"/>
          <w:lang w:val="en-US" w:eastAsia="zh-CN"/>
          <w14:textFill>
            <w14:solidFill>
              <w14:schemeClr w14:val="tx1"/>
            </w14:solidFill>
          </w14:textFill>
        </w:rPr>
        <w:t>示</w:t>
      </w:r>
      <w:r>
        <w:rPr>
          <w:rFonts w:hint="eastAsia"/>
          <w:color w:val="000000" w:themeColor="text1"/>
          <w14:textFill>
            <w14:solidFill>
              <w14:schemeClr w14:val="tx1"/>
            </w14:solidFill>
          </w14:textFill>
        </w:rPr>
        <w:t>指对准针尾弹击，使针尖迅速刺入皮肤；然后将针管去掉，再将针刺入穴内。此种方法进针疼痛感较轻，较适用于儿童。</w:t>
      </w:r>
    </w:p>
    <w:p w14:paraId="7D04E546">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4.2.2 进针角度</w:t>
      </w:r>
    </w:p>
    <w:p w14:paraId="6465FCA7">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4.2.2.1 直刺</w:t>
      </w:r>
    </w:p>
    <w:p w14:paraId="171318C6">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将针体与皮肤呈90°角左右，垂直刺入皮肤。直刺法适用于大多数穴位，浅刺与深刺均可。</w:t>
      </w:r>
    </w:p>
    <w:p w14:paraId="46888B77">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4.2.2.2 斜刺</w:t>
      </w:r>
    </w:p>
    <w:p w14:paraId="1C69B1AE">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针身与皮肤表面呈45°左右倾斜刺入。此法适用于针刺皮肉较为浅薄处，或内有重要脏器及关节部位的腧穴。</w:t>
      </w:r>
    </w:p>
    <w:p w14:paraId="6E0D379B">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4.2.2.3 平刺</w:t>
      </w:r>
    </w:p>
    <w:p w14:paraId="710FA529">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又称横刺。针身与皮肤表面呈15°左右或沿皮肤表面以更小的角度刺入。适用于皮薄肉少处的腧穴，如头部、胸骨部的腧穴。</w:t>
      </w:r>
    </w:p>
    <w:p w14:paraId="5BC63B8B">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4.2.3 进针深度</w:t>
      </w:r>
    </w:p>
    <w:p w14:paraId="0BB4019F">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根据年龄、体质、病情、部位，刺入深度以患儿得气或操作者手下有沉紧、涩滞感为度。</w:t>
      </w:r>
    </w:p>
    <w:p w14:paraId="6C26678D">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4.2.4 行针手法</w:t>
      </w:r>
    </w:p>
    <w:p w14:paraId="7ECBB354">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4.2.4.1 提插法</w:t>
      </w:r>
    </w:p>
    <w:p w14:paraId="60025BB3">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将针刺入腧穴一定深度后，施以上提下插，指力均匀地反复上下纵向运动。这种使针由浅层向下刺入深层的操作称为插，从深层向上引退至浅层的操作称为提，一般幅度以3 mm～5 mm为宜，频率以每分钟60次为宜。刺激量大小应根据患儿的体质、病情、腧穴部位和针刺目的等灵活掌握。</w:t>
      </w:r>
    </w:p>
    <w:p w14:paraId="56428929">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4.2.4.2 捻转法</w:t>
      </w:r>
    </w:p>
    <w:p w14:paraId="00C81303">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将针刺入腧穴一定深度后，施以向前向后捻转，指力均匀地反复前后旋转运动。一般角度以180°～360°为宜。捻转角度的大小、频率的快慢、时间的长短等，需根据患儿的体质、病情、腧穴的部位、针刺目的等具体情况而定。</w:t>
      </w:r>
    </w:p>
    <w:p w14:paraId="20921D4A">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4.2.4.3 其他手法</w:t>
      </w:r>
    </w:p>
    <w:p w14:paraId="71C272CE">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如循法、弹法、刮法、摇法、飞法、震颤法等。操作方法参</w:t>
      </w:r>
      <w:r>
        <w:rPr>
          <w:rFonts w:hint="eastAsia" w:ascii="宋体" w:hAnsi="宋体" w:cs="宋体"/>
          <w:color w:val="000000" w:themeColor="text1"/>
          <w14:textFill>
            <w14:solidFill>
              <w14:schemeClr w14:val="tx1"/>
            </w14:solidFill>
          </w14:textFill>
        </w:rPr>
        <w:t>见</w:t>
      </w:r>
      <w:r>
        <w:rPr>
          <w:rFonts w:hint="eastAsia" w:ascii="黑体" w:hAnsi="黑体" w:eastAsia="黑体" w:cs="黑体"/>
          <w:color w:val="000000" w:themeColor="text1"/>
          <w14:textFill>
            <w14:solidFill>
              <w14:schemeClr w14:val="tx1"/>
            </w14:solidFill>
          </w14:textFill>
        </w:rPr>
        <w:t>附录Ｂ</w:t>
      </w:r>
      <w:r>
        <w:rPr>
          <w:rFonts w:hint="eastAsia"/>
          <w:color w:val="000000" w:themeColor="text1"/>
          <w14:textFill>
            <w14:solidFill>
              <w14:schemeClr w14:val="tx1"/>
            </w14:solidFill>
          </w14:textFill>
        </w:rPr>
        <w:t>。</w:t>
      </w:r>
    </w:p>
    <w:p w14:paraId="5BF14311">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4.2.5 补泻手法</w:t>
      </w:r>
    </w:p>
    <w:p w14:paraId="22EC20F1">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根据中医理论，针对病症选择补法或泻法。操作方法参见</w:t>
      </w:r>
      <w:r>
        <w:rPr>
          <w:rFonts w:hint="eastAsia" w:ascii="黑体" w:hAnsi="黑体" w:eastAsia="黑体" w:cs="黑体"/>
          <w:color w:val="000000" w:themeColor="text1"/>
          <w14:textFill>
            <w14:solidFill>
              <w14:schemeClr w14:val="tx1"/>
            </w14:solidFill>
          </w14:textFill>
        </w:rPr>
        <w:t>附录Ｂ</w:t>
      </w:r>
      <w:r>
        <w:rPr>
          <w:rFonts w:hint="eastAsia"/>
          <w:color w:val="000000" w:themeColor="text1"/>
          <w14:textFill>
            <w14:solidFill>
              <w14:schemeClr w14:val="tx1"/>
            </w14:solidFill>
          </w14:textFill>
        </w:rPr>
        <w:t>。</w:t>
      </w:r>
    </w:p>
    <w:p w14:paraId="3A00BF2B">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4.2.6 留针</w:t>
      </w:r>
    </w:p>
    <w:p w14:paraId="639DBDF3">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将毫针留置穴内。3岁以下一般不留针，3～6岁可适当留针10 min～15 min，6岁以上可留针30 min。不肯配合，哭闹乱动的患儿不留针。</w:t>
      </w:r>
    </w:p>
    <w:p w14:paraId="19DAC98E">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4.2.7 出针</w:t>
      </w:r>
    </w:p>
    <w:p w14:paraId="1EFD8796">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操作者以押手拇、示两指持消毒干棉球或棉签轻压针刺部位，刺手持针作轻微的小幅度捻转，并随势将针缓慢提至皮下，稍静留后迅速出针。滞针时不应用力猛拔，宜轻轻拍打穴位周围皮肤，待针下感觉轻滑后再出针。</w:t>
      </w:r>
    </w:p>
    <w:p w14:paraId="41FBA280">
      <w:pPr>
        <w:tabs>
          <w:tab w:val="left" w:pos="360"/>
          <w:tab w:val="left" w:pos="540"/>
        </w:tabs>
        <w:spacing w:before="156" w:beforeLines="50" w:after="156" w:afterLines="50" w:line="276" w:lineRule="auto"/>
        <w:outlineLvl w:val="1"/>
        <w:rPr>
          <w:rFonts w:ascii="黑体" w:hAnsi="黑体" w:eastAsia="黑体"/>
          <w:color w:val="000000" w:themeColor="text1"/>
          <w14:textFill>
            <w14:solidFill>
              <w14:schemeClr w14:val="tx1"/>
            </w14:solidFill>
          </w14:textFill>
        </w:rPr>
      </w:pPr>
      <w:bookmarkStart w:id="26" w:name="_Toc321"/>
      <w:r>
        <w:rPr>
          <w:rFonts w:hint="eastAsia" w:ascii="黑体" w:hAnsi="黑体" w:eastAsia="黑体"/>
          <w:color w:val="000000" w:themeColor="text1"/>
          <w14:textFill>
            <w14:solidFill>
              <w14:schemeClr w14:val="tx1"/>
            </w14:solidFill>
          </w14:textFill>
        </w:rPr>
        <w:t>4.3 术后护理</w:t>
      </w:r>
      <w:bookmarkEnd w:id="26"/>
    </w:p>
    <w:p w14:paraId="0CCA028B">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出针后如发现针孔出血，可用无菌棉签或棉球压迫1 min～2 min，不可按揉。术后让患儿休息 5 min～10 min，注意观察是否有不良反应。</w:t>
      </w:r>
    </w:p>
    <w:p w14:paraId="719D5754">
      <w:pPr>
        <w:spacing w:before="312" w:beforeLines="100" w:after="312" w:afterLines="100" w:line="276" w:lineRule="auto"/>
        <w:outlineLvl w:val="0"/>
        <w:rPr>
          <w:rFonts w:ascii="黑体" w:hAnsi="黑体" w:eastAsia="黑体" w:cs="宋体"/>
          <w:color w:val="000000" w:themeColor="text1"/>
          <w:szCs w:val="18"/>
          <w14:textFill>
            <w14:solidFill>
              <w14:schemeClr w14:val="tx1"/>
            </w14:solidFill>
          </w14:textFill>
        </w:rPr>
      </w:pPr>
      <w:bookmarkStart w:id="27" w:name="_Toc21905"/>
      <w:bookmarkStart w:id="28" w:name="_Toc2652"/>
      <w:bookmarkStart w:id="29" w:name="_Toc21440"/>
      <w:r>
        <w:rPr>
          <w:rFonts w:ascii="黑体" w:hAnsi="黑体" w:eastAsia="黑体" w:cs="宋体"/>
          <w:color w:val="000000" w:themeColor="text1"/>
          <w:szCs w:val="18"/>
          <w14:textFill>
            <w14:solidFill>
              <w14:schemeClr w14:val="tx1"/>
            </w14:solidFill>
          </w14:textFill>
        </w:rPr>
        <w:t>5 小儿三棱针疗法操作步骤与要求</w:t>
      </w:r>
      <w:bookmarkEnd w:id="27"/>
      <w:bookmarkEnd w:id="28"/>
      <w:bookmarkEnd w:id="29"/>
      <w:r>
        <w:rPr>
          <w:rFonts w:hint="eastAsia" w:ascii="黑体" w:hAnsi="黑体" w:eastAsia="黑体" w:cs="宋体"/>
          <w:color w:val="000000" w:themeColor="text1"/>
          <w:szCs w:val="18"/>
          <w14:textFill>
            <w14:solidFill>
              <w14:schemeClr w14:val="tx1"/>
            </w14:solidFill>
          </w14:textFill>
        </w:rPr>
        <w:t xml:space="preserve">  </w:t>
      </w:r>
    </w:p>
    <w:p w14:paraId="090E9500">
      <w:pPr>
        <w:tabs>
          <w:tab w:val="left" w:pos="360"/>
          <w:tab w:val="left" w:pos="540"/>
        </w:tabs>
        <w:spacing w:before="156" w:beforeLines="50" w:after="156" w:afterLines="50" w:line="276" w:lineRule="auto"/>
        <w:outlineLvl w:val="1"/>
        <w:rPr>
          <w:rFonts w:ascii="黑体" w:hAnsi="黑体" w:eastAsia="黑体"/>
          <w:color w:val="000000" w:themeColor="text1"/>
          <w14:textFill>
            <w14:solidFill>
              <w14:schemeClr w14:val="tx1"/>
            </w14:solidFill>
          </w14:textFill>
        </w:rPr>
      </w:pPr>
      <w:bookmarkStart w:id="30" w:name="_Toc27096"/>
      <w:r>
        <w:rPr>
          <w:rFonts w:hint="eastAsia" w:ascii="黑体" w:hAnsi="黑体" w:eastAsia="黑体"/>
          <w:color w:val="000000" w:themeColor="text1"/>
          <w14:textFill>
            <w14:solidFill>
              <w14:schemeClr w14:val="tx1"/>
            </w14:solidFill>
          </w14:textFill>
        </w:rPr>
        <w:t>5.1 施术前准备</w:t>
      </w:r>
      <w:bookmarkEnd w:id="30"/>
    </w:p>
    <w:p w14:paraId="0FFCF8D7">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5.1.1  针具选择</w:t>
      </w:r>
    </w:p>
    <w:p w14:paraId="15D98180">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根据患儿年龄大小、病情需要和操作部位，选择不同规格的三棱针。</w:t>
      </w:r>
      <w:r>
        <w:rPr>
          <w:color w:val="000000" w:themeColor="text1"/>
          <w14:textFill>
            <w14:solidFill>
              <w14:schemeClr w14:val="tx1"/>
            </w14:solidFill>
          </w14:textFill>
        </w:rPr>
        <w:t>儿科多用</w:t>
      </w:r>
      <w:r>
        <w:rPr>
          <w:rFonts w:hint="eastAsia"/>
          <w:color w:val="000000" w:themeColor="text1"/>
          <w14:textFill>
            <w14:solidFill>
              <w14:schemeClr w14:val="tx1"/>
            </w14:solidFill>
          </w14:textFill>
        </w:rPr>
        <w:t xml:space="preserve">小号三棱针。 </w:t>
      </w:r>
    </w:p>
    <w:p w14:paraId="5F214CF0">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5.1.2  消毒</w:t>
      </w:r>
    </w:p>
    <w:p w14:paraId="3216A84B">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5.1.2.1  针具</w:t>
      </w:r>
    </w:p>
    <w:p w14:paraId="2C46E0F5">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选用一次性三棱针，也可采用一次性采血针或无菌注射针。</w:t>
      </w:r>
    </w:p>
    <w:p w14:paraId="0B44397B">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5.1.2.2  部位</w:t>
      </w:r>
    </w:p>
    <w:p w14:paraId="03BAAC78">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用75％乙醇或0.5％～1％碘伏在施术部位由中心向外做环形擦拭。</w:t>
      </w:r>
    </w:p>
    <w:p w14:paraId="5C0A6D91">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5.1.2.3  操作者</w:t>
      </w:r>
    </w:p>
    <w:p w14:paraId="66933A97">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操作者双手应用肥皂水清洗，清水冲净后用75％乙醇棉球擦拭。</w:t>
      </w:r>
    </w:p>
    <w:p w14:paraId="10E03FEF">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5.1.3  环境</w:t>
      </w:r>
    </w:p>
    <w:p w14:paraId="05586E85">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治疗室内清洁，安静，光线明亮，温度适宜，避免吹风受凉。</w:t>
      </w:r>
    </w:p>
    <w:p w14:paraId="190B17E4">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5.1.4  体位</w:t>
      </w:r>
    </w:p>
    <w:p w14:paraId="498756C2">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选择患儿舒适、操作者便于操作的治疗体位。患儿一般根据治疗部位选取俯卧位或仰卧位，3岁以下患儿也可以坐在家长腿上。操作者站于患儿右侧。</w:t>
      </w:r>
    </w:p>
    <w:p w14:paraId="1785D63D">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5.1.5  穴位</w:t>
      </w:r>
    </w:p>
    <w:p w14:paraId="3E9691CB">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根据病症选取适当的穴位或治疗部位。穴位定位应符合</w:t>
      </w:r>
      <w:r>
        <w:rPr>
          <w:rFonts w:hint="eastAsia" w:ascii="宋体" w:hAnsi="宋体" w:cs="宋体"/>
          <w:color w:val="000000" w:themeColor="text1"/>
          <w14:textFill>
            <w14:solidFill>
              <w14:schemeClr w14:val="tx1"/>
            </w14:solidFill>
          </w14:textFill>
        </w:rPr>
        <w:t>WHO国际针灸标准穴位、</w:t>
      </w:r>
      <w:r>
        <w:rPr>
          <w:rFonts w:hint="eastAsia"/>
          <w:color w:val="000000" w:themeColor="text1"/>
          <w14:textFill>
            <w14:solidFill>
              <w14:schemeClr w14:val="tx1"/>
            </w14:solidFill>
          </w14:textFill>
        </w:rPr>
        <w:t>GB/T 12346、GB/T 40997的规定。</w:t>
      </w:r>
    </w:p>
    <w:p w14:paraId="37192D32">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5.1.6  术前护理</w:t>
      </w:r>
    </w:p>
    <w:p w14:paraId="6E8DBA47">
      <w:pPr>
        <w:spacing w:line="276" w:lineRule="auto"/>
        <w:ind w:firstLine="42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a) </w:t>
      </w:r>
      <w:r>
        <w:rPr>
          <w:rFonts w:hint="eastAsia"/>
          <w:color w:val="000000" w:themeColor="text1"/>
          <w14:textFill>
            <w14:solidFill>
              <w14:schemeClr w14:val="tx1"/>
            </w14:solidFill>
          </w14:textFill>
        </w:rPr>
        <w:t>备齐器具至患儿床边。</w:t>
      </w:r>
    </w:p>
    <w:p w14:paraId="2854BD5D">
      <w:pPr>
        <w:spacing w:line="276" w:lineRule="auto"/>
        <w:ind w:firstLine="42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b) </w:t>
      </w:r>
      <w:r>
        <w:rPr>
          <w:rFonts w:hint="eastAsia"/>
          <w:color w:val="000000" w:themeColor="text1"/>
          <w14:textFill>
            <w14:solidFill>
              <w14:schemeClr w14:val="tx1"/>
            </w14:solidFill>
          </w14:textFill>
        </w:rPr>
        <w:t>对3岁及以上儿童做好心理护理，说明治疗的意义和注意事项，进行精神安慰与鼓励，消除患儿的紧张恐惧情绪，使患儿及家长能积极主动配合操作。</w:t>
      </w:r>
    </w:p>
    <w:p w14:paraId="68E29B34">
      <w:pPr>
        <w:spacing w:line="276" w:lineRule="auto"/>
        <w:ind w:firstLine="42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c) </w:t>
      </w:r>
      <w:r>
        <w:rPr>
          <w:rFonts w:hint="eastAsia"/>
          <w:color w:val="000000" w:themeColor="text1"/>
          <w14:textFill>
            <w14:solidFill>
              <w14:schemeClr w14:val="tx1"/>
            </w14:solidFill>
          </w14:textFill>
        </w:rPr>
        <w:t>对3岁以下不能合作的患儿，可在施术前由家长协助，抱持固定患儿于合适体位。</w:t>
      </w:r>
    </w:p>
    <w:p w14:paraId="18D09422">
      <w:pPr>
        <w:tabs>
          <w:tab w:val="left" w:pos="360"/>
          <w:tab w:val="left" w:pos="540"/>
        </w:tabs>
        <w:spacing w:before="156" w:beforeLines="50" w:after="156" w:afterLines="50" w:line="276" w:lineRule="auto"/>
        <w:outlineLvl w:val="1"/>
        <w:rPr>
          <w:rFonts w:ascii="黑体" w:hAnsi="黑体" w:eastAsia="黑体"/>
          <w:color w:val="000000" w:themeColor="text1"/>
          <w14:textFill>
            <w14:solidFill>
              <w14:schemeClr w14:val="tx1"/>
            </w14:solidFill>
          </w14:textFill>
        </w:rPr>
      </w:pPr>
      <w:bookmarkStart w:id="31" w:name="_Toc1426"/>
      <w:r>
        <w:rPr>
          <w:rFonts w:hint="eastAsia" w:ascii="黑体" w:hAnsi="黑体" w:eastAsia="黑体"/>
          <w:color w:val="000000" w:themeColor="text1"/>
          <w14:textFill>
            <w14:solidFill>
              <w14:schemeClr w14:val="tx1"/>
            </w14:solidFill>
          </w14:textFill>
        </w:rPr>
        <w:t>5.2 施术方法</w:t>
      </w:r>
      <w:bookmarkEnd w:id="31"/>
    </w:p>
    <w:p w14:paraId="060A611B">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5.2.1  三棱针点刺法</w:t>
      </w:r>
    </w:p>
    <w:p w14:paraId="14A0B09F">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点刺前，操作者可在患儿被刺部位或其周围用推、揉、挤、捋等手法，使局部充血；继之用75％乙醇或0.5％～1％碘伏在施术部位由中心向外做环形擦拭消毒；针刺时押手拇、示、中三指捏紧被刺部位，刺手持针，用拇、示两指捏住针柄，中指指腹紧靠针身下端，针尖露出0.5 mm～5 mm，对准已消毒的部位，刺入0.5 mm～5 mm深，随即将针迅速退出；轻轻挤压针孔周围，使出血少许，也可辅以推挤方法增加出血量或出液量。</w:t>
      </w:r>
    </w:p>
    <w:p w14:paraId="6220D5C9">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5.2.2  三棱针刺络法</w:t>
      </w:r>
    </w:p>
    <w:p w14:paraId="37A5184B">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刺络前，可在被刺部位或其周围用推、揉、挤、捋等方法，四肢部位可在被刺部位的近心端以止血带结扎，使局部充血。刺络时，用一手固定被刺部位，另一手持针，露出针尖3mm～5mm，对准所刺部位快速刺入后出针，放出适量血液，松开止血带。</w:t>
      </w:r>
    </w:p>
    <w:p w14:paraId="39EC6CE4">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5.2.3  三棱针散刺法</w:t>
      </w:r>
    </w:p>
    <w:p w14:paraId="252863F7">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操作者用一手固定患儿被刺部位，另一手持针在施术部位垂直点刺多点。根据病变部位大小的不同，可刺10～20针或更多，由病变外缘环形向中心点刺。</w:t>
      </w:r>
    </w:p>
    <w:p w14:paraId="1B4ADADE">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5.2.4  三棱针挑治法</w:t>
      </w:r>
    </w:p>
    <w:p w14:paraId="1C110ADC">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操作者用一手固定患儿被刺部位，另一手持针以15°～30°角度刺入一定深度后，上挑针尖，挑破皮肤或皮下组织。出针后消毒、覆盖敷料。</w:t>
      </w:r>
    </w:p>
    <w:p w14:paraId="1AD46722">
      <w:pPr>
        <w:tabs>
          <w:tab w:val="left" w:pos="360"/>
          <w:tab w:val="left" w:pos="540"/>
        </w:tabs>
        <w:spacing w:before="156" w:beforeLines="50" w:after="156" w:afterLines="50" w:line="276" w:lineRule="auto"/>
        <w:outlineLvl w:val="1"/>
        <w:rPr>
          <w:rFonts w:ascii="黑体" w:hAnsi="黑体" w:eastAsia="黑体"/>
          <w:color w:val="000000" w:themeColor="text1"/>
          <w14:textFill>
            <w14:solidFill>
              <w14:schemeClr w14:val="tx1"/>
            </w14:solidFill>
          </w14:textFill>
        </w:rPr>
      </w:pPr>
      <w:bookmarkStart w:id="32" w:name="_Toc17443"/>
      <w:r>
        <w:rPr>
          <w:rFonts w:hint="eastAsia" w:ascii="黑体" w:hAnsi="黑体" w:eastAsia="黑体"/>
          <w:color w:val="000000" w:themeColor="text1"/>
          <w14:textFill>
            <w14:solidFill>
              <w14:schemeClr w14:val="tx1"/>
            </w14:solidFill>
          </w14:textFill>
        </w:rPr>
        <w:t>5.3 施术后处理</w:t>
      </w:r>
      <w:bookmarkEnd w:id="32"/>
    </w:p>
    <w:p w14:paraId="3A376966">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施术后，用无菌干棉球或无菌棉签擦拭后按压2 min。中等量或大量出血时，可用敞口器皿承接，所出血液应作无害化处理。</w:t>
      </w:r>
    </w:p>
    <w:p w14:paraId="09535AD6">
      <w:pPr>
        <w:spacing w:before="312" w:beforeLines="100" w:after="312" w:afterLines="100" w:line="276" w:lineRule="auto"/>
        <w:outlineLvl w:val="0"/>
        <w:rPr>
          <w:rFonts w:ascii="黑体" w:hAnsi="黑体" w:eastAsia="黑体" w:cs="宋体"/>
          <w:color w:val="000000" w:themeColor="text1"/>
          <w:szCs w:val="18"/>
          <w14:textFill>
            <w14:solidFill>
              <w14:schemeClr w14:val="tx1"/>
            </w14:solidFill>
          </w14:textFill>
        </w:rPr>
      </w:pPr>
      <w:bookmarkStart w:id="33" w:name="_Toc1645"/>
      <w:bookmarkStart w:id="34" w:name="_Toc6986"/>
      <w:bookmarkStart w:id="35" w:name="_Toc16609"/>
      <w:r>
        <w:rPr>
          <w:rFonts w:ascii="黑体" w:hAnsi="黑体" w:eastAsia="黑体" w:cs="宋体"/>
          <w:color w:val="000000" w:themeColor="text1"/>
          <w:szCs w:val="18"/>
          <w14:textFill>
            <w14:solidFill>
              <w14:schemeClr w14:val="tx1"/>
            </w14:solidFill>
          </w14:textFill>
        </w:rPr>
        <w:t>6 刺四缝疗法操作步骤与要求</w:t>
      </w:r>
      <w:bookmarkEnd w:id="33"/>
      <w:bookmarkEnd w:id="34"/>
      <w:bookmarkEnd w:id="35"/>
      <w:r>
        <w:rPr>
          <w:rFonts w:hint="eastAsia" w:ascii="黑体" w:hAnsi="黑体" w:eastAsia="黑体" w:cs="宋体"/>
          <w:color w:val="000000" w:themeColor="text1"/>
          <w:szCs w:val="18"/>
          <w14:textFill>
            <w14:solidFill>
              <w14:schemeClr w14:val="tx1"/>
            </w14:solidFill>
          </w14:textFill>
        </w:rPr>
        <w:t xml:space="preserve">  </w:t>
      </w:r>
    </w:p>
    <w:p w14:paraId="23ECAE04">
      <w:pPr>
        <w:tabs>
          <w:tab w:val="left" w:pos="360"/>
          <w:tab w:val="left" w:pos="540"/>
        </w:tabs>
        <w:spacing w:before="157" w:beforeLines="50" w:after="157" w:afterLines="50" w:line="276" w:lineRule="auto"/>
        <w:outlineLvl w:val="1"/>
        <w:rPr>
          <w:rFonts w:ascii="黑体" w:hAnsi="黑体" w:eastAsia="黑体"/>
          <w:color w:val="000000" w:themeColor="text1"/>
          <w14:textFill>
            <w14:solidFill>
              <w14:schemeClr w14:val="tx1"/>
            </w14:solidFill>
          </w14:textFill>
        </w:rPr>
      </w:pPr>
      <w:bookmarkStart w:id="36" w:name="_Toc6213"/>
      <w:r>
        <w:rPr>
          <w:rFonts w:hint="eastAsia" w:ascii="黑体" w:hAnsi="黑体" w:eastAsia="黑体"/>
          <w:color w:val="000000" w:themeColor="text1"/>
          <w14:textFill>
            <w14:solidFill>
              <w14:schemeClr w14:val="tx1"/>
            </w14:solidFill>
          </w14:textFill>
        </w:rPr>
        <w:t>6.1 施术前准备</w:t>
      </w:r>
      <w:bookmarkEnd w:id="36"/>
    </w:p>
    <w:p w14:paraId="1D5F216B">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6.1.1  针具选择</w:t>
      </w:r>
    </w:p>
    <w:p w14:paraId="13DA3FE7">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根据患儿年龄大小、手指粗细、病情需要，选择不同规格的三棱针。一般用小号三棱针。</w:t>
      </w:r>
    </w:p>
    <w:p w14:paraId="65D8F095">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6.1.2  消毒</w:t>
      </w:r>
    </w:p>
    <w:p w14:paraId="673538AF">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6.1.2.1  针具</w:t>
      </w:r>
    </w:p>
    <w:p w14:paraId="0BB3E319">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选用一次性三棱针。</w:t>
      </w:r>
    </w:p>
    <w:p w14:paraId="7F2C7E1F">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6.1.2.2  部位</w:t>
      </w:r>
    </w:p>
    <w:p w14:paraId="4B613FEB">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用75％乙醇或0.5％～1％碘伏的棉球在四缝穴周围消毒3遍。</w:t>
      </w:r>
    </w:p>
    <w:p w14:paraId="23D1853A">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6.1.2.3  操作者</w:t>
      </w:r>
    </w:p>
    <w:p w14:paraId="6E993CF4">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操作者双手用肥皂水清洗，清水冲净后用75％乙醇棉球擦拭。</w:t>
      </w:r>
    </w:p>
    <w:p w14:paraId="1E2262F6">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6.1.3  环境</w:t>
      </w:r>
    </w:p>
    <w:p w14:paraId="134054BC">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治疗室内清洁，安静，光线明亮，温度适宜，避免吹风受凉。</w:t>
      </w:r>
    </w:p>
    <w:p w14:paraId="2D306B30">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6.1.4  体位</w:t>
      </w:r>
    </w:p>
    <w:p w14:paraId="2E91B782">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选择患儿舒适、操作者便于操作的治疗体位。3岁以下一般坐在家长腿上，家长把持住患儿身体及手臂。操作者站于患儿对面。</w:t>
      </w:r>
    </w:p>
    <w:p w14:paraId="30542F2E">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6.1.5  穴位</w:t>
      </w:r>
    </w:p>
    <w:p w14:paraId="0017D253">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患儿四缝穴，根据病情选择单侧或双侧。穴位定位应符合GB/T 40997的规定。 </w:t>
      </w:r>
    </w:p>
    <w:p w14:paraId="6F83770C">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6.1.6  术前护理</w:t>
      </w:r>
    </w:p>
    <w:p w14:paraId="7D98B082">
      <w:pPr>
        <w:spacing w:line="276" w:lineRule="auto"/>
        <w:ind w:firstLine="42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a) </w:t>
      </w:r>
      <w:r>
        <w:rPr>
          <w:rFonts w:hint="eastAsia"/>
          <w:color w:val="000000" w:themeColor="text1"/>
          <w14:textFill>
            <w14:solidFill>
              <w14:schemeClr w14:val="tx1"/>
            </w14:solidFill>
          </w14:textFill>
        </w:rPr>
        <w:t>备齐器具至患儿床边。</w:t>
      </w:r>
    </w:p>
    <w:p w14:paraId="38AF4C81">
      <w:pPr>
        <w:spacing w:line="276" w:lineRule="auto"/>
        <w:ind w:firstLine="42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b) </w:t>
      </w:r>
      <w:r>
        <w:rPr>
          <w:rFonts w:hint="eastAsia"/>
          <w:color w:val="000000" w:themeColor="text1"/>
          <w14:textFill>
            <w14:solidFill>
              <w14:schemeClr w14:val="tx1"/>
            </w14:solidFill>
          </w14:textFill>
        </w:rPr>
        <w:t>对3岁及以上儿童做好心理护理，说明治疗的意义和注意事项，进行精神安慰与鼓励，消除患儿的紧张恐惧情绪，使患儿及家长能积极主动配合操作。</w:t>
      </w:r>
    </w:p>
    <w:p w14:paraId="1774B2D4">
      <w:pPr>
        <w:spacing w:line="276" w:lineRule="auto"/>
        <w:ind w:firstLine="42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c) </w:t>
      </w:r>
      <w:r>
        <w:rPr>
          <w:rFonts w:hint="eastAsia"/>
          <w:color w:val="000000" w:themeColor="text1"/>
          <w14:textFill>
            <w14:solidFill>
              <w14:schemeClr w14:val="tx1"/>
            </w14:solidFill>
          </w14:textFill>
        </w:rPr>
        <w:t>对3岁以下不能合作的患儿，可在施术前由家长协助，抱持固定患儿于合适体位，一般取坐位。</w:t>
      </w:r>
    </w:p>
    <w:p w14:paraId="6D054EA3">
      <w:pPr>
        <w:tabs>
          <w:tab w:val="left" w:pos="360"/>
          <w:tab w:val="left" w:pos="540"/>
        </w:tabs>
        <w:spacing w:before="157" w:beforeLines="50" w:after="157" w:afterLines="50" w:line="276" w:lineRule="auto"/>
        <w:outlineLvl w:val="1"/>
        <w:rPr>
          <w:rFonts w:ascii="黑体" w:hAnsi="黑体" w:eastAsia="黑体"/>
          <w:color w:val="000000" w:themeColor="text1"/>
          <w14:textFill>
            <w14:solidFill>
              <w14:schemeClr w14:val="tx1"/>
            </w14:solidFill>
          </w14:textFill>
        </w:rPr>
      </w:pPr>
      <w:bookmarkStart w:id="37" w:name="_Toc1139"/>
      <w:r>
        <w:rPr>
          <w:rFonts w:hint="eastAsia" w:ascii="黑体" w:hAnsi="黑体" w:eastAsia="黑体"/>
          <w:color w:val="000000" w:themeColor="text1"/>
          <w14:textFill>
            <w14:solidFill>
              <w14:schemeClr w14:val="tx1"/>
            </w14:solidFill>
          </w14:textFill>
        </w:rPr>
        <w:t>6.2 施术方法</w:t>
      </w:r>
      <w:bookmarkEnd w:id="37"/>
    </w:p>
    <w:p w14:paraId="66D6B12F">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使患儿伸手，仰掌，第2～5指并拢；操作者押手拇指横压患儿四指端，其余四指稍用力托患儿指背；刺手持三棱针，对准患儿第2～5指掌侧，近端指关节的横纹中央，避开血管迅速刺入0.5 mm～3 mm深后退针，用手挤出淡黄色液体或透明黏液或少许血液。</w:t>
      </w:r>
    </w:p>
    <w:p w14:paraId="3E55AF57">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疗程参见附录C。</w:t>
      </w:r>
    </w:p>
    <w:p w14:paraId="7536C8A0">
      <w:pPr>
        <w:tabs>
          <w:tab w:val="left" w:pos="360"/>
          <w:tab w:val="left" w:pos="540"/>
        </w:tabs>
        <w:spacing w:before="156" w:beforeLines="50" w:after="156" w:afterLines="50" w:line="276" w:lineRule="auto"/>
        <w:outlineLvl w:val="1"/>
        <w:rPr>
          <w:rFonts w:ascii="黑体" w:hAnsi="黑体" w:eastAsia="黑体"/>
          <w:color w:val="000000" w:themeColor="text1"/>
          <w14:textFill>
            <w14:solidFill>
              <w14:schemeClr w14:val="tx1"/>
            </w14:solidFill>
          </w14:textFill>
        </w:rPr>
      </w:pPr>
      <w:bookmarkStart w:id="38" w:name="_Toc5966"/>
      <w:r>
        <w:rPr>
          <w:rFonts w:hint="eastAsia" w:ascii="黑体" w:hAnsi="黑体" w:eastAsia="黑体"/>
          <w:color w:val="000000" w:themeColor="text1"/>
          <w14:textFill>
            <w14:solidFill>
              <w14:schemeClr w14:val="tx1"/>
            </w14:solidFill>
          </w14:textFill>
        </w:rPr>
        <w:t>6.3 施术后处理</w:t>
      </w:r>
      <w:bookmarkEnd w:id="38"/>
    </w:p>
    <w:p w14:paraId="7273EF7F">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施术后，用消毒棉签拭干局部，并用无菌棉球按压2 min。若仍有出血，适当延长按压时间。使用后的棉签、棉球应作无害化处理。</w:t>
      </w:r>
    </w:p>
    <w:p w14:paraId="56514AD2">
      <w:pPr>
        <w:spacing w:before="312" w:beforeLines="100" w:after="312" w:afterLines="100" w:line="276" w:lineRule="auto"/>
        <w:outlineLvl w:val="0"/>
        <w:rPr>
          <w:rFonts w:ascii="黑体" w:hAnsi="黑体" w:eastAsia="黑体" w:cs="宋体"/>
          <w:color w:val="000000" w:themeColor="text1"/>
          <w:szCs w:val="18"/>
          <w14:textFill>
            <w14:solidFill>
              <w14:schemeClr w14:val="tx1"/>
            </w14:solidFill>
          </w14:textFill>
        </w:rPr>
      </w:pPr>
      <w:bookmarkStart w:id="39" w:name="_Toc11582"/>
      <w:bookmarkStart w:id="40" w:name="_Toc23948"/>
      <w:bookmarkStart w:id="41" w:name="_Toc3387"/>
      <w:r>
        <w:rPr>
          <w:rFonts w:ascii="黑体" w:hAnsi="黑体" w:eastAsia="黑体" w:cs="宋体"/>
          <w:color w:val="000000" w:themeColor="text1"/>
          <w:szCs w:val="18"/>
          <w14:textFill>
            <w14:solidFill>
              <w14:schemeClr w14:val="tx1"/>
            </w14:solidFill>
          </w14:textFill>
        </w:rPr>
        <w:t>7 小儿艾灸疗法操作步骤与要求</w:t>
      </w:r>
      <w:bookmarkEnd w:id="39"/>
      <w:bookmarkEnd w:id="40"/>
      <w:bookmarkEnd w:id="41"/>
      <w:r>
        <w:rPr>
          <w:rFonts w:hint="eastAsia" w:ascii="黑体" w:hAnsi="黑体" w:eastAsia="黑体" w:cs="宋体"/>
          <w:color w:val="000000" w:themeColor="text1"/>
          <w:szCs w:val="18"/>
          <w14:textFill>
            <w14:solidFill>
              <w14:schemeClr w14:val="tx1"/>
            </w14:solidFill>
          </w14:textFill>
        </w:rPr>
        <w:t xml:space="preserve">  </w:t>
      </w:r>
    </w:p>
    <w:p w14:paraId="508403B6">
      <w:pPr>
        <w:tabs>
          <w:tab w:val="left" w:pos="360"/>
          <w:tab w:val="left" w:pos="540"/>
        </w:tabs>
        <w:spacing w:before="156" w:beforeLines="50" w:after="156" w:afterLines="50" w:line="276" w:lineRule="auto"/>
        <w:outlineLvl w:val="1"/>
        <w:rPr>
          <w:rFonts w:ascii="黑体" w:hAnsi="黑体" w:eastAsia="黑体"/>
          <w:color w:val="000000" w:themeColor="text1"/>
          <w14:textFill>
            <w14:solidFill>
              <w14:schemeClr w14:val="tx1"/>
            </w14:solidFill>
          </w14:textFill>
        </w:rPr>
      </w:pPr>
      <w:bookmarkStart w:id="42" w:name="_Toc16870"/>
      <w:r>
        <w:rPr>
          <w:rFonts w:hint="eastAsia" w:ascii="黑体" w:hAnsi="黑体" w:eastAsia="黑体"/>
          <w:color w:val="000000" w:themeColor="text1"/>
          <w14:textFill>
            <w14:solidFill>
              <w14:schemeClr w14:val="tx1"/>
            </w14:solidFill>
          </w14:textFill>
        </w:rPr>
        <w:t>7.1 施术前准备</w:t>
      </w:r>
      <w:bookmarkEnd w:id="42"/>
    </w:p>
    <w:p w14:paraId="462CC8AF">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7.1.1  灸材、器具</w:t>
      </w:r>
    </w:p>
    <w:p w14:paraId="7EE9FF25">
      <w:pPr>
        <w:spacing w:line="276" w:lineRule="auto"/>
        <w:ind w:firstLine="42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a) </w:t>
      </w:r>
      <w:r>
        <w:rPr>
          <w:rFonts w:hint="eastAsia"/>
          <w:color w:val="000000" w:themeColor="text1"/>
          <w14:textFill>
            <w14:solidFill>
              <w14:schemeClr w14:val="tx1"/>
            </w14:solidFill>
          </w14:textFill>
        </w:rPr>
        <w:t>艾条灸应选择合适的清艾条或药艾条，艾条应无霉变、潮湿，包装应无破损。</w:t>
      </w:r>
    </w:p>
    <w:p w14:paraId="3BDDEB73">
      <w:pPr>
        <w:spacing w:line="276" w:lineRule="auto"/>
        <w:ind w:firstLine="42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b) </w:t>
      </w:r>
      <w:r>
        <w:rPr>
          <w:rFonts w:hint="eastAsia"/>
          <w:color w:val="000000" w:themeColor="text1"/>
          <w14:textFill>
            <w14:solidFill>
              <w14:schemeClr w14:val="tx1"/>
            </w14:solidFill>
          </w14:textFill>
        </w:rPr>
        <w:t>艾炷灸应选择合适的清艾绒，艾绒应无霉变、潮湿。</w:t>
      </w:r>
    </w:p>
    <w:p w14:paraId="773B87CB">
      <w:pPr>
        <w:spacing w:line="276" w:lineRule="auto"/>
        <w:ind w:firstLine="42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c) </w:t>
      </w:r>
      <w:r>
        <w:rPr>
          <w:rFonts w:hint="eastAsia"/>
          <w:color w:val="000000" w:themeColor="text1"/>
          <w14:textFill>
            <w14:solidFill>
              <w14:schemeClr w14:val="tx1"/>
            </w14:solidFill>
          </w14:textFill>
        </w:rPr>
        <w:t>间接灸药材选用参考附录D，温灸器选用参考附录E。</w:t>
      </w:r>
    </w:p>
    <w:p w14:paraId="6AE8DD85">
      <w:pPr>
        <w:spacing w:line="276" w:lineRule="auto"/>
        <w:ind w:firstLine="42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d) </w:t>
      </w:r>
      <w:r>
        <w:rPr>
          <w:rFonts w:hint="eastAsia"/>
          <w:color w:val="000000" w:themeColor="text1"/>
          <w14:textFill>
            <w14:solidFill>
              <w14:schemeClr w14:val="tx1"/>
            </w14:solidFill>
          </w14:textFill>
        </w:rPr>
        <w:t>其他器具准备如火柴或打火机、线香、纸捻等点火工具，以及治疗盘、弯盘、镊子、灭火管等辅助用具。</w:t>
      </w:r>
    </w:p>
    <w:p w14:paraId="1CF8D46F">
      <w:pPr>
        <w:spacing w:line="276" w:lineRule="auto"/>
        <w:ind w:firstLine="42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e) </w:t>
      </w:r>
      <w:r>
        <w:rPr>
          <w:rFonts w:hint="eastAsia"/>
          <w:color w:val="000000" w:themeColor="text1"/>
          <w14:textFill>
            <w14:solidFill>
              <w14:schemeClr w14:val="tx1"/>
            </w14:solidFill>
          </w14:textFill>
        </w:rPr>
        <w:t>常用艾条制备方法参见附录F。</w:t>
      </w:r>
    </w:p>
    <w:p w14:paraId="28A656B4">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7.1.2  消毒</w:t>
      </w:r>
    </w:p>
    <w:p w14:paraId="1AF2DF6C">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7.1.2.1  器具</w:t>
      </w:r>
    </w:p>
    <w:p w14:paraId="04477772">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应用温针灸时所使用的针具应选用一次性针具。温灸器与身体接触部位应洁净。</w:t>
      </w:r>
    </w:p>
    <w:p w14:paraId="49A0B750">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7.1.2.2  部位</w:t>
      </w:r>
    </w:p>
    <w:p w14:paraId="75C3CEB8">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应用温针灸时所采用的针刺部位可用含75％乙醇或0.5％～1％碘伏的棉球在施术部位由中心向外做环形擦拭。其他灸法施术部位应无污染。</w:t>
      </w:r>
    </w:p>
    <w:p w14:paraId="57D8D5A7">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7.1.2.3  操作者</w:t>
      </w:r>
    </w:p>
    <w:p w14:paraId="4AD1291A">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操作者双手应用肥皂水清洗干净，再用75％乙醇棉球擦拭。</w:t>
      </w:r>
    </w:p>
    <w:p w14:paraId="5B734E36">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7.1.3  环境</w:t>
      </w:r>
    </w:p>
    <w:p w14:paraId="0E310FAC">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治疗室内清洁，安静，光线明亮，温度适宜，避免吹风受凉。</w:t>
      </w:r>
    </w:p>
    <w:p w14:paraId="195FBF97">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7.1.4  体位</w:t>
      </w:r>
    </w:p>
    <w:p w14:paraId="53974AAB">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选择患儿舒适、操作者便于操作的治疗体位。患儿一般根据治疗部位选取俯卧位或仰卧位，3岁以下患儿也可以坐在家长腿上。操作者站于患儿右侧。</w:t>
      </w:r>
    </w:p>
    <w:p w14:paraId="02F16556">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7.1.5  穴位</w:t>
      </w:r>
    </w:p>
    <w:p w14:paraId="080EB683">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根据病症选取适当的穴位或治疗部位。穴位定位应符合</w:t>
      </w:r>
      <w:r>
        <w:rPr>
          <w:rFonts w:hint="eastAsia" w:ascii="宋体" w:hAnsi="宋体" w:cs="宋体"/>
          <w:color w:val="000000" w:themeColor="text1"/>
          <w14:textFill>
            <w14:solidFill>
              <w14:schemeClr w14:val="tx1"/>
            </w14:solidFill>
          </w14:textFill>
        </w:rPr>
        <w:t>WHO国际针灸标准穴位、</w:t>
      </w:r>
      <w:r>
        <w:rPr>
          <w:rFonts w:hint="eastAsia"/>
          <w:color w:val="000000" w:themeColor="text1"/>
          <w14:textFill>
            <w14:solidFill>
              <w14:schemeClr w14:val="tx1"/>
            </w14:solidFill>
          </w14:textFill>
        </w:rPr>
        <w:t>GB/T 12346、GB/T 40997的规定。</w:t>
      </w:r>
    </w:p>
    <w:p w14:paraId="36AC0A93">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7.1.6  术前护理</w:t>
      </w:r>
    </w:p>
    <w:p w14:paraId="6C5AB8E5">
      <w:pPr>
        <w:spacing w:line="276" w:lineRule="auto"/>
        <w:ind w:firstLine="42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a) </w:t>
      </w:r>
      <w:r>
        <w:rPr>
          <w:rFonts w:hint="eastAsia"/>
          <w:color w:val="000000" w:themeColor="text1"/>
          <w14:textFill>
            <w14:solidFill>
              <w14:schemeClr w14:val="tx1"/>
            </w14:solidFill>
          </w14:textFill>
        </w:rPr>
        <w:t>备齐灸材、器具至患儿床边。</w:t>
      </w:r>
    </w:p>
    <w:p w14:paraId="7F67CCE1">
      <w:pPr>
        <w:spacing w:line="276" w:lineRule="auto"/>
        <w:ind w:firstLine="42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b) </w:t>
      </w:r>
      <w:r>
        <w:rPr>
          <w:rFonts w:hint="eastAsia"/>
          <w:color w:val="000000" w:themeColor="text1"/>
          <w14:textFill>
            <w14:solidFill>
              <w14:schemeClr w14:val="tx1"/>
            </w14:solidFill>
          </w14:textFill>
        </w:rPr>
        <w:t>对3岁及以上儿童做好心理护理，说明治疗的意义和注意事项，进行精神安慰与鼓励，消除患儿的紧张恐惧情绪，使患儿及家长能积极主动配合操作。</w:t>
      </w:r>
    </w:p>
    <w:p w14:paraId="0743594E">
      <w:pPr>
        <w:spacing w:line="276" w:lineRule="auto"/>
        <w:ind w:firstLine="42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c) </w:t>
      </w:r>
      <w:r>
        <w:rPr>
          <w:rFonts w:hint="eastAsia"/>
          <w:color w:val="000000" w:themeColor="text1"/>
          <w14:textFill>
            <w14:solidFill>
              <w14:schemeClr w14:val="tx1"/>
            </w14:solidFill>
          </w14:textFill>
        </w:rPr>
        <w:t>对不能合作的3岁以下患儿，可在施术前由家长协助，抱持固定患儿于合适体位。</w:t>
      </w:r>
    </w:p>
    <w:p w14:paraId="6E3B72BA">
      <w:pPr>
        <w:tabs>
          <w:tab w:val="left" w:pos="360"/>
          <w:tab w:val="left" w:pos="540"/>
        </w:tabs>
        <w:spacing w:before="157" w:beforeLines="50" w:after="157" w:afterLines="50" w:line="276" w:lineRule="auto"/>
        <w:outlineLvl w:val="1"/>
        <w:rPr>
          <w:rFonts w:ascii="黑体" w:hAnsi="黑体" w:eastAsia="黑体"/>
          <w:color w:val="000000" w:themeColor="text1"/>
          <w14:textFill>
            <w14:solidFill>
              <w14:schemeClr w14:val="tx1"/>
            </w14:solidFill>
          </w14:textFill>
        </w:rPr>
      </w:pPr>
      <w:bookmarkStart w:id="43" w:name="_Toc15041"/>
      <w:r>
        <w:rPr>
          <w:rFonts w:hint="eastAsia" w:ascii="黑体" w:hAnsi="黑体" w:eastAsia="黑体"/>
          <w:color w:val="000000" w:themeColor="text1"/>
          <w14:textFill>
            <w14:solidFill>
              <w14:schemeClr w14:val="tx1"/>
            </w14:solidFill>
          </w14:textFill>
        </w:rPr>
        <w:t>7.2 施术方法</w:t>
      </w:r>
      <w:bookmarkEnd w:id="43"/>
    </w:p>
    <w:p w14:paraId="4C0C2AD2">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7.2.1  艾条灸法</w:t>
      </w:r>
    </w:p>
    <w:p w14:paraId="3DEB58EA">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7.2.1.1  悬起灸法</w:t>
      </w:r>
    </w:p>
    <w:p w14:paraId="2B1C4178">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温和灸：操作者手持艾条，点燃艾条的末端，将艾条燃着端悬于施灸部位上2 cm～3 cm处，使热力较为温和地作用于施灸部位。灸至患儿有温热舒适无灼痛的感觉、皮肤稍有红晕为度。此法较为温和，适于儿科使用。</w:t>
      </w:r>
    </w:p>
    <w:p w14:paraId="46DFCAE1">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回旋灸：操作者手持艾条，点燃艾条的末端，将艾条燃着端悬于施灸部位上2 cm～3 cm处，平行往复回旋熏灸，灸至患儿有温热感而不至于灼痛为度。</w:t>
      </w:r>
    </w:p>
    <w:p w14:paraId="55D34623">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雀啄灸：操作者手持艾条，点燃艾条的末端，将艾条燃着端悬于施灸部位上2 cm～3 cm范围内，对准穴位，上下移动，使之如鸟雀啄食样，一起一落活动地施灸。以患儿有温热感且可耐受为度。3岁以下患儿慎用此法。</w:t>
      </w:r>
    </w:p>
    <w:p w14:paraId="5AED126D">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施用灸法时，操作者应将示、中两指置于施灸部位两侧，通过操作者手指来感知患儿受热程度，以随时调节施灸距离，掌握施灸时间，以防灼伤。</w:t>
      </w:r>
    </w:p>
    <w:p w14:paraId="2C9B9044">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7.2.1.2  实按灸法</w:t>
      </w:r>
    </w:p>
    <w:p w14:paraId="1A5058C5">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选定施灸部位，以特制药艾条点燃一端。在穴位处铺设约5～10层棉纸、棉布或无菌纱布，以隔热防烫。操作者以执笔状手持艾条，将燃着端对准施灸部位，隔着铺设物紧按在穴位上，停留约1s～2s，使药气与热力透达深部，患儿局部有明显温热感即提起艾条，稍停后再按。如操作中艾火熄灭，可重新点燃或以预先点燃的备用艾条迅速接替施灸，如此反复。每次每穴按灸约3～7次，移去艾条和铺设物，见患儿施灸部位皮肤出现温热和红晕现象为度。每日或隔日1次。</w:t>
      </w:r>
    </w:p>
    <w:p w14:paraId="0F15ABDB">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7.2.2  艾炷灸法</w:t>
      </w:r>
    </w:p>
    <w:p w14:paraId="2E92B8E6">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7.2.2.1  直接灸法</w:t>
      </w:r>
    </w:p>
    <w:p w14:paraId="5A774F8A">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首先在穴位皮肤局部涂增加黏附或刺激作用的液汁或油脂，如大蒜汁、凡士林、甘油等，然后将艾炷粘贴其上，自艾炷尖端点燃艾炷。待艾炷燃烧一半，局部皮肤潮红、有灼痛感时，操作者即用镊子移去艾炷，称一壮，更换另一艾炷，连续灸足应灸的壮数。</w:t>
      </w:r>
    </w:p>
    <w:p w14:paraId="4D6FC446">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7.2.2.2  间接灸法</w:t>
      </w:r>
    </w:p>
    <w:p w14:paraId="5B3718A5">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将选定备好的中药材（如生姜片、大蒜片、食盐等）置放灸处，再将艾炷放在药物上，自艾炷尖端点燃艾炷；艾炷燃烧至局部皮肤潮红，大年龄患儿有痛觉时，可将间隔药材稍许上提，使之离开皮肤片刻，旋即放下，再行灸治，反复进行。</w:t>
      </w:r>
    </w:p>
    <w:p w14:paraId="42D9F0CA">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小儿间接灸刺激量宜轻，在艾炷燃至2/3时即移去，或更换另一艾炷续灸，直至灸足应灸的壮数。常用间接灸法参见附录</w:t>
      </w:r>
      <w:r>
        <w:rPr>
          <w:color w:val="000000" w:themeColor="text1"/>
          <w14:textFill>
            <w14:solidFill>
              <w14:schemeClr w14:val="tx1"/>
            </w14:solidFill>
          </w14:textFill>
        </w:rPr>
        <w:t>Ｄ</w:t>
      </w:r>
      <w:r>
        <w:rPr>
          <w:rFonts w:hint="eastAsia"/>
          <w:color w:val="000000" w:themeColor="text1"/>
          <w14:textFill>
            <w14:solidFill>
              <w14:schemeClr w14:val="tx1"/>
            </w14:solidFill>
          </w14:textFill>
        </w:rPr>
        <w:t>。</w:t>
      </w:r>
    </w:p>
    <w:p w14:paraId="7FDCABA1">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7.2.3  温针灸法</w:t>
      </w:r>
    </w:p>
    <w:p w14:paraId="44D7547D">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首先在选定的腧穴上针刺，毫针刺入穴位得气并施行适当的补泻手法后，在留针时将1 cm～2 cm长短的艾条段直接套在针柄上（艾条段应距皮肤3 cm～4 cm），点燃施灸，待艾条燃尽无热度后除去灰烬，将针取出。在艾条段燃烧过程中，如患儿觉灼烫难忍，可在该穴区置一适当大小硬纸片，以减轻热力。</w:t>
      </w:r>
    </w:p>
    <w:p w14:paraId="03ABD2FA">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7.2.4  温灸器灸法</w:t>
      </w:r>
    </w:p>
    <w:p w14:paraId="4C275A55">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7.2.4.1  灸架灸法</w:t>
      </w:r>
    </w:p>
    <w:p w14:paraId="52421E88">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将艾条点燃后插入灸架顶孔，对准穴位固定好灸架。操作者可通过上下调节插入艾条的高度以调节艾灸温度，以患儿感到温热略烫可耐受或皮肤稍潮红为宜。灸毕移去灸架，取出艾条熄灭。灸架参见</w:t>
      </w:r>
      <w:r>
        <w:rPr>
          <w:rFonts w:hint="eastAsia" w:ascii="黑体" w:hAnsi="黑体" w:eastAsia="黑体" w:cs="黑体"/>
          <w:color w:val="000000" w:themeColor="text1"/>
          <w14:textFill>
            <w14:solidFill>
              <w14:schemeClr w14:val="tx1"/>
            </w14:solidFill>
          </w14:textFill>
        </w:rPr>
        <w:t>附录</w:t>
      </w:r>
      <w:r>
        <w:rPr>
          <w:rFonts w:ascii="黑体" w:hAnsi="黑体" w:eastAsia="黑体" w:cs="黑体"/>
          <w:color w:val="000000" w:themeColor="text1"/>
          <w14:textFill>
            <w14:solidFill>
              <w14:schemeClr w14:val="tx1"/>
            </w14:solidFill>
          </w14:textFill>
        </w:rPr>
        <w:t>Ｅ</w:t>
      </w:r>
      <w:r>
        <w:rPr>
          <w:rFonts w:hint="eastAsia"/>
          <w:color w:val="000000" w:themeColor="text1"/>
          <w14:textFill>
            <w14:solidFill>
              <w14:schemeClr w14:val="tx1"/>
            </w14:solidFill>
          </w14:textFill>
        </w:rPr>
        <w:t>。</w:t>
      </w:r>
    </w:p>
    <w:p w14:paraId="2D055C6B">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7.2.4.2  灸筒灸法</w:t>
      </w:r>
    </w:p>
    <w:p w14:paraId="0B33FC6F">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首先取出灸筒的内筒，装入艾绒后安上外筒，点燃内筒中央部的艾绒，放置室外，待灸筒外面热烫而艾烟较少时，盖上顶盖取回。操作者在施灸部位上置8～10层清洁棉布或纱布，将灸筒放置其上，以患儿感到舒适、热力足而不烫伤皮肤为适宜。灸毕移去灸筒，取出灸艾并熄灭灰烬。灸筒参见</w:t>
      </w:r>
      <w:r>
        <w:rPr>
          <w:rFonts w:hint="eastAsia" w:ascii="黑体" w:hAnsi="黑体" w:eastAsia="黑体" w:cs="黑体"/>
          <w:color w:val="000000" w:themeColor="text1"/>
          <w14:textFill>
            <w14:solidFill>
              <w14:schemeClr w14:val="tx1"/>
            </w14:solidFill>
          </w14:textFill>
        </w:rPr>
        <w:t>附录</w:t>
      </w:r>
      <w:r>
        <w:rPr>
          <w:rFonts w:ascii="黑体" w:hAnsi="黑体" w:eastAsia="黑体" w:cs="黑体"/>
          <w:color w:val="000000" w:themeColor="text1"/>
          <w14:textFill>
            <w14:solidFill>
              <w14:schemeClr w14:val="tx1"/>
            </w14:solidFill>
          </w14:textFill>
        </w:rPr>
        <w:t>Ｅ</w:t>
      </w:r>
      <w:r>
        <w:rPr>
          <w:rFonts w:hint="eastAsia"/>
          <w:color w:val="000000" w:themeColor="text1"/>
          <w14:textFill>
            <w14:solidFill>
              <w14:schemeClr w14:val="tx1"/>
            </w14:solidFill>
          </w14:textFill>
        </w:rPr>
        <w:t>。</w:t>
      </w:r>
    </w:p>
    <w:p w14:paraId="2749E36D">
      <w:pPr>
        <w:spacing w:before="156" w:beforeLines="50" w:after="156" w:afterLines="50" w:line="276" w:lineRule="auto"/>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7.2.4.3  灸盒灸法</w:t>
      </w:r>
    </w:p>
    <w:p w14:paraId="4A834FD1">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将灸盒安放于施灸部位，点燃艾条段或艾绒后，置放于灸盒内中下部的铁纱上，盖上盒盖，灸至患儿有温热感且舒适无灼痛、皮肤稍有红晕为度。如患儿感到灼烫，可略掀开盒盖或抬起灸盒，使之离开皮肤片刻，旋即放下，再行灸治，反复进行，直至灸足应灸量。灸毕移去灸盒，取出灸艾并熄灭灰烬。灸盒参见</w:t>
      </w:r>
      <w:r>
        <w:rPr>
          <w:rFonts w:hint="eastAsia" w:ascii="黑体" w:hAnsi="黑体" w:eastAsia="黑体" w:cs="黑体"/>
          <w:color w:val="000000" w:themeColor="text1"/>
          <w14:textFill>
            <w14:solidFill>
              <w14:schemeClr w14:val="tx1"/>
            </w14:solidFill>
          </w14:textFill>
        </w:rPr>
        <w:t>附录</w:t>
      </w:r>
      <w:r>
        <w:rPr>
          <w:rFonts w:ascii="黑体" w:hAnsi="黑体" w:eastAsia="黑体" w:cs="黑体"/>
          <w:color w:val="000000" w:themeColor="text1"/>
          <w14:textFill>
            <w14:solidFill>
              <w14:schemeClr w14:val="tx1"/>
            </w14:solidFill>
          </w14:textFill>
        </w:rPr>
        <w:t>Ｅ</w:t>
      </w:r>
      <w:r>
        <w:rPr>
          <w:rFonts w:hint="eastAsia"/>
          <w:color w:val="000000" w:themeColor="text1"/>
          <w14:textFill>
            <w14:solidFill>
              <w14:schemeClr w14:val="tx1"/>
            </w14:solidFill>
          </w14:textFill>
        </w:rPr>
        <w:t>。</w:t>
      </w:r>
    </w:p>
    <w:p w14:paraId="0978E978">
      <w:pPr>
        <w:pStyle w:val="13"/>
        <w:snapToGrid w:val="0"/>
        <w:spacing w:before="156" w:beforeLines="50" w:after="156" w:afterLines="50" w:line="276" w:lineRule="auto"/>
        <w:jc w:val="left"/>
        <w:outlineLvl w:val="9"/>
        <w:rPr>
          <w:rFonts w:ascii="黑体" w:hAnsi="黑体" w:eastAsia="黑体" w:cs="Arial"/>
          <w:b w:val="0"/>
          <w:color w:val="000000" w:themeColor="text1"/>
          <w:spacing w:val="8"/>
          <w:kern w:val="0"/>
          <w:sz w:val="21"/>
          <w:lang w:val="en-US"/>
          <w14:textFill>
            <w14:solidFill>
              <w14:schemeClr w14:val="tx1"/>
            </w14:solidFill>
          </w14:textFill>
        </w:rPr>
      </w:pPr>
      <w:r>
        <w:rPr>
          <w:rFonts w:hint="eastAsia" w:ascii="黑体" w:hAnsi="黑体" w:eastAsia="黑体" w:cs="Arial"/>
          <w:b w:val="0"/>
          <w:color w:val="000000" w:themeColor="text1"/>
          <w:spacing w:val="8"/>
          <w:kern w:val="0"/>
          <w:sz w:val="21"/>
          <w:lang w:val="en-US"/>
          <w14:textFill>
            <w14:solidFill>
              <w14:schemeClr w14:val="tx1"/>
            </w14:solidFill>
          </w14:textFill>
        </w:rPr>
        <w:t>7.2.5  艾灸量、治疗时间及疗程、晕灸的处理办法</w:t>
      </w:r>
    </w:p>
    <w:p w14:paraId="173ABA4C">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艾灸量、治疗时间及疗程、晕灸的处理办法参见</w:t>
      </w:r>
      <w:r>
        <w:rPr>
          <w:rFonts w:hint="eastAsia" w:ascii="黑体" w:hAnsi="黑体" w:eastAsia="黑体" w:cs="黑体"/>
          <w:color w:val="000000" w:themeColor="text1"/>
          <w14:textFill>
            <w14:solidFill>
              <w14:schemeClr w14:val="tx1"/>
            </w14:solidFill>
          </w14:textFill>
        </w:rPr>
        <w:t>附录Ｇ</w:t>
      </w:r>
      <w:r>
        <w:rPr>
          <w:rFonts w:hint="eastAsia"/>
          <w:color w:val="000000" w:themeColor="text1"/>
          <w14:textFill>
            <w14:solidFill>
              <w14:schemeClr w14:val="tx1"/>
            </w14:solidFill>
          </w14:textFill>
        </w:rPr>
        <w:t>。</w:t>
      </w:r>
    </w:p>
    <w:p w14:paraId="6AAF0BCF">
      <w:pPr>
        <w:tabs>
          <w:tab w:val="left" w:pos="360"/>
          <w:tab w:val="left" w:pos="540"/>
        </w:tabs>
        <w:spacing w:before="157" w:beforeLines="50" w:after="157" w:afterLines="50" w:line="276" w:lineRule="auto"/>
        <w:outlineLvl w:val="1"/>
        <w:rPr>
          <w:rFonts w:ascii="黑体" w:hAnsi="黑体" w:eastAsia="黑体"/>
          <w:color w:val="000000" w:themeColor="text1"/>
          <w14:textFill>
            <w14:solidFill>
              <w14:schemeClr w14:val="tx1"/>
            </w14:solidFill>
          </w14:textFill>
        </w:rPr>
      </w:pPr>
      <w:bookmarkStart w:id="44" w:name="_Toc15623"/>
      <w:r>
        <w:rPr>
          <w:rFonts w:hint="eastAsia" w:ascii="黑体" w:hAnsi="黑体" w:eastAsia="黑体"/>
          <w:color w:val="000000" w:themeColor="text1"/>
          <w14:textFill>
            <w14:solidFill>
              <w14:schemeClr w14:val="tx1"/>
            </w14:solidFill>
          </w14:textFill>
        </w:rPr>
        <w:t>7.3 术后护理</w:t>
      </w:r>
      <w:bookmarkEnd w:id="44"/>
    </w:p>
    <w:p w14:paraId="60284CA2">
      <w:pPr>
        <w:spacing w:line="276"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施灸后，皮肤多有红晕灼热感，不需处理，可自行消失。应避免造成患儿皮肤损伤，若施灸部位局部发生水肿或水泡，水泡直径小于1 cm时，避免擦破，可任其自然吸收；如水泡直径在1 cm以上且泡液较多时，建议请外科医师协助处理。</w:t>
      </w:r>
    </w:p>
    <w:p w14:paraId="66087041">
      <w:pPr>
        <w:spacing w:before="312" w:beforeLines="100" w:after="312" w:afterLines="100" w:line="276" w:lineRule="auto"/>
        <w:outlineLvl w:val="0"/>
        <w:rPr>
          <w:rFonts w:ascii="黑体" w:hAnsi="黑体" w:eastAsia="黑体" w:cs="宋体"/>
          <w:color w:val="000000" w:themeColor="text1"/>
          <w:szCs w:val="18"/>
          <w14:textFill>
            <w14:solidFill>
              <w14:schemeClr w14:val="tx1"/>
            </w14:solidFill>
          </w14:textFill>
        </w:rPr>
      </w:pPr>
      <w:bookmarkStart w:id="45" w:name="_Toc2545"/>
      <w:bookmarkStart w:id="46" w:name="_Toc26196"/>
      <w:bookmarkStart w:id="47" w:name="_Toc7008"/>
      <w:r>
        <w:rPr>
          <w:rFonts w:ascii="黑体" w:hAnsi="黑体" w:eastAsia="黑体" w:cs="宋体"/>
          <w:color w:val="000000" w:themeColor="text1"/>
          <w:szCs w:val="18"/>
          <w14:textFill>
            <w14:solidFill>
              <w14:schemeClr w14:val="tx1"/>
            </w14:solidFill>
          </w14:textFill>
        </w:rPr>
        <w:t>8 注意事项和禁忌</w:t>
      </w:r>
      <w:bookmarkEnd w:id="45"/>
      <w:bookmarkEnd w:id="46"/>
      <w:bookmarkEnd w:id="47"/>
    </w:p>
    <w:p w14:paraId="1511C5EC">
      <w:pPr>
        <w:spacing w:line="276" w:lineRule="auto"/>
        <w:ind w:firstLine="420"/>
        <w:rPr>
          <w:rFonts w:ascii="Cambria" w:hAnsi="Cambria" w:cs="Cambria"/>
          <w:color w:val="000000" w:themeColor="text1"/>
          <w14:textFill>
            <w14:solidFill>
              <w14:schemeClr w14:val="tx1"/>
            </w14:solidFill>
          </w14:textFill>
        </w:rPr>
      </w:pPr>
      <w:r>
        <w:rPr>
          <w:rFonts w:ascii="Cambria" w:hAnsi="Cambria" w:cs="Cambria"/>
          <w:color w:val="000000" w:themeColor="text1"/>
          <w14:textFill>
            <w14:solidFill>
              <w14:schemeClr w14:val="tx1"/>
            </w14:solidFill>
          </w14:textFill>
        </w:rPr>
        <w:t>小儿针灸疗法注意事项和禁忌见</w:t>
      </w:r>
      <w:r>
        <w:rPr>
          <w:rFonts w:hint="eastAsia" w:ascii="黑体" w:hAnsi="黑体" w:eastAsia="黑体" w:cs="黑体"/>
          <w:color w:val="000000" w:themeColor="text1"/>
          <w14:textFill>
            <w14:solidFill>
              <w14:schemeClr w14:val="tx1"/>
            </w14:solidFill>
          </w14:textFill>
        </w:rPr>
        <w:t>附录Ｈ</w:t>
      </w:r>
      <w:r>
        <w:rPr>
          <w:rFonts w:ascii="Cambria" w:hAnsi="Cambria" w:cs="Cambria"/>
          <w:color w:val="000000" w:themeColor="text1"/>
          <w14:textFill>
            <w14:solidFill>
              <w14:schemeClr w14:val="tx1"/>
            </w14:solidFill>
          </w14:textFill>
        </w:rPr>
        <w:t>和</w:t>
      </w:r>
      <w:r>
        <w:rPr>
          <w:rFonts w:hint="eastAsia" w:ascii="黑体" w:hAnsi="黑体" w:eastAsia="黑体" w:cs="黑体"/>
          <w:color w:val="000000" w:themeColor="text1"/>
          <w14:textFill>
            <w14:solidFill>
              <w14:schemeClr w14:val="tx1"/>
            </w14:solidFill>
          </w14:textFill>
        </w:rPr>
        <w:t>附录Ｉ</w:t>
      </w:r>
      <w:r>
        <w:rPr>
          <w:rFonts w:ascii="Cambria" w:hAnsi="Cambria" w:cs="Cambria"/>
          <w:color w:val="000000" w:themeColor="text1"/>
          <w14:textFill>
            <w14:solidFill>
              <w14:schemeClr w14:val="tx1"/>
            </w14:solidFill>
          </w14:textFill>
        </w:rPr>
        <w:t>。</w:t>
      </w:r>
    </w:p>
    <w:p w14:paraId="32133E7A">
      <w:pPr>
        <w:spacing w:line="276" w:lineRule="auto"/>
        <w:jc w:val="center"/>
        <w:outlineLvl w:val="0"/>
        <w:rPr>
          <w:rFonts w:ascii="黑体" w:hAnsi="黑体" w:eastAsia="黑体" w:cs="黑体"/>
          <w:color w:val="000000" w:themeColor="text1"/>
          <w14:textFill>
            <w14:solidFill>
              <w14:schemeClr w14:val="tx1"/>
            </w14:solidFill>
          </w14:textFill>
        </w:rPr>
      </w:pPr>
      <w:r>
        <w:rPr>
          <w:rFonts w:ascii="Cambria" w:hAnsi="Cambria" w:cs="Cambria"/>
          <w:color w:val="000000" w:themeColor="text1"/>
          <w14:textFill>
            <w14:solidFill>
              <w14:schemeClr w14:val="tx1"/>
            </w14:solidFill>
          </w14:textFill>
        </w:rPr>
        <w:br w:type="page"/>
      </w:r>
      <w:bookmarkStart w:id="48" w:name="_Toc20164"/>
      <w:bookmarkStart w:id="49" w:name="_Toc3526"/>
      <w:bookmarkStart w:id="50" w:name="_Toc22993"/>
      <w:r>
        <w:rPr>
          <w:rFonts w:hint="eastAsia" w:ascii="黑体" w:hAnsi="黑体" w:eastAsia="黑体" w:cs="黑体"/>
          <w:color w:val="000000" w:themeColor="text1"/>
          <w14:textFill>
            <w14:solidFill>
              <w14:schemeClr w14:val="tx1"/>
            </w14:solidFill>
          </w14:textFill>
        </w:rPr>
        <w:t>附录Ａ</w:t>
      </w:r>
      <w:bookmarkEnd w:id="48"/>
      <w:bookmarkEnd w:id="49"/>
      <w:bookmarkEnd w:id="50"/>
    </w:p>
    <w:p w14:paraId="3DE6804A">
      <w:pPr>
        <w:spacing w:line="276" w:lineRule="auto"/>
        <w:jc w:val="center"/>
        <w:outlineLvl w:val="0"/>
        <w:rPr>
          <w:rFonts w:ascii="黑体" w:hAnsi="黑体" w:eastAsia="黑体" w:cs="黑体"/>
          <w:color w:val="000000" w:themeColor="text1"/>
          <w14:textFill>
            <w14:solidFill>
              <w14:schemeClr w14:val="tx1"/>
            </w14:solidFill>
          </w14:textFill>
        </w:rPr>
      </w:pPr>
      <w:bookmarkStart w:id="51" w:name="_Toc23863"/>
      <w:bookmarkStart w:id="52" w:name="_Toc6001"/>
      <w:bookmarkStart w:id="53" w:name="_Toc2479"/>
      <w:bookmarkStart w:id="54" w:name="_Toc26627"/>
      <w:r>
        <w:rPr>
          <w:rFonts w:hint="eastAsia" w:ascii="黑体" w:hAnsi="黑体" w:eastAsia="黑体" w:cs="黑体"/>
          <w:color w:val="000000" w:themeColor="text1"/>
          <w14:textFill>
            <w14:solidFill>
              <w14:schemeClr w14:val="tx1"/>
            </w14:solidFill>
          </w14:textFill>
        </w:rPr>
        <w:t>（资料性）</w:t>
      </w:r>
      <w:bookmarkEnd w:id="51"/>
      <w:bookmarkEnd w:id="52"/>
      <w:bookmarkEnd w:id="53"/>
      <w:bookmarkEnd w:id="54"/>
    </w:p>
    <w:p w14:paraId="7CA8EC0C">
      <w:pPr>
        <w:spacing w:line="276" w:lineRule="auto"/>
        <w:jc w:val="center"/>
        <w:outlineLvl w:val="0"/>
        <w:rPr>
          <w:rFonts w:ascii="黑体" w:hAnsi="黑体" w:eastAsia="黑体" w:cs="黑体"/>
          <w:color w:val="000000" w:themeColor="text1"/>
          <w14:textFill>
            <w14:solidFill>
              <w14:schemeClr w14:val="tx1"/>
            </w14:solidFill>
          </w14:textFill>
        </w:rPr>
      </w:pPr>
      <w:bookmarkStart w:id="55" w:name="_Toc18295"/>
      <w:bookmarkStart w:id="56" w:name="_Toc13791"/>
      <w:bookmarkStart w:id="57" w:name="_Toc11959"/>
      <w:bookmarkStart w:id="58" w:name="_Toc31814"/>
      <w:r>
        <w:rPr>
          <w:rFonts w:hint="eastAsia" w:ascii="黑体" w:hAnsi="黑体" w:eastAsia="黑体" w:cs="黑体"/>
          <w:color w:val="000000" w:themeColor="text1"/>
          <w14:textFill>
            <w14:solidFill>
              <w14:schemeClr w14:val="tx1"/>
            </w14:solidFill>
          </w14:textFill>
        </w:rPr>
        <w:t>常用毫针</w:t>
      </w:r>
      <w:bookmarkEnd w:id="55"/>
      <w:bookmarkEnd w:id="56"/>
      <w:bookmarkEnd w:id="57"/>
      <w:bookmarkEnd w:id="58"/>
    </w:p>
    <w:p w14:paraId="5AC39843">
      <w:pPr>
        <w:spacing w:line="276" w:lineRule="auto"/>
        <w:ind w:firstLine="420" w:firstLineChars="200"/>
        <w:rPr>
          <w:rFonts w:ascii="Cambria" w:hAnsi="Cambria" w:cs="Cambria"/>
          <w:color w:val="000000" w:themeColor="text1"/>
          <w14:textFill>
            <w14:solidFill>
              <w14:schemeClr w14:val="tx1"/>
            </w14:solidFill>
          </w14:textFill>
        </w:rPr>
      </w:pPr>
      <w:r>
        <w:rPr>
          <w:rFonts w:hint="eastAsia"/>
          <w:color w:val="000000" w:themeColor="text1"/>
          <w14:textFill>
            <w14:solidFill>
              <w14:schemeClr w14:val="tx1"/>
            </w14:solidFill>
          </w14:textFill>
        </w:rPr>
        <w:t>毫针是临床应用最广泛的针具，现多采用一次性不锈钢针。毫针的规格，主要是指针身</w:t>
      </w:r>
      <w:r>
        <w:rPr>
          <w:rFonts w:ascii="Cambria" w:hAnsi="Cambria" w:cs="Cambria"/>
          <w:color w:val="000000" w:themeColor="text1"/>
          <w14:textFill>
            <w14:solidFill>
              <w14:schemeClr w14:val="tx1"/>
            </w14:solidFill>
          </w14:textFill>
        </w:rPr>
        <w:t>的粗细和长短。常用毫针的长度、直径规格见表A.1、表A.2。</w:t>
      </w:r>
    </w:p>
    <w:p w14:paraId="0DE94073">
      <w:pPr>
        <w:spacing w:line="276" w:lineRule="auto"/>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表A.1毫针的长度规格</w:t>
      </w:r>
    </w:p>
    <w:tbl>
      <w:tblPr>
        <w:tblStyle w:val="15"/>
        <w:tblW w:w="8324" w:type="dxa"/>
        <w:jc w:val="center"/>
        <w:shd w:val="clear" w:color="auto" w:fill="auto"/>
        <w:tblLayout w:type="fixed"/>
        <w:tblCellMar>
          <w:top w:w="0" w:type="dxa"/>
          <w:left w:w="10" w:type="dxa"/>
          <w:bottom w:w="0" w:type="dxa"/>
          <w:right w:w="10" w:type="dxa"/>
        </w:tblCellMar>
      </w:tblPr>
      <w:tblGrid>
        <w:gridCol w:w="763"/>
        <w:gridCol w:w="758"/>
        <w:gridCol w:w="758"/>
        <w:gridCol w:w="763"/>
        <w:gridCol w:w="758"/>
        <w:gridCol w:w="758"/>
        <w:gridCol w:w="758"/>
        <w:gridCol w:w="763"/>
        <w:gridCol w:w="758"/>
        <w:gridCol w:w="759"/>
        <w:gridCol w:w="728"/>
      </w:tblGrid>
      <w:tr w14:paraId="259DC0C6">
        <w:tblPrEx>
          <w:tblCellMar>
            <w:top w:w="0" w:type="dxa"/>
            <w:left w:w="10" w:type="dxa"/>
            <w:bottom w:w="0" w:type="dxa"/>
            <w:right w:w="10" w:type="dxa"/>
          </w:tblCellMar>
        </w:tblPrEx>
        <w:trPr>
          <w:trHeight w:val="388" w:hRule="exact"/>
          <w:jc w:val="center"/>
        </w:trPr>
        <w:tc>
          <w:tcPr>
            <w:tcW w:w="763" w:type="dxa"/>
            <w:tcBorders>
              <w:top w:val="single" w:color="auto" w:sz="4" w:space="0"/>
              <w:left w:val="single" w:color="auto" w:sz="4" w:space="0"/>
            </w:tcBorders>
            <w:shd w:val="clear" w:color="auto" w:fill="auto"/>
            <w:vAlign w:val="center"/>
          </w:tcPr>
          <w:p w14:paraId="2A4FA073">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寸</w:t>
            </w:r>
          </w:p>
        </w:tc>
        <w:tc>
          <w:tcPr>
            <w:tcW w:w="758" w:type="dxa"/>
            <w:tcBorders>
              <w:top w:val="single" w:color="auto" w:sz="4" w:space="0"/>
              <w:left w:val="single" w:color="auto" w:sz="4" w:space="0"/>
            </w:tcBorders>
            <w:shd w:val="clear" w:color="auto" w:fill="auto"/>
            <w:vAlign w:val="center"/>
          </w:tcPr>
          <w:p w14:paraId="487D87AF">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0.5</w:t>
            </w:r>
          </w:p>
        </w:tc>
        <w:tc>
          <w:tcPr>
            <w:tcW w:w="758" w:type="dxa"/>
            <w:tcBorders>
              <w:top w:val="single" w:color="auto" w:sz="4" w:space="0"/>
              <w:left w:val="single" w:color="auto" w:sz="4" w:space="0"/>
            </w:tcBorders>
            <w:shd w:val="clear" w:color="auto" w:fill="auto"/>
            <w:vAlign w:val="center"/>
          </w:tcPr>
          <w:p w14:paraId="3F5206AC">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1.0</w:t>
            </w:r>
          </w:p>
        </w:tc>
        <w:tc>
          <w:tcPr>
            <w:tcW w:w="763" w:type="dxa"/>
            <w:tcBorders>
              <w:top w:val="single" w:color="auto" w:sz="4" w:space="0"/>
              <w:left w:val="single" w:color="auto" w:sz="4" w:space="0"/>
            </w:tcBorders>
            <w:shd w:val="clear" w:color="auto" w:fill="auto"/>
            <w:vAlign w:val="center"/>
          </w:tcPr>
          <w:p w14:paraId="2FF35B64">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1.5</w:t>
            </w:r>
          </w:p>
        </w:tc>
        <w:tc>
          <w:tcPr>
            <w:tcW w:w="758" w:type="dxa"/>
            <w:tcBorders>
              <w:top w:val="single" w:color="auto" w:sz="4" w:space="0"/>
              <w:left w:val="single" w:color="auto" w:sz="4" w:space="0"/>
            </w:tcBorders>
            <w:shd w:val="clear" w:color="auto" w:fill="auto"/>
            <w:vAlign w:val="center"/>
          </w:tcPr>
          <w:p w14:paraId="028015BD">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2.0</w:t>
            </w:r>
          </w:p>
        </w:tc>
        <w:tc>
          <w:tcPr>
            <w:tcW w:w="758" w:type="dxa"/>
            <w:tcBorders>
              <w:top w:val="single" w:color="auto" w:sz="4" w:space="0"/>
              <w:left w:val="single" w:color="auto" w:sz="4" w:space="0"/>
            </w:tcBorders>
            <w:shd w:val="clear" w:color="auto" w:fill="auto"/>
            <w:vAlign w:val="center"/>
          </w:tcPr>
          <w:p w14:paraId="4F831F99">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2.5</w:t>
            </w:r>
          </w:p>
        </w:tc>
        <w:tc>
          <w:tcPr>
            <w:tcW w:w="758" w:type="dxa"/>
            <w:tcBorders>
              <w:top w:val="single" w:color="auto" w:sz="4" w:space="0"/>
              <w:left w:val="single" w:color="auto" w:sz="4" w:space="0"/>
            </w:tcBorders>
            <w:shd w:val="clear" w:color="auto" w:fill="auto"/>
            <w:vAlign w:val="center"/>
          </w:tcPr>
          <w:p w14:paraId="1E5D9B50">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3.0</w:t>
            </w:r>
          </w:p>
        </w:tc>
        <w:tc>
          <w:tcPr>
            <w:tcW w:w="763" w:type="dxa"/>
            <w:tcBorders>
              <w:top w:val="single" w:color="auto" w:sz="4" w:space="0"/>
              <w:left w:val="single" w:color="auto" w:sz="4" w:space="0"/>
            </w:tcBorders>
            <w:shd w:val="clear" w:color="auto" w:fill="auto"/>
            <w:vAlign w:val="center"/>
          </w:tcPr>
          <w:p w14:paraId="398E5DA9">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3.5</w:t>
            </w:r>
          </w:p>
        </w:tc>
        <w:tc>
          <w:tcPr>
            <w:tcW w:w="758" w:type="dxa"/>
            <w:tcBorders>
              <w:top w:val="single" w:color="auto" w:sz="4" w:space="0"/>
              <w:left w:val="single" w:color="auto" w:sz="4" w:space="0"/>
            </w:tcBorders>
            <w:shd w:val="clear" w:color="auto" w:fill="auto"/>
            <w:vAlign w:val="center"/>
          </w:tcPr>
          <w:p w14:paraId="5D96A011">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4</w:t>
            </w:r>
          </w:p>
        </w:tc>
        <w:tc>
          <w:tcPr>
            <w:tcW w:w="759" w:type="dxa"/>
            <w:tcBorders>
              <w:top w:val="single" w:color="auto" w:sz="4" w:space="0"/>
              <w:left w:val="single" w:color="auto" w:sz="4" w:space="0"/>
            </w:tcBorders>
            <w:shd w:val="clear" w:color="auto" w:fill="auto"/>
            <w:vAlign w:val="center"/>
          </w:tcPr>
          <w:p w14:paraId="1C988789">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4.5</w:t>
            </w:r>
          </w:p>
        </w:tc>
        <w:tc>
          <w:tcPr>
            <w:tcW w:w="728" w:type="dxa"/>
            <w:tcBorders>
              <w:top w:val="single" w:color="auto" w:sz="4" w:space="0"/>
              <w:left w:val="single" w:color="auto" w:sz="4" w:space="0"/>
              <w:right w:val="single" w:color="auto" w:sz="4" w:space="0"/>
            </w:tcBorders>
            <w:shd w:val="clear" w:color="auto" w:fill="auto"/>
            <w:vAlign w:val="center"/>
          </w:tcPr>
          <w:p w14:paraId="68E47417">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5</w:t>
            </w:r>
          </w:p>
        </w:tc>
      </w:tr>
      <w:tr w14:paraId="652D5EB5">
        <w:tblPrEx>
          <w:tblCellMar>
            <w:top w:w="0" w:type="dxa"/>
            <w:left w:w="10" w:type="dxa"/>
            <w:bottom w:w="0" w:type="dxa"/>
            <w:right w:w="10" w:type="dxa"/>
          </w:tblCellMar>
        </w:tblPrEx>
        <w:trPr>
          <w:trHeight w:val="672" w:hRule="exact"/>
          <w:jc w:val="center"/>
        </w:trPr>
        <w:tc>
          <w:tcPr>
            <w:tcW w:w="763" w:type="dxa"/>
            <w:tcBorders>
              <w:top w:val="single" w:color="auto" w:sz="4" w:space="0"/>
              <w:left w:val="single" w:color="auto" w:sz="4" w:space="0"/>
              <w:bottom w:val="single" w:color="auto" w:sz="4" w:space="0"/>
            </w:tcBorders>
            <w:shd w:val="clear" w:color="auto" w:fill="auto"/>
            <w:vAlign w:val="center"/>
          </w:tcPr>
          <w:p w14:paraId="0C7E16C0">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长度</w:t>
            </w:r>
          </w:p>
          <w:p w14:paraId="2ACB3798">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mm</w:t>
            </w:r>
          </w:p>
        </w:tc>
        <w:tc>
          <w:tcPr>
            <w:tcW w:w="758" w:type="dxa"/>
            <w:tcBorders>
              <w:top w:val="single" w:color="auto" w:sz="4" w:space="0"/>
              <w:left w:val="single" w:color="auto" w:sz="4" w:space="0"/>
              <w:bottom w:val="single" w:color="auto" w:sz="4" w:space="0"/>
            </w:tcBorders>
            <w:shd w:val="clear" w:color="auto" w:fill="auto"/>
            <w:vAlign w:val="center"/>
          </w:tcPr>
          <w:p w14:paraId="69B0885C">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15</w:t>
            </w:r>
          </w:p>
        </w:tc>
        <w:tc>
          <w:tcPr>
            <w:tcW w:w="758" w:type="dxa"/>
            <w:tcBorders>
              <w:top w:val="single" w:color="auto" w:sz="4" w:space="0"/>
              <w:left w:val="single" w:color="auto" w:sz="4" w:space="0"/>
              <w:bottom w:val="single" w:color="auto" w:sz="4" w:space="0"/>
            </w:tcBorders>
            <w:shd w:val="clear" w:color="auto" w:fill="auto"/>
            <w:vAlign w:val="center"/>
          </w:tcPr>
          <w:p w14:paraId="5E4A042A">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25</w:t>
            </w:r>
          </w:p>
        </w:tc>
        <w:tc>
          <w:tcPr>
            <w:tcW w:w="763" w:type="dxa"/>
            <w:tcBorders>
              <w:top w:val="single" w:color="auto" w:sz="4" w:space="0"/>
              <w:left w:val="single" w:color="auto" w:sz="4" w:space="0"/>
              <w:bottom w:val="single" w:color="auto" w:sz="4" w:space="0"/>
            </w:tcBorders>
            <w:shd w:val="clear" w:color="auto" w:fill="auto"/>
            <w:vAlign w:val="center"/>
          </w:tcPr>
          <w:p w14:paraId="22843C7D">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40</w:t>
            </w:r>
          </w:p>
        </w:tc>
        <w:tc>
          <w:tcPr>
            <w:tcW w:w="758" w:type="dxa"/>
            <w:tcBorders>
              <w:top w:val="single" w:color="auto" w:sz="4" w:space="0"/>
              <w:left w:val="single" w:color="auto" w:sz="4" w:space="0"/>
              <w:bottom w:val="single" w:color="auto" w:sz="4" w:space="0"/>
            </w:tcBorders>
            <w:shd w:val="clear" w:color="auto" w:fill="auto"/>
            <w:vAlign w:val="center"/>
          </w:tcPr>
          <w:p w14:paraId="2F262C87">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50</w:t>
            </w:r>
          </w:p>
        </w:tc>
        <w:tc>
          <w:tcPr>
            <w:tcW w:w="758" w:type="dxa"/>
            <w:tcBorders>
              <w:top w:val="single" w:color="auto" w:sz="4" w:space="0"/>
              <w:left w:val="single" w:color="auto" w:sz="4" w:space="0"/>
              <w:bottom w:val="single" w:color="auto" w:sz="4" w:space="0"/>
            </w:tcBorders>
            <w:shd w:val="clear" w:color="auto" w:fill="auto"/>
            <w:vAlign w:val="center"/>
          </w:tcPr>
          <w:p w14:paraId="2BE4B2FC">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65</w:t>
            </w:r>
          </w:p>
        </w:tc>
        <w:tc>
          <w:tcPr>
            <w:tcW w:w="758" w:type="dxa"/>
            <w:tcBorders>
              <w:top w:val="single" w:color="auto" w:sz="4" w:space="0"/>
              <w:left w:val="single" w:color="auto" w:sz="4" w:space="0"/>
              <w:bottom w:val="single" w:color="auto" w:sz="4" w:space="0"/>
            </w:tcBorders>
            <w:shd w:val="clear" w:color="auto" w:fill="auto"/>
            <w:vAlign w:val="center"/>
          </w:tcPr>
          <w:p w14:paraId="776BF11A">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75</w:t>
            </w:r>
          </w:p>
        </w:tc>
        <w:tc>
          <w:tcPr>
            <w:tcW w:w="763" w:type="dxa"/>
            <w:tcBorders>
              <w:top w:val="single" w:color="auto" w:sz="4" w:space="0"/>
              <w:left w:val="single" w:color="auto" w:sz="4" w:space="0"/>
              <w:bottom w:val="single" w:color="auto" w:sz="4" w:space="0"/>
            </w:tcBorders>
            <w:shd w:val="clear" w:color="auto" w:fill="auto"/>
            <w:vAlign w:val="center"/>
          </w:tcPr>
          <w:p w14:paraId="74F81E1F">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90</w:t>
            </w:r>
          </w:p>
        </w:tc>
        <w:tc>
          <w:tcPr>
            <w:tcW w:w="758" w:type="dxa"/>
            <w:tcBorders>
              <w:top w:val="single" w:color="auto" w:sz="4" w:space="0"/>
              <w:left w:val="single" w:color="auto" w:sz="4" w:space="0"/>
              <w:bottom w:val="single" w:color="auto" w:sz="4" w:space="0"/>
            </w:tcBorders>
            <w:shd w:val="clear" w:color="auto" w:fill="auto"/>
            <w:vAlign w:val="center"/>
          </w:tcPr>
          <w:p w14:paraId="4B012FCD">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100</w:t>
            </w:r>
          </w:p>
        </w:tc>
        <w:tc>
          <w:tcPr>
            <w:tcW w:w="759" w:type="dxa"/>
            <w:tcBorders>
              <w:top w:val="single" w:color="auto" w:sz="4" w:space="0"/>
              <w:left w:val="single" w:color="auto" w:sz="4" w:space="0"/>
              <w:bottom w:val="single" w:color="auto" w:sz="4" w:space="0"/>
            </w:tcBorders>
            <w:shd w:val="clear" w:color="auto" w:fill="auto"/>
            <w:vAlign w:val="center"/>
          </w:tcPr>
          <w:p w14:paraId="36D3CB3C">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115</w:t>
            </w:r>
          </w:p>
        </w:tc>
        <w:tc>
          <w:tcPr>
            <w:tcW w:w="728" w:type="dxa"/>
            <w:tcBorders>
              <w:top w:val="single" w:color="auto" w:sz="4" w:space="0"/>
              <w:left w:val="single" w:color="auto" w:sz="4" w:space="0"/>
              <w:bottom w:val="single" w:color="auto" w:sz="4" w:space="0"/>
              <w:right w:val="single" w:color="auto" w:sz="4" w:space="0"/>
            </w:tcBorders>
            <w:shd w:val="clear" w:color="auto" w:fill="auto"/>
            <w:vAlign w:val="center"/>
          </w:tcPr>
          <w:p w14:paraId="641C8161">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125</w:t>
            </w:r>
          </w:p>
        </w:tc>
      </w:tr>
    </w:tbl>
    <w:p w14:paraId="0CDAC0C4">
      <w:pPr>
        <w:spacing w:line="276" w:lineRule="auto"/>
        <w:jc w:val="center"/>
        <w:rPr>
          <w:color w:val="000000" w:themeColor="text1"/>
          <w14:textFill>
            <w14:solidFill>
              <w14:schemeClr w14:val="tx1"/>
            </w14:solidFill>
          </w14:textFill>
        </w:rPr>
      </w:pPr>
    </w:p>
    <w:p w14:paraId="060857AD">
      <w:pPr>
        <w:spacing w:line="276" w:lineRule="auto"/>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表A.2毫针的直径规格</w:t>
      </w:r>
    </w:p>
    <w:tbl>
      <w:tblPr>
        <w:tblStyle w:val="15"/>
        <w:tblW w:w="4998" w:type="pct"/>
        <w:jc w:val="center"/>
        <w:shd w:val="clear" w:color="auto" w:fill="auto"/>
        <w:tblLayout w:type="autofit"/>
        <w:tblCellMar>
          <w:top w:w="0" w:type="dxa"/>
          <w:left w:w="10" w:type="dxa"/>
          <w:bottom w:w="0" w:type="dxa"/>
          <w:right w:w="10" w:type="dxa"/>
        </w:tblCellMar>
      </w:tblPr>
      <w:tblGrid>
        <w:gridCol w:w="701"/>
        <w:gridCol w:w="697"/>
        <w:gridCol w:w="697"/>
        <w:gridCol w:w="697"/>
        <w:gridCol w:w="697"/>
        <w:gridCol w:w="697"/>
        <w:gridCol w:w="702"/>
        <w:gridCol w:w="697"/>
        <w:gridCol w:w="906"/>
        <w:gridCol w:w="910"/>
        <w:gridCol w:w="922"/>
      </w:tblGrid>
      <w:tr w14:paraId="0C84FEBA">
        <w:tblPrEx>
          <w:shd w:val="clear" w:color="auto" w:fill="auto"/>
          <w:tblCellMar>
            <w:top w:w="0" w:type="dxa"/>
            <w:left w:w="10" w:type="dxa"/>
            <w:bottom w:w="0" w:type="dxa"/>
            <w:right w:w="10" w:type="dxa"/>
          </w:tblCellMar>
        </w:tblPrEx>
        <w:trPr>
          <w:trHeight w:val="381" w:hRule="exact"/>
          <w:jc w:val="center"/>
        </w:trPr>
        <w:tc>
          <w:tcPr>
            <w:tcW w:w="421" w:type="pct"/>
            <w:tcBorders>
              <w:top w:val="single" w:color="auto" w:sz="4" w:space="0"/>
              <w:left w:val="single" w:color="auto" w:sz="4" w:space="0"/>
            </w:tcBorders>
            <w:shd w:val="clear" w:color="auto" w:fill="auto"/>
            <w:vAlign w:val="center"/>
          </w:tcPr>
          <w:p w14:paraId="2ECB5084">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号数</w:t>
            </w:r>
          </w:p>
        </w:tc>
        <w:tc>
          <w:tcPr>
            <w:tcW w:w="419" w:type="pct"/>
            <w:tcBorders>
              <w:top w:val="single" w:color="auto" w:sz="4" w:space="0"/>
              <w:left w:val="single" w:color="auto" w:sz="4" w:space="0"/>
            </w:tcBorders>
            <w:shd w:val="clear" w:color="auto" w:fill="auto"/>
            <w:vAlign w:val="center"/>
          </w:tcPr>
          <w:p w14:paraId="66E02571">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26</w:t>
            </w:r>
          </w:p>
        </w:tc>
        <w:tc>
          <w:tcPr>
            <w:tcW w:w="419" w:type="pct"/>
            <w:tcBorders>
              <w:top w:val="single" w:color="auto" w:sz="4" w:space="0"/>
              <w:left w:val="single" w:color="auto" w:sz="4" w:space="0"/>
            </w:tcBorders>
            <w:shd w:val="clear" w:color="auto" w:fill="auto"/>
            <w:vAlign w:val="center"/>
          </w:tcPr>
          <w:p w14:paraId="07E0FDF0">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27</w:t>
            </w:r>
          </w:p>
        </w:tc>
        <w:tc>
          <w:tcPr>
            <w:tcW w:w="419" w:type="pct"/>
            <w:tcBorders>
              <w:top w:val="single" w:color="auto" w:sz="4" w:space="0"/>
              <w:left w:val="single" w:color="auto" w:sz="4" w:space="0"/>
            </w:tcBorders>
            <w:shd w:val="clear" w:color="auto" w:fill="auto"/>
            <w:vAlign w:val="center"/>
          </w:tcPr>
          <w:p w14:paraId="520238A9">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28</w:t>
            </w:r>
          </w:p>
        </w:tc>
        <w:tc>
          <w:tcPr>
            <w:tcW w:w="419" w:type="pct"/>
            <w:tcBorders>
              <w:top w:val="single" w:color="auto" w:sz="4" w:space="0"/>
              <w:left w:val="single" w:color="auto" w:sz="4" w:space="0"/>
            </w:tcBorders>
            <w:shd w:val="clear" w:color="auto" w:fill="auto"/>
            <w:vAlign w:val="center"/>
          </w:tcPr>
          <w:p w14:paraId="354EAB23">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29</w:t>
            </w:r>
          </w:p>
        </w:tc>
        <w:tc>
          <w:tcPr>
            <w:tcW w:w="419" w:type="pct"/>
            <w:tcBorders>
              <w:top w:val="single" w:color="auto" w:sz="4" w:space="0"/>
              <w:left w:val="single" w:color="auto" w:sz="4" w:space="0"/>
            </w:tcBorders>
            <w:shd w:val="clear" w:color="auto" w:fill="auto"/>
            <w:vAlign w:val="center"/>
          </w:tcPr>
          <w:p w14:paraId="03DB69E1">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30</w:t>
            </w:r>
          </w:p>
        </w:tc>
        <w:tc>
          <w:tcPr>
            <w:tcW w:w="422" w:type="pct"/>
            <w:tcBorders>
              <w:top w:val="single" w:color="auto" w:sz="4" w:space="0"/>
              <w:left w:val="single" w:color="auto" w:sz="4" w:space="0"/>
            </w:tcBorders>
            <w:shd w:val="clear" w:color="auto" w:fill="auto"/>
            <w:vAlign w:val="center"/>
          </w:tcPr>
          <w:p w14:paraId="2F2E6D9F">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31</w:t>
            </w:r>
          </w:p>
        </w:tc>
        <w:tc>
          <w:tcPr>
            <w:tcW w:w="419" w:type="pct"/>
            <w:tcBorders>
              <w:top w:val="single" w:color="auto" w:sz="4" w:space="0"/>
              <w:left w:val="single" w:color="auto" w:sz="4" w:space="0"/>
            </w:tcBorders>
            <w:shd w:val="clear" w:color="auto" w:fill="auto"/>
            <w:vAlign w:val="center"/>
          </w:tcPr>
          <w:p w14:paraId="05DF2E1A">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32</w:t>
            </w:r>
          </w:p>
        </w:tc>
        <w:tc>
          <w:tcPr>
            <w:tcW w:w="544" w:type="pct"/>
            <w:tcBorders>
              <w:top w:val="single" w:color="auto" w:sz="4" w:space="0"/>
              <w:left w:val="single" w:color="auto" w:sz="4" w:space="0"/>
              <w:right w:val="single" w:color="auto" w:sz="4" w:space="0"/>
            </w:tcBorders>
            <w:shd w:val="clear" w:color="auto" w:fill="auto"/>
            <w:vAlign w:val="center"/>
          </w:tcPr>
          <w:p w14:paraId="315049B7">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33</w:t>
            </w:r>
          </w:p>
        </w:tc>
        <w:tc>
          <w:tcPr>
            <w:tcW w:w="546" w:type="pct"/>
            <w:tcBorders>
              <w:top w:val="single" w:color="auto" w:sz="4" w:space="0"/>
              <w:left w:val="single" w:color="auto" w:sz="4" w:space="0"/>
              <w:right w:val="single" w:color="auto" w:sz="4" w:space="0"/>
            </w:tcBorders>
            <w:shd w:val="clear" w:color="auto" w:fill="auto"/>
            <w:vAlign w:val="center"/>
          </w:tcPr>
          <w:p w14:paraId="64C1A87F">
            <w:pPr>
              <w:spacing w:line="276" w:lineRule="auto"/>
              <w:jc w:val="center"/>
              <w:rPr>
                <w:rFonts w:ascii="Cambria" w:hAnsi="Cambria" w:cs="Cambria"/>
                <w:color w:val="000000" w:themeColor="text1"/>
                <w:sz w:val="18"/>
                <w:szCs w:val="18"/>
                <w14:textFill>
                  <w14:solidFill>
                    <w14:schemeClr w14:val="tx1"/>
                  </w14:solidFill>
                </w14:textFill>
              </w:rPr>
            </w:pPr>
            <w:r>
              <w:rPr>
                <w:rFonts w:hint="eastAsia" w:ascii="Cambria" w:hAnsi="Cambria" w:cs="Cambria"/>
                <w:color w:val="000000" w:themeColor="text1"/>
                <w:sz w:val="18"/>
                <w:szCs w:val="18"/>
                <w14:textFill>
                  <w14:solidFill>
                    <w14:schemeClr w14:val="tx1"/>
                  </w14:solidFill>
                </w14:textFill>
              </w:rPr>
              <w:t>34</w:t>
            </w:r>
          </w:p>
        </w:tc>
        <w:tc>
          <w:tcPr>
            <w:tcW w:w="911" w:type="dxa"/>
            <w:tcBorders>
              <w:top w:val="single" w:color="auto" w:sz="4" w:space="0"/>
              <w:left w:val="single" w:color="auto" w:sz="4" w:space="0"/>
              <w:right w:val="single" w:color="auto" w:sz="4" w:space="0"/>
            </w:tcBorders>
            <w:shd w:val="clear" w:color="auto" w:fill="auto"/>
            <w:vAlign w:val="center"/>
          </w:tcPr>
          <w:p w14:paraId="30B3B2D6">
            <w:pPr>
              <w:spacing w:line="276" w:lineRule="auto"/>
              <w:jc w:val="center"/>
              <w:rPr>
                <w:rFonts w:ascii="Cambria" w:hAnsi="Cambria" w:cs="Cambria"/>
                <w:color w:val="000000" w:themeColor="text1"/>
                <w:sz w:val="18"/>
                <w:szCs w:val="18"/>
                <w14:textFill>
                  <w14:solidFill>
                    <w14:schemeClr w14:val="tx1"/>
                  </w14:solidFill>
                </w14:textFill>
              </w:rPr>
            </w:pPr>
            <w:r>
              <w:rPr>
                <w:rFonts w:hint="eastAsia" w:ascii="Cambria" w:hAnsi="Cambria" w:cs="Cambria"/>
                <w:color w:val="000000" w:themeColor="text1"/>
                <w:sz w:val="18"/>
                <w:szCs w:val="18"/>
                <w14:textFill>
                  <w14:solidFill>
                    <w14:schemeClr w14:val="tx1"/>
                  </w14:solidFill>
                </w14:textFill>
              </w:rPr>
              <w:t>36</w:t>
            </w:r>
          </w:p>
        </w:tc>
      </w:tr>
      <w:tr w14:paraId="5304BCE9">
        <w:tblPrEx>
          <w:shd w:val="clear" w:color="auto" w:fill="auto"/>
          <w:tblCellMar>
            <w:top w:w="0" w:type="dxa"/>
            <w:left w:w="10" w:type="dxa"/>
            <w:bottom w:w="0" w:type="dxa"/>
            <w:right w:w="10" w:type="dxa"/>
          </w:tblCellMar>
        </w:tblPrEx>
        <w:trPr>
          <w:trHeight w:val="664" w:hRule="exact"/>
          <w:jc w:val="center"/>
        </w:trPr>
        <w:tc>
          <w:tcPr>
            <w:tcW w:w="421" w:type="pct"/>
            <w:tcBorders>
              <w:top w:val="single" w:color="auto" w:sz="4" w:space="0"/>
              <w:left w:val="single" w:color="auto" w:sz="4" w:space="0"/>
              <w:bottom w:val="single" w:color="auto" w:sz="4" w:space="0"/>
            </w:tcBorders>
            <w:shd w:val="clear" w:color="auto" w:fill="auto"/>
            <w:vAlign w:val="center"/>
          </w:tcPr>
          <w:p w14:paraId="14317855">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直径</w:t>
            </w:r>
          </w:p>
          <w:p w14:paraId="1F76CF1B">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mm</w:t>
            </w:r>
          </w:p>
        </w:tc>
        <w:tc>
          <w:tcPr>
            <w:tcW w:w="419" w:type="pct"/>
            <w:tcBorders>
              <w:top w:val="single" w:color="auto" w:sz="4" w:space="0"/>
              <w:left w:val="single" w:color="auto" w:sz="4" w:space="0"/>
              <w:bottom w:val="single" w:color="auto" w:sz="4" w:space="0"/>
            </w:tcBorders>
            <w:shd w:val="clear" w:color="auto" w:fill="auto"/>
            <w:vAlign w:val="center"/>
          </w:tcPr>
          <w:p w14:paraId="00F32DB7">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0.45</w:t>
            </w:r>
          </w:p>
        </w:tc>
        <w:tc>
          <w:tcPr>
            <w:tcW w:w="419" w:type="pct"/>
            <w:tcBorders>
              <w:top w:val="single" w:color="auto" w:sz="4" w:space="0"/>
              <w:left w:val="single" w:color="auto" w:sz="4" w:space="0"/>
              <w:bottom w:val="single" w:color="auto" w:sz="4" w:space="0"/>
            </w:tcBorders>
            <w:shd w:val="clear" w:color="auto" w:fill="auto"/>
            <w:vAlign w:val="center"/>
          </w:tcPr>
          <w:p w14:paraId="745D96C6">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0.42</w:t>
            </w:r>
          </w:p>
        </w:tc>
        <w:tc>
          <w:tcPr>
            <w:tcW w:w="419" w:type="pct"/>
            <w:tcBorders>
              <w:top w:val="single" w:color="auto" w:sz="4" w:space="0"/>
              <w:left w:val="single" w:color="auto" w:sz="4" w:space="0"/>
              <w:bottom w:val="single" w:color="auto" w:sz="4" w:space="0"/>
            </w:tcBorders>
            <w:shd w:val="clear" w:color="auto" w:fill="auto"/>
            <w:vAlign w:val="center"/>
          </w:tcPr>
          <w:p w14:paraId="63209446">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0.38</w:t>
            </w:r>
          </w:p>
        </w:tc>
        <w:tc>
          <w:tcPr>
            <w:tcW w:w="419" w:type="pct"/>
            <w:tcBorders>
              <w:top w:val="single" w:color="auto" w:sz="4" w:space="0"/>
              <w:left w:val="single" w:color="auto" w:sz="4" w:space="0"/>
              <w:bottom w:val="single" w:color="auto" w:sz="4" w:space="0"/>
            </w:tcBorders>
            <w:shd w:val="clear" w:color="auto" w:fill="auto"/>
            <w:vAlign w:val="center"/>
          </w:tcPr>
          <w:p w14:paraId="47433872">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0.34</w:t>
            </w:r>
          </w:p>
        </w:tc>
        <w:tc>
          <w:tcPr>
            <w:tcW w:w="419" w:type="pct"/>
            <w:tcBorders>
              <w:top w:val="single" w:color="auto" w:sz="4" w:space="0"/>
              <w:left w:val="single" w:color="auto" w:sz="4" w:space="0"/>
              <w:bottom w:val="single" w:color="auto" w:sz="4" w:space="0"/>
            </w:tcBorders>
            <w:shd w:val="clear" w:color="auto" w:fill="auto"/>
            <w:vAlign w:val="center"/>
          </w:tcPr>
          <w:p w14:paraId="44BD566A">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0.32</w:t>
            </w:r>
          </w:p>
        </w:tc>
        <w:tc>
          <w:tcPr>
            <w:tcW w:w="422" w:type="pct"/>
            <w:tcBorders>
              <w:top w:val="single" w:color="auto" w:sz="4" w:space="0"/>
              <w:left w:val="single" w:color="auto" w:sz="4" w:space="0"/>
              <w:bottom w:val="single" w:color="auto" w:sz="4" w:space="0"/>
            </w:tcBorders>
            <w:shd w:val="clear" w:color="auto" w:fill="auto"/>
            <w:vAlign w:val="center"/>
          </w:tcPr>
          <w:p w14:paraId="768355FF">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0.30</w:t>
            </w:r>
          </w:p>
        </w:tc>
        <w:tc>
          <w:tcPr>
            <w:tcW w:w="419" w:type="pct"/>
            <w:tcBorders>
              <w:top w:val="single" w:color="auto" w:sz="4" w:space="0"/>
              <w:left w:val="single" w:color="auto" w:sz="4" w:space="0"/>
              <w:bottom w:val="single" w:color="auto" w:sz="4" w:space="0"/>
            </w:tcBorders>
            <w:shd w:val="clear" w:color="auto" w:fill="auto"/>
            <w:vAlign w:val="center"/>
          </w:tcPr>
          <w:p w14:paraId="2B926EF4">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0.28</w:t>
            </w:r>
          </w:p>
        </w:tc>
        <w:tc>
          <w:tcPr>
            <w:tcW w:w="544" w:type="pct"/>
            <w:tcBorders>
              <w:top w:val="single" w:color="auto" w:sz="4" w:space="0"/>
              <w:left w:val="single" w:color="auto" w:sz="4" w:space="0"/>
              <w:bottom w:val="single" w:color="auto" w:sz="4" w:space="0"/>
              <w:right w:val="single" w:color="auto" w:sz="4" w:space="0"/>
            </w:tcBorders>
            <w:shd w:val="clear" w:color="auto" w:fill="auto"/>
            <w:vAlign w:val="center"/>
          </w:tcPr>
          <w:p w14:paraId="089B0123">
            <w:pPr>
              <w:spacing w:line="276" w:lineRule="auto"/>
              <w:jc w:val="center"/>
              <w:rPr>
                <w:rFonts w:ascii="Cambria" w:hAnsi="Cambria" w:cs="Cambria"/>
                <w:color w:val="000000" w:themeColor="text1"/>
                <w:sz w:val="18"/>
                <w:szCs w:val="18"/>
                <w14:textFill>
                  <w14:solidFill>
                    <w14:schemeClr w14:val="tx1"/>
                  </w14:solidFill>
                </w14:textFill>
              </w:rPr>
            </w:pPr>
            <w:r>
              <w:rPr>
                <w:rFonts w:ascii="Cambria" w:hAnsi="Cambria" w:cs="Cambria"/>
                <w:color w:val="000000" w:themeColor="text1"/>
                <w:sz w:val="18"/>
                <w:szCs w:val="18"/>
                <w14:textFill>
                  <w14:solidFill>
                    <w14:schemeClr w14:val="tx1"/>
                  </w14:solidFill>
                </w14:textFill>
              </w:rPr>
              <w:t>0.26</w:t>
            </w:r>
          </w:p>
        </w:tc>
        <w:tc>
          <w:tcPr>
            <w:tcW w:w="546" w:type="pct"/>
            <w:tcBorders>
              <w:top w:val="single" w:color="auto" w:sz="4" w:space="0"/>
              <w:left w:val="single" w:color="auto" w:sz="4" w:space="0"/>
              <w:bottom w:val="single" w:color="auto" w:sz="4" w:space="0"/>
              <w:right w:val="single" w:color="auto" w:sz="4" w:space="0"/>
            </w:tcBorders>
            <w:shd w:val="clear" w:color="auto" w:fill="auto"/>
            <w:vAlign w:val="center"/>
          </w:tcPr>
          <w:p w14:paraId="24C36A26">
            <w:pPr>
              <w:spacing w:line="276" w:lineRule="auto"/>
              <w:jc w:val="center"/>
              <w:rPr>
                <w:rFonts w:ascii="Cambria" w:hAnsi="Cambria" w:cs="Cambria"/>
                <w:color w:val="000000" w:themeColor="text1"/>
                <w:sz w:val="18"/>
                <w:szCs w:val="18"/>
                <w14:textFill>
                  <w14:solidFill>
                    <w14:schemeClr w14:val="tx1"/>
                  </w14:solidFill>
                </w14:textFill>
              </w:rPr>
            </w:pPr>
            <w:r>
              <w:rPr>
                <w:rFonts w:hint="eastAsia" w:ascii="Cambria" w:hAnsi="Cambria" w:cs="Cambria"/>
                <w:color w:val="000000" w:themeColor="text1"/>
                <w:sz w:val="18"/>
                <w:szCs w:val="18"/>
                <w14:textFill>
                  <w14:solidFill>
                    <w14:schemeClr w14:val="tx1"/>
                  </w14:solidFill>
                </w14:textFill>
              </w:rPr>
              <w:t>0.23</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6767DBDD">
            <w:pPr>
              <w:spacing w:line="276" w:lineRule="auto"/>
              <w:jc w:val="center"/>
              <w:rPr>
                <w:rFonts w:ascii="Cambria" w:hAnsi="Cambria" w:cs="Cambria"/>
                <w:color w:val="000000" w:themeColor="text1"/>
                <w:sz w:val="18"/>
                <w:szCs w:val="18"/>
                <w14:textFill>
                  <w14:solidFill>
                    <w14:schemeClr w14:val="tx1"/>
                  </w14:solidFill>
                </w14:textFill>
              </w:rPr>
            </w:pPr>
            <w:r>
              <w:rPr>
                <w:rFonts w:hint="eastAsia" w:ascii="Cambria" w:hAnsi="Cambria" w:cs="Cambria"/>
                <w:color w:val="000000" w:themeColor="text1"/>
                <w:sz w:val="18"/>
                <w:szCs w:val="18"/>
                <w14:textFill>
                  <w14:solidFill>
                    <w14:schemeClr w14:val="tx1"/>
                  </w14:solidFill>
                </w14:textFill>
              </w:rPr>
              <w:t>0.20</w:t>
            </w:r>
          </w:p>
        </w:tc>
      </w:tr>
    </w:tbl>
    <w:p w14:paraId="539B9DAE">
      <w:pPr>
        <w:spacing w:line="276"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4F20E843">
      <w:pPr>
        <w:spacing w:line="276" w:lineRule="auto"/>
        <w:jc w:val="center"/>
        <w:outlineLvl w:val="0"/>
        <w:rPr>
          <w:rFonts w:ascii="黑体" w:hAnsi="黑体" w:eastAsia="黑体" w:cs="黑体"/>
          <w:color w:val="000000" w:themeColor="text1"/>
          <w14:textFill>
            <w14:solidFill>
              <w14:schemeClr w14:val="tx1"/>
            </w14:solidFill>
          </w14:textFill>
        </w:rPr>
      </w:pPr>
      <w:bookmarkStart w:id="59" w:name="_Toc6905"/>
      <w:r>
        <w:rPr>
          <w:rFonts w:hint="eastAsia" w:ascii="黑体" w:hAnsi="黑体" w:eastAsia="黑体"/>
          <w:color w:val="000000" w:themeColor="text1"/>
          <w14:textFill>
            <w14:solidFill>
              <w14:schemeClr w14:val="tx1"/>
            </w14:solidFill>
          </w14:textFill>
        </w:rPr>
        <w:t>附录B</w:t>
      </w:r>
      <w:bookmarkEnd w:id="59"/>
    </w:p>
    <w:p w14:paraId="26A9639D">
      <w:pPr>
        <w:spacing w:line="276" w:lineRule="auto"/>
        <w:jc w:val="center"/>
        <w:outlineLvl w:val="0"/>
        <w:rPr>
          <w:rFonts w:ascii="黑体" w:hAnsi="黑体" w:eastAsia="黑体" w:cs="黑体"/>
          <w:color w:val="000000" w:themeColor="text1"/>
          <w14:textFill>
            <w14:solidFill>
              <w14:schemeClr w14:val="tx1"/>
            </w14:solidFill>
          </w14:textFill>
        </w:rPr>
      </w:pPr>
      <w:bookmarkStart w:id="60" w:name="_Toc17614"/>
      <w:bookmarkStart w:id="61" w:name="_Toc15179"/>
      <w:bookmarkStart w:id="62" w:name="_Toc3281"/>
      <w:bookmarkStart w:id="63" w:name="_Toc7996"/>
      <w:r>
        <w:rPr>
          <w:rFonts w:hint="eastAsia" w:ascii="黑体" w:hAnsi="黑体" w:eastAsia="黑体" w:cs="黑体"/>
          <w:color w:val="000000" w:themeColor="text1"/>
          <w14:textFill>
            <w14:solidFill>
              <w14:schemeClr w14:val="tx1"/>
            </w14:solidFill>
          </w14:textFill>
        </w:rPr>
        <w:t>（资料性）</w:t>
      </w:r>
      <w:bookmarkEnd w:id="60"/>
      <w:bookmarkEnd w:id="61"/>
      <w:bookmarkEnd w:id="62"/>
      <w:bookmarkEnd w:id="63"/>
    </w:p>
    <w:p w14:paraId="6C65E5C1">
      <w:pPr>
        <w:spacing w:line="276" w:lineRule="auto"/>
        <w:jc w:val="center"/>
        <w:outlineLvl w:val="0"/>
        <w:rPr>
          <w:rFonts w:ascii="黑体" w:hAnsi="黑体" w:eastAsia="黑体" w:cs="黑体"/>
          <w:color w:val="000000" w:themeColor="text1"/>
          <w14:textFill>
            <w14:solidFill>
              <w14:schemeClr w14:val="tx1"/>
            </w14:solidFill>
          </w14:textFill>
        </w:rPr>
      </w:pPr>
      <w:bookmarkStart w:id="64" w:name="_Toc26637"/>
      <w:bookmarkStart w:id="65" w:name="_Toc22925"/>
      <w:bookmarkStart w:id="66" w:name="_Toc5134"/>
      <w:bookmarkStart w:id="67" w:name="_Toc21268"/>
      <w:r>
        <w:rPr>
          <w:rFonts w:hint="eastAsia" w:ascii="黑体" w:hAnsi="黑体" w:eastAsia="黑体" w:cs="黑体"/>
          <w:color w:val="000000" w:themeColor="text1"/>
          <w14:textFill>
            <w14:solidFill>
              <w14:schemeClr w14:val="tx1"/>
            </w14:solidFill>
          </w14:textFill>
        </w:rPr>
        <w:t>针刺手法</w:t>
      </w:r>
      <w:bookmarkEnd w:id="64"/>
      <w:bookmarkEnd w:id="65"/>
      <w:bookmarkEnd w:id="66"/>
      <w:bookmarkEnd w:id="67"/>
    </w:p>
    <w:p w14:paraId="64D027D8">
      <w:pPr>
        <w:pStyle w:val="13"/>
        <w:spacing w:before="312" w:beforeLines="100" w:after="312" w:afterLines="100" w:line="276" w:lineRule="auto"/>
        <w:jc w:val="both"/>
        <w:outlineLvl w:val="9"/>
        <w:rPr>
          <w:rFonts w:ascii="黑体" w:hAnsi="黑体" w:eastAsia="黑体"/>
          <w:b w:val="0"/>
          <w:color w:val="000000" w:themeColor="text1"/>
          <w:sz w:val="21"/>
          <w:lang w:val="en-US"/>
          <w14:textFill>
            <w14:solidFill>
              <w14:schemeClr w14:val="tx1"/>
            </w14:solidFill>
          </w14:textFill>
        </w:rPr>
      </w:pPr>
      <w:bookmarkStart w:id="68" w:name="_Toc26469"/>
      <w:bookmarkStart w:id="69" w:name="_Toc26967"/>
      <w:r>
        <w:rPr>
          <w:rFonts w:hint="eastAsia" w:ascii="黑体" w:hAnsi="黑体" w:eastAsia="黑体"/>
          <w:b w:val="0"/>
          <w:color w:val="000000" w:themeColor="text1"/>
          <w:sz w:val="21"/>
          <w:lang w:val="en-US"/>
          <w14:textFill>
            <w14:solidFill>
              <w14:schemeClr w14:val="tx1"/>
            </w14:solidFill>
          </w14:textFill>
        </w:rPr>
        <w:t>B.1  行针手法</w:t>
      </w:r>
      <w:bookmarkEnd w:id="68"/>
      <w:bookmarkEnd w:id="69"/>
    </w:p>
    <w:p w14:paraId="302D66E8">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bookmarkStart w:id="70" w:name="_Toc28197"/>
      <w:bookmarkStart w:id="71" w:name="_Toc3112"/>
      <w:r>
        <w:rPr>
          <w:rFonts w:hint="eastAsia" w:ascii="黑体" w:hAnsi="黑体" w:eastAsia="黑体"/>
          <w:b w:val="0"/>
          <w:color w:val="000000" w:themeColor="text1"/>
          <w:sz w:val="21"/>
          <w:lang w:val="en-US"/>
          <w14:textFill>
            <w14:solidFill>
              <w14:schemeClr w14:val="tx1"/>
            </w14:solidFill>
          </w14:textFill>
        </w:rPr>
        <w:t>B.1.1  循法操作</w:t>
      </w:r>
      <w:bookmarkEnd w:id="70"/>
      <w:bookmarkEnd w:id="71"/>
    </w:p>
    <w:p w14:paraId="53D712CE">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操作者进针前后，使二、三、四三指平直（屈曲第一指关节），用指腹沿针刺穴位所属经脉循行路线，或腧穴四周轻轻地循按或叩打。</w:t>
      </w:r>
    </w:p>
    <w:p w14:paraId="29026C01">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技术要点：循时用力要适度，用力过大会阻碍经气的流行，使肌肉紧张度增加，产生疼痛。用力过小达不到目的。循法一般沿经而循。</w:t>
      </w:r>
    </w:p>
    <w:p w14:paraId="095A9AF8">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B.1.2  弹法操作（弹叩针柄法）</w:t>
      </w:r>
    </w:p>
    <w:p w14:paraId="7A7EA232">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操作者以拇指与示指（或中指）交互，用指甲轻轻弹击刺入穴位的针柄尾部，使针体产生微微震颤，以调节经气。</w:t>
      </w:r>
    </w:p>
    <w:p w14:paraId="6E8E67C1">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技术要点：动作不可过猛过频，一般在留针期间弹叩约7～10次。10岁以下儿童可不用弹法。</w:t>
      </w:r>
    </w:p>
    <w:p w14:paraId="48C4BBF2">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bookmarkStart w:id="72" w:name="_Toc29626"/>
      <w:bookmarkStart w:id="73" w:name="_Toc10148"/>
      <w:r>
        <w:rPr>
          <w:rFonts w:hint="eastAsia" w:ascii="黑体" w:hAnsi="黑体" w:eastAsia="黑体"/>
          <w:b w:val="0"/>
          <w:color w:val="000000" w:themeColor="text1"/>
          <w:sz w:val="21"/>
          <w:lang w:val="en-US"/>
          <w14:textFill>
            <w14:solidFill>
              <w14:schemeClr w14:val="tx1"/>
            </w14:solidFill>
          </w14:textFill>
        </w:rPr>
        <w:t>B.1.3  刮法操作</w:t>
      </w:r>
      <w:bookmarkEnd w:id="72"/>
      <w:bookmarkEnd w:id="73"/>
    </w:p>
    <w:p w14:paraId="431895A9">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B.1.3.1  单手刮针法</w:t>
      </w:r>
    </w:p>
    <w:p w14:paraId="757BC3E4">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操作者拇指抵住针尾，以示指指甲轻刮针柄由上而下；或用示指抵针尾，以拇指指甲轻刮针柄，由下向上；也可用示、中两指扶持针柄，用拇指刮针柄，由上向下或由下而上。</w:t>
      </w:r>
    </w:p>
    <w:p w14:paraId="3E1B5661">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B.1.3.2  双手刮针法</w:t>
      </w:r>
    </w:p>
    <w:p w14:paraId="1A432033">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操作者用左手拇指端压按针柄头上，略向下用力，左、右两手示指弯曲，指背相对，夹住针体，用右手拇指甲在针柄上下轻刮之。</w:t>
      </w:r>
    </w:p>
    <w:p w14:paraId="6FA26333">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技术要点：刮针时要求指力关节要灵活，用力均匀。刮针的指甲要平整、光滑，不宜过长或过短。</w:t>
      </w:r>
    </w:p>
    <w:p w14:paraId="44AF8765">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B.1.4  摇法操作</w:t>
      </w:r>
    </w:p>
    <w:p w14:paraId="5D4A6556">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操作者将针刺入一定深度后，手持针柄，轻轻摇动，以行经气。具体方式有2种：一是直立针身而摇；二是卧倒针身，针尖指向病所，左右摇动。出针时可上下、左右摆摇，使针孔扩大，而后快速出针。</w:t>
      </w:r>
    </w:p>
    <w:p w14:paraId="5B1DAD62">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B.1.5  飞法操作</w:t>
      </w:r>
    </w:p>
    <w:p w14:paraId="27E9FF98">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操作者用右手拇、示两指。拇指与示指呈交互状，拇指头向前，示指头向后，将两指弯曲。用拇指指腹及示指第一节桡侧由针根部轻贴针柄由下而上呈螺旋式搓摩。两指一搓一放，如飞鸟展翅之象，力度要均匀一致，使指感有如转针，但针体不能上提。</w:t>
      </w:r>
    </w:p>
    <w:p w14:paraId="7446E7F6">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技术要点：飞针宜缓宜均，不宜过猛，过猛易引起滞针疼痛。力呈螺旋式，向上，向外；指法是漏斗式下紧上松。此螺旋式的力含向上提的成分，但要提之不出；含针向右转的成分，但要转之不动。飞针成功关键在于使经气充盈于穴中，其表现为针体自摇。</w:t>
      </w:r>
    </w:p>
    <w:p w14:paraId="09B6C657">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B.1.6  震颤法操作</w:t>
      </w:r>
    </w:p>
    <w:p w14:paraId="3335AAFD">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操作者针刺后若不得气，用拇、示两指持针，做小幅度、高频率的提插捻转动作，使针身产生轻微的震颤。</w:t>
      </w:r>
    </w:p>
    <w:p w14:paraId="12ED5B37">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技术要点：颤法贵在轻柔，细细动摇，不宜大幅度地颤动和震摇，以免引起疼痛和滞针。</w:t>
      </w:r>
    </w:p>
    <w:p w14:paraId="3E57C431">
      <w:pPr>
        <w:pStyle w:val="13"/>
        <w:spacing w:before="312" w:beforeLines="100" w:after="312" w:afterLines="100" w:line="276" w:lineRule="auto"/>
        <w:jc w:val="both"/>
        <w:outlineLvl w:val="9"/>
        <w:rPr>
          <w:rFonts w:ascii="黑体" w:hAnsi="黑体" w:eastAsia="黑体"/>
          <w:b w:val="0"/>
          <w:color w:val="000000" w:themeColor="text1"/>
          <w:sz w:val="21"/>
          <w:lang w:val="en-US"/>
          <w14:textFill>
            <w14:solidFill>
              <w14:schemeClr w14:val="tx1"/>
            </w14:solidFill>
          </w14:textFill>
        </w:rPr>
      </w:pPr>
      <w:bookmarkStart w:id="74" w:name="_Toc25825"/>
      <w:bookmarkStart w:id="75" w:name="_Toc1888"/>
      <w:r>
        <w:rPr>
          <w:rFonts w:hint="eastAsia" w:ascii="黑体" w:hAnsi="黑体" w:eastAsia="黑体"/>
          <w:b w:val="0"/>
          <w:color w:val="000000" w:themeColor="text1"/>
          <w:sz w:val="21"/>
          <w:lang w:val="en-US"/>
          <w14:textFill>
            <w14:solidFill>
              <w14:schemeClr w14:val="tx1"/>
            </w14:solidFill>
          </w14:textFill>
        </w:rPr>
        <w:t>B.2  补泻手法</w:t>
      </w:r>
      <w:bookmarkEnd w:id="74"/>
      <w:bookmarkEnd w:id="75"/>
    </w:p>
    <w:p w14:paraId="5E7053A2">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bookmarkStart w:id="76" w:name="_Toc23941"/>
      <w:bookmarkStart w:id="77" w:name="_Toc22452"/>
      <w:r>
        <w:rPr>
          <w:rFonts w:hint="eastAsia" w:ascii="黑体" w:hAnsi="黑体" w:eastAsia="黑体"/>
          <w:b w:val="0"/>
          <w:color w:val="000000" w:themeColor="text1"/>
          <w:sz w:val="21"/>
          <w:lang w:val="en-US"/>
          <w14:textFill>
            <w14:solidFill>
              <w14:schemeClr w14:val="tx1"/>
            </w14:solidFill>
          </w14:textFill>
        </w:rPr>
        <w:t>B.2.1  单式补泻手法</w:t>
      </w:r>
      <w:bookmarkEnd w:id="76"/>
      <w:bookmarkEnd w:id="77"/>
    </w:p>
    <w:p w14:paraId="60672AFD">
      <w:pPr>
        <w:pStyle w:val="13"/>
        <w:snapToGrid w:val="0"/>
        <w:spacing w:before="156" w:beforeLines="50" w:after="156" w:afterLines="50" w:line="276" w:lineRule="auto"/>
        <w:jc w:val="left"/>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B.2.1.1  徐疾补泻法</w:t>
      </w:r>
    </w:p>
    <w:p w14:paraId="4CE78155">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补法：操作者将针刺入皮肤后，先在浅层得气，随之将针徐徐地向内推进到一定的深度，疾速退针至皮下；出针时，快速出针并疾按其穴。重在徐入。</w:t>
      </w:r>
    </w:p>
    <w:p w14:paraId="1D177CC8">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泻法：操作者将针快速刺入皮肤后，再疾速插入深层得气，随之徐徐地向外退针至皮下；出针时，缓缓出针并且不按其穴或缓按其穴。重在徐出。</w:t>
      </w:r>
    </w:p>
    <w:p w14:paraId="6AE311EE">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技术要点：针刺得气后，以徐进疾退为补法，疾进徐退为泻法。</w:t>
      </w:r>
    </w:p>
    <w:p w14:paraId="77E01ECF">
      <w:pPr>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B.2.1.2  提插补泻法</w:t>
      </w:r>
    </w:p>
    <w:p w14:paraId="5EDD1319">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补法：操作者针刺得气后，先浅后深，在针下得气处小幅度上下提插，重插轻提（即急插慢提），操作时间短。针上提时速度慢，用力轻；针下插时速度快，用力重。</w:t>
      </w:r>
    </w:p>
    <w:p w14:paraId="72A2D500">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泻法：操作者针刺得气后，先深后浅，在针下得气处大幅度上下提插，轻插重提（即慢插急提），操作时间长。针上提时速度快，用力重；针下插时速度慢，用力轻。</w:t>
      </w:r>
    </w:p>
    <w:p w14:paraId="67BFFE89">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技术要点：针刺得气后，以重插轻提为补法，重提轻插为泻法。</w:t>
      </w:r>
    </w:p>
    <w:p w14:paraId="1874476C">
      <w:pPr>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B.2.1.3  捻转补泻法</w:t>
      </w:r>
    </w:p>
    <w:p w14:paraId="38143B4B">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补法：操作者针刺得气后，在针下得气处小幅度捻转，拇指向前左转时用力重，指力沉重向下；拇指向后右转还原时用力轻，反复操作。</w:t>
      </w:r>
    </w:p>
    <w:p w14:paraId="31F5B2E7">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泻法：操作者针刺得气后，在针下得气处小幅度捻转，拇指向后右转时用力重，指力浮起向上；拇指向前左转还原时用力轻，反复操作。</w:t>
      </w:r>
    </w:p>
    <w:p w14:paraId="50BE48FC">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技术要点：针刺得气后，以拇指左转用力为补法，拇指右转用力为泻法。</w:t>
      </w:r>
    </w:p>
    <w:p w14:paraId="201B06F3">
      <w:pPr>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B.2.1.4  呼吸补泻法</w:t>
      </w:r>
    </w:p>
    <w:p w14:paraId="4DF90380">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补法：令患儿鼻吸口呼，在呼气时操作者进针、行针；吸气时出针。</w:t>
      </w:r>
    </w:p>
    <w:p w14:paraId="51D6AF8B">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泻法：令患儿口吸鼻呼，在吸气时操作者进针，行针；呼气时出针。</w:t>
      </w:r>
    </w:p>
    <w:p w14:paraId="188615C1">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技术要点：以进针、行针、出针之时，结合患儿的呼吸为基准的一种补泻方法。适用于6岁以上患儿。</w:t>
      </w:r>
    </w:p>
    <w:p w14:paraId="3E844AC0">
      <w:pPr>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B.2.1.5  开阖补泻法</w:t>
      </w:r>
    </w:p>
    <w:p w14:paraId="59DCF98E">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补法：出针后迅速揉按针孔。</w:t>
      </w:r>
    </w:p>
    <w:p w14:paraId="1C5B791C">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泻法：出针时摇大针孔，出针后不按针孔。</w:t>
      </w:r>
    </w:p>
    <w:p w14:paraId="74EEFC8B">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技术要点：以出针后，是否按压针孔为基准的一种补泻方法。</w:t>
      </w:r>
    </w:p>
    <w:p w14:paraId="3AD293FD">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进针时针尖顺（随）着经脉循行去的方向刺入的称为补法，针尖逆（迎）着经脉循行来的方向刺入称为泻法。</w:t>
      </w:r>
    </w:p>
    <w:p w14:paraId="2562172B">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技术要点：以针尖进针方向与经脉循行方向顺逆为基准。</w:t>
      </w:r>
    </w:p>
    <w:p w14:paraId="463C6788">
      <w:pPr>
        <w:snapToGrid w:val="0"/>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B.2.2  复式补泻手法</w:t>
      </w:r>
    </w:p>
    <w:p w14:paraId="09DBAE1D">
      <w:pPr>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B.2.2.1  烧山火法</w:t>
      </w:r>
    </w:p>
    <w:p w14:paraId="5CDE7D0A">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根据穴位可刺的深度分作浅、中、深三层分别施术。针刺得气后，先在浅层（天部）作紧按慢提9数，或捻针左转9数，再将针进入中层（人部）按前法作提插捻转补法，最后将针刺入深层（地部）继续做提插捻转补法，最后一次将针退至浅层，称为一度。如此反复操作数度，针下产生温热感，将针下插至地部留针守气。</w:t>
      </w:r>
    </w:p>
    <w:p w14:paraId="04DD4FE5">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技术要点：可与呼吸、徐急、开阖泻法等综合应用。先浅后深，三进一退，重插轻提，行九阳数。对小儿用针，应注意语言辅导。</w:t>
      </w:r>
    </w:p>
    <w:p w14:paraId="4CA50941">
      <w:pPr>
        <w:spacing w:before="156" w:beforeLines="50" w:after="156" w:afterLines="50" w:line="276" w:lineRule="auto"/>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B.2.2.2  透天凉法</w:t>
      </w:r>
    </w:p>
    <w:p w14:paraId="2A0EC361">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根据穴位可刺的深度分作浅、中、深三层分别施术。针刺得气后，先在深层（地部）作紧提慢按6数，或捻针右转6数，再将针进入中层（人部）按前法作提插捻转泻法，最后将针刺入浅层（天部）继续做提插捻转泻法，称为一度。如此反复操作数度，针下产生凉感，将针上提至天部留针守气。</w:t>
      </w:r>
    </w:p>
    <w:p w14:paraId="74692F77">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技术要点：可与呼吸、徐急、开阖泻法等综合应用。先深后浅，一进三退，轻插重提，行六阴数。对小儿用针，应注意语言辅导。</w:t>
      </w:r>
    </w:p>
    <w:p w14:paraId="16493BCF">
      <w:pPr>
        <w:spacing w:line="276"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6C459610">
      <w:pPr>
        <w:spacing w:line="276" w:lineRule="auto"/>
        <w:jc w:val="center"/>
        <w:outlineLvl w:val="0"/>
        <w:rPr>
          <w:rFonts w:ascii="黑体" w:hAnsi="黑体" w:eastAsia="黑体" w:cs="黑体"/>
          <w:color w:val="000000" w:themeColor="text1"/>
          <w14:textFill>
            <w14:solidFill>
              <w14:schemeClr w14:val="tx1"/>
            </w14:solidFill>
          </w14:textFill>
        </w:rPr>
      </w:pPr>
      <w:bookmarkStart w:id="78" w:name="_Toc23738"/>
      <w:bookmarkStart w:id="79" w:name="_Toc21805"/>
      <w:bookmarkStart w:id="80" w:name="_Toc19854"/>
      <w:r>
        <w:rPr>
          <w:rFonts w:hint="eastAsia" w:ascii="黑体" w:hAnsi="黑体" w:eastAsia="黑体" w:cs="黑体"/>
          <w:color w:val="000000" w:themeColor="text1"/>
          <w14:textFill>
            <w14:solidFill>
              <w14:schemeClr w14:val="tx1"/>
            </w14:solidFill>
          </w14:textFill>
        </w:rPr>
        <w:t>附录Ｃ</w:t>
      </w:r>
      <w:bookmarkEnd w:id="78"/>
      <w:bookmarkEnd w:id="79"/>
      <w:bookmarkEnd w:id="80"/>
    </w:p>
    <w:p w14:paraId="5233B096">
      <w:pPr>
        <w:spacing w:line="276" w:lineRule="auto"/>
        <w:jc w:val="center"/>
        <w:outlineLvl w:val="0"/>
        <w:rPr>
          <w:rFonts w:ascii="黑体" w:hAnsi="黑体" w:eastAsia="黑体" w:cs="黑体"/>
          <w:color w:val="000000" w:themeColor="text1"/>
          <w14:textFill>
            <w14:solidFill>
              <w14:schemeClr w14:val="tx1"/>
            </w14:solidFill>
          </w14:textFill>
        </w:rPr>
      </w:pPr>
      <w:bookmarkStart w:id="81" w:name="_Toc784"/>
      <w:bookmarkStart w:id="82" w:name="_Toc8999"/>
      <w:bookmarkStart w:id="83" w:name="_Toc26248"/>
      <w:bookmarkStart w:id="84" w:name="_Toc5585"/>
      <w:r>
        <w:rPr>
          <w:rFonts w:hint="eastAsia" w:ascii="黑体" w:hAnsi="黑体" w:eastAsia="黑体" w:cs="黑体"/>
          <w:color w:val="000000" w:themeColor="text1"/>
          <w14:textFill>
            <w14:solidFill>
              <w14:schemeClr w14:val="tx1"/>
            </w14:solidFill>
          </w14:textFill>
        </w:rPr>
        <w:t>（资料性）</w:t>
      </w:r>
      <w:bookmarkEnd w:id="81"/>
      <w:bookmarkEnd w:id="82"/>
      <w:bookmarkEnd w:id="83"/>
      <w:bookmarkEnd w:id="84"/>
    </w:p>
    <w:p w14:paraId="42401FC1">
      <w:pPr>
        <w:spacing w:line="276" w:lineRule="auto"/>
        <w:jc w:val="center"/>
        <w:outlineLvl w:val="0"/>
        <w:rPr>
          <w:rFonts w:ascii="黑体" w:hAnsi="黑体" w:eastAsia="黑体" w:cs="黑体"/>
          <w:color w:val="000000" w:themeColor="text1"/>
          <w14:textFill>
            <w14:solidFill>
              <w14:schemeClr w14:val="tx1"/>
            </w14:solidFill>
          </w14:textFill>
        </w:rPr>
      </w:pPr>
      <w:bookmarkStart w:id="85" w:name="_Toc15847"/>
      <w:bookmarkStart w:id="86" w:name="_Toc3869"/>
      <w:bookmarkStart w:id="87" w:name="_Toc21008"/>
      <w:bookmarkStart w:id="88" w:name="_Toc22619"/>
      <w:r>
        <w:rPr>
          <w:rFonts w:hint="eastAsia" w:ascii="黑体" w:hAnsi="黑体" w:eastAsia="黑体" w:cs="黑体"/>
          <w:color w:val="000000" w:themeColor="text1"/>
          <w14:textFill>
            <w14:solidFill>
              <w14:schemeClr w14:val="tx1"/>
            </w14:solidFill>
          </w14:textFill>
        </w:rPr>
        <w:t>刺四缝疗程</w:t>
      </w:r>
      <w:bookmarkEnd w:id="85"/>
      <w:bookmarkEnd w:id="86"/>
      <w:bookmarkEnd w:id="87"/>
      <w:bookmarkEnd w:id="88"/>
    </w:p>
    <w:p w14:paraId="467AFB96">
      <w:pPr>
        <w:spacing w:line="276" w:lineRule="auto"/>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每周刺1~2次，病重者可隔日刺1次，待病情好转后减为每周1次、10天1次或15天1次，最多不超过10次。</w:t>
      </w:r>
    </w:p>
    <w:p w14:paraId="110D7914">
      <w:pPr>
        <w:spacing w:line="276"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4F017CD6">
      <w:pPr>
        <w:spacing w:line="276" w:lineRule="auto"/>
        <w:jc w:val="center"/>
        <w:outlineLvl w:val="0"/>
        <w:rPr>
          <w:rFonts w:ascii="黑体" w:hAnsi="黑体" w:eastAsia="黑体" w:cs="黑体"/>
          <w:color w:val="000000" w:themeColor="text1"/>
          <w14:textFill>
            <w14:solidFill>
              <w14:schemeClr w14:val="tx1"/>
            </w14:solidFill>
          </w14:textFill>
        </w:rPr>
      </w:pPr>
      <w:bookmarkStart w:id="89" w:name="_Toc23938"/>
      <w:bookmarkStart w:id="90" w:name="_Toc7086"/>
      <w:bookmarkStart w:id="91" w:name="_Toc27596"/>
      <w:r>
        <w:rPr>
          <w:rFonts w:hint="eastAsia" w:ascii="黑体" w:hAnsi="黑体" w:eastAsia="黑体" w:cs="黑体"/>
          <w:color w:val="000000" w:themeColor="text1"/>
          <w14:textFill>
            <w14:solidFill>
              <w14:schemeClr w14:val="tx1"/>
            </w14:solidFill>
          </w14:textFill>
        </w:rPr>
        <w:t>附录Ｄ</w:t>
      </w:r>
      <w:bookmarkEnd w:id="89"/>
      <w:bookmarkEnd w:id="90"/>
      <w:bookmarkEnd w:id="91"/>
    </w:p>
    <w:p w14:paraId="413A9315">
      <w:pPr>
        <w:spacing w:line="276" w:lineRule="auto"/>
        <w:jc w:val="center"/>
        <w:outlineLvl w:val="0"/>
        <w:rPr>
          <w:rFonts w:ascii="黑体" w:hAnsi="黑体" w:eastAsia="黑体" w:cs="黑体"/>
          <w:color w:val="000000" w:themeColor="text1"/>
          <w14:textFill>
            <w14:solidFill>
              <w14:schemeClr w14:val="tx1"/>
            </w14:solidFill>
          </w14:textFill>
        </w:rPr>
      </w:pPr>
      <w:bookmarkStart w:id="92" w:name="_Toc26137"/>
      <w:bookmarkStart w:id="93" w:name="_Toc29576"/>
      <w:bookmarkStart w:id="94" w:name="_Toc25612"/>
      <w:bookmarkStart w:id="95" w:name="_Toc2467"/>
      <w:r>
        <w:rPr>
          <w:rFonts w:hint="eastAsia" w:ascii="黑体" w:hAnsi="黑体" w:eastAsia="黑体" w:cs="黑体"/>
          <w:color w:val="000000" w:themeColor="text1"/>
          <w14:textFill>
            <w14:solidFill>
              <w14:schemeClr w14:val="tx1"/>
            </w14:solidFill>
          </w14:textFill>
        </w:rPr>
        <w:t>（资料性）</w:t>
      </w:r>
      <w:bookmarkEnd w:id="92"/>
      <w:bookmarkEnd w:id="93"/>
      <w:bookmarkEnd w:id="94"/>
      <w:bookmarkEnd w:id="95"/>
    </w:p>
    <w:p w14:paraId="109A4D4A">
      <w:pPr>
        <w:spacing w:line="276" w:lineRule="auto"/>
        <w:jc w:val="center"/>
        <w:outlineLvl w:val="0"/>
        <w:rPr>
          <w:rFonts w:ascii="黑体" w:hAnsi="黑体" w:eastAsia="黑体" w:cs="黑体"/>
          <w:color w:val="000000" w:themeColor="text1"/>
          <w14:textFill>
            <w14:solidFill>
              <w14:schemeClr w14:val="tx1"/>
            </w14:solidFill>
          </w14:textFill>
        </w:rPr>
      </w:pPr>
      <w:bookmarkStart w:id="96" w:name="_Toc9752"/>
      <w:bookmarkStart w:id="97" w:name="_Toc152"/>
      <w:bookmarkStart w:id="98" w:name="_Toc23455"/>
      <w:bookmarkStart w:id="99" w:name="_Toc16415"/>
      <w:r>
        <w:rPr>
          <w:rFonts w:hint="eastAsia" w:ascii="黑体" w:hAnsi="黑体" w:eastAsia="黑体" w:cs="黑体"/>
          <w:color w:val="000000" w:themeColor="text1"/>
          <w14:textFill>
            <w14:solidFill>
              <w14:schemeClr w14:val="tx1"/>
            </w14:solidFill>
          </w14:textFill>
        </w:rPr>
        <w:t>常用间接灸</w:t>
      </w:r>
      <w:bookmarkEnd w:id="96"/>
      <w:bookmarkEnd w:id="97"/>
      <w:bookmarkEnd w:id="98"/>
      <w:bookmarkEnd w:id="99"/>
    </w:p>
    <w:p w14:paraId="2B5FE69D">
      <w:pPr>
        <w:pStyle w:val="13"/>
        <w:spacing w:before="312" w:beforeLines="100" w:after="312" w:afterLines="100" w:line="276" w:lineRule="auto"/>
        <w:jc w:val="both"/>
        <w:outlineLvl w:val="9"/>
        <w:rPr>
          <w:rFonts w:hint="eastAsia" w:ascii="黑体" w:hAnsi="黑体" w:eastAsia="黑体" w:cs="黑体"/>
          <w:b w:val="0"/>
          <w:color w:val="000000" w:themeColor="text1"/>
          <w:sz w:val="21"/>
          <w:lang w:val="en-US"/>
          <w14:textFill>
            <w14:solidFill>
              <w14:schemeClr w14:val="tx1"/>
            </w14:solidFill>
          </w14:textFill>
        </w:rPr>
      </w:pPr>
      <w:r>
        <w:rPr>
          <w:rFonts w:hint="eastAsia" w:ascii="黑体" w:hAnsi="黑体" w:eastAsia="黑体" w:cs="黑体"/>
          <w:b w:val="0"/>
          <w:color w:val="000000" w:themeColor="text1"/>
          <w:sz w:val="21"/>
          <w:lang w:val="en-US"/>
          <w14:textFill>
            <w14:solidFill>
              <w14:schemeClr w14:val="tx1"/>
            </w14:solidFill>
          </w14:textFill>
        </w:rPr>
        <w:t>Ｄ.1  隔姜灸</w:t>
      </w:r>
    </w:p>
    <w:p w14:paraId="65BE473D">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将鲜生姜切成厚约0.3 cm、直径2 cm～3 cm的生姜片，大小适度，中间以针刺数孔，置于施灸穴位上。据病情选用大、中、小艾炷点燃放在姜片中心施灸，若被灸者有灼热感可将姜片稍提起。若艾炷燃尽，易炷再灸，直至灸完应灸的壮数。一般每次可施灸2～5壮，以灸处皮肤潮红湿润为度。常用于寒证的呕吐、腹痛、泄泻等，适用范围3岁及以上。</w:t>
      </w:r>
    </w:p>
    <w:p w14:paraId="79339F75">
      <w:pPr>
        <w:pStyle w:val="13"/>
        <w:spacing w:before="312" w:beforeLines="100" w:after="312" w:afterLines="100" w:line="276" w:lineRule="auto"/>
        <w:jc w:val="both"/>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Ｄ.2  隔蒜灸</w:t>
      </w:r>
    </w:p>
    <w:p w14:paraId="683E6646">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将鲜独头大蒜横切成约0.3 cm的薄片，大小适度，中间以针刺数孔，置于施灸穴位上。据病情选用大、中、小艾炷点燃放在大蒜片中心施灸，若被灸患儿有灼热感可将大蒜片稍提起。若艾炷燃尽，更换新蒜片，易炷再灸，直至灸完应灸的壮数。一般每次可施灸2～5壮，以灸处皮肤色红为度。常用于治疗瘰疬、肺结核、初起肿疡、腹痛等。因大蒜汁对皮肤有刺激性，灸后容易起泡，应注意保护灸面。小儿慎用此法。</w:t>
      </w:r>
    </w:p>
    <w:p w14:paraId="1F7E6324">
      <w:pPr>
        <w:pStyle w:val="13"/>
        <w:spacing w:before="312" w:beforeLines="100" w:after="312" w:afterLines="100" w:line="276" w:lineRule="auto"/>
        <w:jc w:val="both"/>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Ｄ.3  隔盐灸</w:t>
      </w:r>
    </w:p>
    <w:p w14:paraId="700B289A">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将纯净干燥的食盐纳入脐中，填平脐孔，或于盐上再置以约0.1 cm厚的薄姜片，据病情选用大、中、小艾炷点燃施灸。若艾炷燃尽，易炷再灸，直至灸完应灸的壮数。一般每次可施灸3～6壮。以患儿稍有灼痛能忍受为度。常用于治疗寒证的吐泻并作、虚脱等。</w:t>
      </w:r>
    </w:p>
    <w:p w14:paraId="36F5AD59">
      <w:pPr>
        <w:pStyle w:val="13"/>
        <w:spacing w:before="312" w:beforeLines="100" w:after="312" w:afterLines="100" w:line="276" w:lineRule="auto"/>
        <w:jc w:val="both"/>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Ｄ.4  隔附子灸</w:t>
      </w:r>
    </w:p>
    <w:p w14:paraId="3162ABDF">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将生附子切细研末，用黄酒调和，制成直径约1 cm～2 cm、厚约0.4 cm的附子饼，大小适度，中间以针刺数孔，置施灸穴位上。据病情选用大、中、小艾炷点燃放在附子饼片中央施灸，若艾炷燃尽，易炷再灸，直至灸完应灸的壮数。附子饼干焦后再换新饼。一般每次宜灸3壮。以灸处皮肤温热、有红晕为度。常用于治疗心肾阳衰的重症或疮疡久溃不敛等。</w:t>
      </w:r>
    </w:p>
    <w:p w14:paraId="235D131C">
      <w:pPr>
        <w:spacing w:line="276" w:lineRule="auto"/>
        <w:ind w:firstLine="420" w:firstLineChars="200"/>
        <w:rPr>
          <w:color w:val="000000" w:themeColor="text1"/>
          <w14:textFill>
            <w14:solidFill>
              <w14:schemeClr w14:val="tx1"/>
            </w14:solidFill>
          </w14:textFill>
        </w:rPr>
      </w:pPr>
    </w:p>
    <w:p w14:paraId="7438C6DF">
      <w:pPr>
        <w:spacing w:line="276" w:lineRule="auto"/>
        <w:ind w:firstLine="420" w:firstLineChars="200"/>
        <w:rPr>
          <w:color w:val="000000" w:themeColor="text1"/>
          <w14:textFill>
            <w14:solidFill>
              <w14:schemeClr w14:val="tx1"/>
            </w14:solidFill>
          </w14:textFill>
        </w:rPr>
      </w:pPr>
    </w:p>
    <w:p w14:paraId="39CBD8C1">
      <w:pPr>
        <w:spacing w:line="276"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7D7E012B">
      <w:pPr>
        <w:spacing w:line="276" w:lineRule="auto"/>
        <w:jc w:val="center"/>
        <w:outlineLvl w:val="0"/>
        <w:rPr>
          <w:rFonts w:ascii="黑体" w:hAnsi="黑体" w:eastAsia="黑体" w:cs="黑体"/>
          <w:color w:val="000000" w:themeColor="text1"/>
          <w14:textFill>
            <w14:solidFill>
              <w14:schemeClr w14:val="tx1"/>
            </w14:solidFill>
          </w14:textFill>
        </w:rPr>
      </w:pPr>
      <w:bookmarkStart w:id="100" w:name="_Toc479"/>
      <w:bookmarkStart w:id="101" w:name="_Toc25252"/>
      <w:bookmarkStart w:id="102" w:name="_Toc25167"/>
      <w:r>
        <w:rPr>
          <w:rFonts w:hint="eastAsia" w:ascii="黑体" w:hAnsi="黑体" w:eastAsia="黑体" w:cs="黑体"/>
          <w:color w:val="000000" w:themeColor="text1"/>
          <w14:textFill>
            <w14:solidFill>
              <w14:schemeClr w14:val="tx1"/>
            </w14:solidFill>
          </w14:textFill>
        </w:rPr>
        <w:t>附录Ｅ</w:t>
      </w:r>
      <w:bookmarkEnd w:id="100"/>
      <w:bookmarkEnd w:id="101"/>
      <w:bookmarkEnd w:id="102"/>
    </w:p>
    <w:p w14:paraId="02EFC2B1">
      <w:pPr>
        <w:spacing w:line="276" w:lineRule="auto"/>
        <w:jc w:val="center"/>
        <w:outlineLvl w:val="0"/>
        <w:rPr>
          <w:rFonts w:ascii="黑体" w:hAnsi="黑体" w:eastAsia="黑体" w:cs="黑体"/>
          <w:color w:val="000000" w:themeColor="text1"/>
          <w14:textFill>
            <w14:solidFill>
              <w14:schemeClr w14:val="tx1"/>
            </w14:solidFill>
          </w14:textFill>
        </w:rPr>
      </w:pPr>
      <w:bookmarkStart w:id="103" w:name="_Toc7782"/>
      <w:bookmarkStart w:id="104" w:name="_Toc4016"/>
      <w:bookmarkStart w:id="105" w:name="_Toc32498"/>
      <w:bookmarkStart w:id="106" w:name="_Toc5961"/>
      <w:r>
        <w:rPr>
          <w:rFonts w:hint="eastAsia" w:ascii="黑体" w:hAnsi="黑体" w:eastAsia="黑体" w:cs="黑体"/>
          <w:color w:val="000000" w:themeColor="text1"/>
          <w14:textFill>
            <w14:solidFill>
              <w14:schemeClr w14:val="tx1"/>
            </w14:solidFill>
          </w14:textFill>
        </w:rPr>
        <w:t>（资料性）</w:t>
      </w:r>
      <w:bookmarkEnd w:id="103"/>
      <w:bookmarkEnd w:id="104"/>
      <w:bookmarkEnd w:id="105"/>
      <w:bookmarkEnd w:id="106"/>
    </w:p>
    <w:p w14:paraId="27ACD486">
      <w:pPr>
        <w:spacing w:line="276" w:lineRule="auto"/>
        <w:jc w:val="center"/>
        <w:outlineLvl w:val="0"/>
        <w:rPr>
          <w:rFonts w:ascii="黑体" w:hAnsi="黑体" w:eastAsia="黑体" w:cs="黑体"/>
          <w:color w:val="000000" w:themeColor="text1"/>
          <w14:textFill>
            <w14:solidFill>
              <w14:schemeClr w14:val="tx1"/>
            </w14:solidFill>
          </w14:textFill>
        </w:rPr>
      </w:pPr>
      <w:bookmarkStart w:id="107" w:name="_Toc15987"/>
      <w:bookmarkStart w:id="108" w:name="_Toc3314"/>
      <w:bookmarkStart w:id="109" w:name="_Toc14440"/>
      <w:bookmarkStart w:id="110" w:name="_Toc17240"/>
      <w:r>
        <w:rPr>
          <w:rFonts w:hint="eastAsia" w:ascii="黑体" w:hAnsi="黑体" w:eastAsia="黑体" w:cs="黑体"/>
          <w:color w:val="000000" w:themeColor="text1"/>
          <w14:textFill>
            <w14:solidFill>
              <w14:schemeClr w14:val="tx1"/>
            </w14:solidFill>
          </w14:textFill>
        </w:rPr>
        <w:t>常用温灸器</w:t>
      </w:r>
      <w:bookmarkEnd w:id="107"/>
      <w:bookmarkEnd w:id="108"/>
      <w:bookmarkEnd w:id="109"/>
      <w:bookmarkEnd w:id="110"/>
    </w:p>
    <w:p w14:paraId="63DEE1D2">
      <w:pPr>
        <w:pStyle w:val="13"/>
        <w:spacing w:before="312" w:beforeLines="100" w:after="312" w:afterLines="100" w:line="276" w:lineRule="auto"/>
        <w:jc w:val="both"/>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Ｅ.1  灸架</w:t>
      </w:r>
    </w:p>
    <w:p w14:paraId="552A3F38">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一种特制的圆桶形塑料制灸具，四面镂空，顶部中间有一置放和固定艾条的圆孔，灸架内中下部距底边3 cm～4 cm安装铁窗纱一块。灸架两边各有一底袢，另有一根橡皮带和一灭火管。施灸时将艾条点燃后插入孔中，以可上下自由移动为度，再将灸架固定在某一穴位上，用橡皮带套在灸架两边的底袢上，即可固定而不脱落。升降艾条调节距离，以微烫而不疼痛为适中。灸治完毕后，将剩余艾条插入灭火管中。</w:t>
      </w:r>
    </w:p>
    <w:p w14:paraId="0AFBA5E2">
      <w:pPr>
        <w:pStyle w:val="13"/>
        <w:spacing w:before="312" w:beforeLines="100" w:after="312" w:afterLines="100" w:line="276" w:lineRule="auto"/>
        <w:jc w:val="both"/>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Ｅ.2  灸筒</w:t>
      </w:r>
    </w:p>
    <w:p w14:paraId="097BF369">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由内筒和外筒两部分相套而成，均用2 cm～5 cm厚的铁片或铜片制成。内筒和外筒的底、壁均有孔，外筒上用一活动顶盖扣住，内筒安置一定的架位，使内筒和外筒的间距固定。外筒上安置一手柄便于把持。点燃放入内筒的艾绒，将内筒放回外筒，盖上顶盖，即可使用。</w:t>
      </w:r>
    </w:p>
    <w:p w14:paraId="1A5FFF10">
      <w:pPr>
        <w:pStyle w:val="13"/>
        <w:spacing w:before="312" w:beforeLines="100" w:after="312" w:afterLines="100" w:line="276" w:lineRule="auto"/>
        <w:jc w:val="both"/>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Ｅ.3  灸盒</w:t>
      </w:r>
    </w:p>
    <w:p w14:paraId="17FBB728">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一种特制的盒形灸具。传统灸盒为木质下面无底，上面有一可随时取下的与灸盒外径大小相同的盒盖，灸盒内中下部距底边4 cm～6 cm安装铁窗纱一块。新型温灸盒，盒身可为各种材质按照人体工学原理设置形状大小，佩戴便利，并可增设滤烟和防灼伤装置。施灸时将灸盒安放于施灸部位，点燃的艾绒或艾条置于铁纱上，盖上盒盖即可。</w:t>
      </w:r>
    </w:p>
    <w:p w14:paraId="735005FC">
      <w:pPr>
        <w:spacing w:line="276" w:lineRule="auto"/>
        <w:ind w:firstLine="420" w:firstLineChars="200"/>
        <w:rPr>
          <w:color w:val="000000" w:themeColor="text1"/>
          <w14:textFill>
            <w14:solidFill>
              <w14:schemeClr w14:val="tx1"/>
            </w14:solidFill>
          </w14:textFill>
        </w:rPr>
      </w:pPr>
    </w:p>
    <w:p w14:paraId="12CBD141">
      <w:pPr>
        <w:pStyle w:val="13"/>
        <w:spacing w:before="312" w:beforeLines="100" w:after="312" w:afterLines="100" w:line="276" w:lineRule="auto"/>
        <w:jc w:val="both"/>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Ｅ.4  艾灸仪</w:t>
      </w:r>
    </w:p>
    <w:p w14:paraId="56B3AD79">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通常由主机、灸材固定装置和自动控制装置组成。通过实时监测的温度反馈给驱动电动机，自动调节灸材与施灸部位的距离以对施灸温度进行控制。通过灸材燃烧对人体产生温热作用施灸于人体穴位，用于疾病的预防与治疗。</w:t>
      </w:r>
    </w:p>
    <w:p w14:paraId="49365AFE">
      <w:pPr>
        <w:spacing w:line="276"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3F0A7724">
      <w:pPr>
        <w:spacing w:line="276" w:lineRule="auto"/>
        <w:jc w:val="center"/>
        <w:outlineLvl w:val="0"/>
        <w:rPr>
          <w:rFonts w:ascii="黑体" w:hAnsi="黑体" w:eastAsia="黑体" w:cs="黑体"/>
          <w:color w:val="000000" w:themeColor="text1"/>
          <w14:textFill>
            <w14:solidFill>
              <w14:schemeClr w14:val="tx1"/>
            </w14:solidFill>
          </w14:textFill>
        </w:rPr>
      </w:pPr>
      <w:bookmarkStart w:id="111" w:name="_Toc848"/>
      <w:bookmarkStart w:id="112" w:name="_Toc26254"/>
      <w:bookmarkStart w:id="113" w:name="_Toc5654"/>
      <w:r>
        <w:rPr>
          <w:rFonts w:hint="eastAsia" w:ascii="黑体" w:hAnsi="黑体" w:eastAsia="黑体" w:cs="黑体"/>
          <w:color w:val="000000" w:themeColor="text1"/>
          <w14:textFill>
            <w14:solidFill>
              <w14:schemeClr w14:val="tx1"/>
            </w14:solidFill>
          </w14:textFill>
        </w:rPr>
        <w:t>附录Ｆ</w:t>
      </w:r>
      <w:bookmarkEnd w:id="111"/>
      <w:bookmarkEnd w:id="112"/>
      <w:bookmarkEnd w:id="113"/>
    </w:p>
    <w:p w14:paraId="66170947">
      <w:pPr>
        <w:spacing w:line="276" w:lineRule="auto"/>
        <w:jc w:val="center"/>
        <w:outlineLvl w:val="0"/>
        <w:rPr>
          <w:rFonts w:ascii="黑体" w:hAnsi="黑体" w:eastAsia="黑体" w:cs="黑体"/>
          <w:color w:val="000000" w:themeColor="text1"/>
          <w14:textFill>
            <w14:solidFill>
              <w14:schemeClr w14:val="tx1"/>
            </w14:solidFill>
          </w14:textFill>
        </w:rPr>
      </w:pPr>
      <w:bookmarkStart w:id="114" w:name="_Toc16285"/>
      <w:bookmarkStart w:id="115" w:name="_Toc195"/>
      <w:bookmarkStart w:id="116" w:name="_Toc12909"/>
      <w:bookmarkStart w:id="117" w:name="_Toc24769"/>
      <w:r>
        <w:rPr>
          <w:rFonts w:hint="eastAsia" w:ascii="黑体" w:hAnsi="黑体" w:eastAsia="黑体" w:cs="黑体"/>
          <w:color w:val="000000" w:themeColor="text1"/>
          <w14:textFill>
            <w14:solidFill>
              <w14:schemeClr w14:val="tx1"/>
            </w14:solidFill>
          </w14:textFill>
        </w:rPr>
        <w:t>（资料性）</w:t>
      </w:r>
      <w:bookmarkEnd w:id="114"/>
      <w:bookmarkEnd w:id="115"/>
      <w:bookmarkEnd w:id="116"/>
      <w:bookmarkEnd w:id="117"/>
    </w:p>
    <w:p w14:paraId="3CDB24B4">
      <w:pPr>
        <w:spacing w:line="276" w:lineRule="auto"/>
        <w:jc w:val="center"/>
        <w:outlineLvl w:val="0"/>
        <w:rPr>
          <w:rFonts w:ascii="黑体" w:hAnsi="黑体" w:eastAsia="黑体" w:cs="黑体"/>
          <w:color w:val="000000" w:themeColor="text1"/>
          <w14:textFill>
            <w14:solidFill>
              <w14:schemeClr w14:val="tx1"/>
            </w14:solidFill>
          </w14:textFill>
        </w:rPr>
      </w:pPr>
      <w:bookmarkStart w:id="118" w:name="_Toc28736"/>
      <w:bookmarkStart w:id="119" w:name="_Toc21631"/>
      <w:bookmarkStart w:id="120" w:name="_Toc41"/>
      <w:bookmarkStart w:id="121" w:name="_Toc13094"/>
      <w:r>
        <w:rPr>
          <w:rFonts w:hint="eastAsia" w:ascii="黑体" w:hAnsi="黑体" w:eastAsia="黑体" w:cs="黑体"/>
          <w:color w:val="000000" w:themeColor="text1"/>
          <w14:textFill>
            <w14:solidFill>
              <w14:schemeClr w14:val="tx1"/>
            </w14:solidFill>
          </w14:textFill>
        </w:rPr>
        <w:t>常用艾条</w:t>
      </w:r>
      <w:bookmarkEnd w:id="118"/>
      <w:bookmarkEnd w:id="119"/>
      <w:bookmarkEnd w:id="120"/>
      <w:bookmarkEnd w:id="121"/>
    </w:p>
    <w:p w14:paraId="6218ECE0">
      <w:pPr>
        <w:pStyle w:val="13"/>
        <w:spacing w:before="312" w:beforeLines="100" w:after="312" w:afterLines="100" w:line="276" w:lineRule="auto"/>
        <w:jc w:val="both"/>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Ｆ.1  清艾条</w:t>
      </w:r>
    </w:p>
    <w:p w14:paraId="1A62280B">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取纯净艾绒20 g～30 g，用棉皮纸等包裹，卷成圆柱形长条。</w:t>
      </w:r>
    </w:p>
    <w:p w14:paraId="1DBD381A">
      <w:pPr>
        <w:pStyle w:val="13"/>
        <w:spacing w:before="312" w:beforeLines="100" w:after="312" w:afterLines="100" w:line="276" w:lineRule="auto"/>
        <w:jc w:val="both"/>
        <w:outlineLvl w:val="9"/>
        <w:rPr>
          <w:rFonts w:ascii="Times New Roman" w:hAnsi="Times New Roman"/>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Ｆ.2  普通药艾条</w:t>
      </w:r>
      <w:r>
        <w:rPr>
          <w:rFonts w:hint="eastAsia" w:ascii="黑体" w:hAnsi="黑体" w:eastAsia="黑体" w:cs="黑体"/>
          <w:color w:val="000000" w:themeColor="text1"/>
          <w:lang w:val="en-US"/>
          <w14:textFill>
            <w14:solidFill>
              <w14:schemeClr w14:val="tx1"/>
            </w14:solidFill>
          </w14:textFill>
        </w:rPr>
        <w:t xml:space="preserve"> </w:t>
      </w:r>
    </w:p>
    <w:p w14:paraId="578642C0">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取肉桂、干姜、木香、独活、细辛、白芷、雄黄、苍术、没药、乳香、花椒各等份，研成细末。将药末按每支艾条加6 g量，混入艾绒中，装成艾条。</w:t>
      </w:r>
    </w:p>
    <w:p w14:paraId="200A27F0">
      <w:pPr>
        <w:pStyle w:val="13"/>
        <w:spacing w:before="312" w:beforeLines="100" w:after="312" w:afterLines="100" w:line="276" w:lineRule="auto"/>
        <w:jc w:val="both"/>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Ｆ.3  雷火神针</w:t>
      </w:r>
      <w:r>
        <w:rPr>
          <w:rFonts w:hint="eastAsia" w:ascii="黑体" w:hAnsi="黑体" w:eastAsia="黑体" w:cs="黑体"/>
          <w:color w:val="000000" w:themeColor="text1"/>
          <w:lang w:val="en-US"/>
          <w14:textFill>
            <w14:solidFill>
              <w14:schemeClr w14:val="tx1"/>
            </w14:solidFill>
          </w14:textFill>
        </w:rPr>
        <w:t xml:space="preserve">  </w:t>
      </w:r>
    </w:p>
    <w:p w14:paraId="5F6ED4C7">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药艾条的一种，常用于风寒湿痹、痿证和虚寒病证。处方：艾绒94g，沉香、木香、乳香、茵陈、羌活、干姜各9 g，加入麝香少许，研末，混匀。将药物平铺在桑皮纸上，卷紧如爆竹状，再用木板搓捻卷紧，外用鸡蛋清涂抹，阴干保存备用。</w:t>
      </w:r>
    </w:p>
    <w:p w14:paraId="46E7113A">
      <w:pPr>
        <w:pStyle w:val="13"/>
        <w:spacing w:before="312" w:beforeLines="100" w:after="312" w:afterLines="100" w:line="276" w:lineRule="auto"/>
        <w:jc w:val="both"/>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Ｆ.4  太乙神针</w:t>
      </w:r>
      <w:r>
        <w:rPr>
          <w:rFonts w:hint="eastAsia" w:ascii="黑体" w:hAnsi="黑体" w:eastAsia="黑体" w:cs="黑体"/>
          <w:color w:val="000000" w:themeColor="text1"/>
          <w:lang w:val="en-US"/>
          <w14:textFill>
            <w14:solidFill>
              <w14:schemeClr w14:val="tx1"/>
            </w14:solidFill>
          </w14:textFill>
        </w:rPr>
        <w:t xml:space="preserve">  </w:t>
      </w:r>
    </w:p>
    <w:p w14:paraId="0A8DFB56">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药艾条的一种，是在雷火针的基础上改变药物而成，适应证更广，常用于风寒湿痹、萎病、小儿中风等病症。处方：艾绒90g，硫黄6g，麝香、乳香、没药、松香、桂枝、杜仲、枳壳、皂角刺、细辛、川芎、独活、雄黄、白芷、全蝎各3g。艾条制法、施灸操作同雷火针。</w:t>
      </w:r>
    </w:p>
    <w:p w14:paraId="003479DF">
      <w:pPr>
        <w:spacing w:line="276"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31248E53">
      <w:pPr>
        <w:spacing w:line="276" w:lineRule="auto"/>
        <w:jc w:val="center"/>
        <w:outlineLvl w:val="0"/>
        <w:rPr>
          <w:rFonts w:ascii="黑体" w:hAnsi="黑体" w:eastAsia="黑体" w:cs="黑体"/>
          <w:color w:val="000000" w:themeColor="text1"/>
          <w14:textFill>
            <w14:solidFill>
              <w14:schemeClr w14:val="tx1"/>
            </w14:solidFill>
          </w14:textFill>
        </w:rPr>
      </w:pPr>
      <w:bookmarkStart w:id="122" w:name="_Toc30877"/>
      <w:bookmarkStart w:id="123" w:name="_Toc19514"/>
      <w:bookmarkStart w:id="124" w:name="_Toc25703"/>
      <w:r>
        <w:rPr>
          <w:rFonts w:hint="eastAsia" w:ascii="黑体" w:hAnsi="黑体" w:eastAsia="黑体" w:cs="黑体"/>
          <w:color w:val="000000" w:themeColor="text1"/>
          <w14:textFill>
            <w14:solidFill>
              <w14:schemeClr w14:val="tx1"/>
            </w14:solidFill>
          </w14:textFill>
        </w:rPr>
        <w:t>附录Ｇ</w:t>
      </w:r>
      <w:bookmarkEnd w:id="122"/>
      <w:bookmarkEnd w:id="123"/>
      <w:bookmarkEnd w:id="124"/>
    </w:p>
    <w:p w14:paraId="11A36F76">
      <w:pPr>
        <w:spacing w:line="276" w:lineRule="auto"/>
        <w:jc w:val="center"/>
        <w:outlineLvl w:val="0"/>
        <w:rPr>
          <w:rFonts w:ascii="黑体" w:hAnsi="黑体" w:eastAsia="黑体" w:cs="黑体"/>
          <w:color w:val="000000" w:themeColor="text1"/>
          <w14:textFill>
            <w14:solidFill>
              <w14:schemeClr w14:val="tx1"/>
            </w14:solidFill>
          </w14:textFill>
        </w:rPr>
      </w:pPr>
      <w:bookmarkStart w:id="125" w:name="_Toc19507"/>
      <w:bookmarkStart w:id="126" w:name="_Toc7908"/>
      <w:bookmarkStart w:id="127" w:name="_Toc23918"/>
      <w:bookmarkStart w:id="128" w:name="_Toc12697"/>
      <w:r>
        <w:rPr>
          <w:rFonts w:hint="eastAsia" w:ascii="黑体" w:hAnsi="黑体" w:eastAsia="黑体" w:cs="黑体"/>
          <w:color w:val="000000" w:themeColor="text1"/>
          <w14:textFill>
            <w14:solidFill>
              <w14:schemeClr w14:val="tx1"/>
            </w14:solidFill>
          </w14:textFill>
        </w:rPr>
        <w:t>（资料性）</w:t>
      </w:r>
      <w:bookmarkEnd w:id="125"/>
      <w:bookmarkEnd w:id="126"/>
      <w:bookmarkEnd w:id="127"/>
      <w:bookmarkEnd w:id="128"/>
    </w:p>
    <w:p w14:paraId="34A35764">
      <w:pPr>
        <w:spacing w:line="276" w:lineRule="auto"/>
        <w:jc w:val="center"/>
        <w:outlineLvl w:val="0"/>
        <w:rPr>
          <w:rFonts w:ascii="黑体" w:hAnsi="黑体" w:eastAsia="黑体" w:cs="黑体"/>
          <w:color w:val="000000" w:themeColor="text1"/>
          <w14:textFill>
            <w14:solidFill>
              <w14:schemeClr w14:val="tx1"/>
            </w14:solidFill>
          </w14:textFill>
        </w:rPr>
      </w:pPr>
      <w:bookmarkStart w:id="129" w:name="_Toc19439"/>
      <w:bookmarkStart w:id="130" w:name="_Toc21347"/>
      <w:bookmarkStart w:id="131" w:name="_Toc29444"/>
      <w:bookmarkStart w:id="132" w:name="_Toc8488"/>
      <w:r>
        <w:rPr>
          <w:rFonts w:hint="eastAsia" w:ascii="黑体" w:hAnsi="黑体" w:eastAsia="黑体" w:cs="黑体"/>
          <w:color w:val="000000" w:themeColor="text1"/>
          <w14:textFill>
            <w14:solidFill>
              <w14:schemeClr w14:val="tx1"/>
            </w14:solidFill>
          </w14:textFill>
        </w:rPr>
        <w:t>艾灸量、治疗时间及疗程、晕灸的处理办法</w:t>
      </w:r>
      <w:bookmarkEnd w:id="129"/>
      <w:bookmarkEnd w:id="130"/>
      <w:bookmarkEnd w:id="131"/>
      <w:bookmarkEnd w:id="132"/>
    </w:p>
    <w:p w14:paraId="75B0C840">
      <w:pPr>
        <w:pStyle w:val="13"/>
        <w:spacing w:before="312" w:beforeLines="100" w:after="312" w:afterLines="100" w:line="276" w:lineRule="auto"/>
        <w:jc w:val="both"/>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Ｇ.1  艾灸量</w:t>
      </w:r>
    </w:p>
    <w:p w14:paraId="12A95CF5">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艾灸量是运用艾灸治疗时所用艾量以及局部达到的温热程度。不同的灸量产生不同的治疗效果。艾炷灸的灸量一般以艾炷的大小和壮数的多少计算，炷小、壮数少则量小，炷大、壮数多则量大；艾灸温和灸、温灸器灸则以时间计算。</w:t>
      </w:r>
    </w:p>
    <w:p w14:paraId="57D12852">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艾灸部位如在头面胸部、四肢末端皮薄而多筋处，灸量宜小；在腰腹、肩、腿等皮厚肉丰处，灸量可大。</w:t>
      </w:r>
    </w:p>
    <w:p w14:paraId="1A8F40D9">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沉寒痼冷疾病灸量可大；外感疾病灸量宜小。</w:t>
      </w:r>
    </w:p>
    <w:p w14:paraId="278DE7D1">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年龄越小、体质越弱者，灸量应越小。</w:t>
      </w:r>
    </w:p>
    <w:p w14:paraId="481925EE">
      <w:pPr>
        <w:pStyle w:val="13"/>
        <w:spacing w:before="312" w:beforeLines="100" w:after="312" w:afterLines="100" w:line="276" w:lineRule="auto"/>
        <w:jc w:val="left"/>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Ｇ.2  艾灸治疗时间及疗程</w:t>
      </w:r>
    </w:p>
    <w:p w14:paraId="5C55B6A5">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艾灸时间不宜过长，以每穴3～10 min为宜。夏季时间宜短，冬季时间可略长。艾灸频率、疗程视小儿情况而定，可每日、隔日或3天灸一次。</w:t>
      </w:r>
    </w:p>
    <w:p w14:paraId="632C40FC">
      <w:pPr>
        <w:pStyle w:val="13"/>
        <w:spacing w:before="312" w:beforeLines="100" w:after="312" w:afterLines="100" w:line="276" w:lineRule="auto"/>
        <w:jc w:val="both"/>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Ｇ.3  晕灸的处理办法</w:t>
      </w:r>
    </w:p>
    <w:p w14:paraId="3DB2B92C">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若发生晕灸，应立即停止艾灸，使患儿低头平卧，注意保暖，轻者一般休息片刻，或饮温开水后即可恢复；重者可加掐人中、内关、足三里；严重者按晕厥处理。</w:t>
      </w:r>
    </w:p>
    <w:p w14:paraId="1BA9D4D5">
      <w:pPr>
        <w:spacing w:line="276"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116557E5">
      <w:pPr>
        <w:spacing w:line="276" w:lineRule="auto"/>
        <w:jc w:val="center"/>
        <w:outlineLvl w:val="0"/>
        <w:rPr>
          <w:rFonts w:ascii="黑体" w:hAnsi="黑体" w:eastAsia="黑体" w:cs="黑体"/>
          <w:color w:val="000000" w:themeColor="text1"/>
          <w14:textFill>
            <w14:solidFill>
              <w14:schemeClr w14:val="tx1"/>
            </w14:solidFill>
          </w14:textFill>
        </w:rPr>
      </w:pPr>
      <w:bookmarkStart w:id="133" w:name="_Toc28609"/>
      <w:bookmarkStart w:id="134" w:name="_Toc27636"/>
      <w:bookmarkStart w:id="135" w:name="_Toc12414"/>
      <w:r>
        <w:rPr>
          <w:rFonts w:hint="eastAsia" w:ascii="黑体" w:hAnsi="黑体" w:eastAsia="黑体" w:cs="黑体"/>
          <w:color w:val="000000" w:themeColor="text1"/>
          <w14:textFill>
            <w14:solidFill>
              <w14:schemeClr w14:val="tx1"/>
            </w14:solidFill>
          </w14:textFill>
        </w:rPr>
        <w:t>附录Ｈ</w:t>
      </w:r>
      <w:bookmarkEnd w:id="133"/>
      <w:bookmarkEnd w:id="134"/>
      <w:bookmarkEnd w:id="135"/>
    </w:p>
    <w:p w14:paraId="63EE6A40">
      <w:pPr>
        <w:spacing w:line="276" w:lineRule="auto"/>
        <w:jc w:val="center"/>
        <w:outlineLvl w:val="0"/>
        <w:rPr>
          <w:rFonts w:ascii="黑体" w:hAnsi="黑体" w:eastAsia="黑体" w:cs="黑体"/>
          <w:color w:val="000000" w:themeColor="text1"/>
          <w14:textFill>
            <w14:solidFill>
              <w14:schemeClr w14:val="tx1"/>
            </w14:solidFill>
          </w14:textFill>
        </w:rPr>
      </w:pPr>
      <w:bookmarkStart w:id="136" w:name="_Toc8729"/>
      <w:bookmarkStart w:id="137" w:name="_Toc30517"/>
      <w:bookmarkStart w:id="138" w:name="_Toc24754"/>
      <w:bookmarkStart w:id="139" w:name="_Toc24289"/>
      <w:r>
        <w:rPr>
          <w:rFonts w:hint="eastAsia" w:ascii="黑体" w:hAnsi="黑体" w:eastAsia="黑体" w:cs="黑体"/>
          <w:color w:val="000000" w:themeColor="text1"/>
          <w14:textFill>
            <w14:solidFill>
              <w14:schemeClr w14:val="tx1"/>
            </w14:solidFill>
          </w14:textFill>
        </w:rPr>
        <w:t>（资料性）</w:t>
      </w:r>
      <w:bookmarkEnd w:id="136"/>
      <w:bookmarkEnd w:id="137"/>
      <w:bookmarkEnd w:id="138"/>
      <w:bookmarkEnd w:id="139"/>
    </w:p>
    <w:p w14:paraId="7867AEC6">
      <w:pPr>
        <w:spacing w:line="276" w:lineRule="auto"/>
        <w:jc w:val="center"/>
        <w:outlineLvl w:val="0"/>
        <w:rPr>
          <w:rFonts w:ascii="黑体" w:hAnsi="黑体" w:eastAsia="黑体" w:cs="黑体"/>
          <w:color w:val="000000" w:themeColor="text1"/>
          <w14:textFill>
            <w14:solidFill>
              <w14:schemeClr w14:val="tx1"/>
            </w14:solidFill>
          </w14:textFill>
        </w:rPr>
      </w:pPr>
      <w:bookmarkStart w:id="140" w:name="_Toc18307"/>
      <w:bookmarkStart w:id="141" w:name="_Toc27855"/>
      <w:bookmarkStart w:id="142" w:name="_Toc23037"/>
      <w:bookmarkStart w:id="143" w:name="_Toc11875"/>
      <w:r>
        <w:rPr>
          <w:rFonts w:hint="eastAsia" w:ascii="黑体" w:hAnsi="黑体" w:eastAsia="黑体" w:cs="黑体"/>
          <w:color w:val="000000" w:themeColor="text1"/>
          <w14:textFill>
            <w14:solidFill>
              <w14:schemeClr w14:val="tx1"/>
            </w14:solidFill>
          </w14:textFill>
        </w:rPr>
        <w:t>小儿针灸疗法注意事项</w:t>
      </w:r>
      <w:bookmarkEnd w:id="140"/>
      <w:bookmarkEnd w:id="141"/>
      <w:bookmarkEnd w:id="142"/>
      <w:bookmarkEnd w:id="143"/>
    </w:p>
    <w:p w14:paraId="1DD740AD">
      <w:pPr>
        <w:pStyle w:val="13"/>
        <w:spacing w:before="312" w:beforeLines="100" w:after="312" w:afterLines="100" w:line="276" w:lineRule="auto"/>
        <w:jc w:val="both"/>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H.1  小儿毫针疗法注意事项</w:t>
      </w:r>
    </w:p>
    <w:p w14:paraId="49D45B34">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H.1.1</w:t>
      </w:r>
      <w:r>
        <w:rPr>
          <w:rFonts w:hint="eastAsia"/>
          <w:color w:val="000000" w:themeColor="text1"/>
          <w14:textFill>
            <w14:solidFill>
              <w14:schemeClr w14:val="tx1"/>
            </w14:solidFill>
          </w14:textFill>
        </w:rPr>
        <w:t xml:space="preserve">  患儿精神紧张、大汗、饥饿时不宜刺。</w:t>
      </w:r>
    </w:p>
    <w:p w14:paraId="1E13FFD5">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H.1.2</w:t>
      </w:r>
      <w:r>
        <w:rPr>
          <w:rFonts w:hint="eastAsia"/>
          <w:color w:val="000000" w:themeColor="text1"/>
          <w14:textFill>
            <w14:solidFill>
              <w14:schemeClr w14:val="tx1"/>
            </w14:solidFill>
          </w14:textFill>
        </w:rPr>
        <w:t xml:space="preserve">  患儿皮肤破溃、感染、出血部位不宜针刺。</w:t>
      </w:r>
    </w:p>
    <w:p w14:paraId="32494B1F">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H.1.3</w:t>
      </w:r>
      <w:r>
        <w:rPr>
          <w:rFonts w:hint="eastAsia"/>
          <w:color w:val="000000" w:themeColor="text1"/>
          <w14:textFill>
            <w14:solidFill>
              <w14:schemeClr w14:val="tx1"/>
            </w14:solidFill>
          </w14:textFill>
        </w:rPr>
        <w:t xml:space="preserve">  3岁以下针刺宜采用轻、浅刺法，不留针。头部腧穴只能采用平刺法，胸背部针刺不能深。</w:t>
      </w:r>
    </w:p>
    <w:p w14:paraId="4B15FFD3">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H.1.4</w:t>
      </w:r>
      <w:r>
        <w:rPr>
          <w:rFonts w:hint="eastAsia"/>
          <w:color w:val="000000" w:themeColor="text1"/>
          <w14:textFill>
            <w14:solidFill>
              <w14:schemeClr w14:val="tx1"/>
            </w14:solidFill>
          </w14:textFill>
        </w:rPr>
        <w:t xml:space="preserve">  操作时应防止感染。勿伤及大动脉。</w:t>
      </w:r>
    </w:p>
    <w:p w14:paraId="5F3493CB">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H.1.5</w:t>
      </w:r>
      <w:r>
        <w:rPr>
          <w:rFonts w:hint="eastAsia"/>
          <w:color w:val="000000" w:themeColor="text1"/>
          <w14:textFill>
            <w14:solidFill>
              <w14:schemeClr w14:val="tx1"/>
            </w14:solidFill>
          </w14:textFill>
        </w:rPr>
        <w:t xml:space="preserve">  操作时注意面色、血压、心率变化，防止晕针发生。</w:t>
      </w:r>
    </w:p>
    <w:p w14:paraId="2A0E283A">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H.1.6</w:t>
      </w:r>
      <w:r>
        <w:rPr>
          <w:rFonts w:hint="eastAsia"/>
          <w:color w:val="000000" w:themeColor="text1"/>
          <w14:textFill>
            <w14:solidFill>
              <w14:schemeClr w14:val="tx1"/>
            </w14:solidFill>
          </w14:textFill>
        </w:rPr>
        <w:t xml:space="preserve">  若针刺后局部出血较多，患儿要适当休息，观察无异常后再离开。操作者避免接触患儿血液。</w:t>
      </w:r>
    </w:p>
    <w:p w14:paraId="240F1E1F">
      <w:pPr>
        <w:pStyle w:val="13"/>
        <w:spacing w:before="312" w:beforeLines="100" w:after="312" w:afterLines="100" w:line="276" w:lineRule="auto"/>
        <w:jc w:val="both"/>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H.2  小儿三棱针疗法注意事项</w:t>
      </w:r>
    </w:p>
    <w:p w14:paraId="5D3689AE">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H.2.1</w:t>
      </w:r>
      <w:r>
        <w:rPr>
          <w:rFonts w:hint="eastAsia"/>
          <w:color w:val="000000" w:themeColor="text1"/>
          <w14:textFill>
            <w14:solidFill>
              <w14:schemeClr w14:val="tx1"/>
            </w14:solidFill>
          </w14:textFill>
        </w:rPr>
        <w:t xml:space="preserve">  患儿精神紧张、大汗、饥饿时不宜刺。</w:t>
      </w:r>
    </w:p>
    <w:p w14:paraId="610D9AEF">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H.2.2</w:t>
      </w:r>
      <w:r>
        <w:rPr>
          <w:rFonts w:hint="eastAsia"/>
          <w:color w:val="000000" w:themeColor="text1"/>
          <w14:textFill>
            <w14:solidFill>
              <w14:schemeClr w14:val="tx1"/>
            </w14:solidFill>
          </w14:textFill>
        </w:rPr>
        <w:t xml:space="preserve">  勿伤及动脉。操作部位应防止感染。</w:t>
      </w:r>
    </w:p>
    <w:p w14:paraId="305877E8">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H.2.3</w:t>
      </w:r>
      <w:r>
        <w:rPr>
          <w:rFonts w:hint="eastAsia"/>
          <w:color w:val="000000" w:themeColor="text1"/>
          <w14:textFill>
            <w14:solidFill>
              <w14:schemeClr w14:val="tx1"/>
            </w14:solidFill>
          </w14:textFill>
        </w:rPr>
        <w:t xml:space="preserve">  注意面色、血压、心率变化，防止晕针或晕血的发生。</w:t>
      </w:r>
    </w:p>
    <w:p w14:paraId="64DF87FC">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H.2.4</w:t>
      </w:r>
      <w:r>
        <w:rPr>
          <w:rFonts w:hint="eastAsia"/>
          <w:color w:val="000000" w:themeColor="text1"/>
          <w14:textFill>
            <w14:solidFill>
              <w14:schemeClr w14:val="tx1"/>
            </w14:solidFill>
          </w14:textFill>
        </w:rPr>
        <w:t xml:space="preserve">  若针刺后出血较多时，应让患儿适当休息，观察无异常后再离开。</w:t>
      </w:r>
    </w:p>
    <w:p w14:paraId="00ADCF05">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H.2.5</w:t>
      </w:r>
      <w:r>
        <w:rPr>
          <w:rFonts w:hint="eastAsia"/>
          <w:color w:val="000000" w:themeColor="text1"/>
          <w14:textFill>
            <w14:solidFill>
              <w14:schemeClr w14:val="tx1"/>
            </w14:solidFill>
          </w14:textFill>
        </w:rPr>
        <w:t xml:space="preserve">  操作者避免接触患儿所出血液。</w:t>
      </w:r>
    </w:p>
    <w:p w14:paraId="5B4DF8EB">
      <w:pPr>
        <w:pStyle w:val="13"/>
        <w:spacing w:before="312" w:beforeLines="100" w:after="312" w:afterLines="100" w:line="276" w:lineRule="auto"/>
        <w:jc w:val="both"/>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H.3  刺四缝疗法注意事项</w:t>
      </w:r>
    </w:p>
    <w:p w14:paraId="2A9EFAA9">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H.3.1</w:t>
      </w:r>
      <w:r>
        <w:rPr>
          <w:rFonts w:hint="eastAsia"/>
          <w:color w:val="000000" w:themeColor="text1"/>
          <w14:textFill>
            <w14:solidFill>
              <w14:schemeClr w14:val="tx1"/>
            </w14:solidFill>
          </w14:textFill>
        </w:rPr>
        <w:t xml:space="preserve">  严格消毒，防止感染。</w:t>
      </w:r>
    </w:p>
    <w:p w14:paraId="53AA619A">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H.3.2</w:t>
      </w:r>
      <w:r>
        <w:rPr>
          <w:rFonts w:hint="eastAsia"/>
          <w:color w:val="000000" w:themeColor="text1"/>
          <w14:textFill>
            <w14:solidFill>
              <w14:schemeClr w14:val="tx1"/>
            </w14:solidFill>
          </w14:textFill>
        </w:rPr>
        <w:t xml:space="preserve">  患儿精神紧张、大汗、饥饿时不宜针刺。</w:t>
      </w:r>
    </w:p>
    <w:p w14:paraId="0841E4F1">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H.3.3</w:t>
      </w:r>
      <w:r>
        <w:rPr>
          <w:rFonts w:hint="eastAsia"/>
          <w:color w:val="000000" w:themeColor="text1"/>
          <w14:textFill>
            <w14:solidFill>
              <w14:schemeClr w14:val="tx1"/>
            </w14:solidFill>
          </w14:textFill>
        </w:rPr>
        <w:t xml:space="preserve">  患儿四缝穴部位若有破溃、感染者不宜针刺。</w:t>
      </w:r>
    </w:p>
    <w:p w14:paraId="7E7F2DE1">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H.3.4</w:t>
      </w:r>
      <w:r>
        <w:rPr>
          <w:rFonts w:hint="eastAsia"/>
          <w:color w:val="000000" w:themeColor="text1"/>
          <w14:textFill>
            <w14:solidFill>
              <w14:schemeClr w14:val="tx1"/>
            </w14:solidFill>
          </w14:textFill>
        </w:rPr>
        <w:t xml:space="preserve">  点刺时手法宜轻、快、准，不可用力过猛，防止刺入过深。尽量避开血管。</w:t>
      </w:r>
    </w:p>
    <w:p w14:paraId="2DC822CD">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H.3.5</w:t>
      </w:r>
      <w:r>
        <w:rPr>
          <w:rFonts w:hint="eastAsia"/>
          <w:color w:val="000000" w:themeColor="text1"/>
          <w14:textFill>
            <w14:solidFill>
              <w14:schemeClr w14:val="tx1"/>
            </w14:solidFill>
          </w14:textFill>
        </w:rPr>
        <w:t xml:space="preserve">  操作者避免接触患儿所出血液。</w:t>
      </w:r>
    </w:p>
    <w:p w14:paraId="57A6D0BC">
      <w:pPr>
        <w:pStyle w:val="13"/>
        <w:spacing w:before="312" w:beforeLines="100" w:after="312" w:afterLines="100" w:line="276" w:lineRule="auto"/>
        <w:jc w:val="both"/>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H.4  小儿艾灸疗法注意事项</w:t>
      </w:r>
    </w:p>
    <w:p w14:paraId="418BFE8E">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H.4.1</w:t>
      </w:r>
      <w:r>
        <w:rPr>
          <w:rFonts w:hint="eastAsia"/>
          <w:color w:val="000000" w:themeColor="text1"/>
          <w14:textFill>
            <w14:solidFill>
              <w14:schemeClr w14:val="tx1"/>
            </w14:solidFill>
          </w14:textFill>
        </w:rPr>
        <w:t xml:space="preserve">  儿童施灸与成人相比艾炷宜小、壮数宜少、时间宜短。</w:t>
      </w:r>
    </w:p>
    <w:p w14:paraId="480388D0">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H.4.2</w:t>
      </w:r>
      <w:r>
        <w:rPr>
          <w:rFonts w:hint="eastAsia"/>
          <w:color w:val="000000" w:themeColor="text1"/>
          <w14:textFill>
            <w14:solidFill>
              <w14:schemeClr w14:val="tx1"/>
            </w14:solidFill>
          </w14:textFill>
        </w:rPr>
        <w:t xml:space="preserve">  直接灸操作应把握灸量，注意预防感染。</w:t>
      </w:r>
    </w:p>
    <w:p w14:paraId="487E1776">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H.4.3</w:t>
      </w:r>
      <w:r>
        <w:rPr>
          <w:rFonts w:hint="eastAsia"/>
          <w:color w:val="000000" w:themeColor="text1"/>
          <w14:textFill>
            <w14:solidFill>
              <w14:schemeClr w14:val="tx1"/>
            </w14:solidFill>
          </w14:textFill>
        </w:rPr>
        <w:t xml:space="preserve">  3岁以下患儿不宜留针，故一般不采用温针灸法。</w:t>
      </w:r>
    </w:p>
    <w:p w14:paraId="33FBD127">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H.4.4</w:t>
      </w:r>
      <w:r>
        <w:rPr>
          <w:rFonts w:hint="eastAsia"/>
          <w:color w:val="000000" w:themeColor="text1"/>
          <w14:textFill>
            <w14:solidFill>
              <w14:schemeClr w14:val="tx1"/>
            </w14:solidFill>
          </w14:textFill>
        </w:rPr>
        <w:t xml:space="preserve">  注意防止施灸过程中艾火脱落烫伤皮肤或烧坏衣被。</w:t>
      </w:r>
    </w:p>
    <w:p w14:paraId="0C15F5A6">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H.4.5</w:t>
      </w:r>
      <w:r>
        <w:rPr>
          <w:rFonts w:hint="eastAsia"/>
          <w:color w:val="000000" w:themeColor="text1"/>
          <w14:textFill>
            <w14:solidFill>
              <w14:schemeClr w14:val="tx1"/>
            </w14:solidFill>
          </w14:textFill>
        </w:rPr>
        <w:t xml:space="preserve">  灸毕应将艾火彻底熄灭，防止再燃。</w:t>
      </w:r>
    </w:p>
    <w:p w14:paraId="2C831079">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H.4.6</w:t>
      </w:r>
      <w:r>
        <w:rPr>
          <w:rFonts w:hint="eastAsia"/>
          <w:color w:val="000000" w:themeColor="text1"/>
          <w14:textFill>
            <w14:solidFill>
              <w14:schemeClr w14:val="tx1"/>
            </w14:solidFill>
          </w14:textFill>
        </w:rPr>
        <w:t xml:space="preserve">  施灸过程中密切观察患儿皮肤及全身情况，注意有无不良反应。如有晕灸现象，应及时停止灸疗，作出适当处理。</w:t>
      </w:r>
      <w:r>
        <w:rPr>
          <w:rFonts w:hint="eastAsia"/>
          <w:color w:val="000000" w:themeColor="text1"/>
          <w14:textFill>
            <w14:solidFill>
              <w14:schemeClr w14:val="tx1"/>
            </w14:solidFill>
          </w14:textFill>
        </w:rPr>
        <w:br w:type="page"/>
      </w:r>
    </w:p>
    <w:p w14:paraId="2C828BA2">
      <w:pPr>
        <w:spacing w:line="276" w:lineRule="auto"/>
        <w:jc w:val="center"/>
        <w:outlineLvl w:val="0"/>
        <w:rPr>
          <w:rFonts w:ascii="黑体" w:hAnsi="黑体" w:eastAsia="黑体" w:cs="黑体"/>
          <w:color w:val="000000" w:themeColor="text1"/>
          <w14:textFill>
            <w14:solidFill>
              <w14:schemeClr w14:val="tx1"/>
            </w14:solidFill>
          </w14:textFill>
        </w:rPr>
      </w:pPr>
      <w:bookmarkStart w:id="144" w:name="_Toc30476"/>
      <w:r>
        <w:rPr>
          <w:rFonts w:hint="eastAsia" w:ascii="黑体" w:hAnsi="黑体" w:eastAsia="黑体" w:cs="黑体"/>
          <w:color w:val="000000" w:themeColor="text1"/>
          <w14:textFill>
            <w14:solidFill>
              <w14:schemeClr w14:val="tx1"/>
            </w14:solidFill>
          </w14:textFill>
        </w:rPr>
        <w:t>附录Ｉ</w:t>
      </w:r>
      <w:bookmarkEnd w:id="144"/>
    </w:p>
    <w:p w14:paraId="07D7124A">
      <w:pPr>
        <w:spacing w:line="276" w:lineRule="auto"/>
        <w:jc w:val="center"/>
        <w:outlineLvl w:val="0"/>
        <w:rPr>
          <w:rFonts w:ascii="黑体" w:hAnsi="黑体" w:eastAsia="黑体" w:cs="黑体"/>
          <w:color w:val="000000" w:themeColor="text1"/>
          <w14:textFill>
            <w14:solidFill>
              <w14:schemeClr w14:val="tx1"/>
            </w14:solidFill>
          </w14:textFill>
        </w:rPr>
      </w:pPr>
      <w:bookmarkStart w:id="145" w:name="_Toc27055"/>
      <w:bookmarkStart w:id="146" w:name="_Toc10854"/>
      <w:bookmarkStart w:id="147" w:name="_Toc12108"/>
      <w:bookmarkStart w:id="148" w:name="_Toc24381"/>
      <w:r>
        <w:rPr>
          <w:rFonts w:hint="eastAsia" w:ascii="黑体" w:hAnsi="黑体" w:eastAsia="黑体" w:cs="黑体"/>
          <w:color w:val="000000" w:themeColor="text1"/>
          <w14:textFill>
            <w14:solidFill>
              <w14:schemeClr w14:val="tx1"/>
            </w14:solidFill>
          </w14:textFill>
        </w:rPr>
        <w:t>（资料性）</w:t>
      </w:r>
      <w:bookmarkEnd w:id="145"/>
      <w:bookmarkEnd w:id="146"/>
      <w:bookmarkEnd w:id="147"/>
      <w:bookmarkEnd w:id="148"/>
    </w:p>
    <w:p w14:paraId="3B3402AD">
      <w:pPr>
        <w:spacing w:line="276" w:lineRule="auto"/>
        <w:jc w:val="center"/>
        <w:outlineLvl w:val="0"/>
        <w:rPr>
          <w:rFonts w:ascii="黑体" w:hAnsi="黑体" w:eastAsia="黑体" w:cs="黑体"/>
          <w:color w:val="000000" w:themeColor="text1"/>
          <w14:textFill>
            <w14:solidFill>
              <w14:schemeClr w14:val="tx1"/>
            </w14:solidFill>
          </w14:textFill>
        </w:rPr>
      </w:pPr>
      <w:bookmarkStart w:id="149" w:name="_Toc27476"/>
      <w:bookmarkStart w:id="150" w:name="_Toc18244"/>
      <w:bookmarkStart w:id="151" w:name="_Toc5990"/>
      <w:bookmarkStart w:id="152" w:name="_Toc8346"/>
      <w:r>
        <w:rPr>
          <w:rFonts w:hint="eastAsia" w:ascii="黑体" w:hAnsi="黑体" w:eastAsia="黑体" w:cs="黑体"/>
          <w:color w:val="000000" w:themeColor="text1"/>
          <w14:textFill>
            <w14:solidFill>
              <w14:schemeClr w14:val="tx1"/>
            </w14:solidFill>
          </w14:textFill>
        </w:rPr>
        <w:t>小儿针灸疗法禁忌</w:t>
      </w:r>
      <w:bookmarkEnd w:id="149"/>
      <w:bookmarkEnd w:id="150"/>
      <w:bookmarkEnd w:id="151"/>
      <w:bookmarkEnd w:id="152"/>
    </w:p>
    <w:p w14:paraId="322284D1">
      <w:pPr>
        <w:pStyle w:val="13"/>
        <w:spacing w:before="312" w:beforeLines="100" w:after="312" w:afterLines="100" w:line="276" w:lineRule="auto"/>
        <w:jc w:val="both"/>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I.1  小儿毫针疗法禁忌</w:t>
      </w:r>
    </w:p>
    <w:p w14:paraId="01875A42">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I.1.1</w:t>
      </w:r>
      <w:r>
        <w:rPr>
          <w:rFonts w:hint="eastAsia"/>
          <w:color w:val="000000" w:themeColor="text1"/>
          <w14:textFill>
            <w14:solidFill>
              <w14:schemeClr w14:val="tx1"/>
            </w14:solidFill>
          </w14:textFill>
        </w:rPr>
        <w:t xml:space="preserve">  凝血机制障碍的患儿禁用本治法。</w:t>
      </w:r>
    </w:p>
    <w:p w14:paraId="3B718B18">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I.1.2</w:t>
      </w:r>
      <w:r>
        <w:rPr>
          <w:rFonts w:hint="eastAsia"/>
          <w:color w:val="000000" w:themeColor="text1"/>
          <w14:textFill>
            <w14:solidFill>
              <w14:schemeClr w14:val="tx1"/>
            </w14:solidFill>
          </w14:textFill>
        </w:rPr>
        <w:t xml:space="preserve">  血管瘤部位、不明原因的肿块部位禁用针刺。</w:t>
      </w:r>
    </w:p>
    <w:p w14:paraId="62A51A01">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I.1.3</w:t>
      </w:r>
      <w:r>
        <w:rPr>
          <w:rFonts w:hint="eastAsia"/>
          <w:color w:val="000000" w:themeColor="text1"/>
          <w14:textFill>
            <w14:solidFill>
              <w14:schemeClr w14:val="tx1"/>
            </w14:solidFill>
          </w14:textFill>
        </w:rPr>
        <w:t xml:space="preserve">  新生儿慎用针刺。患儿睡眠状态下慎用针刺。</w:t>
      </w:r>
    </w:p>
    <w:p w14:paraId="046E2F96">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I.1.4</w:t>
      </w:r>
      <w:r>
        <w:rPr>
          <w:rFonts w:hint="eastAsia"/>
          <w:color w:val="000000" w:themeColor="text1"/>
          <w14:textFill>
            <w14:solidFill>
              <w14:schemeClr w14:val="tx1"/>
            </w14:solidFill>
          </w14:textFill>
        </w:rPr>
        <w:t xml:space="preserve">  患儿囟门未闭合时，囟门附近的腧穴不宜针刺。</w:t>
      </w:r>
    </w:p>
    <w:p w14:paraId="60EA2FD8">
      <w:pPr>
        <w:pStyle w:val="13"/>
        <w:spacing w:before="312" w:beforeLines="100" w:after="312" w:afterLines="100" w:line="276" w:lineRule="auto"/>
        <w:jc w:val="both"/>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I.2  小儿三棱针疗法禁忌</w:t>
      </w:r>
    </w:p>
    <w:p w14:paraId="353F5BAC">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I.2.1</w:t>
      </w:r>
      <w:r>
        <w:rPr>
          <w:rFonts w:hint="eastAsia"/>
          <w:color w:val="000000" w:themeColor="text1"/>
          <w14:textFill>
            <w14:solidFill>
              <w14:schemeClr w14:val="tx1"/>
            </w14:solidFill>
          </w14:textFill>
        </w:rPr>
        <w:t xml:space="preserve">  凝血机制障碍的患儿禁用本治法。</w:t>
      </w:r>
    </w:p>
    <w:p w14:paraId="25DE78A5">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I.2.2</w:t>
      </w:r>
      <w:r>
        <w:rPr>
          <w:rFonts w:hint="eastAsia"/>
          <w:color w:val="000000" w:themeColor="text1"/>
          <w14:textFill>
            <w14:solidFill>
              <w14:schemeClr w14:val="tx1"/>
            </w14:solidFill>
          </w14:textFill>
        </w:rPr>
        <w:t xml:space="preserve">  血管瘤部位、不明原因的肿块部位禁用本治法。</w:t>
      </w:r>
    </w:p>
    <w:p w14:paraId="1230D0BF">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I.2.3</w:t>
      </w:r>
      <w:r>
        <w:rPr>
          <w:rFonts w:hint="eastAsia"/>
          <w:color w:val="000000" w:themeColor="text1"/>
          <w14:textFill>
            <w14:solidFill>
              <w14:schemeClr w14:val="tx1"/>
            </w14:solidFill>
          </w14:textFill>
        </w:rPr>
        <w:t xml:space="preserve">  1岁以下患儿禁用本治法，1～2岁患儿慎用本治法。</w:t>
      </w:r>
    </w:p>
    <w:p w14:paraId="7CC625AA">
      <w:pPr>
        <w:pStyle w:val="13"/>
        <w:spacing w:before="312" w:beforeLines="100" w:after="312" w:afterLines="100" w:line="276" w:lineRule="auto"/>
        <w:jc w:val="both"/>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I.3  刺四缝疗法禁忌</w:t>
      </w:r>
    </w:p>
    <w:p w14:paraId="26D4C64D">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I.3.1</w:t>
      </w:r>
      <w:r>
        <w:rPr>
          <w:rFonts w:hint="eastAsia"/>
          <w:color w:val="000000" w:themeColor="text1"/>
          <w14:textFill>
            <w14:solidFill>
              <w14:schemeClr w14:val="tx1"/>
            </w14:solidFill>
          </w14:textFill>
        </w:rPr>
        <w:t xml:space="preserve">  凝血机制障碍的患儿禁用本治法。</w:t>
      </w:r>
    </w:p>
    <w:p w14:paraId="02DD383F">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I.3.2</w:t>
      </w:r>
      <w:r>
        <w:rPr>
          <w:rFonts w:hint="eastAsia"/>
          <w:color w:val="000000" w:themeColor="text1"/>
          <w14:textFill>
            <w14:solidFill>
              <w14:schemeClr w14:val="tx1"/>
            </w14:solidFill>
          </w14:textFill>
        </w:rPr>
        <w:t xml:space="preserve">  四缝穴处若有血管瘤、不明原因的肿块禁用。</w:t>
      </w:r>
    </w:p>
    <w:p w14:paraId="4CEC2916">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I.3.3</w:t>
      </w:r>
      <w:r>
        <w:rPr>
          <w:rFonts w:hint="eastAsia"/>
          <w:color w:val="000000" w:themeColor="text1"/>
          <w14:textFill>
            <w14:solidFill>
              <w14:schemeClr w14:val="tx1"/>
            </w14:solidFill>
          </w14:textFill>
        </w:rPr>
        <w:t xml:space="preserve">  1岁以下患儿慎用。</w:t>
      </w:r>
    </w:p>
    <w:p w14:paraId="156BE10C">
      <w:pPr>
        <w:pStyle w:val="13"/>
        <w:spacing w:before="312" w:beforeLines="100" w:after="312" w:afterLines="100" w:line="276" w:lineRule="auto"/>
        <w:jc w:val="both"/>
        <w:outlineLvl w:val="9"/>
        <w:rPr>
          <w:rFonts w:ascii="黑体" w:hAnsi="黑体" w:eastAsia="黑体"/>
          <w:b w:val="0"/>
          <w:color w:val="000000" w:themeColor="text1"/>
          <w:sz w:val="21"/>
          <w:lang w:val="en-US"/>
          <w14:textFill>
            <w14:solidFill>
              <w14:schemeClr w14:val="tx1"/>
            </w14:solidFill>
          </w14:textFill>
        </w:rPr>
      </w:pPr>
      <w:r>
        <w:rPr>
          <w:rFonts w:hint="eastAsia" w:ascii="黑体" w:hAnsi="黑体" w:eastAsia="黑体"/>
          <w:b w:val="0"/>
          <w:color w:val="000000" w:themeColor="text1"/>
          <w:sz w:val="21"/>
          <w:lang w:val="en-US"/>
          <w14:textFill>
            <w14:solidFill>
              <w14:schemeClr w14:val="tx1"/>
            </w14:solidFill>
          </w14:textFill>
        </w:rPr>
        <w:t>I.4  小儿艾灸疗法禁忌</w:t>
      </w:r>
    </w:p>
    <w:p w14:paraId="54890B05">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I.4.1</w:t>
      </w:r>
      <w:r>
        <w:rPr>
          <w:rFonts w:hint="eastAsia"/>
          <w:color w:val="000000" w:themeColor="text1"/>
          <w14:textFill>
            <w14:solidFill>
              <w14:schemeClr w14:val="tx1"/>
            </w14:solidFill>
          </w14:textFill>
        </w:rPr>
        <w:t xml:space="preserve">  3岁以下患儿不用直接灸法，如用灸疗，宜选温和灸。儿科禁用化脓灸（瘢痕灸），慎用雀啄灸。</w:t>
      </w:r>
    </w:p>
    <w:p w14:paraId="2A537BC1">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I.4.2</w:t>
      </w:r>
      <w:r>
        <w:rPr>
          <w:rFonts w:hint="eastAsia"/>
          <w:color w:val="000000" w:themeColor="text1"/>
          <w14:textFill>
            <w14:solidFill>
              <w14:schemeClr w14:val="tx1"/>
            </w14:solidFill>
          </w14:textFill>
        </w:rPr>
        <w:t xml:space="preserve">  过劳、过饥、大汗、精神紧张者慎用灸疗。</w:t>
      </w:r>
    </w:p>
    <w:p w14:paraId="4BA2A2C1">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I.4.3</w:t>
      </w:r>
      <w:r>
        <w:rPr>
          <w:rFonts w:hint="eastAsia"/>
          <w:color w:val="000000" w:themeColor="text1"/>
          <w14:textFill>
            <w14:solidFill>
              <w14:schemeClr w14:val="tx1"/>
            </w14:solidFill>
          </w14:textFill>
        </w:rPr>
        <w:t xml:space="preserve">  不肯配合，哭闹严重的患儿不用温针灸法。</w:t>
      </w:r>
    </w:p>
    <w:p w14:paraId="7F801A63">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I.4.4</w:t>
      </w:r>
      <w:r>
        <w:rPr>
          <w:rFonts w:hint="eastAsia"/>
          <w:color w:val="000000" w:themeColor="text1"/>
          <w14:textFill>
            <w14:solidFill>
              <w14:schemeClr w14:val="tx1"/>
            </w14:solidFill>
          </w14:textFill>
        </w:rPr>
        <w:t xml:space="preserve">  皮肤有出疹、破损、阳证疮疡处忌用灸疗。</w:t>
      </w:r>
    </w:p>
    <w:p w14:paraId="3FCD1CCE">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I.4.5</w:t>
      </w:r>
      <w:r>
        <w:rPr>
          <w:rFonts w:hint="eastAsia"/>
          <w:color w:val="000000" w:themeColor="text1"/>
          <w14:textFill>
            <w14:solidFill>
              <w14:schemeClr w14:val="tx1"/>
            </w14:solidFill>
          </w14:textFill>
        </w:rPr>
        <w:t xml:space="preserve">  眼、耳、口、鼻、前阴、后阴等九窍部位忌用灸疗。</w:t>
      </w:r>
    </w:p>
    <w:p w14:paraId="34FE779C">
      <w:pPr>
        <w:spacing w:line="276" w:lineRule="auto"/>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I.4.6</w:t>
      </w:r>
      <w:r>
        <w:rPr>
          <w:rFonts w:hint="eastAsia"/>
          <w:color w:val="000000" w:themeColor="text1"/>
          <w14:textFill>
            <w14:solidFill>
              <w14:schemeClr w14:val="tx1"/>
            </w14:solidFill>
          </w14:textFill>
        </w:rPr>
        <w:t xml:space="preserve">  对艾、辅助介质或药物过敏的小儿禁用灸疗。</w:t>
      </w:r>
    </w:p>
    <w:p w14:paraId="57F4D1FF">
      <w:pPr>
        <w:spacing w:line="276" w:lineRule="auto"/>
        <w:rPr>
          <w:rFonts w:ascii="Cambria" w:hAnsi="Cambria" w:cs="Arial"/>
          <w:b/>
          <w:color w:val="000000" w:themeColor="text1"/>
          <w:sz w:val="32"/>
          <w:szCs w:val="32"/>
          <w14:textFill>
            <w14:solidFill>
              <w14:schemeClr w14:val="tx1"/>
            </w14:solidFill>
          </w14:textFill>
        </w:rPr>
      </w:pPr>
      <w:r>
        <w:rPr>
          <w:rFonts w:ascii="Cambria" w:hAnsi="Cambria" w:cs="Arial"/>
          <w:b/>
          <w:color w:val="000000" w:themeColor="text1"/>
          <w:sz w:val="32"/>
          <w:szCs w:val="32"/>
          <w14:textFill>
            <w14:solidFill>
              <w14:schemeClr w14:val="tx1"/>
            </w14:solidFill>
          </w14:textFill>
        </w:rPr>
        <w:br w:type="page"/>
      </w:r>
    </w:p>
    <w:p w14:paraId="324E0C7F">
      <w:pPr>
        <w:spacing w:before="312" w:beforeLines="100" w:after="312" w:afterLines="100" w:line="276" w:lineRule="auto"/>
        <w:jc w:val="center"/>
        <w:outlineLvl w:val="0"/>
        <w:rPr>
          <w:rFonts w:ascii="Cambria" w:hAnsi="Cambria" w:eastAsia="黑体"/>
          <w:color w:val="000000" w:themeColor="text1"/>
          <w:sz w:val="22"/>
          <w14:textFill>
            <w14:solidFill>
              <w14:schemeClr w14:val="tx1"/>
            </w14:solidFill>
          </w14:textFill>
        </w:rPr>
      </w:pPr>
      <w:bookmarkStart w:id="153" w:name="_Toc25893"/>
      <w:bookmarkStart w:id="154" w:name="_Toc328"/>
      <w:bookmarkStart w:id="155" w:name="_Toc14820"/>
      <w:r>
        <w:rPr>
          <w:rFonts w:ascii="Cambria" w:hAnsi="Cambria" w:eastAsia="黑体"/>
          <w:color w:val="000000" w:themeColor="text1"/>
          <w:sz w:val="22"/>
          <w14:textFill>
            <w14:solidFill>
              <w14:schemeClr w14:val="tx1"/>
            </w14:solidFill>
          </w14:textFill>
        </w:rPr>
        <w:t>参 考 文 献</w:t>
      </w:r>
      <w:bookmarkEnd w:id="153"/>
      <w:bookmarkEnd w:id="154"/>
      <w:bookmarkEnd w:id="155"/>
    </w:p>
    <w:p w14:paraId="135A54A9">
      <w:pPr>
        <w:spacing w:line="276" w:lineRule="auto"/>
        <w:ind w:left="0" w:firstLine="400" w:firstLineChars="200"/>
        <w:rPr>
          <w:rFonts w:ascii="Cambria" w:hAnsi="Cambria"/>
          <w:color w:val="000000" w:themeColor="text1"/>
          <w:sz w:val="20"/>
          <w:szCs w:val="18"/>
          <w14:textFill>
            <w14:solidFill>
              <w14:schemeClr w14:val="tx1"/>
            </w14:solidFill>
          </w14:textFill>
        </w:rPr>
      </w:pPr>
      <w:r>
        <w:rPr>
          <w:rFonts w:ascii="Cambria" w:hAnsi="Cambria"/>
          <w:color w:val="000000" w:themeColor="text1"/>
          <w:sz w:val="20"/>
          <w:szCs w:val="18"/>
          <w14:textFill>
            <w14:solidFill>
              <w14:schemeClr w14:val="tx1"/>
            </w14:solidFill>
          </w14:textFill>
        </w:rPr>
        <w:t>[</w:t>
      </w:r>
      <w:r>
        <w:rPr>
          <w:rFonts w:hint="eastAsia" w:ascii="Cambria" w:hAnsi="Cambria"/>
          <w:color w:val="000000" w:themeColor="text1"/>
          <w:sz w:val="20"/>
          <w:szCs w:val="18"/>
          <w14:textFill>
            <w14:solidFill>
              <w14:schemeClr w14:val="tx1"/>
            </w14:solidFill>
          </w14:textFill>
        </w:rPr>
        <w:t>1</w:t>
      </w:r>
      <w:r>
        <w:rPr>
          <w:rFonts w:ascii="Cambria" w:hAnsi="Cambria"/>
          <w:color w:val="000000" w:themeColor="text1"/>
          <w:sz w:val="20"/>
          <w:szCs w:val="18"/>
          <w14:textFill>
            <w14:solidFill>
              <w14:schemeClr w14:val="tx1"/>
            </w14:solidFill>
          </w14:textFill>
        </w:rPr>
        <w:t>]</w:t>
      </w:r>
      <w:r>
        <w:rPr>
          <w:rFonts w:hint="eastAsia" w:ascii="Cambria" w:hAnsi="Cambria"/>
          <w:color w:val="000000" w:themeColor="text1"/>
          <w:sz w:val="20"/>
          <w:szCs w:val="18"/>
          <w14:textFill>
            <w14:solidFill>
              <w14:schemeClr w14:val="tx1"/>
            </w14:solidFill>
          </w14:textFill>
        </w:rPr>
        <w:t xml:space="preserve"> </w:t>
      </w:r>
      <w:r>
        <w:rPr>
          <w:rFonts w:ascii="Cambria" w:hAnsi="Cambria"/>
          <w:color w:val="000000" w:themeColor="text1"/>
          <w:sz w:val="20"/>
          <w:szCs w:val="18"/>
          <w14:textFill>
            <w14:solidFill>
              <w14:schemeClr w14:val="tx1"/>
            </w14:solidFill>
          </w14:textFill>
        </w:rPr>
        <w:t>全国科学技术名词审定委员会.中医药学名词.北京：科学出版社，2004.</w:t>
      </w:r>
    </w:p>
    <w:p w14:paraId="6C8D4223">
      <w:pPr>
        <w:spacing w:line="276" w:lineRule="auto"/>
        <w:ind w:left="0" w:firstLine="400" w:firstLineChars="200"/>
        <w:rPr>
          <w:rFonts w:ascii="Cambria" w:hAnsi="Cambria"/>
          <w:color w:val="000000" w:themeColor="text1"/>
          <w:sz w:val="20"/>
          <w:szCs w:val="18"/>
          <w14:textFill>
            <w14:solidFill>
              <w14:schemeClr w14:val="tx1"/>
            </w14:solidFill>
          </w14:textFill>
        </w:rPr>
      </w:pPr>
      <w:r>
        <w:rPr>
          <w:rFonts w:ascii="Cambria" w:hAnsi="Cambria"/>
          <w:color w:val="000000" w:themeColor="text1"/>
          <w:sz w:val="20"/>
          <w:szCs w:val="18"/>
          <w14:textFill>
            <w14:solidFill>
              <w14:schemeClr w14:val="tx1"/>
            </w14:solidFill>
          </w14:textFill>
        </w:rPr>
        <w:t>[</w:t>
      </w:r>
      <w:r>
        <w:rPr>
          <w:rFonts w:hint="eastAsia" w:ascii="Cambria" w:hAnsi="Cambria"/>
          <w:color w:val="000000" w:themeColor="text1"/>
          <w:sz w:val="20"/>
          <w:szCs w:val="18"/>
          <w14:textFill>
            <w14:solidFill>
              <w14:schemeClr w14:val="tx1"/>
            </w14:solidFill>
          </w14:textFill>
        </w:rPr>
        <w:t>2</w:t>
      </w:r>
      <w:r>
        <w:rPr>
          <w:rFonts w:ascii="Cambria" w:hAnsi="Cambria"/>
          <w:color w:val="000000" w:themeColor="text1"/>
          <w:sz w:val="20"/>
          <w:szCs w:val="18"/>
          <w14:textFill>
            <w14:solidFill>
              <w14:schemeClr w14:val="tx1"/>
            </w14:solidFill>
          </w14:textFill>
        </w:rPr>
        <w:t>]</w:t>
      </w:r>
      <w:r>
        <w:rPr>
          <w:rFonts w:hint="eastAsia" w:ascii="Cambria" w:hAnsi="Cambria"/>
          <w:color w:val="000000" w:themeColor="text1"/>
          <w:sz w:val="20"/>
          <w:szCs w:val="18"/>
          <w14:textFill>
            <w14:solidFill>
              <w14:schemeClr w14:val="tx1"/>
            </w14:solidFill>
          </w14:textFill>
        </w:rPr>
        <w:t xml:space="preserve">  </w:t>
      </w:r>
      <w:r>
        <w:rPr>
          <w:rFonts w:ascii="Cambria" w:hAnsi="Cambria"/>
          <w:color w:val="000000" w:themeColor="text1"/>
          <w:sz w:val="20"/>
          <w:szCs w:val="18"/>
          <w14:textFill>
            <w14:solidFill>
              <w14:schemeClr w14:val="tx1"/>
            </w14:solidFill>
          </w14:textFill>
        </w:rPr>
        <w:t>GB/T 16751—2023（所有部分）中医临床诊疗术语</w:t>
      </w:r>
    </w:p>
    <w:p w14:paraId="660D22A0">
      <w:pPr>
        <w:spacing w:line="276" w:lineRule="auto"/>
        <w:ind w:left="0" w:firstLine="400" w:firstLineChars="200"/>
        <w:rPr>
          <w:rFonts w:ascii="Cambria" w:hAnsi="Cambria"/>
          <w:color w:val="000000" w:themeColor="text1"/>
          <w:sz w:val="20"/>
          <w:szCs w:val="18"/>
          <w14:textFill>
            <w14:solidFill>
              <w14:schemeClr w14:val="tx1"/>
            </w14:solidFill>
          </w14:textFill>
        </w:rPr>
      </w:pPr>
      <w:r>
        <w:rPr>
          <w:rFonts w:ascii="Cambria" w:hAnsi="Cambria"/>
          <w:color w:val="000000" w:themeColor="text1"/>
          <w:sz w:val="20"/>
          <w:szCs w:val="18"/>
          <w14:textFill>
            <w14:solidFill>
              <w14:schemeClr w14:val="tx1"/>
            </w14:solidFill>
          </w14:textFill>
        </w:rPr>
        <w:t>[</w:t>
      </w:r>
      <w:r>
        <w:rPr>
          <w:rFonts w:hint="eastAsia" w:ascii="Cambria" w:hAnsi="Cambria"/>
          <w:color w:val="000000" w:themeColor="text1"/>
          <w:sz w:val="20"/>
          <w:szCs w:val="18"/>
          <w14:textFill>
            <w14:solidFill>
              <w14:schemeClr w14:val="tx1"/>
            </w14:solidFill>
          </w14:textFill>
        </w:rPr>
        <w:t>3</w:t>
      </w:r>
      <w:r>
        <w:rPr>
          <w:rFonts w:ascii="Cambria" w:hAnsi="Cambria"/>
          <w:color w:val="000000" w:themeColor="text1"/>
          <w:sz w:val="20"/>
          <w:szCs w:val="18"/>
          <w14:textFill>
            <w14:solidFill>
              <w14:schemeClr w14:val="tx1"/>
            </w14:solidFill>
          </w14:textFill>
        </w:rPr>
        <w:t>]</w:t>
      </w:r>
      <w:r>
        <w:rPr>
          <w:rFonts w:hint="eastAsia" w:ascii="Cambria" w:hAnsi="Cambria"/>
          <w:color w:val="000000" w:themeColor="text1"/>
          <w:sz w:val="20"/>
          <w:szCs w:val="18"/>
          <w14:textFill>
            <w14:solidFill>
              <w14:schemeClr w14:val="tx1"/>
            </w14:solidFill>
          </w14:textFill>
        </w:rPr>
        <w:t xml:space="preserve"> </w:t>
      </w:r>
      <w:r>
        <w:rPr>
          <w:rFonts w:ascii="Cambria" w:hAnsi="Cambria"/>
          <w:color w:val="000000" w:themeColor="text1"/>
          <w:sz w:val="20"/>
          <w:szCs w:val="18"/>
          <w14:textFill>
            <w14:solidFill>
              <w14:schemeClr w14:val="tx1"/>
            </w14:solidFill>
          </w14:textFill>
        </w:rPr>
        <w:t>国家药典委员会.中华人民共和国药典202</w:t>
      </w:r>
      <w:r>
        <w:rPr>
          <w:rFonts w:hint="eastAsia" w:ascii="Cambria" w:hAnsi="Cambria"/>
          <w:color w:val="000000" w:themeColor="text1"/>
          <w:sz w:val="20"/>
          <w:szCs w:val="18"/>
          <w14:textFill>
            <w14:solidFill>
              <w14:schemeClr w14:val="tx1"/>
            </w14:solidFill>
          </w14:textFill>
        </w:rPr>
        <w:t>5</w:t>
      </w:r>
      <w:r>
        <w:rPr>
          <w:rFonts w:ascii="Cambria" w:hAnsi="Cambria"/>
          <w:color w:val="000000" w:themeColor="text1"/>
          <w:sz w:val="20"/>
          <w:szCs w:val="18"/>
          <w14:textFill>
            <w14:solidFill>
              <w14:schemeClr w14:val="tx1"/>
            </w14:solidFill>
          </w14:textFill>
        </w:rPr>
        <w:t>年版.北京：中国医药科技出版社，202</w:t>
      </w:r>
      <w:r>
        <w:rPr>
          <w:rFonts w:hint="eastAsia" w:ascii="Cambria" w:hAnsi="Cambria"/>
          <w:color w:val="000000" w:themeColor="text1"/>
          <w:sz w:val="20"/>
          <w:szCs w:val="18"/>
          <w14:textFill>
            <w14:solidFill>
              <w14:schemeClr w14:val="tx1"/>
            </w14:solidFill>
          </w14:textFill>
        </w:rPr>
        <w:t>5</w:t>
      </w:r>
      <w:r>
        <w:rPr>
          <w:rFonts w:ascii="Cambria" w:hAnsi="Cambria"/>
          <w:color w:val="000000" w:themeColor="text1"/>
          <w:sz w:val="20"/>
          <w:szCs w:val="18"/>
          <w14:textFill>
            <w14:solidFill>
              <w14:schemeClr w14:val="tx1"/>
            </w14:solidFill>
          </w14:textFill>
        </w:rPr>
        <w:t>.</w:t>
      </w:r>
    </w:p>
    <w:p w14:paraId="5E051526">
      <w:pPr>
        <w:spacing w:before="31" w:beforeLines="10" w:line="276" w:lineRule="auto"/>
        <w:ind w:firstLine="420" w:firstLineChars="200"/>
        <w:rPr>
          <w:rFonts w:ascii="宋体" w:hAnsi="宋体" w:cs="宋体"/>
          <w:color w:val="000000" w:themeColor="text1"/>
          <w14:textFill>
            <w14:solidFill>
              <w14:schemeClr w14:val="tx1"/>
            </w14:solidFill>
          </w14:textFill>
        </w:rPr>
      </w:pPr>
    </w:p>
    <w:bookmarkEnd w:id="4"/>
    <w:p w14:paraId="773055F0">
      <w:pPr>
        <w:spacing w:line="240" w:lineRule="auto"/>
        <w:rPr>
          <w:rFonts w:ascii="Cambria" w:hAnsi="Cambria" w:cs="Arial"/>
          <w:bCs/>
          <w:color w:val="000000" w:themeColor="text1"/>
          <w:sz w:val="24"/>
          <w:szCs w:val="24"/>
          <w14:textFill>
            <w14:solidFill>
              <w14:schemeClr w14:val="tx1"/>
            </w14:solidFill>
          </w14:textFill>
        </w:rPr>
      </w:pPr>
      <w:r>
        <w:rPr>
          <w:rFonts w:ascii="Cambria" w:hAnsi="Cambria" w:cs="Arial"/>
          <w:bCs/>
          <w:color w:val="000000" w:themeColor="text1"/>
          <w:sz w:val="24"/>
          <w:szCs w:val="24"/>
          <w14:textFill>
            <w14:solidFill>
              <w14:schemeClr w14:val="tx1"/>
            </w14:solidFill>
          </w14:textFill>
        </w:rPr>
        <w:br w:type="page"/>
      </w:r>
    </w:p>
    <w:p w14:paraId="4D390DFD">
      <w:pPr>
        <w:spacing w:before="312" w:beforeLines="100" w:after="312" w:afterLines="100" w:line="276" w:lineRule="auto"/>
        <w:jc w:val="center"/>
        <w:outlineLvl w:val="0"/>
        <w:rPr>
          <w:rFonts w:ascii="Cambria" w:hAnsi="Cambria" w:eastAsia="黑体" w:cs="Cambria"/>
          <w:b/>
          <w:bCs/>
          <w:color w:val="000000" w:themeColor="text1"/>
          <w:sz w:val="32"/>
          <w:szCs w:val="32"/>
          <w14:textFill>
            <w14:solidFill>
              <w14:schemeClr w14:val="tx1"/>
            </w14:solidFill>
          </w14:textFill>
        </w:rPr>
      </w:pPr>
      <w:bookmarkStart w:id="156" w:name="_Toc13381"/>
      <w:bookmarkStart w:id="157" w:name="_Toc28832"/>
      <w:r>
        <w:rPr>
          <w:rFonts w:hint="default" w:ascii="Cambria" w:hAnsi="Cambria" w:eastAsia="黑体" w:cs="Cambria"/>
          <w:b/>
          <w:bCs/>
          <w:color w:val="000000" w:themeColor="text1"/>
          <w:sz w:val="32"/>
          <w:szCs w:val="32"/>
          <w14:textFill>
            <w14:solidFill>
              <w14:schemeClr w14:val="tx1"/>
            </w14:solidFill>
          </w14:textFill>
        </w:rPr>
        <w:t>Foreword</w:t>
      </w:r>
      <w:bookmarkEnd w:id="156"/>
      <w:bookmarkEnd w:id="157"/>
    </w:p>
    <w:p w14:paraId="44C4E299">
      <w:pPr>
        <w:widowControl w:val="0"/>
        <w:spacing w:line="276" w:lineRule="auto"/>
        <w:ind w:firstLine="480" w:firstLineChars="200"/>
        <w:jc w:val="both"/>
        <w:rPr>
          <w:rFonts w:ascii="Cambria" w:hAnsi="Cambria" w:eastAsia="宋体" w:cs="Cambria"/>
          <w:kern w:val="2"/>
          <w:sz w:val="24"/>
          <w:szCs w:val="24"/>
          <w:lang w:val="en-US" w:eastAsia="zh-CN" w:bidi="ar-SA"/>
        </w:rPr>
      </w:pPr>
      <w:r>
        <w:rPr>
          <w:rFonts w:ascii="Cambria" w:hAnsi="Cambria" w:eastAsia="宋体" w:cs="Cambria"/>
          <w:kern w:val="2"/>
          <w:sz w:val="24"/>
          <w:szCs w:val="24"/>
          <w:lang w:val="en-US" w:eastAsia="zh-CN" w:bidi="ar-SA"/>
        </w:rPr>
        <w:t>This document is Part 1 of International standardized manipulations of Chinese medicine — Pediatrics. The following parts of International standardized manipulations of Chinese medicine — Pediatrics have been published:</w:t>
      </w:r>
    </w:p>
    <w:p w14:paraId="6DFC8C45">
      <w:pPr>
        <w:widowControl w:val="0"/>
        <w:spacing w:line="276" w:lineRule="auto"/>
        <w:ind w:firstLine="480" w:firstLineChars="200"/>
        <w:jc w:val="both"/>
        <w:rPr>
          <w:rFonts w:ascii="Cambria" w:hAnsi="Cambria" w:eastAsia="宋体" w:cs="Cambria"/>
          <w:kern w:val="2"/>
          <w:sz w:val="24"/>
          <w:szCs w:val="24"/>
          <w:lang w:val="en-US" w:eastAsia="zh-CN" w:bidi="ar-SA"/>
        </w:rPr>
      </w:pPr>
      <w:r>
        <w:rPr>
          <w:rFonts w:ascii="Cambria" w:hAnsi="Cambria" w:eastAsia="宋体" w:cs="Cambria"/>
          <w:kern w:val="2"/>
          <w:sz w:val="24"/>
          <w:szCs w:val="24"/>
          <w:lang w:val="en-US" w:eastAsia="zh-CN" w:bidi="ar-SA"/>
        </w:rPr>
        <w:t xml:space="preserve">——Part 1: Internal treatments </w:t>
      </w:r>
    </w:p>
    <w:p w14:paraId="2ECF29AC">
      <w:pPr>
        <w:widowControl w:val="0"/>
        <w:spacing w:line="276" w:lineRule="auto"/>
        <w:ind w:firstLine="480" w:firstLineChars="200"/>
        <w:jc w:val="both"/>
        <w:rPr>
          <w:rFonts w:ascii="Cambria" w:hAnsi="Cambria" w:eastAsia="宋体" w:cs="Cambria"/>
          <w:kern w:val="2"/>
          <w:sz w:val="24"/>
          <w:szCs w:val="24"/>
          <w:lang w:val="en-US" w:eastAsia="zh-CN" w:bidi="ar-SA"/>
        </w:rPr>
      </w:pPr>
      <w:r>
        <w:rPr>
          <w:rFonts w:ascii="Cambria" w:hAnsi="Cambria" w:eastAsia="宋体" w:cs="Cambria"/>
          <w:kern w:val="2"/>
          <w:sz w:val="24"/>
          <w:szCs w:val="24"/>
          <w:lang w:val="en-US" w:eastAsia="zh-CN" w:bidi="ar-SA"/>
        </w:rPr>
        <w:t>——Part 2: Commonly used external treatments</w:t>
      </w:r>
    </w:p>
    <w:p w14:paraId="57235435">
      <w:pPr>
        <w:widowControl w:val="0"/>
        <w:spacing w:line="276" w:lineRule="auto"/>
        <w:ind w:firstLine="480" w:firstLineChars="200"/>
        <w:jc w:val="both"/>
        <w:rPr>
          <w:rFonts w:ascii="Cambria" w:hAnsi="Cambria" w:eastAsia="宋体" w:cs="Cambria"/>
          <w:kern w:val="2"/>
          <w:sz w:val="24"/>
          <w:szCs w:val="24"/>
          <w:lang w:val="en-US" w:eastAsia="zh-CN" w:bidi="ar-SA"/>
        </w:rPr>
      </w:pPr>
      <w:r>
        <w:rPr>
          <w:rFonts w:ascii="Cambria" w:hAnsi="Cambria" w:eastAsia="宋体" w:cs="Cambria"/>
          <w:kern w:val="2"/>
          <w:sz w:val="24"/>
          <w:szCs w:val="24"/>
          <w:lang w:val="en-US" w:eastAsia="zh-CN" w:bidi="ar-SA"/>
        </w:rPr>
        <w:t>——Part 3: Acupuncture and moxibustion therapies</w:t>
      </w:r>
    </w:p>
    <w:p w14:paraId="6367108C">
      <w:pPr>
        <w:widowControl w:val="0"/>
        <w:spacing w:line="276" w:lineRule="auto"/>
        <w:ind w:firstLine="480" w:firstLineChars="200"/>
        <w:jc w:val="both"/>
        <w:rPr>
          <w:rFonts w:ascii="Cambria" w:hAnsi="Cambria" w:eastAsia="宋体" w:cs="Cambria"/>
          <w:kern w:val="2"/>
          <w:sz w:val="24"/>
          <w:szCs w:val="24"/>
          <w:lang w:val="en-US" w:eastAsia="zh-CN" w:bidi="ar-SA"/>
        </w:rPr>
      </w:pPr>
      <w:r>
        <w:rPr>
          <w:rFonts w:ascii="Cambria" w:hAnsi="Cambria" w:eastAsia="宋体" w:cs="Cambria"/>
          <w:kern w:val="2"/>
          <w:sz w:val="24"/>
          <w:szCs w:val="24"/>
          <w:lang w:val="en-US" w:eastAsia="zh-CN" w:bidi="ar-SA"/>
        </w:rPr>
        <w:t xml:space="preserve">——Part 4: Tuina therapy </w:t>
      </w:r>
    </w:p>
    <w:p w14:paraId="2FD439B1">
      <w:pPr>
        <w:keepNext w:val="0"/>
        <w:keepLines w:val="0"/>
        <w:pageBreakBefore w:val="0"/>
        <w:widowControl w:val="0"/>
        <w:kinsoku/>
        <w:wordWrap/>
        <w:overflowPunct/>
        <w:topLinePunct w:val="0"/>
        <w:autoSpaceDE/>
        <w:autoSpaceDN/>
        <w:bidi w:val="0"/>
        <w:adjustRightInd/>
        <w:snapToGrid/>
        <w:spacing w:line="276" w:lineRule="auto"/>
        <w:ind w:left="0" w:firstLine="480" w:firstLineChars="200"/>
        <w:textAlignment w:val="auto"/>
        <w:rPr>
          <w:rFonts w:hint="default" w:ascii="Cambria" w:hAnsi="Cambria" w:eastAsia="宋体" w:cs="Cambria"/>
          <w:sz w:val="24"/>
          <w:szCs w:val="24"/>
          <w:highlight w:val="none"/>
          <w:lang w:eastAsia="zh-CN"/>
        </w:rPr>
      </w:pPr>
      <w:r>
        <w:rPr>
          <w:rFonts w:ascii="Cambria" w:hAnsi="Cambria" w:eastAsia="宋体" w:cs="Cambria"/>
          <w:kern w:val="2"/>
          <w:sz w:val="24"/>
          <w:szCs w:val="24"/>
          <w:lang w:val="en-US" w:eastAsia="zh-CN" w:bidi="ar-SA"/>
        </w:rPr>
        <w:t>——Part 5: Cupping therapy</w:t>
      </w:r>
    </w:p>
    <w:p w14:paraId="3BC24BBB">
      <w:pPr>
        <w:pStyle w:val="24"/>
        <w:keepNext w:val="0"/>
        <w:keepLines w:val="0"/>
        <w:pageBreakBefore w:val="0"/>
        <w:widowControl w:val="0"/>
        <w:kinsoku/>
        <w:wordWrap/>
        <w:overflowPunct/>
        <w:topLinePunct w:val="0"/>
        <w:autoSpaceDE/>
        <w:autoSpaceDN/>
        <w:bidi w:val="0"/>
        <w:adjustRightInd/>
        <w:snapToGrid/>
        <w:spacing w:line="276" w:lineRule="auto"/>
        <w:ind w:left="0" w:firstLine="480" w:firstLineChars="200"/>
        <w:textAlignment w:val="auto"/>
        <w:rPr>
          <w:rFonts w:hint="default" w:ascii="Cambria" w:hAnsi="Cambria" w:eastAsia="宋体" w:cs="Cambria"/>
          <w:sz w:val="24"/>
          <w:szCs w:val="24"/>
          <w:highlight w:val="none"/>
          <w:lang w:eastAsia="zh-CN"/>
        </w:rPr>
      </w:pPr>
      <w:r>
        <w:rPr>
          <w:rFonts w:hint="default" w:ascii="Cambria" w:hAnsi="Cambria" w:eastAsia="宋体" w:cs="Cambria"/>
          <w:sz w:val="24"/>
          <w:szCs w:val="24"/>
          <w:highlight w:val="none"/>
          <w:lang w:eastAsia="zh-CN"/>
        </w:rPr>
        <w:t>No documents have been superseded or withdrawn in relation to this document.</w:t>
      </w:r>
    </w:p>
    <w:p w14:paraId="7ADB43B6">
      <w:pPr>
        <w:pStyle w:val="24"/>
        <w:spacing w:line="276" w:lineRule="auto"/>
        <w:rPr>
          <w:rFonts w:hint="default" w:ascii="Cambria" w:hAnsi="Cambria" w:cs="Cambria"/>
          <w:color w:val="000000" w:themeColor="text1"/>
          <w:sz w:val="24"/>
          <w:szCs w:val="24"/>
          <w14:textFill>
            <w14:solidFill>
              <w14:schemeClr w14:val="tx1"/>
            </w14:solidFill>
          </w14:textFill>
        </w:rPr>
      </w:pPr>
      <w:r>
        <w:rPr>
          <w:rFonts w:hint="default" w:ascii="Cambria" w:hAnsi="Cambria" w:cs="Cambria"/>
          <w:sz w:val="24"/>
          <w:szCs w:val="24"/>
          <w:highlight w:val="none"/>
          <w:lang w:val="en-US" w:eastAsia="zh-CN"/>
        </w:rPr>
        <w:t>T</w:t>
      </w:r>
      <w:r>
        <w:rPr>
          <w:rFonts w:hint="default" w:ascii="Cambria" w:hAnsi="Cambria" w:eastAsia="宋体" w:cs="Cambria"/>
          <w:sz w:val="24"/>
          <w:szCs w:val="24"/>
          <w:highlight w:val="none"/>
          <w:lang w:eastAsia="zh-CN"/>
        </w:rPr>
        <w:t>his document has been formulated by adapting National Standardization Guiding Technical Document of the People</w:t>
      </w:r>
      <w:r>
        <w:rPr>
          <w:rFonts w:hint="default" w:ascii="Cambria" w:hAnsi="Cambria" w:cs="Cambria"/>
          <w:sz w:val="24"/>
          <w:szCs w:val="24"/>
          <w:highlight w:val="none"/>
          <w:lang w:val="en-US" w:eastAsia="zh-CN"/>
        </w:rPr>
        <w:t>’</w:t>
      </w:r>
      <w:r>
        <w:rPr>
          <w:rFonts w:hint="default" w:ascii="Cambria" w:hAnsi="Cambria" w:eastAsia="宋体" w:cs="Cambria"/>
          <w:sz w:val="24"/>
          <w:szCs w:val="24"/>
          <w:highlight w:val="none"/>
          <w:lang w:eastAsia="zh-CN"/>
        </w:rPr>
        <w:t>s Republic of China,</w:t>
      </w:r>
      <w:r>
        <w:rPr>
          <w:rFonts w:hint="default" w:ascii="Cambria" w:hAnsi="Cambria" w:cs="Cambria"/>
          <w:sz w:val="24"/>
          <w:szCs w:val="24"/>
          <w:highlight w:val="none"/>
          <w:lang w:val="en-US" w:eastAsia="zh-CN"/>
        </w:rPr>
        <w:t xml:space="preserve"> </w:t>
      </w:r>
      <w:r>
        <w:rPr>
          <w:rFonts w:hint="default" w:ascii="Cambria" w:hAnsi="Cambria" w:cs="Cambria"/>
          <w:i/>
          <w:iCs/>
          <w:sz w:val="24"/>
          <w:szCs w:val="24"/>
          <w:highlight w:val="none"/>
          <w:lang w:val="en-US" w:eastAsia="zh-CN"/>
        </w:rPr>
        <w:t>Specification for operation technologies of traditional Chinese medicine-Pediatrics-Part 3: Acupuncture and Moxibustion (GB/Z 40893.2-2021)</w:t>
      </w:r>
      <w:r>
        <w:rPr>
          <w:rFonts w:hint="default" w:ascii="Cambria" w:hAnsi="Cambria" w:cs="Cambria"/>
          <w:i w:val="0"/>
          <w:iCs w:val="0"/>
          <w:sz w:val="24"/>
          <w:szCs w:val="24"/>
          <w:highlight w:val="none"/>
          <w:lang w:val="en-US" w:eastAsia="zh-CN"/>
        </w:rPr>
        <w:t>.</w:t>
      </w:r>
    </w:p>
    <w:p w14:paraId="32F93BAC">
      <w:pPr>
        <w:pStyle w:val="24"/>
        <w:spacing w:line="276" w:lineRule="auto"/>
        <w:rPr>
          <w:rFonts w:hint="default" w:ascii="Cambria" w:hAnsi="Cambria" w:eastAsia="宋体" w:cs="Cambria"/>
          <w:color w:val="000000" w:themeColor="text1"/>
          <w:sz w:val="24"/>
          <w:szCs w:val="24"/>
          <w:lang w:eastAsia="zh-CN"/>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Attention is drawn to</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the</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possibility that some elements of this document may be the subject of patent rights.</w:t>
      </w:r>
      <w:r>
        <w:rPr>
          <w:rFonts w:hint="default" w:ascii="Cambria" w:hAnsi="Cambria" w:cs="Cambria"/>
          <w:color w:val="000000" w:themeColor="text1"/>
          <w:sz w:val="24"/>
          <w:szCs w:val="24"/>
          <w:lang w:val="en-US" w:eastAsia="zh-CN"/>
          <w14:textFill>
            <w14:solidFill>
              <w14:schemeClr w14:val="tx1"/>
            </w14:solidFill>
          </w14:textFill>
        </w:rPr>
        <w:t xml:space="preserve"> The issuing body of this document shall not be held responsible for identifying any or all such patent rights.</w:t>
      </w:r>
    </w:p>
    <w:p w14:paraId="1D7BBD8F">
      <w:pPr>
        <w:pStyle w:val="24"/>
        <w:spacing w:line="276" w:lineRule="auto"/>
        <w:rPr>
          <w:rFonts w:hint="default" w:ascii="Cambria" w:hAnsi="Cambria" w:cs="Cambria"/>
          <w:color w:val="000000" w:themeColor="text1"/>
          <w:sz w:val="24"/>
          <w:szCs w:val="24"/>
          <w:lang w:val="en-US" w:eastAsia="zh-CN"/>
          <w14:textFill>
            <w14:solidFill>
              <w14:schemeClr w14:val="tx1"/>
            </w14:solidFill>
          </w14:textFill>
        </w:rPr>
      </w:pPr>
      <w:r>
        <w:rPr>
          <w:rFonts w:hint="default" w:ascii="Cambria" w:hAnsi="Cambria" w:cs="Cambria"/>
          <w:color w:val="000000" w:themeColor="text1"/>
          <w:sz w:val="24"/>
          <w:szCs w:val="24"/>
          <w:lang w:val="en-US" w:eastAsia="zh-CN"/>
          <w14:textFill>
            <w14:solidFill>
              <w14:schemeClr w14:val="tx1"/>
            </w14:solidFill>
          </w14:textFill>
        </w:rPr>
        <w:t>Main drafting organization: Affiliated Hospital of Nanjing University of Chinese Medicine.</w:t>
      </w:r>
    </w:p>
    <w:p w14:paraId="1A08A6B0">
      <w:pPr>
        <w:pStyle w:val="24"/>
        <w:spacing w:line="276" w:lineRule="auto"/>
        <w:rPr>
          <w:rFonts w:hint="default" w:ascii="Cambria" w:hAnsi="Cambria" w:cs="Cambria"/>
          <w:color w:val="000000" w:themeColor="text1"/>
          <w:sz w:val="24"/>
          <w:szCs w:val="24"/>
          <w:lang w:val="en-US" w:eastAsia="zh-CN"/>
          <w14:textFill>
            <w14:solidFill>
              <w14:schemeClr w14:val="tx1"/>
            </w14:solidFill>
          </w14:textFill>
        </w:rPr>
      </w:pPr>
      <w:r>
        <w:rPr>
          <w:rFonts w:hint="default" w:ascii="Cambria" w:hAnsi="Cambria" w:cs="Cambria"/>
          <w:color w:val="000000" w:themeColor="text1"/>
          <w:sz w:val="24"/>
          <w:szCs w:val="24"/>
          <w:lang w:val="en-US" w:eastAsia="zh-CN"/>
          <w14:textFill>
            <w14:solidFill>
              <w14:schemeClr w14:val="tx1"/>
            </w14:solidFill>
          </w14:textFill>
        </w:rPr>
        <w:t>Participating drafting organizations: Singapore College of Traditional Chinese Medicine; Endeavour College of Natural Health, Australia; Vietnam National Children's Hospital; Pacific Rim College of Traditional Chinese Medicine, Canada; Universiti Tunku Abdul Rahman (UTAR), Malaysia; Xiamen Chang Gung Hospital.</w:t>
      </w:r>
    </w:p>
    <w:p w14:paraId="10C6880E">
      <w:pPr>
        <w:pStyle w:val="24"/>
        <w:spacing w:line="276" w:lineRule="auto"/>
        <w:ind w:firstLine="960" w:firstLineChars="400"/>
        <w:rPr>
          <w:rFonts w:hint="default" w:ascii="Cambria" w:hAnsi="Cambria" w:cs="Cambria"/>
          <w:color w:val="000000" w:themeColor="text1"/>
          <w:sz w:val="24"/>
          <w:szCs w:val="24"/>
          <w:lang w:eastAsia="zh-CN"/>
          <w14:textFill>
            <w14:solidFill>
              <w14:schemeClr w14:val="tx1"/>
            </w14:solidFill>
          </w14:textFill>
        </w:rPr>
      </w:pPr>
      <w:r>
        <w:rPr>
          <w:rFonts w:hint="default" w:ascii="Cambria" w:hAnsi="Cambria" w:cs="Cambria"/>
          <w:color w:val="000000" w:themeColor="text1"/>
          <w:sz w:val="24"/>
          <w:szCs w:val="24"/>
          <w:lang w:eastAsia="zh-CN"/>
          <w14:textFill>
            <w14:solidFill>
              <w14:schemeClr w14:val="tx1"/>
            </w14:solidFill>
          </w14:textFill>
        </w:rPr>
        <w:t>Chief drafters:</w:t>
      </w:r>
    </w:p>
    <w:p w14:paraId="16AADF3A">
      <w:pPr>
        <w:pStyle w:val="24"/>
        <w:spacing w:line="276" w:lineRule="auto"/>
        <w:ind w:firstLine="960" w:firstLineChars="400"/>
        <w:rPr>
          <w:rFonts w:hint="default" w:ascii="Cambria" w:hAnsi="Cambria" w:eastAsia="宋体" w:cs="Cambria"/>
          <w:color w:val="000000" w:themeColor="text1"/>
          <w:sz w:val="24"/>
          <w:szCs w:val="24"/>
          <w:lang w:eastAsia="zh-CN"/>
          <w14:textFill>
            <w14:solidFill>
              <w14:schemeClr w14:val="tx1"/>
            </w14:solidFill>
          </w14:textFill>
        </w:rPr>
      </w:pPr>
      <w:r>
        <w:rPr>
          <w:rFonts w:hint="default" w:ascii="Cambria" w:hAnsi="Cambria" w:cs="Cambria"/>
          <w:color w:val="000000" w:themeColor="text1"/>
          <w:sz w:val="24"/>
          <w:szCs w:val="24"/>
          <w:lang w:eastAsia="zh-CN"/>
          <w14:textFill>
            <w14:solidFill>
              <w14:schemeClr w14:val="tx1"/>
            </w14:solidFill>
          </w14:textFill>
        </w:rPr>
        <w:t>China: Zhao Xia, Shan Yiwen, Ni Guangxia, Chen Xiuzhen, Cai Chenghan（Taiwan, China）.</w:t>
      </w:r>
      <w:r>
        <w:rPr>
          <w:rFonts w:hint="default" w:ascii="Cambria" w:hAnsi="Cambria" w:cs="Cambria"/>
          <w:color w:val="000000" w:themeColor="text1"/>
          <w:sz w:val="24"/>
          <w:szCs w:val="24"/>
          <w14:textFill>
            <w14:solidFill>
              <w14:schemeClr w14:val="tx1"/>
            </w14:solidFill>
          </w14:textFill>
        </w:rPr>
        <w:t xml:space="preserve"> </w:t>
      </w:r>
      <w:r>
        <w:rPr>
          <w:rFonts w:ascii="Cambria" w:hAnsi="Cambria" w:cs="Cambria"/>
          <w:color w:val="000000" w:themeColor="text1"/>
          <w:sz w:val="24"/>
          <w:szCs w:val="24"/>
          <w14:textFill>
            <w14:solidFill>
              <w14:schemeClr w14:val="tx1"/>
            </w14:solidFill>
          </w14:textFill>
        </w:rPr>
        <w:t xml:space="preserve">   </w:t>
      </w:r>
    </w:p>
    <w:p w14:paraId="3C5F4CC9">
      <w:pPr>
        <w:pStyle w:val="24"/>
        <w:spacing w:line="276" w:lineRule="auto"/>
        <w:ind w:firstLine="960" w:firstLineChars="40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Participating drafters:</w:t>
      </w:r>
    </w:p>
    <w:p w14:paraId="197BBEF7">
      <w:pPr>
        <w:pStyle w:val="24"/>
        <w:spacing w:line="276" w:lineRule="auto"/>
        <w:ind w:firstLine="960" w:firstLineChars="40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Singapore: Wu Jiasheng.</w:t>
      </w:r>
    </w:p>
    <w:p w14:paraId="5A50B95B">
      <w:pPr>
        <w:pStyle w:val="24"/>
        <w:spacing w:line="276" w:lineRule="auto"/>
        <w:ind w:firstLine="960" w:firstLineChars="40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Australia: Qiao Mulin.</w:t>
      </w:r>
    </w:p>
    <w:p w14:paraId="7AC684F6">
      <w:pPr>
        <w:pStyle w:val="24"/>
        <w:spacing w:line="276" w:lineRule="auto"/>
        <w:ind w:firstLine="960" w:firstLineChars="40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Vietnam: Ruan Hongming.</w:t>
      </w:r>
    </w:p>
    <w:p w14:paraId="44BDDFE3">
      <w:pPr>
        <w:pStyle w:val="24"/>
        <w:spacing w:line="276" w:lineRule="auto"/>
        <w:ind w:firstLine="960" w:firstLineChars="40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Canada: Chen Xiaoyan.</w:t>
      </w:r>
    </w:p>
    <w:p w14:paraId="70A0AB82">
      <w:pPr>
        <w:pStyle w:val="24"/>
        <w:spacing w:line="276" w:lineRule="auto"/>
        <w:ind w:firstLine="960" w:firstLineChars="40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Malaysia: Zheng Xiufen.</w:t>
      </w:r>
    </w:p>
    <w:p w14:paraId="75493D51">
      <w:pPr>
        <w:pStyle w:val="24"/>
        <w:spacing w:line="276" w:lineRule="auto"/>
        <w:rPr>
          <w:rFonts w:hint="default" w:ascii="Cambria" w:hAnsi="Cambria" w:cs="Cambria"/>
          <w:color w:val="000000" w:themeColor="text1"/>
          <w:sz w:val="24"/>
          <w:szCs w:val="24"/>
          <w14:textFill>
            <w14:solidFill>
              <w14:schemeClr w14:val="tx1"/>
            </w14:solidFill>
          </w14:textFill>
        </w:rPr>
      </w:pPr>
    </w:p>
    <w:p w14:paraId="518BD76D">
      <w:pPr>
        <w:pStyle w:val="24"/>
        <w:spacing w:line="276" w:lineRule="auto"/>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 xml:space="preserve">The drafting procedure of this document complies with </w:t>
      </w:r>
      <w:r>
        <w:rPr>
          <w:rFonts w:hint="default" w:ascii="Cambria" w:hAnsi="Cambria" w:cs="Cambria"/>
          <w:i/>
          <w:iCs/>
          <w:color w:val="000000" w:themeColor="text1"/>
          <w:sz w:val="24"/>
          <w:szCs w:val="24"/>
          <w14:textFill>
            <w14:solidFill>
              <w14:schemeClr w14:val="tx1"/>
            </w14:solidFill>
          </w14:textFill>
        </w:rPr>
        <w:t>SCM 1.1-2021</w:t>
      </w:r>
      <w:r>
        <w:rPr>
          <w:rFonts w:hint="default" w:ascii="Cambria" w:hAnsi="Cambria" w:cs="Cambria"/>
          <w:i/>
          <w:iCs/>
          <w:color w:val="000000" w:themeColor="text1"/>
          <w:sz w:val="24"/>
          <w:szCs w:val="24"/>
          <w:lang w:val="en-US" w:eastAsia="zh-CN"/>
          <w14:textFill>
            <w14:solidFill>
              <w14:schemeClr w14:val="tx1"/>
            </w14:solidFill>
          </w14:textFill>
        </w:rPr>
        <w:t xml:space="preserve"> </w:t>
      </w:r>
      <w:r>
        <w:rPr>
          <w:rFonts w:hint="default" w:ascii="Cambria" w:hAnsi="Cambria" w:cs="Cambria"/>
          <w:i/>
          <w:iCs/>
          <w:color w:val="000000" w:themeColor="text1"/>
          <w:sz w:val="24"/>
          <w:szCs w:val="24"/>
          <w14:textFill>
            <w14:solidFill>
              <w14:schemeClr w14:val="tx1"/>
            </w14:solidFill>
          </w14:textFill>
        </w:rPr>
        <w:t>Directives for Standardization — Part 1: Development, Revision and Publication of Standards</w:t>
      </w:r>
      <w:r>
        <w:rPr>
          <w:rFonts w:hint="default" w:ascii="Cambria" w:hAnsi="Cambria" w:cs="Cambria"/>
          <w:color w:val="000000" w:themeColor="text1"/>
          <w:sz w:val="24"/>
          <w:szCs w:val="24"/>
          <w14:textFill>
            <w14:solidFill>
              <w14:schemeClr w14:val="tx1"/>
            </w14:solidFill>
          </w14:textFill>
        </w:rPr>
        <w:t>, issued by the World Federation of Chinese Medicine Societies (WFCMS).</w:t>
      </w:r>
    </w:p>
    <w:p w14:paraId="395BEA64">
      <w:pPr>
        <w:pStyle w:val="24"/>
        <w:spacing w:line="276" w:lineRule="auto"/>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The translator of this document is ***. In the event of any discrepancy or dispute, the Chinese text shall prevail.</w:t>
      </w:r>
    </w:p>
    <w:p w14:paraId="6B3EEE7A">
      <w:pPr>
        <w:pStyle w:val="24"/>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color w:val="000000" w:themeColor="text1"/>
          <w:sz w:val="24"/>
          <w:szCs w:val="24"/>
          <w14:textFill>
            <w14:solidFill>
              <w14:schemeClr w14:val="tx1"/>
            </w14:solidFill>
          </w14:textFill>
        </w:rPr>
        <w:t>This document is published by the WFCMS. All copyrights are reserved by WFCMS.</w:t>
      </w:r>
    </w:p>
    <w:p w14:paraId="1870C825">
      <w:pPr>
        <w:spacing w:line="276" w:lineRule="auto"/>
        <w:rPr>
          <w:rFonts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br w:type="page"/>
      </w:r>
    </w:p>
    <w:p w14:paraId="435974A1">
      <w:pPr>
        <w:spacing w:before="312" w:beforeLines="100" w:after="312" w:afterLines="100" w:line="276" w:lineRule="auto"/>
        <w:jc w:val="center"/>
        <w:outlineLvl w:val="0"/>
        <w:rPr>
          <w:rFonts w:ascii="Cambria" w:hAnsi="Cambria" w:eastAsia="黑体" w:cs="Cambria"/>
          <w:b/>
          <w:bCs/>
          <w:color w:val="000000" w:themeColor="text1"/>
          <w:sz w:val="32"/>
          <w:szCs w:val="32"/>
          <w14:textFill>
            <w14:solidFill>
              <w14:schemeClr w14:val="tx1"/>
            </w14:solidFill>
          </w14:textFill>
        </w:rPr>
      </w:pPr>
      <w:bookmarkStart w:id="158" w:name="_Toc1174"/>
      <w:bookmarkStart w:id="159" w:name="_Toc10951"/>
      <w:r>
        <w:rPr>
          <w:rFonts w:hint="default" w:ascii="Cambria" w:hAnsi="Cambria" w:eastAsia="黑体" w:cs="Cambria"/>
          <w:b/>
          <w:bCs/>
          <w:color w:val="000000" w:themeColor="text1"/>
          <w:sz w:val="32"/>
          <w:szCs w:val="32"/>
          <w14:textFill>
            <w14:solidFill>
              <w14:schemeClr w14:val="tx1"/>
            </w14:solidFill>
          </w14:textFill>
        </w:rPr>
        <w:t>Introduction</w:t>
      </w:r>
      <w:bookmarkEnd w:id="158"/>
      <w:bookmarkEnd w:id="159"/>
    </w:p>
    <w:p w14:paraId="5C06967D">
      <w:pPr>
        <w:pStyle w:val="24"/>
        <w:spacing w:line="276" w:lineRule="auto"/>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With the growing recognition of traditional Chinese medicine (TCM) worldwide, the international standardization of pediatric TCM — as an integral component of the TCM system — has become increasingly urgent. Pediatric TCM technical operations encompass a wide range of content. Through multiple rounds of deliberation and discussion, commonly used pediatric therapeutic operation techniques with distinctive TCM characteristics were selected for inclusion in this standard, and were organized into five parts according to the form and characteristics of the technical operations. The technical content carries broad applicability and universality within the academic community of pediatric TCM. It holds significant value in meeting the pressing needs of pediatric TCM practitioners worldwide for clinical learning and application, and in promoting the standardization and normalization of clinical technical operations in pediatric TCM globally. It also serves as a model of reference for the standardization, modernization, and internationalization of pediatric TCM.</w:t>
      </w:r>
    </w:p>
    <w:p w14:paraId="411D2CD0">
      <w:pPr>
        <w:pStyle w:val="24"/>
        <w:spacing w:line="276" w:lineRule="auto"/>
        <w:rPr>
          <w:rFonts w:hint="default" w:ascii="Cambria" w:hAnsi="Cambria" w:cs="Cambria"/>
          <w:color w:val="000000" w:themeColor="text1"/>
          <w:sz w:val="24"/>
          <w:szCs w:val="24"/>
          <w:lang w:val="en-US" w:eastAsia="zh-CN"/>
          <w14:textFill>
            <w14:solidFill>
              <w14:schemeClr w14:val="tx1"/>
            </w14:solidFill>
          </w14:textFill>
        </w:rPr>
      </w:pPr>
      <w:r>
        <w:rPr>
          <w:rFonts w:ascii="Cambria" w:hAnsi="Cambria" w:cs="Cambria"/>
          <w:color w:val="000000" w:themeColor="text1"/>
          <w:sz w:val="24"/>
          <w:szCs w:val="24"/>
          <w14:textFill>
            <w14:solidFill>
              <w14:schemeClr w14:val="tx1"/>
            </w14:solidFill>
          </w14:textFill>
        </w:rPr>
        <w:t>The</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ascii="Cambria" w:hAnsi="Cambria" w:cs="Cambria"/>
          <w:color w:val="000000" w:themeColor="text1"/>
          <w:sz w:val="24"/>
          <w:szCs w:val="24"/>
          <w14:textFill>
            <w14:solidFill>
              <w14:schemeClr w14:val="tx1"/>
            </w14:solidFill>
          </w14:textFill>
        </w:rPr>
        <w:t>series</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i/>
          <w:iCs/>
          <w:color w:val="000000" w:themeColor="text1"/>
          <w:sz w:val="24"/>
          <w:szCs w:val="24"/>
          <w:lang w:val="en-US" w:eastAsia="zh-CN"/>
          <w14:textFill>
            <w14:solidFill>
              <w14:schemeClr w14:val="tx1"/>
            </w14:solidFill>
          </w14:textFill>
        </w:rPr>
        <w:t>International standardized manipulations of traditional Chinese medicine Pediatrics</w:t>
      </w:r>
      <w:r>
        <w:rPr>
          <w:rFonts w:hint="default" w:ascii="Cambria" w:hAnsi="Cambria" w:cs="Cambria"/>
          <w:color w:val="000000" w:themeColor="text1"/>
          <w:sz w:val="24"/>
          <w:szCs w:val="24"/>
          <w:lang w:val="en-US" w:eastAsia="zh-CN"/>
          <w14:textFill>
            <w14:solidFill>
              <w14:schemeClr w14:val="tx1"/>
            </w14:solidFill>
          </w14:textFill>
        </w:rPr>
        <w:t xml:space="preserve"> covers clinical techniques and methods commonly used in pediatric TCM practice, and constitutes an important means of treating pediatric diseases and enhancing therapeutic efficacy. It comprises the following five parts:</w:t>
      </w:r>
    </w:p>
    <w:p w14:paraId="5E1425EC">
      <w:pPr>
        <w:pStyle w:val="24"/>
        <w:spacing w:line="276" w:lineRule="auto"/>
        <w:rPr>
          <w:rFonts w:hint="default" w:ascii="Cambria" w:hAnsi="Cambria" w:cs="Cambria"/>
          <w:color w:val="000000" w:themeColor="text1"/>
          <w:sz w:val="24"/>
          <w:szCs w:val="24"/>
          <w:lang w:val="en-US" w:eastAsia="zh-CN"/>
          <w14:textFill>
            <w14:solidFill>
              <w14:schemeClr w14:val="tx1"/>
            </w14:solidFill>
          </w14:textFill>
        </w:rPr>
      </w:pPr>
      <w:r>
        <w:rPr>
          <w:rFonts w:hint="default" w:ascii="Cambria" w:hAnsi="Cambria" w:cs="Cambria"/>
          <w:color w:val="000000" w:themeColor="text1"/>
          <w:sz w:val="24"/>
          <w:szCs w:val="24"/>
          <w:lang w:val="en-US" w:eastAsia="zh-CN"/>
          <w14:textFill>
            <w14:solidFill>
              <w14:schemeClr w14:val="tx1"/>
            </w14:solidFill>
          </w14:textFill>
        </w:rPr>
        <w:t>——Part 1: Internal treatments</w:t>
      </w:r>
    </w:p>
    <w:p w14:paraId="45FFB769">
      <w:pPr>
        <w:pStyle w:val="24"/>
        <w:spacing w:line="276" w:lineRule="auto"/>
        <w:rPr>
          <w:rFonts w:hint="default" w:ascii="Cambria" w:hAnsi="Cambria" w:cs="Cambria"/>
          <w:color w:val="000000" w:themeColor="text1"/>
          <w:sz w:val="24"/>
          <w:szCs w:val="24"/>
          <w:lang w:val="en-US" w:eastAsia="zh-CN"/>
          <w14:textFill>
            <w14:solidFill>
              <w14:schemeClr w14:val="tx1"/>
            </w14:solidFill>
          </w14:textFill>
        </w:rPr>
      </w:pPr>
      <w:r>
        <w:rPr>
          <w:rFonts w:hint="default" w:ascii="Cambria" w:hAnsi="Cambria" w:cs="Cambria"/>
          <w:color w:val="000000" w:themeColor="text1"/>
          <w:sz w:val="24"/>
          <w:szCs w:val="24"/>
          <w:lang w:val="en-US" w:eastAsia="zh-CN"/>
          <w14:textFill>
            <w14:solidFill>
              <w14:schemeClr w14:val="tx1"/>
            </w14:solidFill>
          </w14:textFill>
        </w:rPr>
        <w:t>——Part 2: Commonly used external treatments</w:t>
      </w:r>
    </w:p>
    <w:p w14:paraId="7E2C0777">
      <w:pPr>
        <w:pStyle w:val="24"/>
        <w:spacing w:line="276" w:lineRule="auto"/>
        <w:rPr>
          <w:rFonts w:hint="default" w:ascii="Cambria" w:hAnsi="Cambria" w:cs="Cambria"/>
          <w:color w:val="000000" w:themeColor="text1"/>
          <w:sz w:val="24"/>
          <w:szCs w:val="24"/>
          <w:lang w:val="en-US" w:eastAsia="zh-CN"/>
          <w14:textFill>
            <w14:solidFill>
              <w14:schemeClr w14:val="tx1"/>
            </w14:solidFill>
          </w14:textFill>
        </w:rPr>
      </w:pPr>
      <w:r>
        <w:rPr>
          <w:rFonts w:hint="default" w:ascii="Cambria" w:hAnsi="Cambria" w:cs="Cambria"/>
          <w:color w:val="000000" w:themeColor="text1"/>
          <w:sz w:val="24"/>
          <w:szCs w:val="24"/>
          <w:lang w:val="en-US" w:eastAsia="zh-CN"/>
          <w14:textFill>
            <w14:solidFill>
              <w14:schemeClr w14:val="tx1"/>
            </w14:solidFill>
          </w14:textFill>
        </w:rPr>
        <w:t>——Part 3: Acupuncture and moxibustion therapies</w:t>
      </w:r>
    </w:p>
    <w:p w14:paraId="7A2755A4">
      <w:pPr>
        <w:pStyle w:val="24"/>
        <w:spacing w:line="276" w:lineRule="auto"/>
        <w:rPr>
          <w:rFonts w:hint="default" w:ascii="Cambria" w:hAnsi="Cambria" w:cs="Cambria"/>
          <w:color w:val="000000" w:themeColor="text1"/>
          <w:sz w:val="24"/>
          <w:szCs w:val="24"/>
          <w:lang w:val="en-US" w:eastAsia="zh-CN"/>
          <w14:textFill>
            <w14:solidFill>
              <w14:schemeClr w14:val="tx1"/>
            </w14:solidFill>
          </w14:textFill>
        </w:rPr>
      </w:pPr>
      <w:r>
        <w:rPr>
          <w:rFonts w:hint="default" w:ascii="Cambria" w:hAnsi="Cambria" w:cs="Cambria"/>
          <w:color w:val="000000" w:themeColor="text1"/>
          <w:sz w:val="24"/>
          <w:szCs w:val="24"/>
          <w:lang w:val="en-US" w:eastAsia="zh-CN"/>
          <w14:textFill>
            <w14:solidFill>
              <w14:schemeClr w14:val="tx1"/>
            </w14:solidFill>
          </w14:textFill>
        </w:rPr>
        <w:t xml:space="preserve">——Part 4: Tuina therapy </w:t>
      </w:r>
    </w:p>
    <w:p w14:paraId="520D66B1">
      <w:pPr>
        <w:pStyle w:val="24"/>
        <w:spacing w:line="276" w:lineRule="auto"/>
        <w:rPr>
          <w:rFonts w:hint="default" w:ascii="Cambria" w:hAnsi="Cambria" w:cs="Cambria"/>
          <w:color w:val="000000" w:themeColor="text1"/>
          <w:sz w:val="24"/>
          <w:szCs w:val="24"/>
          <w:lang w:val="en-US" w:eastAsia="zh-CN"/>
          <w14:textFill>
            <w14:solidFill>
              <w14:schemeClr w14:val="tx1"/>
            </w14:solidFill>
          </w14:textFill>
        </w:rPr>
      </w:pPr>
      <w:r>
        <w:rPr>
          <w:rFonts w:hint="default" w:ascii="Cambria" w:hAnsi="Cambria" w:cs="Cambria"/>
          <w:color w:val="000000" w:themeColor="text1"/>
          <w:sz w:val="24"/>
          <w:szCs w:val="24"/>
          <w:lang w:val="en-US" w:eastAsia="zh-CN"/>
          <w14:textFill>
            <w14:solidFill>
              <w14:schemeClr w14:val="tx1"/>
            </w14:solidFill>
          </w14:textFill>
        </w:rPr>
        <w:t>——Part 5: Cupping therapy</w:t>
      </w:r>
    </w:p>
    <w:p w14:paraId="42EF4069">
      <w:pPr>
        <w:pStyle w:val="24"/>
        <w:spacing w:line="276" w:lineRule="auto"/>
        <w:rPr>
          <w:rFonts w:hint="default" w:ascii="Cambria" w:hAnsi="Cambria" w:eastAsia="宋体" w:cs="Cambria"/>
          <w:color w:val="000000" w:themeColor="text1"/>
          <w:sz w:val="24"/>
          <w:szCs w:val="24"/>
          <w:lang w:eastAsia="zh-CN"/>
          <w14:textFill>
            <w14:solidFill>
              <w14:schemeClr w14:val="tx1"/>
            </w14:solidFill>
          </w14:textFill>
        </w:rPr>
      </w:pPr>
      <w:r>
        <w:rPr>
          <w:rFonts w:ascii="Cambria" w:hAnsi="Cambria" w:cs="Cambria"/>
          <w:color w:val="000000" w:themeColor="text1"/>
          <w:sz w:val="24"/>
          <w:szCs w:val="24"/>
          <w14:textFill>
            <w14:solidFill>
              <w14:schemeClr w14:val="tx1"/>
            </w14:solidFill>
          </w14:textFill>
        </w:rPr>
        <w:t xml:space="preserve">Acupuncture and moxibustion therapy for children primarily includes </w:t>
      </w:r>
      <w:r>
        <w:rPr>
          <w:rFonts w:hint="default" w:ascii="Cambria" w:hAnsi="Cambria" w:cs="Cambria"/>
          <w:color w:val="000000" w:themeColor="text1"/>
          <w:sz w:val="24"/>
          <w:szCs w:val="24"/>
          <w:lang w:val="en-US" w:eastAsia="zh-CN"/>
          <w14:textFill>
            <w14:solidFill>
              <w14:schemeClr w14:val="tx1"/>
            </w14:solidFill>
          </w14:textFill>
        </w:rPr>
        <w:t>p</w:t>
      </w:r>
      <w:r>
        <w:rPr>
          <w:rFonts w:hint="default" w:ascii="Cambria" w:hAnsi="Cambria" w:cs="Cambria"/>
          <w:color w:val="000000" w:themeColor="text1"/>
          <w:sz w:val="24"/>
          <w:szCs w:val="24"/>
          <w:lang w:eastAsia="zh-CN"/>
          <w14:textFill>
            <w14:solidFill>
              <w14:schemeClr w14:val="tx1"/>
            </w14:solidFill>
          </w14:textFill>
        </w:rPr>
        <w:t>ediatric filiform needle acupuncture</w:t>
      </w:r>
      <w:r>
        <w:rPr>
          <w:rFonts w:ascii="Cambria" w:hAnsi="Cambria" w:cs="Cambria"/>
          <w:color w:val="000000" w:themeColor="text1"/>
          <w:sz w:val="24"/>
          <w:szCs w:val="24"/>
          <w14:textFill>
            <w14:solidFill>
              <w14:schemeClr w14:val="tx1"/>
            </w14:solidFill>
          </w14:textFill>
        </w:rPr>
        <w:t xml:space="preserve">, </w:t>
      </w:r>
      <w:r>
        <w:rPr>
          <w:rFonts w:hint="default" w:ascii="Cambria" w:hAnsi="Cambria" w:cs="Cambria"/>
          <w:color w:val="000000" w:themeColor="text1"/>
          <w:sz w:val="24"/>
          <w:szCs w:val="24"/>
          <w:lang w:val="en-US" w:eastAsia="zh-CN"/>
          <w14:textFill>
            <w14:solidFill>
              <w14:schemeClr w14:val="tx1"/>
            </w14:solidFill>
          </w14:textFill>
        </w:rPr>
        <w:t>p</w:t>
      </w:r>
      <w:r>
        <w:rPr>
          <w:rFonts w:hint="default" w:ascii="Cambria" w:hAnsi="Cambria" w:cs="Cambria"/>
          <w:color w:val="000000" w:themeColor="text1"/>
          <w:sz w:val="24"/>
          <w:szCs w:val="24"/>
          <w:lang w:eastAsia="zh-CN"/>
          <w14:textFill>
            <w14:solidFill>
              <w14:schemeClr w14:val="tx1"/>
            </w14:solidFill>
          </w14:textFill>
        </w:rPr>
        <w:t>ediatric</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lang w:eastAsia="zh-CN"/>
          <w14:textFill>
            <w14:solidFill>
              <w14:schemeClr w14:val="tx1"/>
            </w14:solidFill>
          </w14:textFill>
        </w:rPr>
        <w:t>three-edge</w:t>
      </w:r>
      <w:r>
        <w:rPr>
          <w:rFonts w:ascii="Cambria" w:hAnsi="Cambria" w:cs="Cambria"/>
          <w:color w:val="000000" w:themeColor="text1"/>
          <w:sz w:val="24"/>
          <w:szCs w:val="24"/>
          <w14:textFill>
            <w14:solidFill>
              <w14:schemeClr w14:val="tx1"/>
            </w14:solidFill>
          </w14:textFill>
        </w:rPr>
        <w:t xml:space="preserve"> needle therapy, Si Feng (EX-UE 10) pricking therapy, and </w:t>
      </w:r>
      <w:r>
        <w:rPr>
          <w:rFonts w:hint="default" w:ascii="Cambria" w:hAnsi="Cambria" w:cs="Cambria"/>
          <w:color w:val="000000" w:themeColor="text1"/>
          <w:sz w:val="24"/>
          <w:szCs w:val="24"/>
          <w:lang w:val="en-US" w:eastAsia="zh-CN"/>
          <w14:textFill>
            <w14:solidFill>
              <w14:schemeClr w14:val="tx1"/>
            </w14:solidFill>
          </w14:textFill>
        </w:rPr>
        <w:t>p</w:t>
      </w:r>
      <w:r>
        <w:rPr>
          <w:rFonts w:hint="default" w:ascii="Cambria" w:hAnsi="Cambria" w:cs="Cambria"/>
          <w:color w:val="000000" w:themeColor="text1"/>
          <w:sz w:val="24"/>
          <w:szCs w:val="24"/>
          <w:lang w:eastAsia="zh-CN"/>
          <w14:textFill>
            <w14:solidFill>
              <w14:schemeClr w14:val="tx1"/>
            </w14:solidFill>
          </w14:textFill>
        </w:rPr>
        <w:t>ediatric</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ascii="Cambria" w:hAnsi="Cambria" w:cs="Cambria"/>
          <w:color w:val="000000" w:themeColor="text1"/>
          <w:sz w:val="24"/>
          <w:szCs w:val="24"/>
          <w14:textFill>
            <w14:solidFill>
              <w14:schemeClr w14:val="tx1"/>
            </w14:solidFill>
          </w14:textFill>
        </w:rPr>
        <w:t>moxibustion therapy. These therapies play an important role in the clinical treatment of pediatric diseases. Although acupuncture and moxibustion therapy is widely applied in both adults and children, the unique physiological, pathological, and anatomical characteristics of children give rise to specific operational considerations.</w:t>
      </w:r>
      <w:r>
        <w:rPr>
          <w:rFonts w:hint="default" w:ascii="Cambria" w:hAnsi="Cambria" w:cs="Cambria"/>
          <w:color w:val="000000" w:themeColor="text1"/>
          <w:sz w:val="24"/>
          <w:szCs w:val="24"/>
          <w:lang w:val="en-US" w:eastAsia="zh-CN"/>
          <w14:textFill>
            <w14:solidFill>
              <w14:schemeClr w14:val="tx1"/>
            </w14:solidFill>
          </w14:textFill>
        </w:rPr>
        <w:t xml:space="preserve"> In order to achieve more pronounced therapeutic outcomes and to ensure the safety of procedures, the standardization and normalization of acupuncture and moxibustion therapy for children is of particular importance in pediatric TCM clinical practice.</w:t>
      </w:r>
    </w:p>
    <w:p w14:paraId="217F8F8B">
      <w:pPr>
        <w:pStyle w:val="24"/>
        <w:spacing w:line="276" w:lineRule="auto"/>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This document has been compiled on the basis of a comprehensive collection and review of the clinical experience of classical and contemporary TCM experts, integrated with current</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pediatric TCM clinical practice, and informed by the opinions of eminent experts both in China and abroad. It will be revised, supplemented,</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and periodically updated in accordance with advances in clinical application and</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research.</w:t>
      </w:r>
    </w:p>
    <w:p w14:paraId="7AD1D171">
      <w:pPr>
        <w:spacing w:line="276" w:lineRule="auto"/>
        <w:ind w:firstLine="480" w:firstLineChars="200"/>
        <w:rPr>
          <w:rFonts w:hint="default" w:ascii="Cambria" w:hAnsi="Cambria" w:eastAsia="宋体" w:cs="Cambria"/>
          <w:color w:val="000000" w:themeColor="text1"/>
          <w:sz w:val="24"/>
          <w:szCs w:val="24"/>
          <w:highlight w:val="none"/>
          <w:lang w:val="en-US" w:eastAsia="zh-CN"/>
          <w14:textFill>
            <w14:solidFill>
              <w14:schemeClr w14:val="tx1"/>
            </w14:solidFill>
          </w14:textFill>
        </w:rPr>
        <w:sectPr>
          <w:footerReference r:id="rId4" w:type="default"/>
          <w:pgSz w:w="11906" w:h="16838"/>
          <w:pgMar w:top="1440" w:right="1800" w:bottom="1440" w:left="1800" w:header="851" w:footer="992" w:gutter="0"/>
          <w:pgNumType w:fmt="decimal" w:start="1"/>
          <w:cols w:space="425" w:num="1"/>
          <w:docGrid w:type="lines" w:linePitch="312" w:charSpace="0"/>
        </w:sectPr>
      </w:pPr>
      <w:r>
        <w:rPr>
          <w:rFonts w:hint="default" w:ascii="Cambria" w:hAnsi="Cambria" w:eastAsia="宋体" w:cs="Cambria"/>
          <w:color w:val="000000" w:themeColor="text1"/>
          <w:sz w:val="24"/>
          <w:szCs w:val="24"/>
          <w:highlight w:val="none"/>
          <w14:textFill>
            <w14:solidFill>
              <w14:schemeClr w14:val="tx1"/>
            </w14:solidFill>
          </w14:textFill>
        </w:rPr>
        <w:t>[Important Statement]</w:t>
      </w:r>
      <w:r>
        <w:rPr>
          <w:rFonts w:hint="default" w:ascii="Cambria" w:hAnsi="Cambria" w:eastAsia="宋体" w:cs="Cambria"/>
          <w:color w:val="000000" w:themeColor="text1"/>
          <w:sz w:val="24"/>
          <w:szCs w:val="24"/>
          <w:highlight w:val="none"/>
          <w:lang w:val="en-US" w:eastAsia="zh-CN"/>
          <w14:textFill>
            <w14:solidFill>
              <w14:schemeClr w14:val="tx1"/>
            </w14:solidFill>
          </w14:textFill>
        </w:rPr>
        <w:t xml:space="preserve"> For the acupuncture and moxibustion operations involved in this standard, practitioners shall comply with the laws, regulations, and scope of practice requirements of their respective countries or regions.</w:t>
      </w:r>
    </w:p>
    <w:p w14:paraId="3DAC1E33">
      <w:pPr>
        <w:spacing w:line="276" w:lineRule="auto"/>
        <w:jc w:val="center"/>
        <w:rPr>
          <w:rFonts w:hint="default" w:ascii="Cambria" w:hAnsi="Cambria" w:eastAsia="黑体" w:cs="Cambria"/>
          <w:b/>
          <w:bCs/>
          <w:color w:val="0C1F0E"/>
          <w:sz w:val="24"/>
          <w:szCs w:val="24"/>
        </w:rPr>
      </w:pPr>
      <w:r>
        <w:rPr>
          <w:rFonts w:hint="default" w:ascii="Cambria" w:hAnsi="Cambria" w:eastAsia="黑体" w:cs="Cambria"/>
          <w:b/>
          <w:bCs/>
          <w:color w:val="0C1F0E"/>
          <w:sz w:val="24"/>
          <w:szCs w:val="24"/>
        </w:rPr>
        <w:t>International standardized manipulations of Chinese medicine Pediatrics</w:t>
      </w:r>
    </w:p>
    <w:p w14:paraId="56C32D0C">
      <w:pPr>
        <w:spacing w:line="276" w:lineRule="auto"/>
        <w:jc w:val="center"/>
        <w:rPr>
          <w:rFonts w:hint="default" w:ascii="Cambria" w:hAnsi="Cambria" w:eastAsia="黑体" w:cs="Cambria"/>
          <w:b/>
          <w:bCs/>
          <w:color w:val="0C1F0E"/>
          <w:sz w:val="24"/>
          <w:szCs w:val="24"/>
        </w:rPr>
      </w:pPr>
      <w:r>
        <w:rPr>
          <w:rFonts w:hint="default" w:ascii="Cambria" w:hAnsi="Cambria" w:eastAsia="黑体" w:cs="Cambria"/>
          <w:b/>
          <w:bCs/>
          <w:color w:val="0C1F0E"/>
          <w:sz w:val="24"/>
          <w:szCs w:val="24"/>
        </w:rPr>
        <w:t xml:space="preserve"> Part 3：Acupuncture and Moxibustion</w:t>
      </w:r>
    </w:p>
    <w:p w14:paraId="0CBCFA61">
      <w:pPr>
        <w:spacing w:before="312" w:beforeLines="100" w:after="312" w:afterLines="100" w:line="276" w:lineRule="auto"/>
        <w:ind w:firstLine="0"/>
        <w:outlineLvl w:val="0"/>
        <w:rPr>
          <w:rFonts w:hint="default" w:ascii="Cambria" w:hAnsi="Cambria" w:eastAsia="宋体" w:cs="Cambria"/>
          <w:b/>
          <w:bCs/>
          <w:sz w:val="24"/>
          <w:szCs w:val="24"/>
        </w:rPr>
      </w:pPr>
      <w:bookmarkStart w:id="160" w:name="_Toc17165"/>
      <w:bookmarkStart w:id="161" w:name="_Toc24247"/>
      <w:r>
        <w:rPr>
          <w:rFonts w:hint="default" w:ascii="Cambria" w:hAnsi="Cambria" w:eastAsia="宋体" w:cs="Cambria"/>
          <w:b/>
          <w:bCs/>
          <w:sz w:val="24"/>
          <w:szCs w:val="24"/>
        </w:rPr>
        <w:t>1 Scope</w:t>
      </w:r>
      <w:bookmarkEnd w:id="160"/>
      <w:bookmarkEnd w:id="161"/>
    </w:p>
    <w:p w14:paraId="74A92FD7">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 xml:space="preserve">This document specifies the operating steps and requirements for pediatric filiform needle acupuncture, pediatric </w:t>
      </w:r>
      <w:r>
        <w:rPr>
          <w:rFonts w:hint="default" w:ascii="Cambria" w:hAnsi="Cambria" w:cs="Cambria"/>
          <w:color w:val="000000" w:themeColor="text1"/>
          <w:sz w:val="24"/>
          <w:szCs w:val="24"/>
          <w:lang w:eastAsia="zh-CN"/>
          <w14:textFill>
            <w14:solidFill>
              <w14:schemeClr w14:val="tx1"/>
            </w14:solidFill>
          </w14:textFill>
        </w:rPr>
        <w:t>three-edge</w:t>
      </w:r>
      <w:r>
        <w:rPr>
          <w:rFonts w:hint="default" w:ascii="Cambria" w:hAnsi="Cambria" w:cs="Cambria"/>
          <w:color w:val="000000" w:themeColor="text1"/>
          <w:sz w:val="24"/>
          <w:szCs w:val="24"/>
          <w14:textFill>
            <w14:solidFill>
              <w14:schemeClr w14:val="tx1"/>
            </w14:solidFill>
          </w14:textFill>
        </w:rPr>
        <w:t xml:space="preserve"> needle therapy, </w:t>
      </w:r>
      <w:r>
        <w:rPr>
          <w:rFonts w:hint="default" w:ascii="Cambria" w:hAnsi="Cambria" w:cs="Cambria"/>
          <w:i/>
          <w:iCs/>
          <w:color w:val="000000" w:themeColor="text1"/>
          <w:sz w:val="24"/>
          <w:szCs w:val="24"/>
          <w14:textFill>
            <w14:solidFill>
              <w14:schemeClr w14:val="tx1"/>
            </w14:solidFill>
          </w14:textFill>
        </w:rPr>
        <w:t>Sifeng</w:t>
      </w:r>
      <w:r>
        <w:rPr>
          <w:rFonts w:hint="default" w:ascii="Cambria" w:hAnsi="Cambria" w:cs="Cambria"/>
          <w:color w:val="000000" w:themeColor="text1"/>
          <w:sz w:val="24"/>
          <w:szCs w:val="24"/>
          <w14:textFill>
            <w14:solidFill>
              <w14:schemeClr w14:val="tx1"/>
            </w14:solidFill>
          </w14:textFill>
        </w:rPr>
        <w:t> (EX-UE</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10) pricking therapy, and pediatric moxibustion therapy, and provides precautions and contraindications.</w:t>
      </w:r>
    </w:p>
    <w:p w14:paraId="18044B89">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This document is applicable to the fields of traditional Chinese medicine (TCM) medical treatment, health statistics, TCM medical record management, TCM clinical quality assessment, scientific research, teaching, and academic exchange in various countries.</w:t>
      </w:r>
    </w:p>
    <w:p w14:paraId="58D5A985">
      <w:pPr>
        <w:spacing w:before="312" w:beforeLines="100" w:after="312" w:afterLines="100" w:line="276" w:lineRule="auto"/>
        <w:ind w:firstLine="0" w:firstLineChars="0"/>
        <w:outlineLvl w:val="0"/>
        <w:rPr>
          <w:rFonts w:hint="default" w:ascii="Cambria" w:hAnsi="Cambria" w:cs="Cambria"/>
          <w:b/>
          <w:bCs/>
          <w:sz w:val="24"/>
          <w:szCs w:val="24"/>
        </w:rPr>
      </w:pPr>
      <w:bookmarkStart w:id="162" w:name="_Toc26360"/>
      <w:bookmarkStart w:id="163" w:name="_Toc4806"/>
      <w:r>
        <w:rPr>
          <w:rFonts w:hint="default" w:ascii="Cambria" w:hAnsi="Cambria" w:cs="Cambria"/>
          <w:b/>
          <w:bCs/>
          <w:sz w:val="24"/>
          <w:szCs w:val="24"/>
        </w:rPr>
        <w:t>2 Normative references</w:t>
      </w:r>
      <w:bookmarkEnd w:id="162"/>
      <w:bookmarkEnd w:id="163"/>
    </w:p>
    <w:p w14:paraId="1C36959A">
      <w:pPr>
        <w:spacing w:before="31" w:beforeLines="10" w:line="276" w:lineRule="auto"/>
        <w:ind w:firstLine="480" w:firstLineChars="200"/>
        <w:rPr>
          <w:rFonts w:hint="default" w:ascii="Cambria" w:hAnsi="Cambria" w:cs="Cambria"/>
          <w:color w:val="000000" w:themeColor="text1"/>
          <w:sz w:val="24"/>
          <w:szCs w:val="24"/>
          <w:highlight w:val="none"/>
          <w14:textFill>
            <w14:solidFill>
              <w14:schemeClr w14:val="tx1"/>
            </w14:solidFill>
          </w14:textFill>
        </w:rPr>
      </w:pPr>
      <w:r>
        <w:rPr>
          <w:rFonts w:hint="default" w:ascii="Cambria" w:hAnsi="Cambria" w:cs="Cambria"/>
          <w:color w:val="000000" w:themeColor="text1"/>
          <w:sz w:val="24"/>
          <w:szCs w:val="24"/>
          <w:highlight w:val="none"/>
          <w14:textFill>
            <w14:solidFill>
              <w14:schemeClr w14:val="tx1"/>
            </w14:solidFill>
          </w14:textFill>
        </w:rPr>
        <w:t>The following documents are referenced in a normative manner in this document and constitute indispensable provisions of this document. For dated references, only the edition cited applies to this document; for undated references, the latest edition (including all amendments) applies to this document.</w:t>
      </w:r>
    </w:p>
    <w:p w14:paraId="76C77835">
      <w:pPr>
        <w:spacing w:before="31" w:beforeLines="10" w:line="276" w:lineRule="auto"/>
        <w:ind w:firstLine="480" w:firstLineChars="200"/>
        <w:rPr>
          <w:rFonts w:hint="default" w:ascii="Cambria" w:hAnsi="Cambria" w:cs="Cambria"/>
          <w:color w:val="000000" w:themeColor="text1"/>
          <w:sz w:val="24"/>
          <w:szCs w:val="24"/>
          <w:highlight w:val="none"/>
          <w14:textFill>
            <w14:solidFill>
              <w14:schemeClr w14:val="tx1"/>
            </w14:solidFill>
          </w14:textFill>
        </w:rPr>
      </w:pPr>
      <w:r>
        <w:rPr>
          <w:rFonts w:hint="default" w:ascii="Cambria" w:hAnsi="Cambria" w:cs="Cambria"/>
          <w:color w:val="000000" w:themeColor="text1"/>
          <w:sz w:val="24"/>
          <w:szCs w:val="24"/>
          <w:highlight w:val="none"/>
          <w14:textFill>
            <w14:solidFill>
              <w14:schemeClr w14:val="tx1"/>
            </w14:solidFill>
          </w14:textFill>
        </w:rPr>
        <w:t>GB/T 12346-2021 Nomenclature and location of meridian points</w:t>
      </w:r>
    </w:p>
    <w:p w14:paraId="5D9E3701">
      <w:pPr>
        <w:spacing w:before="31" w:beforeLines="10" w:line="276" w:lineRule="auto"/>
        <w:ind w:firstLine="480" w:firstLineChars="200"/>
        <w:rPr>
          <w:rFonts w:hint="default" w:ascii="Cambria" w:hAnsi="Cambria" w:cs="Cambria"/>
          <w:color w:val="000000" w:themeColor="text1"/>
          <w:sz w:val="24"/>
          <w:szCs w:val="24"/>
          <w:highlight w:val="none"/>
          <w14:textFill>
            <w14:solidFill>
              <w14:schemeClr w14:val="tx1"/>
            </w14:solidFill>
          </w14:textFill>
        </w:rPr>
      </w:pPr>
      <w:r>
        <w:rPr>
          <w:rFonts w:hint="default" w:ascii="Cambria" w:hAnsi="Cambria" w:cs="Cambria"/>
          <w:color w:val="000000" w:themeColor="text1"/>
          <w:sz w:val="24"/>
          <w:szCs w:val="24"/>
          <w:highlight w:val="none"/>
          <w14:textFill>
            <w14:solidFill>
              <w14:schemeClr w14:val="tx1"/>
            </w14:solidFill>
          </w14:textFill>
        </w:rPr>
        <w:t>GB/T 40997-2021 Nomenclature and location of extra points in common use</w:t>
      </w:r>
    </w:p>
    <w:p w14:paraId="74730BEC">
      <w:pPr>
        <w:spacing w:before="31" w:beforeLines="10" w:line="276" w:lineRule="auto"/>
        <w:ind w:firstLine="480" w:firstLineChars="200"/>
        <w:rPr>
          <w:rFonts w:hint="default" w:ascii="Cambria" w:hAnsi="Cambria" w:cs="Cambria"/>
          <w:color w:val="000000" w:themeColor="text1"/>
          <w:sz w:val="24"/>
          <w:szCs w:val="24"/>
          <w:highlight w:val="none"/>
          <w14:textFill>
            <w14:solidFill>
              <w14:schemeClr w14:val="tx1"/>
            </w14:solidFill>
          </w14:textFill>
        </w:rPr>
      </w:pPr>
      <w:r>
        <w:rPr>
          <w:rFonts w:hint="default" w:ascii="Cambria" w:hAnsi="Cambria" w:cs="Cambria"/>
          <w:color w:val="000000" w:themeColor="text1"/>
          <w:sz w:val="24"/>
          <w:szCs w:val="24"/>
          <w:highlight w:val="none"/>
          <w14:textFill>
            <w14:solidFill>
              <w14:schemeClr w14:val="tx1"/>
            </w14:solidFill>
          </w14:textFill>
        </w:rPr>
        <w:t>WHO (2008) WHO Standard Acupuncture Point Locations in the Western Pacific Region</w:t>
      </w:r>
    </w:p>
    <w:p w14:paraId="72FE8AE6">
      <w:pPr>
        <w:spacing w:before="312" w:beforeLines="100" w:after="312" w:afterLines="100" w:line="276" w:lineRule="auto"/>
        <w:ind w:firstLine="0"/>
        <w:outlineLvl w:val="0"/>
        <w:rPr>
          <w:rFonts w:ascii="Cambria" w:hAnsi="Cambria" w:eastAsia="宋体" w:cs="Cambria"/>
          <w:b/>
          <w:bCs/>
          <w:sz w:val="24"/>
          <w:szCs w:val="24"/>
        </w:rPr>
      </w:pPr>
      <w:bookmarkStart w:id="164" w:name="_Toc1080"/>
      <w:bookmarkStart w:id="165" w:name="_Toc12846"/>
      <w:r>
        <w:rPr>
          <w:rFonts w:ascii="Cambria" w:hAnsi="Cambria" w:eastAsia="宋体" w:cs="Cambria"/>
          <w:b/>
          <w:bCs/>
          <w:sz w:val="24"/>
          <w:szCs w:val="24"/>
        </w:rPr>
        <w:t>3</w:t>
      </w:r>
      <w:r>
        <w:rPr>
          <w:rFonts w:hint="default" w:ascii="Cambria" w:hAnsi="Cambria" w:eastAsia="宋体" w:cs="Cambria"/>
          <w:b/>
          <w:bCs/>
          <w:sz w:val="24"/>
          <w:szCs w:val="24"/>
        </w:rPr>
        <w:t> Terms and definitions</w:t>
      </w:r>
      <w:bookmarkEnd w:id="164"/>
      <w:bookmarkEnd w:id="165"/>
    </w:p>
    <w:p w14:paraId="4B49CA91">
      <w:pPr>
        <w:spacing w:line="276" w:lineRule="auto"/>
        <w:ind w:firstLine="36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The following terms and definitions apply to this document.</w:t>
      </w:r>
    </w:p>
    <w:p w14:paraId="2A35F480">
      <w:pPr>
        <w:tabs>
          <w:tab w:val="left" w:pos="360"/>
          <w:tab w:val="left" w:pos="540"/>
        </w:tabs>
        <w:spacing w:before="156" w:beforeLines="50" w:after="156" w:afterLines="50" w:line="276" w:lineRule="auto"/>
        <w:ind w:firstLine="0"/>
        <w:rPr>
          <w:rFonts w:hint="default" w:ascii="Cambria" w:hAnsi="Cambria" w:eastAsia="黑体" w:cs="Cambria"/>
          <w:b/>
          <w:bCs/>
          <w:sz w:val="24"/>
          <w:szCs w:val="24"/>
        </w:rPr>
      </w:pPr>
      <w:r>
        <w:rPr>
          <w:rFonts w:hint="default" w:ascii="Cambria" w:hAnsi="Cambria" w:eastAsia="黑体" w:cs="Cambria"/>
          <w:b/>
          <w:bCs/>
          <w:sz w:val="24"/>
          <w:szCs w:val="24"/>
        </w:rPr>
        <w:t>3.1 </w:t>
      </w:r>
    </w:p>
    <w:p w14:paraId="2EE09E13">
      <w:pPr>
        <w:spacing w:before="156" w:beforeLines="50" w:after="156" w:afterLines="50" w:line="276" w:lineRule="auto"/>
        <w:ind w:firstLine="420"/>
        <w:rPr>
          <w:rFonts w:hint="default" w:ascii="Cambria" w:hAnsi="Cambria" w:eastAsia="黑体" w:cs="Cambria"/>
          <w:b/>
          <w:bCs/>
          <w:sz w:val="24"/>
          <w:szCs w:val="24"/>
        </w:rPr>
      </w:pPr>
      <w:r>
        <w:rPr>
          <w:rFonts w:hint="default" w:ascii="Cambria" w:hAnsi="Cambria" w:eastAsia="黑体" w:cs="Cambria"/>
          <w:b/>
          <w:bCs/>
          <w:sz w:val="24"/>
          <w:szCs w:val="24"/>
          <w:lang w:eastAsia="zh-CN"/>
        </w:rPr>
        <w:t>pediatric filiform needle acupuncture</w:t>
      </w:r>
    </w:p>
    <w:p w14:paraId="06C672E7">
      <w:pPr>
        <w:spacing w:line="276" w:lineRule="auto"/>
        <w:ind w:firstLine="480" w:firstLineChars="20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 method in which filiform needles are inserted into certain parts (acupoints) of the child patient, and various needling manipulations are applied to regulate yin and yang and prevent or treat diseases.</w:t>
      </w:r>
    </w:p>
    <w:p w14:paraId="61742ABD">
      <w:pPr>
        <w:tabs>
          <w:tab w:val="left" w:pos="360"/>
          <w:tab w:val="left" w:pos="540"/>
        </w:tabs>
        <w:spacing w:before="156" w:beforeLines="50" w:after="156" w:afterLines="50" w:line="276" w:lineRule="auto"/>
        <w:ind w:firstLine="0"/>
        <w:rPr>
          <w:rFonts w:hint="default" w:ascii="Cambria" w:hAnsi="Cambria" w:eastAsia="黑体" w:cs="Cambria"/>
          <w:b/>
          <w:bCs/>
          <w:sz w:val="24"/>
          <w:szCs w:val="24"/>
          <w:lang w:val="en-US" w:eastAsia="zh-CN"/>
        </w:rPr>
      </w:pPr>
      <w:r>
        <w:rPr>
          <w:rFonts w:hint="default" w:ascii="Cambria" w:hAnsi="Cambria" w:eastAsia="黑体" w:cs="Cambria"/>
          <w:b/>
          <w:bCs/>
          <w:sz w:val="24"/>
          <w:szCs w:val="24"/>
          <w:lang w:val="en-US" w:eastAsia="zh-CN"/>
        </w:rPr>
        <w:t>3.2</w:t>
      </w:r>
    </w:p>
    <w:p w14:paraId="76B293B1">
      <w:pPr>
        <w:spacing w:before="156" w:beforeLines="50" w:after="156" w:afterLines="50" w:line="276" w:lineRule="auto"/>
        <w:ind w:firstLine="420"/>
        <w:jc w:val="left"/>
        <w:rPr>
          <w:rFonts w:hint="default" w:ascii="Cambria" w:hAnsi="Cambria" w:eastAsia="黑体" w:cs="Cambria"/>
          <w:b/>
          <w:bCs/>
          <w:sz w:val="24"/>
          <w:szCs w:val="24"/>
          <w:lang w:val="en-US" w:eastAsia="zh-CN"/>
        </w:rPr>
      </w:pPr>
      <w:r>
        <w:rPr>
          <w:rFonts w:hint="default" w:ascii="Cambria" w:hAnsi="Cambria" w:eastAsia="黑体" w:cs="Cambria"/>
          <w:b/>
          <w:bCs/>
          <w:sz w:val="24"/>
          <w:szCs w:val="24"/>
          <w:lang w:val="en-US" w:eastAsia="zh-CN"/>
        </w:rPr>
        <w:t>arrival of qi (</w:t>
      </w:r>
      <w:r>
        <w:rPr>
          <w:rFonts w:hint="default" w:ascii="Cambria" w:hAnsi="Cambria" w:eastAsia="黑体" w:cs="Cambria"/>
          <w:b/>
          <w:bCs/>
          <w:i w:val="0"/>
          <w:iCs w:val="0"/>
          <w:sz w:val="24"/>
          <w:szCs w:val="24"/>
          <w:lang w:val="en-US" w:eastAsia="zh-CN"/>
        </w:rPr>
        <w:t>Deqi</w:t>
      </w:r>
      <w:r>
        <w:rPr>
          <w:rFonts w:hint="default" w:ascii="Cambria" w:hAnsi="Cambria" w:eastAsia="黑体" w:cs="Cambria"/>
          <w:b/>
          <w:bCs/>
          <w:sz w:val="24"/>
          <w:szCs w:val="24"/>
          <w:lang w:val="en-US" w:eastAsia="zh-CN"/>
        </w:rPr>
        <w:t>)</w:t>
      </w:r>
    </w:p>
    <w:p w14:paraId="3FDDDDC5">
      <w:pPr>
        <w:spacing w:line="276" w:lineRule="auto"/>
        <w:ind w:firstLine="420"/>
        <w:rPr>
          <w:rFonts w:hint="default" w:ascii="Cambria" w:hAnsi="Cambria" w:cs="Cambria"/>
          <w:color w:val="000000" w:themeColor="text1"/>
          <w:sz w:val="24"/>
          <w:szCs w:val="24"/>
          <w:lang w:val="en-US" w:eastAsia="zh-CN"/>
          <w14:textFill>
            <w14:solidFill>
              <w14:schemeClr w14:val="tx1"/>
            </w14:solidFill>
          </w14:textFill>
        </w:rPr>
      </w:pPr>
      <w:r>
        <w:rPr>
          <w:rFonts w:hint="default" w:ascii="Cambria" w:hAnsi="Cambria" w:cs="Cambria"/>
          <w:color w:val="000000" w:themeColor="text1"/>
          <w:sz w:val="24"/>
          <w:szCs w:val="24"/>
          <w:lang w:val="en-US" w:eastAsia="zh-CN"/>
          <w14:textFill>
            <w14:solidFill>
              <w14:schemeClr w14:val="tx1"/>
            </w14:solidFill>
          </w14:textFill>
        </w:rPr>
        <w:t>A sensation of soreness, numbness, distension, and heaviness, or similar sensations, produced at the acupoint site after the filiform needle is inserted. Arrival of qi (</w:t>
      </w:r>
      <w:r>
        <w:rPr>
          <w:rFonts w:hint="default" w:ascii="Cambria" w:hAnsi="Cambria" w:cs="Cambria"/>
          <w:i/>
          <w:iCs/>
          <w:color w:val="000000" w:themeColor="text1"/>
          <w:sz w:val="24"/>
          <w:szCs w:val="24"/>
          <w:lang w:val="en-US" w:eastAsia="zh-CN"/>
          <w14:textFill>
            <w14:solidFill>
              <w14:schemeClr w14:val="tx1"/>
            </w14:solidFill>
          </w14:textFill>
        </w:rPr>
        <w:t>Deqi</w:t>
      </w:r>
      <w:r>
        <w:rPr>
          <w:rFonts w:hint="default" w:ascii="Cambria" w:hAnsi="Cambria" w:cs="Cambria"/>
          <w:color w:val="000000" w:themeColor="text1"/>
          <w:sz w:val="24"/>
          <w:szCs w:val="24"/>
          <w:lang w:val="en-US" w:eastAsia="zh-CN"/>
          <w14:textFill>
            <w14:solidFill>
              <w14:schemeClr w14:val="tx1"/>
            </w14:solidFill>
          </w14:textFill>
        </w:rPr>
        <w:t>), also known as needle sensation or acupuncture response, indicates that the qi of the meridian has arrived at the location of the needle.</w:t>
      </w:r>
    </w:p>
    <w:p w14:paraId="21195DE1">
      <w:pPr>
        <w:tabs>
          <w:tab w:val="left" w:pos="360"/>
          <w:tab w:val="left" w:pos="540"/>
        </w:tabs>
        <w:spacing w:before="156" w:beforeLines="50" w:after="156" w:afterLines="50" w:line="276" w:lineRule="auto"/>
        <w:ind w:firstLine="0"/>
        <w:rPr>
          <w:rFonts w:hint="default" w:ascii="Cambria" w:hAnsi="Cambria" w:eastAsia="黑体" w:cs="Cambria"/>
          <w:b/>
          <w:bCs/>
          <w:sz w:val="24"/>
          <w:szCs w:val="24"/>
        </w:rPr>
      </w:pPr>
      <w:r>
        <w:rPr>
          <w:rFonts w:hint="default" w:ascii="Cambria" w:hAnsi="Cambria" w:eastAsia="黑体" w:cs="Cambria"/>
          <w:b/>
          <w:bCs/>
          <w:sz w:val="24"/>
          <w:szCs w:val="24"/>
        </w:rPr>
        <w:t>3.3</w:t>
      </w:r>
    </w:p>
    <w:p w14:paraId="45A4EB3F">
      <w:pPr>
        <w:spacing w:before="156" w:beforeLines="50" w:after="156" w:afterLines="50" w:line="276" w:lineRule="auto"/>
        <w:ind w:firstLine="420"/>
        <w:jc w:val="left"/>
        <w:rPr>
          <w:rFonts w:hint="default" w:ascii="Cambria" w:hAnsi="Cambria" w:eastAsia="黑体" w:cs="Cambria"/>
          <w:b/>
          <w:bCs/>
          <w:sz w:val="24"/>
          <w:szCs w:val="24"/>
        </w:rPr>
      </w:pPr>
      <w:r>
        <w:rPr>
          <w:rFonts w:hint="default" w:ascii="Cambria" w:hAnsi="Cambria" w:eastAsia="黑体" w:cs="Cambria"/>
          <w:b/>
          <w:bCs/>
          <w:sz w:val="24"/>
          <w:szCs w:val="24"/>
          <w:lang w:val="en-US" w:eastAsia="zh-CN"/>
        </w:rPr>
        <w:t>f</w:t>
      </w:r>
      <w:r>
        <w:rPr>
          <w:rFonts w:hint="default" w:ascii="Cambria" w:hAnsi="Cambria" w:eastAsia="黑体" w:cs="Cambria"/>
          <w:b/>
          <w:bCs/>
          <w:sz w:val="24"/>
          <w:szCs w:val="24"/>
          <w:lang w:eastAsia="zh-CN"/>
        </w:rPr>
        <w:t>ainting during acupuncture</w:t>
      </w:r>
    </w:p>
    <w:p w14:paraId="3CB1A7F0">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 phenomenon during the acupuncture process where the child suddenly experiences dizziness, pale complexion, palpitations, shortness of breath, lassitude, nausea, cold sweats, or even syncope.</w:t>
      </w:r>
    </w:p>
    <w:p w14:paraId="7A1AC460">
      <w:pPr>
        <w:tabs>
          <w:tab w:val="left" w:pos="360"/>
          <w:tab w:val="left" w:pos="540"/>
        </w:tabs>
        <w:spacing w:before="156" w:beforeLines="50" w:after="156" w:afterLines="50" w:line="276" w:lineRule="auto"/>
        <w:rPr>
          <w:rFonts w:ascii="Cambria" w:hAnsi="Cambria" w:eastAsia="黑体" w:cs="Cambria"/>
          <w:b/>
          <w:bCs/>
          <w:sz w:val="24"/>
          <w:szCs w:val="24"/>
        </w:rPr>
      </w:pPr>
      <w:r>
        <w:rPr>
          <w:rFonts w:hint="default" w:ascii="Cambria" w:hAnsi="Cambria" w:eastAsia="黑体" w:cs="Cambria"/>
          <w:b/>
          <w:bCs/>
          <w:sz w:val="24"/>
          <w:szCs w:val="24"/>
        </w:rPr>
        <w:t>3.4</w:t>
      </w:r>
    </w:p>
    <w:p w14:paraId="460ED340">
      <w:pPr>
        <w:spacing w:before="156" w:beforeLines="50" w:after="156" w:afterLines="50" w:line="276" w:lineRule="auto"/>
        <w:ind w:firstLine="420"/>
        <w:jc w:val="left"/>
        <w:rPr>
          <w:rFonts w:hint="default" w:ascii="Cambria" w:hAnsi="Cambria" w:eastAsia="黑体" w:cs="Cambria"/>
          <w:b/>
          <w:bCs/>
          <w:sz w:val="24"/>
          <w:szCs w:val="24"/>
        </w:rPr>
      </w:pPr>
      <w:r>
        <w:rPr>
          <w:rFonts w:hint="default" w:ascii="Cambria" w:hAnsi="Cambria" w:eastAsia="黑体" w:cs="Cambria"/>
          <w:b/>
          <w:bCs/>
          <w:sz w:val="24"/>
          <w:szCs w:val="24"/>
          <w:lang w:eastAsia="zh-CN"/>
        </w:rPr>
        <w:t>t</w:t>
      </w:r>
      <w:r>
        <w:rPr>
          <w:rFonts w:hint="default" w:ascii="Cambria" w:hAnsi="Cambria" w:eastAsia="黑体" w:cs="Cambria"/>
          <w:b/>
          <w:bCs/>
          <w:sz w:val="24"/>
          <w:szCs w:val="24"/>
        </w:rPr>
        <w:t>hree-edge needle</w:t>
      </w:r>
    </w:p>
    <w:p w14:paraId="215AD077">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 needle instrument made of stainless steel, with a slightly thick cylindrical handle, a three-edged body, and a sharp tip with three cutting edges.</w:t>
      </w:r>
    </w:p>
    <w:p w14:paraId="4215466C">
      <w:pPr>
        <w:spacing w:line="276" w:lineRule="auto"/>
        <w:ind w:firstLine="420"/>
        <w:rPr>
          <w:rFonts w:hint="default" w:ascii="Cambria" w:hAnsi="Cambria" w:cs="Cambria"/>
          <w:color w:val="000000" w:themeColor="text1"/>
          <w:sz w:val="21"/>
          <w:szCs w:val="21"/>
          <w14:textFill>
            <w14:solidFill>
              <w14:schemeClr w14:val="tx1"/>
            </w14:solidFill>
          </w14:textFill>
        </w:rPr>
      </w:pPr>
      <w:r>
        <w:rPr>
          <w:rFonts w:hint="default" w:ascii="Cambria" w:hAnsi="Cambria" w:cs="Cambria"/>
          <w:color w:val="000000" w:themeColor="text1"/>
          <w:sz w:val="21"/>
          <w:szCs w:val="21"/>
          <w14:textFill>
            <w14:solidFill>
              <w14:schemeClr w14:val="tx1"/>
            </w14:solidFill>
          </w14:textFill>
        </w:rPr>
        <w:t>Note: Three-edge needles are divided into two sizes: large size, 2.6 mm; small size, 1.6 mm.</w:t>
      </w:r>
    </w:p>
    <w:p w14:paraId="05E8F10F">
      <w:pPr>
        <w:tabs>
          <w:tab w:val="left" w:pos="360"/>
          <w:tab w:val="left" w:pos="540"/>
        </w:tabs>
        <w:spacing w:before="156" w:beforeLines="50" w:after="156" w:afterLines="50" w:line="276" w:lineRule="auto"/>
        <w:ind w:firstLine="0"/>
        <w:rPr>
          <w:rFonts w:hint="default" w:ascii="Cambria" w:hAnsi="Cambria" w:eastAsia="黑体" w:cs="Cambria"/>
          <w:b/>
          <w:bCs/>
          <w:sz w:val="24"/>
          <w:szCs w:val="24"/>
        </w:rPr>
      </w:pPr>
      <w:r>
        <w:rPr>
          <w:rFonts w:hint="default" w:ascii="Cambria" w:hAnsi="Cambria" w:eastAsia="黑体" w:cs="Cambria"/>
          <w:b/>
          <w:bCs/>
          <w:sz w:val="24"/>
          <w:szCs w:val="24"/>
        </w:rPr>
        <w:t>3.5</w:t>
      </w:r>
    </w:p>
    <w:p w14:paraId="30DD4160">
      <w:pPr>
        <w:spacing w:before="156" w:beforeLines="50" w:after="156" w:afterLines="50" w:line="276" w:lineRule="auto"/>
        <w:ind w:firstLine="420"/>
        <w:jc w:val="left"/>
        <w:rPr>
          <w:rFonts w:hint="default" w:ascii="Cambria" w:hAnsi="Cambria" w:eastAsia="黑体" w:cs="Cambria"/>
          <w:b/>
          <w:bCs/>
          <w:sz w:val="24"/>
          <w:szCs w:val="24"/>
        </w:rPr>
      </w:pPr>
      <w:r>
        <w:rPr>
          <w:rFonts w:hint="default" w:ascii="Cambria" w:hAnsi="Cambria" w:eastAsia="黑体" w:cs="Cambria"/>
          <w:b/>
          <w:bCs/>
          <w:sz w:val="24"/>
          <w:szCs w:val="24"/>
          <w:lang w:eastAsia="zh-CN"/>
        </w:rPr>
        <w:t>t</w:t>
      </w:r>
      <w:r>
        <w:rPr>
          <w:rFonts w:hint="default" w:ascii="Cambria" w:hAnsi="Cambria" w:eastAsia="黑体" w:cs="Cambria"/>
          <w:b/>
          <w:bCs/>
          <w:sz w:val="24"/>
          <w:szCs w:val="24"/>
        </w:rPr>
        <w:t>hree-edge needle pricking method</w:t>
      </w:r>
    </w:p>
    <w:p w14:paraId="6FEABEB5">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 method in which a three-edge needle is rapidly inserted into a specified superficial site of the patient and then rapidly withdrawn.</w:t>
      </w:r>
    </w:p>
    <w:p w14:paraId="31FE882B">
      <w:pPr>
        <w:tabs>
          <w:tab w:val="left" w:pos="360"/>
          <w:tab w:val="left" w:pos="540"/>
        </w:tabs>
        <w:spacing w:before="156" w:beforeLines="50" w:after="156" w:afterLines="50" w:line="276" w:lineRule="auto"/>
        <w:ind w:firstLine="0"/>
        <w:rPr>
          <w:rFonts w:hint="default" w:ascii="Cambria" w:hAnsi="Cambria" w:eastAsia="黑体" w:cs="Cambria"/>
          <w:b/>
          <w:bCs/>
          <w:sz w:val="24"/>
          <w:szCs w:val="24"/>
        </w:rPr>
      </w:pPr>
      <w:r>
        <w:rPr>
          <w:rFonts w:hint="default" w:ascii="Cambria" w:hAnsi="Cambria" w:eastAsia="黑体" w:cs="Cambria"/>
          <w:b/>
          <w:bCs/>
          <w:sz w:val="24"/>
          <w:szCs w:val="24"/>
        </w:rPr>
        <w:t>3.6</w:t>
      </w:r>
    </w:p>
    <w:p w14:paraId="0FDDC908">
      <w:pPr>
        <w:spacing w:before="156" w:beforeLines="50" w:after="156" w:afterLines="50" w:line="276" w:lineRule="auto"/>
        <w:ind w:firstLine="420"/>
        <w:jc w:val="left"/>
        <w:rPr>
          <w:rFonts w:hint="default" w:ascii="Cambria" w:hAnsi="Cambria" w:eastAsia="黑体" w:cs="Cambria"/>
          <w:b/>
          <w:bCs/>
          <w:sz w:val="24"/>
          <w:szCs w:val="24"/>
        </w:rPr>
      </w:pPr>
      <w:r>
        <w:rPr>
          <w:rFonts w:hint="default" w:ascii="Cambria" w:hAnsi="Cambria" w:eastAsia="黑体" w:cs="Cambria"/>
          <w:b/>
          <w:bCs/>
          <w:sz w:val="24"/>
          <w:szCs w:val="24"/>
          <w:lang w:eastAsia="zh-CN"/>
        </w:rPr>
        <w:t>three-edge</w:t>
      </w:r>
      <w:r>
        <w:rPr>
          <w:rFonts w:hint="default" w:ascii="Cambria" w:hAnsi="Cambria" w:eastAsia="黑体" w:cs="Cambria"/>
          <w:b/>
          <w:bCs/>
          <w:sz w:val="24"/>
          <w:szCs w:val="24"/>
        </w:rPr>
        <w:t xml:space="preserve"> needle bloodletting method</w:t>
      </w:r>
    </w:p>
    <w:p w14:paraId="1A49F822">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 xml:space="preserve">A method of using a </w:t>
      </w:r>
      <w:r>
        <w:rPr>
          <w:rFonts w:hint="default" w:ascii="Cambria" w:hAnsi="Cambria" w:cs="Cambria"/>
          <w:color w:val="000000" w:themeColor="text1"/>
          <w:sz w:val="24"/>
          <w:szCs w:val="24"/>
          <w:lang w:eastAsia="zh-CN"/>
          <w14:textFill>
            <w14:solidFill>
              <w14:schemeClr w14:val="tx1"/>
            </w14:solidFill>
          </w14:textFill>
        </w:rPr>
        <w:t>three-edge</w:t>
      </w:r>
      <w:r>
        <w:rPr>
          <w:rFonts w:hint="default" w:ascii="Cambria" w:hAnsi="Cambria" w:cs="Cambria"/>
          <w:color w:val="000000" w:themeColor="text1"/>
          <w:sz w:val="24"/>
          <w:szCs w:val="24"/>
          <w14:textFill>
            <w14:solidFill>
              <w14:schemeClr w14:val="tx1"/>
            </w14:solidFill>
          </w14:textFill>
        </w:rPr>
        <w:t xml:space="preserve"> needle to puncture a specific blood vessel or collateral channel at a specific site of the patient and releasing an appropriate amount of blood.</w:t>
      </w:r>
    </w:p>
    <w:p w14:paraId="11162CB3">
      <w:pPr>
        <w:tabs>
          <w:tab w:val="left" w:pos="360"/>
          <w:tab w:val="left" w:pos="540"/>
        </w:tabs>
        <w:spacing w:before="156" w:beforeLines="50" w:after="156" w:afterLines="50" w:line="276" w:lineRule="auto"/>
        <w:ind w:firstLine="0"/>
        <w:rPr>
          <w:rFonts w:hint="default" w:ascii="Cambria" w:hAnsi="Cambria" w:eastAsia="黑体" w:cs="Cambria"/>
          <w:b/>
          <w:bCs/>
          <w:sz w:val="24"/>
          <w:szCs w:val="24"/>
          <w:lang w:eastAsia="zh-CN"/>
        </w:rPr>
      </w:pPr>
      <w:r>
        <w:rPr>
          <w:rFonts w:hint="default" w:ascii="Cambria" w:hAnsi="Cambria" w:eastAsia="黑体" w:cs="Cambria"/>
          <w:b/>
          <w:bCs/>
          <w:sz w:val="24"/>
          <w:szCs w:val="24"/>
        </w:rPr>
        <w:t>3.</w:t>
      </w:r>
      <w:r>
        <w:rPr>
          <w:rFonts w:hint="default" w:ascii="Cambria" w:hAnsi="Cambria" w:eastAsia="黑体" w:cs="Cambria"/>
          <w:b/>
          <w:bCs/>
          <w:sz w:val="24"/>
          <w:szCs w:val="24"/>
          <w:lang w:val="en-US" w:eastAsia="zh-CN"/>
        </w:rPr>
        <w:t>7</w:t>
      </w:r>
    </w:p>
    <w:p w14:paraId="2AA9C2C1">
      <w:pPr>
        <w:spacing w:before="156" w:beforeLines="50" w:after="156" w:afterLines="50" w:line="276" w:lineRule="auto"/>
        <w:ind w:firstLine="420"/>
        <w:jc w:val="left"/>
        <w:rPr>
          <w:rFonts w:hint="default" w:ascii="Cambria" w:hAnsi="Cambria" w:eastAsia="黑体" w:cs="Cambria"/>
          <w:b/>
          <w:bCs/>
          <w:sz w:val="24"/>
          <w:szCs w:val="24"/>
          <w:lang w:eastAsia="zh-CN"/>
        </w:rPr>
      </w:pPr>
      <w:r>
        <w:rPr>
          <w:rFonts w:hint="default" w:ascii="Cambria" w:hAnsi="Cambria" w:eastAsia="黑体" w:cs="Cambria"/>
          <w:b/>
          <w:bCs/>
          <w:sz w:val="24"/>
          <w:szCs w:val="24"/>
          <w:lang w:eastAsia="zh-CN"/>
        </w:rPr>
        <w:t>three-edge needle scattered pricking method</w:t>
      </w:r>
    </w:p>
    <w:p w14:paraId="6B0C397F">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lang w:eastAsia="zh-CN"/>
          <w14:textFill>
            <w14:solidFill>
              <w14:schemeClr w14:val="tx1"/>
            </w14:solidFill>
          </w14:textFill>
        </w:rPr>
        <w:t>A method of performing multiple spot pricks on a specific area of the patient using a three-edge needle.</w:t>
      </w:r>
    </w:p>
    <w:p w14:paraId="4F571321">
      <w:pPr>
        <w:tabs>
          <w:tab w:val="left" w:pos="360"/>
          <w:tab w:val="left" w:pos="540"/>
        </w:tabs>
        <w:spacing w:before="156" w:beforeLines="50" w:after="156" w:afterLines="50" w:line="276" w:lineRule="auto"/>
        <w:ind w:firstLine="0"/>
        <w:rPr>
          <w:rFonts w:hint="default" w:ascii="Cambria" w:hAnsi="Cambria" w:eastAsia="黑体" w:cs="Cambria"/>
          <w:b/>
          <w:bCs/>
          <w:sz w:val="24"/>
          <w:szCs w:val="24"/>
        </w:rPr>
      </w:pPr>
      <w:r>
        <w:rPr>
          <w:rFonts w:hint="default" w:ascii="Cambria" w:hAnsi="Cambria" w:eastAsia="黑体" w:cs="Cambria"/>
          <w:b/>
          <w:bCs/>
          <w:sz w:val="24"/>
          <w:szCs w:val="24"/>
        </w:rPr>
        <w:t>3.8</w:t>
      </w:r>
    </w:p>
    <w:p w14:paraId="3C3EE331">
      <w:pPr>
        <w:spacing w:before="156" w:beforeLines="50" w:after="156" w:afterLines="50" w:line="276" w:lineRule="auto"/>
        <w:ind w:firstLine="420"/>
        <w:jc w:val="left"/>
        <w:rPr>
          <w:rFonts w:hint="default" w:ascii="Cambria" w:hAnsi="Cambria" w:eastAsia="黑体" w:cs="Cambria"/>
          <w:b/>
          <w:bCs/>
          <w:sz w:val="24"/>
          <w:szCs w:val="24"/>
        </w:rPr>
      </w:pPr>
      <w:r>
        <w:rPr>
          <w:rFonts w:hint="default" w:ascii="Cambria" w:hAnsi="Cambria" w:eastAsia="黑体" w:cs="Cambria"/>
          <w:b/>
          <w:bCs/>
          <w:sz w:val="24"/>
          <w:szCs w:val="24"/>
          <w:lang w:eastAsia="zh-CN"/>
        </w:rPr>
        <w:t>three-edge needle picking method</w:t>
      </w:r>
    </w:p>
    <w:p w14:paraId="18FB5F2D">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 xml:space="preserve">A method of inserting a </w:t>
      </w:r>
      <w:r>
        <w:rPr>
          <w:rFonts w:hint="default" w:ascii="Cambria" w:hAnsi="Cambria" w:cs="Cambria"/>
          <w:color w:val="000000" w:themeColor="text1"/>
          <w:sz w:val="24"/>
          <w:szCs w:val="24"/>
          <w:lang w:eastAsia="zh-CN"/>
          <w14:textFill>
            <w14:solidFill>
              <w14:schemeClr w14:val="tx1"/>
            </w14:solidFill>
          </w14:textFill>
        </w:rPr>
        <w:t>three-edge</w:t>
      </w:r>
      <w:r>
        <w:rPr>
          <w:rFonts w:hint="default" w:ascii="Cambria" w:hAnsi="Cambria" w:cs="Cambria"/>
          <w:color w:val="000000" w:themeColor="text1"/>
          <w:sz w:val="24"/>
          <w:szCs w:val="24"/>
          <w14:textFill>
            <w14:solidFill>
              <w14:schemeClr w14:val="tx1"/>
            </w14:solidFill>
          </w14:textFill>
        </w:rPr>
        <w:t xml:space="preserve"> needle into a specific site of the patient and picking through the skin or subcutaneous tissue.</w:t>
      </w:r>
    </w:p>
    <w:p w14:paraId="1DF836D4">
      <w:pPr>
        <w:tabs>
          <w:tab w:val="left" w:pos="360"/>
          <w:tab w:val="left" w:pos="540"/>
        </w:tabs>
        <w:spacing w:before="156" w:beforeLines="50" w:after="156" w:afterLines="50" w:line="276" w:lineRule="auto"/>
        <w:ind w:firstLine="0"/>
        <w:rPr>
          <w:rFonts w:hint="default" w:ascii="Cambria" w:hAnsi="Cambria" w:eastAsia="黑体" w:cs="Cambria"/>
          <w:b/>
          <w:bCs/>
          <w:sz w:val="24"/>
          <w:szCs w:val="24"/>
          <w:lang w:val="en-US" w:eastAsia="zh-CN"/>
        </w:rPr>
      </w:pPr>
      <w:r>
        <w:rPr>
          <w:rFonts w:hint="default" w:ascii="Cambria" w:hAnsi="Cambria" w:eastAsia="黑体" w:cs="Cambria"/>
          <w:b/>
          <w:bCs/>
          <w:sz w:val="24"/>
          <w:szCs w:val="24"/>
          <w:lang w:val="en-US" w:eastAsia="zh-CN"/>
        </w:rPr>
        <w:t>3.9</w:t>
      </w:r>
    </w:p>
    <w:p w14:paraId="77EAB222">
      <w:pPr>
        <w:spacing w:before="156" w:beforeLines="50" w:after="156" w:afterLines="50" w:line="276" w:lineRule="auto"/>
        <w:ind w:firstLine="420"/>
        <w:jc w:val="left"/>
        <w:rPr>
          <w:rFonts w:hint="default" w:ascii="Cambria" w:hAnsi="Cambria" w:eastAsia="黑体" w:cs="Cambria"/>
          <w:b/>
          <w:bCs/>
          <w:sz w:val="24"/>
          <w:szCs w:val="24"/>
        </w:rPr>
      </w:pPr>
      <w:r>
        <w:rPr>
          <w:rFonts w:hint="default" w:ascii="Cambria" w:hAnsi="Cambria" w:eastAsia="黑体" w:cs="Cambria"/>
          <w:b/>
          <w:bCs/>
          <w:i w:val="0"/>
          <w:iCs w:val="0"/>
          <w:sz w:val="24"/>
          <w:szCs w:val="24"/>
        </w:rPr>
        <w:t xml:space="preserve">Si Feng </w:t>
      </w:r>
      <w:r>
        <w:rPr>
          <w:rFonts w:hint="default" w:ascii="Cambria" w:hAnsi="Cambria" w:eastAsia="黑体" w:cs="Cambria"/>
          <w:b/>
          <w:bCs/>
          <w:sz w:val="24"/>
          <w:szCs w:val="24"/>
        </w:rPr>
        <w:t>(EX-UE 10) pricking therapy</w:t>
      </w:r>
    </w:p>
    <w:p w14:paraId="54683C03">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 xml:space="preserve">A method of rapidly pricking the </w:t>
      </w:r>
      <w:r>
        <w:rPr>
          <w:rFonts w:hint="default" w:ascii="Cambria" w:hAnsi="Cambria" w:cs="Cambria"/>
          <w:i/>
          <w:iCs/>
          <w:color w:val="000000" w:themeColor="text1"/>
          <w:sz w:val="24"/>
          <w:szCs w:val="24"/>
          <w14:textFill>
            <w14:solidFill>
              <w14:schemeClr w14:val="tx1"/>
            </w14:solidFill>
          </w14:textFill>
        </w:rPr>
        <w:t>Si Feng</w:t>
      </w:r>
      <w:r>
        <w:rPr>
          <w:rFonts w:hint="default" w:ascii="Cambria" w:hAnsi="Cambria" w:cs="Cambria"/>
          <w:color w:val="000000" w:themeColor="text1"/>
          <w:sz w:val="24"/>
          <w:szCs w:val="24"/>
          <w14:textFill>
            <w14:solidFill>
              <w14:schemeClr w14:val="tx1"/>
            </w14:solidFill>
          </w14:textFill>
        </w:rPr>
        <w:t xml:space="preserve"> (EX-UE 10) acupoints of a child patient with a </w:t>
      </w:r>
      <w:r>
        <w:rPr>
          <w:rFonts w:hint="default" w:ascii="Cambria" w:hAnsi="Cambria" w:cs="Cambria"/>
          <w:color w:val="000000" w:themeColor="text1"/>
          <w:sz w:val="24"/>
          <w:szCs w:val="24"/>
          <w:lang w:eastAsia="zh-CN"/>
          <w14:textFill>
            <w14:solidFill>
              <w14:schemeClr w14:val="tx1"/>
            </w14:solidFill>
          </w14:textFill>
        </w:rPr>
        <w:t>three-edge</w:t>
      </w:r>
      <w:r>
        <w:rPr>
          <w:rFonts w:hint="default" w:ascii="Cambria" w:hAnsi="Cambria" w:cs="Cambria"/>
          <w:color w:val="000000" w:themeColor="text1"/>
          <w:sz w:val="24"/>
          <w:szCs w:val="24"/>
          <w14:textFill>
            <w14:solidFill>
              <w14:schemeClr w14:val="tx1"/>
            </w14:solidFill>
          </w14:textFill>
        </w:rPr>
        <w:t xml:space="preserve"> needle and immediately withdrawing the needle, followed by squeezing out an appropriate amount of yellow fluid, mucus, or blood drops to treat related diseases.</w:t>
      </w:r>
    </w:p>
    <w:p w14:paraId="07CAACF3">
      <w:pPr>
        <w:tabs>
          <w:tab w:val="left" w:pos="360"/>
          <w:tab w:val="left" w:pos="540"/>
        </w:tabs>
        <w:spacing w:before="156" w:beforeLines="50" w:after="156" w:afterLines="50" w:line="276" w:lineRule="auto"/>
        <w:ind w:firstLine="0"/>
        <w:rPr>
          <w:rFonts w:hint="default" w:ascii="Cambria" w:hAnsi="Cambria" w:eastAsia="黑体" w:cs="Cambria"/>
          <w:b/>
          <w:bCs/>
          <w:sz w:val="24"/>
          <w:szCs w:val="24"/>
          <w:lang w:val="en-US" w:eastAsia="zh-CN"/>
        </w:rPr>
      </w:pPr>
      <w:r>
        <w:rPr>
          <w:rFonts w:hint="default" w:ascii="Cambria" w:hAnsi="Cambria" w:eastAsia="黑体" w:cs="Cambria"/>
          <w:b/>
          <w:bCs/>
          <w:sz w:val="24"/>
          <w:szCs w:val="24"/>
          <w:lang w:val="en-US" w:eastAsia="zh-CN"/>
        </w:rPr>
        <w:t xml:space="preserve">3.10 </w:t>
      </w:r>
    </w:p>
    <w:p w14:paraId="168A2987">
      <w:pPr>
        <w:spacing w:before="156" w:beforeLines="50" w:after="156" w:afterLines="50" w:line="276" w:lineRule="auto"/>
        <w:ind w:firstLine="420"/>
        <w:jc w:val="left"/>
        <w:rPr>
          <w:rFonts w:hint="default" w:ascii="Cambria" w:hAnsi="Cambria" w:eastAsia="黑体" w:cs="Cambria"/>
          <w:b/>
          <w:bCs/>
          <w:sz w:val="24"/>
          <w:szCs w:val="24"/>
        </w:rPr>
      </w:pPr>
      <w:r>
        <w:rPr>
          <w:rFonts w:hint="default" w:ascii="Cambria" w:hAnsi="Cambria" w:eastAsia="黑体" w:cs="Cambria"/>
          <w:b/>
          <w:bCs/>
          <w:sz w:val="24"/>
          <w:szCs w:val="24"/>
        </w:rPr>
        <w:t>Si Feng (EX-UE 10) acupoints</w:t>
      </w:r>
    </w:p>
    <w:p w14:paraId="7BF3EBE0">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Acupoints located at the center of the transverse crease of the proximal interphalangeal joint on the palmar surface of the 2nd to 5th fingers of each hand, with four acupoints per hand.</w:t>
      </w:r>
    </w:p>
    <w:p w14:paraId="0D67384F">
      <w:pPr>
        <w:tabs>
          <w:tab w:val="left" w:pos="360"/>
          <w:tab w:val="left" w:pos="540"/>
        </w:tabs>
        <w:spacing w:before="156" w:beforeLines="50" w:after="156" w:afterLines="50" w:line="276" w:lineRule="auto"/>
        <w:ind w:firstLine="0"/>
        <w:rPr>
          <w:rFonts w:hint="default" w:ascii="Cambria" w:hAnsi="Cambria" w:eastAsia="黑体" w:cs="Cambria"/>
          <w:b/>
          <w:bCs/>
          <w:sz w:val="24"/>
          <w:szCs w:val="24"/>
        </w:rPr>
      </w:pPr>
      <w:r>
        <w:rPr>
          <w:rFonts w:hint="default" w:ascii="Cambria" w:hAnsi="Cambria" w:eastAsia="黑体" w:cs="Cambria"/>
          <w:b/>
          <w:bCs/>
          <w:sz w:val="24"/>
          <w:szCs w:val="24"/>
        </w:rPr>
        <w:t xml:space="preserve">3.11 </w:t>
      </w:r>
    </w:p>
    <w:p w14:paraId="7C31148E">
      <w:pPr>
        <w:spacing w:before="156" w:beforeLines="50" w:after="156" w:afterLines="50" w:line="276" w:lineRule="auto"/>
        <w:ind w:firstLine="420"/>
        <w:jc w:val="left"/>
        <w:rPr>
          <w:rFonts w:hint="default" w:ascii="Cambria" w:hAnsi="Cambria" w:eastAsia="黑体" w:cs="Cambria"/>
          <w:b/>
          <w:bCs/>
          <w:sz w:val="24"/>
          <w:szCs w:val="24"/>
        </w:rPr>
      </w:pPr>
      <w:r>
        <w:rPr>
          <w:rFonts w:hint="default" w:ascii="Cambria" w:hAnsi="Cambria" w:eastAsia="黑体" w:cs="Cambria"/>
          <w:b/>
          <w:bCs/>
          <w:sz w:val="24"/>
          <w:szCs w:val="24"/>
          <w:lang w:eastAsia="zh-CN"/>
        </w:rPr>
        <w:t>p</w:t>
      </w:r>
      <w:r>
        <w:rPr>
          <w:rFonts w:hint="default" w:ascii="Cambria" w:hAnsi="Cambria" w:eastAsia="黑体" w:cs="Cambria"/>
          <w:b/>
          <w:bCs/>
          <w:sz w:val="24"/>
          <w:szCs w:val="24"/>
        </w:rPr>
        <w:t>ediatric moxibustion</w:t>
      </w:r>
    </w:p>
    <w:p w14:paraId="4F7C1D27">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An external therapy performed on child patients by using moxa floss or moxibustion materials made mainly of moxa floss, which are ignited and then suspended over or placed on acupoints or affected areas for cauterization and warming compression, so as to achieve the purposes of treating and preventing disease and promoting health through the thermal effect of the moxibustion fire and the action of the medicinal materials.</w:t>
      </w:r>
    </w:p>
    <w:p w14:paraId="45A36474">
      <w:pPr>
        <w:tabs>
          <w:tab w:val="left" w:pos="360"/>
          <w:tab w:val="left" w:pos="540"/>
        </w:tabs>
        <w:spacing w:before="156" w:beforeLines="50" w:after="156" w:afterLines="50" w:line="276" w:lineRule="auto"/>
        <w:ind w:left="0" w:leftChars="0" w:firstLine="0" w:firstLineChars="0"/>
        <w:rPr>
          <w:rFonts w:hint="default" w:ascii="Cambria" w:hAnsi="Cambria" w:eastAsia="黑体" w:cs="Cambria"/>
          <w:b/>
          <w:bCs/>
          <w:sz w:val="24"/>
          <w:szCs w:val="24"/>
        </w:rPr>
      </w:pPr>
      <w:r>
        <w:rPr>
          <w:rFonts w:hint="default" w:ascii="Cambria" w:hAnsi="Cambria" w:eastAsia="黑体" w:cs="Cambria"/>
          <w:b/>
          <w:bCs/>
          <w:sz w:val="24"/>
          <w:szCs w:val="24"/>
        </w:rPr>
        <w:t>3.12</w:t>
      </w:r>
    </w:p>
    <w:p w14:paraId="16AAD495">
      <w:pPr>
        <w:spacing w:before="156" w:beforeLines="50" w:after="156" w:afterLines="50" w:line="276" w:lineRule="auto"/>
        <w:ind w:left="0" w:leftChars="0" w:firstLine="420" w:firstLineChars="0"/>
        <w:jc w:val="left"/>
        <w:rPr>
          <w:rFonts w:hint="default" w:ascii="Cambria" w:hAnsi="Cambria" w:eastAsia="黑体" w:cs="Cambria"/>
          <w:b/>
          <w:bCs/>
          <w:sz w:val="24"/>
          <w:szCs w:val="24"/>
        </w:rPr>
      </w:pPr>
      <w:r>
        <w:rPr>
          <w:rFonts w:hint="default" w:ascii="Cambria" w:hAnsi="Cambria" w:eastAsia="黑体" w:cs="Cambria"/>
          <w:b/>
          <w:bCs/>
          <w:sz w:val="24"/>
          <w:szCs w:val="24"/>
        </w:rPr>
        <w:t>moxa floss</w:t>
      </w:r>
    </w:p>
    <w:p w14:paraId="740F56F3">
      <w:pPr>
        <w:spacing w:line="276" w:lineRule="auto"/>
        <w:ind w:left="0" w:leftChars="0" w:firstLine="420" w:firstLineChars="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 pale-yellow, fine, soft, floss-like material processed from mugwort leaves.</w:t>
      </w:r>
    </w:p>
    <w:p w14:paraId="29109362">
      <w:pPr>
        <w:tabs>
          <w:tab w:val="left" w:pos="360"/>
          <w:tab w:val="left" w:pos="540"/>
        </w:tabs>
        <w:spacing w:before="156" w:beforeLines="50" w:after="156" w:afterLines="50" w:line="276" w:lineRule="auto"/>
        <w:ind w:firstLine="0"/>
        <w:rPr>
          <w:rFonts w:hint="default" w:ascii="Cambria" w:hAnsi="Cambria" w:eastAsia="黑体" w:cs="Cambria"/>
          <w:b/>
          <w:bCs/>
          <w:sz w:val="24"/>
          <w:szCs w:val="24"/>
        </w:rPr>
      </w:pPr>
      <w:r>
        <w:rPr>
          <w:rFonts w:hint="default" w:ascii="Cambria" w:hAnsi="Cambria" w:eastAsia="黑体" w:cs="Cambria"/>
          <w:b/>
          <w:bCs/>
          <w:sz w:val="24"/>
          <w:szCs w:val="24"/>
        </w:rPr>
        <w:t>3.13</w:t>
      </w:r>
    </w:p>
    <w:p w14:paraId="7CF7610E">
      <w:pPr>
        <w:spacing w:before="156" w:beforeLines="50" w:after="156" w:afterLines="50" w:line="276" w:lineRule="auto"/>
        <w:ind w:firstLine="420"/>
        <w:jc w:val="left"/>
        <w:rPr>
          <w:rFonts w:hint="default" w:ascii="Cambria" w:hAnsi="Cambria" w:eastAsia="黑体" w:cs="Cambria"/>
          <w:b/>
          <w:bCs/>
          <w:sz w:val="24"/>
          <w:szCs w:val="24"/>
        </w:rPr>
      </w:pPr>
      <w:r>
        <w:rPr>
          <w:rFonts w:hint="default" w:ascii="Cambria" w:hAnsi="Cambria" w:eastAsia="黑体" w:cs="Cambria"/>
          <w:b/>
          <w:bCs/>
          <w:sz w:val="24"/>
          <w:szCs w:val="24"/>
        </w:rPr>
        <w:t>moxa stick</w:t>
      </w:r>
    </w:p>
    <w:p w14:paraId="59083AB2">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 long cylindrical roll made mainly of moxa floss.</w:t>
      </w:r>
    </w:p>
    <w:p w14:paraId="6C7B3771">
      <w:pPr>
        <w:spacing w:line="276" w:lineRule="auto"/>
        <w:ind w:firstLine="420"/>
        <w:rPr>
          <w:rFonts w:hint="default" w:ascii="Cambria" w:hAnsi="Cambria" w:cs="Cambria"/>
          <w:color w:val="000000" w:themeColor="text1"/>
          <w:sz w:val="21"/>
          <w:szCs w:val="21"/>
          <w14:textFill>
            <w14:solidFill>
              <w14:schemeClr w14:val="tx1"/>
            </w14:solidFill>
          </w14:textFill>
        </w:rPr>
      </w:pPr>
      <w:r>
        <w:rPr>
          <w:rFonts w:hint="default" w:ascii="Cambria" w:hAnsi="Cambria" w:cs="Cambria"/>
          <w:color w:val="000000" w:themeColor="text1"/>
          <w:sz w:val="21"/>
          <w:szCs w:val="21"/>
          <w14:textFill>
            <w14:solidFill>
              <w14:schemeClr w14:val="tx1"/>
            </w14:solidFill>
          </w14:textFill>
        </w:rPr>
        <w:t>Note: According to whether medicinal substances are added, moxa sticks are classified into medicinal moxa sticks and pure moxa sticks.</w:t>
      </w:r>
    </w:p>
    <w:p w14:paraId="6F7BC9AA">
      <w:pPr>
        <w:tabs>
          <w:tab w:val="left" w:pos="360"/>
          <w:tab w:val="left" w:pos="540"/>
        </w:tabs>
        <w:spacing w:before="156" w:beforeLines="50" w:after="156" w:afterLines="50" w:line="276" w:lineRule="auto"/>
        <w:ind w:firstLine="0"/>
        <w:rPr>
          <w:rFonts w:hint="default" w:ascii="Cambria" w:hAnsi="Cambria" w:eastAsia="黑体" w:cs="Cambria"/>
          <w:b/>
          <w:bCs/>
          <w:sz w:val="24"/>
          <w:szCs w:val="24"/>
          <w:lang w:val="en-US" w:eastAsia="zh-CN"/>
        </w:rPr>
      </w:pPr>
      <w:r>
        <w:rPr>
          <w:rFonts w:hint="default" w:ascii="Cambria" w:hAnsi="Cambria" w:eastAsia="黑体" w:cs="Cambria"/>
          <w:b/>
          <w:bCs/>
          <w:sz w:val="24"/>
          <w:szCs w:val="24"/>
          <w:lang w:val="en-US" w:eastAsia="zh-CN"/>
        </w:rPr>
        <w:t xml:space="preserve">3.14 </w:t>
      </w:r>
    </w:p>
    <w:p w14:paraId="1D0236A5">
      <w:pPr>
        <w:spacing w:before="156" w:beforeLines="50" w:after="156" w:afterLines="50" w:line="276" w:lineRule="auto"/>
        <w:ind w:firstLine="420"/>
        <w:jc w:val="left"/>
        <w:rPr>
          <w:rFonts w:hint="default" w:ascii="Cambria" w:hAnsi="Cambria" w:eastAsia="黑体" w:cs="Cambria"/>
          <w:b/>
          <w:bCs/>
          <w:sz w:val="24"/>
          <w:szCs w:val="24"/>
        </w:rPr>
      </w:pPr>
      <w:r>
        <w:rPr>
          <w:rFonts w:hint="default" w:ascii="Cambria" w:hAnsi="Cambria" w:eastAsia="黑体" w:cs="Cambria"/>
          <w:b/>
          <w:bCs/>
          <w:sz w:val="24"/>
          <w:szCs w:val="24"/>
        </w:rPr>
        <w:t>moxa cone</w:t>
      </w:r>
    </w:p>
    <w:p w14:paraId="36FBB3F4">
      <w:pPr>
        <w:spacing w:line="276" w:lineRule="auto"/>
        <w:ind w:firstLine="420"/>
        <w:rPr>
          <w:rFonts w:hint="default" w:ascii="Cambria" w:hAnsi="Cambria" w:cs="Cambria"/>
          <w:color w:val="000000" w:themeColor="text1"/>
          <w:sz w:val="24"/>
          <w:szCs w:val="24"/>
          <w:lang w:val="en-US" w:eastAsia="zh-CN"/>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 small cone made manually or with apparatus from moxa floss</w:t>
      </w:r>
      <w:r>
        <w:rPr>
          <w:rFonts w:hint="default" w:ascii="Cambria" w:hAnsi="Cambria" w:cs="Cambria"/>
          <w:color w:val="000000" w:themeColor="text1"/>
          <w:sz w:val="24"/>
          <w:szCs w:val="24"/>
          <w:lang w:val="en-US" w:eastAsia="zh-CN"/>
          <w14:textFill>
            <w14:solidFill>
              <w14:schemeClr w14:val="tx1"/>
            </w14:solidFill>
          </w14:textFill>
        </w:rPr>
        <w:t>.</w:t>
      </w:r>
    </w:p>
    <w:p w14:paraId="1197449C">
      <w:pPr>
        <w:spacing w:line="276" w:lineRule="auto"/>
        <w:ind w:firstLine="420"/>
        <w:rPr>
          <w:rFonts w:hint="default" w:ascii="Cambria" w:hAnsi="Cambria" w:cs="Cambria"/>
          <w:color w:val="000000" w:themeColor="text1"/>
          <w:sz w:val="21"/>
          <w:szCs w:val="21"/>
          <w14:textFill>
            <w14:solidFill>
              <w14:schemeClr w14:val="tx1"/>
            </w14:solidFill>
          </w14:textFill>
        </w:rPr>
      </w:pPr>
      <w:r>
        <w:rPr>
          <w:rFonts w:hint="default" w:ascii="Cambria" w:hAnsi="Cambria" w:cs="Cambria"/>
          <w:color w:val="000000" w:themeColor="text1"/>
          <w:sz w:val="21"/>
          <w:szCs w:val="21"/>
          <w14:textFill>
            <w14:solidFill>
              <w14:schemeClr w14:val="tx1"/>
            </w14:solidFill>
          </w14:textFill>
        </w:rPr>
        <w:t>NOTE: The burning of one moxa cone is counted as one moxibustion unit (壮, zhuàng).</w:t>
      </w:r>
    </w:p>
    <w:p w14:paraId="1F5B1D32">
      <w:pPr>
        <w:tabs>
          <w:tab w:val="left" w:pos="360"/>
          <w:tab w:val="left" w:pos="540"/>
        </w:tabs>
        <w:spacing w:before="156" w:beforeLines="50" w:after="156" w:afterLines="50" w:line="276" w:lineRule="auto"/>
        <w:ind w:firstLine="0"/>
        <w:rPr>
          <w:rFonts w:hint="default" w:ascii="Cambria" w:hAnsi="Cambria" w:eastAsia="黑体" w:cs="Cambria"/>
          <w:b/>
          <w:bCs/>
          <w:sz w:val="24"/>
          <w:szCs w:val="24"/>
        </w:rPr>
      </w:pPr>
      <w:r>
        <w:rPr>
          <w:rFonts w:hint="default" w:ascii="Cambria" w:hAnsi="Cambria" w:eastAsia="黑体" w:cs="Cambria"/>
          <w:b/>
          <w:bCs/>
          <w:sz w:val="24"/>
          <w:szCs w:val="24"/>
        </w:rPr>
        <w:t>3.15</w:t>
      </w:r>
    </w:p>
    <w:p w14:paraId="0E88429D">
      <w:pPr>
        <w:spacing w:before="156" w:beforeLines="50" w:after="156" w:afterLines="50" w:line="276" w:lineRule="auto"/>
        <w:ind w:firstLine="420"/>
        <w:jc w:val="left"/>
        <w:rPr>
          <w:rFonts w:hint="default" w:ascii="Cambria" w:hAnsi="Cambria" w:eastAsia="黑体" w:cs="Cambria"/>
          <w:b/>
          <w:bCs/>
          <w:sz w:val="24"/>
          <w:szCs w:val="24"/>
        </w:rPr>
      </w:pPr>
      <w:r>
        <w:rPr>
          <w:rFonts w:hint="default" w:ascii="Cambria" w:hAnsi="Cambria" w:eastAsia="黑体" w:cs="Cambria"/>
          <w:b/>
          <w:bCs/>
          <w:sz w:val="24"/>
          <w:szCs w:val="24"/>
          <w:lang w:eastAsia="zh-CN"/>
        </w:rPr>
        <w:t>s</w:t>
      </w:r>
      <w:r>
        <w:rPr>
          <w:rFonts w:hint="default" w:ascii="Cambria" w:hAnsi="Cambria" w:eastAsia="黑体" w:cs="Cambria"/>
          <w:b/>
          <w:bCs/>
          <w:sz w:val="24"/>
          <w:szCs w:val="24"/>
        </w:rPr>
        <w:t>uspended moxibustion</w:t>
      </w:r>
    </w:p>
    <w:p w14:paraId="14C4815F">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 moxibustion method in which an ignited</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moxa</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stick</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is held over</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the site to be treated.</w:t>
      </w:r>
    </w:p>
    <w:p w14:paraId="342CA4A2">
      <w:pPr>
        <w:spacing w:line="276" w:lineRule="auto"/>
        <w:ind w:firstLine="420"/>
        <w:rPr>
          <w:rFonts w:hint="default" w:ascii="Cambria" w:hAnsi="Cambria" w:cs="Cambria"/>
          <w:color w:val="000000" w:themeColor="text1"/>
          <w:sz w:val="21"/>
          <w:szCs w:val="21"/>
          <w14:textFill>
            <w14:solidFill>
              <w14:schemeClr w14:val="tx1"/>
            </w14:solidFill>
          </w14:textFill>
        </w:rPr>
      </w:pPr>
      <w:r>
        <w:rPr>
          <w:rFonts w:hint="default" w:ascii="Cambria" w:hAnsi="Cambria" w:cs="Cambria"/>
          <w:color w:val="000000" w:themeColor="text1"/>
          <w:sz w:val="21"/>
          <w:szCs w:val="21"/>
          <w14:textFill>
            <w14:solidFill>
              <w14:schemeClr w14:val="tx1"/>
            </w14:solidFill>
          </w14:textFill>
        </w:rPr>
        <w:t>Note:</w:t>
      </w:r>
      <w:r>
        <w:rPr>
          <w:rFonts w:hint="default" w:ascii="Cambria" w:hAnsi="Cambria" w:cs="Cambria"/>
          <w:color w:val="000000" w:themeColor="text1"/>
          <w:sz w:val="21"/>
          <w:szCs w:val="21"/>
          <w:lang w:val="en-US" w:eastAsia="zh-CN"/>
          <w14:textFill>
            <w14:solidFill>
              <w14:schemeClr w14:val="tx1"/>
            </w14:solidFill>
          </w14:textFill>
        </w:rPr>
        <w:t xml:space="preserve"> </w:t>
      </w:r>
      <w:r>
        <w:rPr>
          <w:rFonts w:hint="default" w:ascii="Cambria" w:hAnsi="Cambria" w:cs="Cambria"/>
          <w:color w:val="000000" w:themeColor="text1"/>
          <w:sz w:val="21"/>
          <w:szCs w:val="21"/>
          <w14:textFill>
            <w14:solidFill>
              <w14:schemeClr w14:val="tx1"/>
            </w14:solidFill>
          </w14:textFill>
        </w:rPr>
        <w:t>According</w:t>
      </w:r>
      <w:r>
        <w:rPr>
          <w:rFonts w:hint="default" w:ascii="Cambria" w:hAnsi="Cambria" w:cs="Cambria"/>
          <w:color w:val="000000" w:themeColor="text1"/>
          <w:sz w:val="21"/>
          <w:szCs w:val="21"/>
          <w:lang w:val="en-US" w:eastAsia="zh-CN"/>
          <w14:textFill>
            <w14:solidFill>
              <w14:schemeClr w14:val="tx1"/>
            </w14:solidFill>
          </w14:textFill>
        </w:rPr>
        <w:t xml:space="preserve"> </w:t>
      </w:r>
      <w:r>
        <w:rPr>
          <w:rFonts w:hint="default" w:ascii="Cambria" w:hAnsi="Cambria" w:cs="Cambria"/>
          <w:color w:val="000000" w:themeColor="text1"/>
          <w:sz w:val="21"/>
          <w:szCs w:val="21"/>
          <w14:textFill>
            <w14:solidFill>
              <w14:schemeClr w14:val="tx1"/>
            </w14:solidFill>
          </w14:textFill>
        </w:rPr>
        <w:t>to different manipulation methods, it is further classified into mild moxibustion, sparrow-pecking moxibustion, and circling moxibustion.</w:t>
      </w:r>
    </w:p>
    <w:p w14:paraId="71009807">
      <w:pPr>
        <w:tabs>
          <w:tab w:val="left" w:pos="360"/>
          <w:tab w:val="left" w:pos="540"/>
        </w:tabs>
        <w:spacing w:before="156" w:beforeLines="50" w:after="156" w:afterLines="50" w:line="276" w:lineRule="auto"/>
        <w:ind w:firstLine="0"/>
        <w:rPr>
          <w:rFonts w:hint="default" w:ascii="Cambria" w:hAnsi="Cambria" w:eastAsia="黑体" w:cs="Cambria"/>
          <w:b/>
          <w:bCs/>
          <w:sz w:val="24"/>
          <w:szCs w:val="24"/>
        </w:rPr>
      </w:pPr>
      <w:r>
        <w:rPr>
          <w:rFonts w:hint="default" w:ascii="Cambria" w:hAnsi="Cambria" w:eastAsia="黑体" w:cs="Cambria"/>
          <w:b/>
          <w:bCs/>
          <w:sz w:val="24"/>
          <w:szCs w:val="24"/>
        </w:rPr>
        <w:t>3.16</w:t>
      </w:r>
    </w:p>
    <w:p w14:paraId="445C9F84">
      <w:pPr>
        <w:spacing w:before="156" w:beforeLines="50" w:after="156" w:afterLines="50" w:line="276" w:lineRule="auto"/>
        <w:ind w:firstLine="420"/>
        <w:jc w:val="left"/>
        <w:rPr>
          <w:rFonts w:hint="default" w:ascii="Cambria" w:hAnsi="Cambria" w:eastAsia="黑体" w:cs="Cambria"/>
          <w:b/>
          <w:bCs/>
          <w:sz w:val="24"/>
          <w:szCs w:val="24"/>
        </w:rPr>
      </w:pPr>
      <w:r>
        <w:rPr>
          <w:rFonts w:hint="default" w:ascii="Cambria" w:hAnsi="Cambria" w:eastAsia="黑体" w:cs="Cambria"/>
          <w:b/>
          <w:bCs/>
          <w:sz w:val="24"/>
          <w:szCs w:val="24"/>
        </w:rPr>
        <w:t>pressed moxibustion</w:t>
      </w:r>
    </w:p>
    <w:p w14:paraId="37CED2AB">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 moxibustion method in which an ignited moxa stick is pressed firmly onto cotton cloth covering the acupoints.</w:t>
      </w:r>
    </w:p>
    <w:p w14:paraId="5C6A33A2">
      <w:pPr>
        <w:tabs>
          <w:tab w:val="left" w:pos="360"/>
          <w:tab w:val="left" w:pos="540"/>
        </w:tabs>
        <w:spacing w:before="156" w:beforeLines="50" w:after="156" w:afterLines="50" w:line="276" w:lineRule="auto"/>
        <w:ind w:firstLine="0"/>
        <w:rPr>
          <w:rFonts w:hint="default" w:ascii="Cambria" w:hAnsi="Cambria" w:eastAsia="黑体" w:cs="Cambria"/>
          <w:b/>
          <w:bCs/>
          <w:sz w:val="24"/>
          <w:szCs w:val="24"/>
        </w:rPr>
      </w:pPr>
      <w:r>
        <w:rPr>
          <w:rFonts w:hint="default" w:ascii="Cambria" w:hAnsi="Cambria" w:eastAsia="黑体" w:cs="Cambria"/>
          <w:b/>
          <w:bCs/>
          <w:sz w:val="24"/>
          <w:szCs w:val="24"/>
        </w:rPr>
        <w:t>3.17</w:t>
      </w:r>
    </w:p>
    <w:p w14:paraId="0018BECF">
      <w:pPr>
        <w:spacing w:before="156" w:beforeLines="50" w:after="156" w:afterLines="50" w:line="276" w:lineRule="auto"/>
        <w:ind w:firstLine="420"/>
        <w:jc w:val="left"/>
        <w:rPr>
          <w:rFonts w:hint="default" w:ascii="Cambria" w:hAnsi="Cambria" w:eastAsia="黑体" w:cs="Cambria"/>
          <w:b/>
          <w:bCs/>
          <w:sz w:val="24"/>
          <w:szCs w:val="24"/>
        </w:rPr>
      </w:pPr>
      <w:r>
        <w:rPr>
          <w:rFonts w:hint="default" w:ascii="Cambria" w:hAnsi="Cambria" w:eastAsia="黑体" w:cs="Cambria"/>
          <w:b/>
          <w:bCs/>
          <w:sz w:val="24"/>
          <w:szCs w:val="24"/>
          <w:lang w:eastAsia="zh-CN"/>
        </w:rPr>
        <w:t>d</w:t>
      </w:r>
      <w:r>
        <w:rPr>
          <w:rFonts w:hint="default" w:ascii="Cambria" w:hAnsi="Cambria" w:eastAsia="黑体" w:cs="Cambria"/>
          <w:b/>
          <w:bCs/>
          <w:sz w:val="24"/>
          <w:szCs w:val="24"/>
        </w:rPr>
        <w:t>irect moxibustion</w:t>
      </w:r>
    </w:p>
    <w:p w14:paraId="788123BD">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 method of moxibustion in which a moxa cone is placed directly on the skin over the acupoint.</w:t>
      </w:r>
    </w:p>
    <w:p w14:paraId="19442C9D">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1"/>
          <w:szCs w:val="21"/>
          <w14:textFill>
            <w14:solidFill>
              <w14:schemeClr w14:val="tx1"/>
            </w14:solidFill>
          </w14:textFill>
        </w:rPr>
        <w:t>NOTE: According to the degree of skin stimulation, it is further classified into scarring moxibustion</w:t>
      </w:r>
      <w:r>
        <w:rPr>
          <w:rFonts w:hint="default" w:ascii="Cambria" w:hAnsi="Cambria" w:cs="Cambria"/>
          <w:color w:val="000000" w:themeColor="text1"/>
          <w:sz w:val="21"/>
          <w:szCs w:val="21"/>
          <w:lang w:val="en-US" w:eastAsia="zh-CN"/>
          <w14:textFill>
            <w14:solidFill>
              <w14:schemeClr w14:val="tx1"/>
            </w14:solidFill>
          </w14:textFill>
        </w:rPr>
        <w:t xml:space="preserve"> </w:t>
      </w:r>
      <w:r>
        <w:rPr>
          <w:rFonts w:hint="default" w:ascii="Cambria" w:hAnsi="Cambria" w:cs="Cambria"/>
          <w:color w:val="000000" w:themeColor="text1"/>
          <w:sz w:val="21"/>
          <w:szCs w:val="21"/>
          <w14:textFill>
            <w14:solidFill>
              <w14:schemeClr w14:val="tx1"/>
            </w14:solidFill>
          </w14:textFill>
        </w:rPr>
        <w:t>(suppurative moxibustion) and</w:t>
      </w:r>
      <w:r>
        <w:rPr>
          <w:rFonts w:hint="default" w:ascii="Cambria" w:hAnsi="Cambria" w:cs="Cambria"/>
          <w:color w:val="000000" w:themeColor="text1"/>
          <w:sz w:val="21"/>
          <w:szCs w:val="21"/>
          <w:lang w:val="en-US" w:eastAsia="zh-CN"/>
          <w14:textFill>
            <w14:solidFill>
              <w14:schemeClr w14:val="tx1"/>
            </w14:solidFill>
          </w14:textFill>
        </w:rPr>
        <w:t xml:space="preserve"> </w:t>
      </w:r>
      <w:r>
        <w:rPr>
          <w:rFonts w:hint="default" w:ascii="Cambria" w:hAnsi="Cambria" w:cs="Cambria"/>
          <w:color w:val="000000" w:themeColor="text1"/>
          <w:sz w:val="21"/>
          <w:szCs w:val="21"/>
          <w14:textFill>
            <w14:solidFill>
              <w14:schemeClr w14:val="tx1"/>
            </w14:solidFill>
          </w14:textFill>
        </w:rPr>
        <w:t>non-scarring moxibustion (non-suppurative moxibustion).</w:t>
      </w:r>
    </w:p>
    <w:p w14:paraId="12B8FA53">
      <w:pPr>
        <w:tabs>
          <w:tab w:val="left" w:pos="360"/>
          <w:tab w:val="left" w:pos="540"/>
        </w:tabs>
        <w:spacing w:before="156" w:beforeLines="50" w:after="156" w:afterLines="50" w:line="276" w:lineRule="auto"/>
        <w:ind w:firstLine="0"/>
        <w:rPr>
          <w:rFonts w:hint="default" w:ascii="Cambria" w:hAnsi="Cambria" w:eastAsia="黑体" w:cs="Cambria"/>
          <w:b/>
          <w:bCs/>
          <w:sz w:val="24"/>
          <w:szCs w:val="24"/>
          <w:lang w:val="en-US" w:eastAsia="zh-CN"/>
        </w:rPr>
      </w:pPr>
      <w:r>
        <w:rPr>
          <w:rFonts w:hint="default" w:ascii="Cambria" w:hAnsi="Cambria" w:eastAsia="黑体" w:cs="Cambria"/>
          <w:b/>
          <w:bCs/>
          <w:sz w:val="24"/>
          <w:szCs w:val="24"/>
          <w:lang w:val="en-US" w:eastAsia="zh-CN"/>
        </w:rPr>
        <w:t>3.18</w:t>
      </w:r>
    </w:p>
    <w:p w14:paraId="6E950E04">
      <w:pPr>
        <w:spacing w:before="156" w:beforeLines="50" w:after="156" w:afterLines="50" w:line="276" w:lineRule="auto"/>
        <w:ind w:firstLine="420"/>
        <w:jc w:val="left"/>
        <w:rPr>
          <w:rFonts w:hint="default" w:ascii="Cambria" w:hAnsi="Cambria" w:eastAsia="黑体" w:cs="Cambria"/>
          <w:b/>
          <w:bCs/>
          <w:sz w:val="24"/>
          <w:szCs w:val="24"/>
        </w:rPr>
      </w:pPr>
      <w:r>
        <w:rPr>
          <w:rFonts w:hint="default" w:ascii="Cambria" w:hAnsi="Cambria" w:eastAsia="黑体" w:cs="Cambria"/>
          <w:b/>
          <w:bCs/>
          <w:sz w:val="24"/>
          <w:szCs w:val="24"/>
        </w:rPr>
        <w:t>indirect moxibustion</w:t>
      </w:r>
    </w:p>
    <w:p w14:paraId="17734EED">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 moxibustion method in</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which a layer of medicinal material is placed between the moxa cone and the skin.</w:t>
      </w:r>
    </w:p>
    <w:p w14:paraId="3312BA5C">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Note: According to the Chinese medicinal material used, indirect moxibustion is further divided into different types, such as ginger-partitioned moxibustion and garlic-partitioned moxibustion.</w:t>
      </w:r>
    </w:p>
    <w:p w14:paraId="529E29A5">
      <w:pPr>
        <w:tabs>
          <w:tab w:val="left" w:pos="360"/>
          <w:tab w:val="left" w:pos="540"/>
        </w:tabs>
        <w:spacing w:before="156" w:beforeLines="50" w:after="156" w:afterLines="50" w:line="276" w:lineRule="auto"/>
        <w:ind w:firstLine="0"/>
        <w:rPr>
          <w:rFonts w:hint="default" w:ascii="Cambria" w:hAnsi="Cambria" w:eastAsia="黑体" w:cs="Cambria"/>
          <w:b/>
          <w:bCs/>
          <w:sz w:val="24"/>
          <w:szCs w:val="24"/>
        </w:rPr>
      </w:pPr>
      <w:r>
        <w:rPr>
          <w:rFonts w:hint="default" w:ascii="Cambria" w:hAnsi="Cambria" w:eastAsia="黑体" w:cs="Cambria"/>
          <w:b/>
          <w:bCs/>
          <w:sz w:val="24"/>
          <w:szCs w:val="24"/>
        </w:rPr>
        <w:t>3.19</w:t>
      </w:r>
    </w:p>
    <w:p w14:paraId="235B7A21">
      <w:pPr>
        <w:spacing w:before="156" w:beforeLines="50" w:after="156" w:afterLines="50" w:line="276" w:lineRule="auto"/>
        <w:ind w:firstLine="420"/>
        <w:jc w:val="left"/>
        <w:rPr>
          <w:rFonts w:hint="default" w:ascii="Cambria" w:hAnsi="Cambria" w:eastAsia="黑体" w:cs="Cambria"/>
          <w:b/>
          <w:bCs/>
          <w:sz w:val="24"/>
          <w:szCs w:val="24"/>
        </w:rPr>
      </w:pPr>
      <w:r>
        <w:rPr>
          <w:rFonts w:hint="default" w:ascii="Cambria" w:hAnsi="Cambria" w:eastAsia="黑体" w:cs="Cambria"/>
          <w:b/>
          <w:bCs/>
          <w:sz w:val="24"/>
          <w:szCs w:val="24"/>
          <w:lang w:eastAsia="zh-CN"/>
        </w:rPr>
        <w:t>w</w:t>
      </w:r>
      <w:r>
        <w:rPr>
          <w:rFonts w:hint="default" w:ascii="Cambria" w:hAnsi="Cambria" w:eastAsia="黑体" w:cs="Cambria"/>
          <w:b/>
          <w:bCs/>
          <w:sz w:val="24"/>
          <w:szCs w:val="24"/>
        </w:rPr>
        <w:t>arm needling moxibustion</w:t>
      </w:r>
    </w:p>
    <w:p w14:paraId="278463AC">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 method in which moxa floss</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(moxa wool or a segment of a moxa stick)</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is placed on the handle of a filiform needle during needle retention for moxibustion, combining acupuncture with moxibustion.</w:t>
      </w:r>
    </w:p>
    <w:p w14:paraId="75C52362">
      <w:pPr>
        <w:tabs>
          <w:tab w:val="left" w:pos="360"/>
          <w:tab w:val="left" w:pos="540"/>
        </w:tabs>
        <w:spacing w:before="156" w:beforeLines="50" w:after="156" w:afterLines="50" w:line="276" w:lineRule="auto"/>
        <w:ind w:firstLine="0"/>
        <w:rPr>
          <w:rFonts w:hint="default" w:ascii="Cambria" w:hAnsi="Cambria" w:eastAsia="黑体" w:cs="Cambria"/>
          <w:b/>
          <w:bCs/>
          <w:sz w:val="24"/>
          <w:szCs w:val="24"/>
          <w:lang w:val="en-US" w:eastAsia="zh-CN"/>
        </w:rPr>
      </w:pPr>
      <w:r>
        <w:rPr>
          <w:rFonts w:hint="default" w:ascii="Cambria" w:hAnsi="Cambria" w:eastAsia="黑体" w:cs="Cambria"/>
          <w:b/>
          <w:bCs/>
          <w:sz w:val="24"/>
          <w:szCs w:val="24"/>
          <w:lang w:val="en-US" w:eastAsia="zh-CN"/>
        </w:rPr>
        <w:t>3.20</w:t>
      </w:r>
    </w:p>
    <w:p w14:paraId="241EA672">
      <w:pPr>
        <w:spacing w:before="156" w:beforeLines="50" w:after="156" w:afterLines="50" w:line="276" w:lineRule="auto"/>
        <w:ind w:firstLine="420"/>
        <w:jc w:val="left"/>
        <w:rPr>
          <w:rFonts w:hint="default" w:ascii="Cambria" w:hAnsi="Cambria" w:eastAsia="黑体" w:cs="Cambria"/>
          <w:b/>
          <w:bCs/>
          <w:sz w:val="24"/>
          <w:szCs w:val="24"/>
          <w:lang w:val="en-US" w:eastAsia="zh-CN"/>
        </w:rPr>
      </w:pPr>
      <w:r>
        <w:rPr>
          <w:rFonts w:hint="default" w:ascii="Cambria" w:hAnsi="Cambria" w:eastAsia="黑体" w:cs="Cambria"/>
          <w:b/>
          <w:bCs/>
          <w:sz w:val="24"/>
          <w:szCs w:val="24"/>
          <w:lang w:val="en-US" w:eastAsia="zh-CN"/>
        </w:rPr>
        <w:t>moxibustion with a moxibustion device</w:t>
      </w:r>
    </w:p>
    <w:p w14:paraId="0DAD5196">
      <w:pPr>
        <w:spacing w:line="276" w:lineRule="auto"/>
        <w:ind w:firstLine="420"/>
        <w:rPr>
          <w:rFonts w:hint="default" w:ascii="Cambria" w:hAnsi="Cambria" w:cs="Cambria"/>
          <w:color w:val="000000" w:themeColor="text1"/>
          <w:sz w:val="24"/>
          <w:szCs w:val="24"/>
          <w:lang w:val="en-US" w:eastAsia="zh-CN"/>
          <w14:textFill>
            <w14:solidFill>
              <w14:schemeClr w14:val="tx1"/>
            </w14:solidFill>
          </w14:textFill>
        </w:rPr>
      </w:pPr>
      <w:r>
        <w:rPr>
          <w:rFonts w:hint="default" w:ascii="Cambria" w:hAnsi="Cambria" w:cs="Cambria"/>
          <w:color w:val="000000" w:themeColor="text1"/>
          <w:sz w:val="24"/>
          <w:szCs w:val="24"/>
          <w:lang w:val="en-US" w:eastAsia="zh-CN"/>
          <w14:textFill>
            <w14:solidFill>
              <w14:schemeClr w14:val="tx1"/>
            </w14:solidFill>
          </w14:textFill>
        </w:rPr>
        <w:t>A method of moxibustion performed by using special devices designed for moxibustion, such as a moxibustion stand, moxibustion cylinder, or moxibustion box.</w:t>
      </w:r>
    </w:p>
    <w:p w14:paraId="0FAD0C05">
      <w:pPr>
        <w:tabs>
          <w:tab w:val="left" w:pos="360"/>
          <w:tab w:val="left" w:pos="540"/>
        </w:tabs>
        <w:spacing w:before="156" w:beforeLines="50" w:after="156" w:afterLines="50" w:line="276" w:lineRule="auto"/>
        <w:ind w:left="0" w:leftChars="0" w:firstLine="0" w:firstLineChars="0"/>
        <w:rPr>
          <w:rFonts w:hint="default" w:ascii="Cambria" w:hAnsi="Cambria" w:eastAsia="黑体" w:cs="Cambria"/>
          <w:b/>
          <w:bCs/>
          <w:sz w:val="24"/>
          <w:szCs w:val="24"/>
        </w:rPr>
      </w:pPr>
      <w:r>
        <w:rPr>
          <w:rFonts w:hint="default" w:ascii="Cambria" w:hAnsi="Cambria" w:eastAsia="黑体" w:cs="Cambria"/>
          <w:b/>
          <w:bCs/>
          <w:sz w:val="24"/>
          <w:szCs w:val="24"/>
        </w:rPr>
        <w:t>3.21</w:t>
      </w:r>
    </w:p>
    <w:p w14:paraId="7F2E966D">
      <w:pPr>
        <w:spacing w:before="156" w:beforeLines="50" w:after="156" w:afterLines="50" w:line="276" w:lineRule="auto"/>
        <w:ind w:left="0" w:leftChars="0" w:firstLine="420" w:firstLineChars="0"/>
        <w:jc w:val="left"/>
        <w:rPr>
          <w:rFonts w:hint="default" w:ascii="Cambria" w:hAnsi="Cambria" w:eastAsia="黑体" w:cs="Cambria"/>
          <w:b/>
          <w:bCs/>
          <w:sz w:val="24"/>
          <w:szCs w:val="24"/>
        </w:rPr>
      </w:pPr>
      <w:r>
        <w:rPr>
          <w:rFonts w:hint="default" w:ascii="Cambria" w:hAnsi="Cambria" w:eastAsia="黑体" w:cs="Cambria"/>
          <w:b/>
          <w:bCs/>
          <w:sz w:val="24"/>
          <w:szCs w:val="24"/>
          <w:lang w:eastAsia="zh-CN"/>
        </w:rPr>
        <w:t>f</w:t>
      </w:r>
      <w:r>
        <w:rPr>
          <w:rFonts w:hint="default" w:ascii="Cambria" w:hAnsi="Cambria" w:eastAsia="黑体" w:cs="Cambria"/>
          <w:b/>
          <w:bCs/>
          <w:sz w:val="24"/>
          <w:szCs w:val="24"/>
        </w:rPr>
        <w:t>ainting during moxibustion</w:t>
      </w:r>
    </w:p>
    <w:p w14:paraId="2F3CC227">
      <w:pPr>
        <w:spacing w:line="276" w:lineRule="auto"/>
        <w:ind w:left="0" w:leftChars="0" w:firstLine="420" w:firstLineChars="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 syncope reaction occurring in a patient during moxibustion treatment.</w:t>
      </w:r>
    </w:p>
    <w:p w14:paraId="7B0490C7">
      <w:pPr>
        <w:spacing w:line="276" w:lineRule="auto"/>
        <w:ind w:left="0" w:leftChars="0" w:firstLine="420" w:firstLineChars="0"/>
        <w:rPr>
          <w:rFonts w:hint="default" w:ascii="Cambria" w:hAnsi="Cambria" w:cs="Cambria"/>
          <w:color w:val="000000" w:themeColor="text1"/>
          <w:sz w:val="21"/>
          <w:szCs w:val="21"/>
          <w14:textFill>
            <w14:solidFill>
              <w14:schemeClr w14:val="tx1"/>
            </w14:solidFill>
          </w14:textFill>
        </w:rPr>
      </w:pPr>
      <w:r>
        <w:rPr>
          <w:rFonts w:hint="default" w:ascii="Cambria" w:hAnsi="Cambria" w:cs="Cambria"/>
          <w:color w:val="000000" w:themeColor="text1"/>
          <w:sz w:val="21"/>
          <w:szCs w:val="21"/>
          <w14:textFill>
            <w14:solidFill>
              <w14:schemeClr w14:val="tx1"/>
            </w14:solidFill>
          </w14:textFill>
        </w:rPr>
        <w:t>Note:</w:t>
      </w:r>
      <w:r>
        <w:rPr>
          <w:rFonts w:hint="default" w:ascii="Cambria" w:hAnsi="Cambria" w:cs="Cambria"/>
          <w:color w:val="000000" w:themeColor="text1"/>
          <w:sz w:val="21"/>
          <w:szCs w:val="21"/>
          <w:lang w:val="en-US" w:eastAsia="zh-CN"/>
          <w14:textFill>
            <w14:solidFill>
              <w14:schemeClr w14:val="tx1"/>
            </w14:solidFill>
          </w14:textFill>
        </w:rPr>
        <w:t xml:space="preserve"> </w:t>
      </w:r>
      <w:r>
        <w:rPr>
          <w:rFonts w:hint="default" w:ascii="Cambria" w:hAnsi="Cambria" w:cs="Cambria"/>
          <w:color w:val="000000" w:themeColor="text1"/>
          <w:sz w:val="21"/>
          <w:szCs w:val="21"/>
          <w14:textFill>
            <w14:solidFill>
              <w14:schemeClr w14:val="tx1"/>
            </w14:solidFill>
          </w14:textFill>
        </w:rPr>
        <w:t>Fainting during moxibustion commonly manifests as sudden dizziness, pale complexion, nausea and vomiting, sweating, palpitations, cold limbs and decreased blood pressure. In severe cases, symptoms may include unconsciousness, collapse, cyanosis of the lips and nails, urinary and fecal incontinence, profuse sweating, cold extremities and a faint pulse on the verge of collapse.</w:t>
      </w:r>
    </w:p>
    <w:p w14:paraId="660D72B8">
      <w:pPr>
        <w:spacing w:before="312" w:beforeLines="100" w:after="312" w:afterLines="100" w:line="276" w:lineRule="auto"/>
        <w:outlineLvl w:val="0"/>
        <w:rPr>
          <w:rFonts w:ascii="Cambria" w:hAnsi="Cambria" w:eastAsia="宋体" w:cs="Cambria"/>
          <w:b/>
          <w:bCs/>
          <w:sz w:val="24"/>
          <w:szCs w:val="24"/>
        </w:rPr>
      </w:pPr>
      <w:bookmarkStart w:id="166" w:name="_Toc29719"/>
      <w:bookmarkStart w:id="167" w:name="_Toc18486"/>
      <w:r>
        <w:rPr>
          <w:rFonts w:ascii="Cambria" w:hAnsi="Cambria" w:eastAsia="宋体" w:cs="Cambria"/>
          <w:b/>
          <w:bCs/>
          <w:sz w:val="24"/>
          <w:szCs w:val="24"/>
        </w:rPr>
        <w:t>4</w:t>
      </w:r>
      <w:r>
        <w:rPr>
          <w:rFonts w:hint="default" w:ascii="Cambria" w:hAnsi="Cambria" w:eastAsia="宋体" w:cs="Cambria"/>
          <w:b/>
          <w:bCs/>
          <w:sz w:val="24"/>
          <w:szCs w:val="24"/>
        </w:rPr>
        <w:t> Procedure Steps and Requirements for Pediatric Filiform Needle Therapy</w:t>
      </w:r>
      <w:bookmarkEnd w:id="166"/>
      <w:bookmarkEnd w:id="167"/>
    </w:p>
    <w:p w14:paraId="49529095">
      <w:pPr>
        <w:tabs>
          <w:tab w:val="left" w:pos="360"/>
          <w:tab w:val="left" w:pos="540"/>
        </w:tabs>
        <w:spacing w:before="156" w:beforeLines="50" w:after="156" w:afterLines="50" w:line="276" w:lineRule="auto"/>
        <w:outlineLvl w:val="1"/>
        <w:rPr>
          <w:rFonts w:hint="default" w:ascii="Cambria" w:hAnsi="Cambria" w:eastAsia="黑体" w:cs="Cambria"/>
          <w:b/>
          <w:bCs/>
          <w:sz w:val="24"/>
          <w:szCs w:val="24"/>
        </w:rPr>
      </w:pPr>
      <w:bookmarkStart w:id="168" w:name="_Toc10862"/>
      <w:bookmarkStart w:id="169" w:name="_Toc12206"/>
      <w:r>
        <w:rPr>
          <w:rFonts w:hint="default" w:ascii="Cambria" w:hAnsi="Cambria" w:eastAsia="黑体" w:cs="Cambria"/>
          <w:b/>
          <w:bCs/>
          <w:sz w:val="24"/>
          <w:szCs w:val="24"/>
        </w:rPr>
        <w:t>4.1 Preparation before treatment</w:t>
      </w:r>
      <w:bookmarkEnd w:id="168"/>
      <w:bookmarkEnd w:id="169"/>
    </w:p>
    <w:p w14:paraId="30404CC1">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4.1.1 Selection of needles</w:t>
      </w:r>
    </w:p>
    <w:p w14:paraId="0B9D7239">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 xml:space="preserve">Select sterile, single-use filiform needles of appropriate specifications based on the child patient's age, disease condition, and the treatment site. The needle body shall be smooth and free from corrosion; the needle tip shall be centered and aligned, with a tip that is rounded within sharp edges, of appropriate sharpness with minimal insertion resistance, and free from barbs or hooks; the needle root shall be free from scratches or defects; the needle handle wrapping shall be secure and not subject to loosening or detachment. Common specifications of filiform needles are provided in </w:t>
      </w:r>
      <w:r>
        <w:rPr>
          <w:rFonts w:hint="default" w:ascii="Cambria" w:hAnsi="Cambria" w:cs="Cambria"/>
          <w:color w:val="000000" w:themeColor="text1"/>
          <w:sz w:val="24"/>
          <w:szCs w:val="24"/>
          <w:lang w:eastAsia="zh-CN"/>
          <w14:textFill>
            <w14:solidFill>
              <w14:schemeClr w14:val="tx1"/>
            </w14:solidFill>
          </w14:textFill>
        </w:rPr>
        <w:t>Annex</w:t>
      </w:r>
      <w:r>
        <w:rPr>
          <w:rFonts w:hint="default" w:ascii="Cambria" w:hAnsi="Cambria" w:cs="Cambria"/>
          <w:color w:val="000000" w:themeColor="text1"/>
          <w:sz w:val="24"/>
          <w:szCs w:val="24"/>
          <w14:textFill>
            <w14:solidFill>
              <w14:schemeClr w14:val="tx1"/>
            </w14:solidFill>
          </w14:textFill>
        </w:rPr>
        <w:t xml:space="preserve"> A.</w:t>
      </w:r>
    </w:p>
    <w:p w14:paraId="395EDDEF">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4.1.2 Disinfection</w:t>
      </w:r>
    </w:p>
    <w:p w14:paraId="2028AA56">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4.1.2.1 Needle instruments</w:t>
      </w:r>
    </w:p>
    <w:p w14:paraId="7E5FA5D4">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Use sterile, single-use filiform needles.</w:t>
      </w:r>
    </w:p>
    <w:p w14:paraId="1A7A3730">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4.1.2.2 Treatment site</w:t>
      </w:r>
    </w:p>
    <w:p w14:paraId="7ABCE0D5">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Using cotton balls or cotton swabs saturated with 75% ethanol or 0.5% to 1% iodophor solution, wipe the treatment site with circular motions from the center outward.</w:t>
      </w:r>
    </w:p>
    <w:p w14:paraId="782F93FA">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4.1.2.3 Practitioner</w:t>
      </w:r>
    </w:p>
    <w:p w14:paraId="5AE8373A">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The practitioner's hands should be washed with soap and water, rinsed thoroughly with clean water, and then wiped with a 75% ethanol cotton ball.</w:t>
      </w:r>
    </w:p>
    <w:p w14:paraId="0A45A703">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 xml:space="preserve">4.1.3 Treatment </w:t>
      </w:r>
      <w:r>
        <w:rPr>
          <w:rFonts w:hint="default" w:ascii="Cambria" w:hAnsi="Cambria" w:eastAsia="黑体" w:cs="Cambria"/>
          <w:bCs/>
          <w:sz w:val="24"/>
          <w:szCs w:val="24"/>
          <w:lang w:val="en-US" w:eastAsia="zh-CN"/>
        </w:rPr>
        <w:t>e</w:t>
      </w:r>
      <w:r>
        <w:rPr>
          <w:rFonts w:hint="default" w:ascii="Cambria" w:hAnsi="Cambria" w:eastAsia="黑体" w:cs="Cambria"/>
          <w:bCs/>
          <w:sz w:val="24"/>
          <w:szCs w:val="24"/>
          <w:lang w:val="en-US"/>
        </w:rPr>
        <w:t>nvironment</w:t>
      </w:r>
    </w:p>
    <w:p w14:paraId="0592E6B2">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The treatment room shall be clean, quiet, well-lit, with appropriate temperature, and protected from drafts and cold exposure.</w:t>
      </w:r>
    </w:p>
    <w:p w14:paraId="61D94663">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 xml:space="preserve">4.1.4 Body </w:t>
      </w:r>
      <w:r>
        <w:rPr>
          <w:rFonts w:hint="default" w:ascii="Cambria" w:hAnsi="Cambria" w:eastAsia="黑体" w:cs="Cambria"/>
          <w:bCs/>
          <w:sz w:val="24"/>
          <w:szCs w:val="24"/>
          <w:lang w:val="en-US" w:eastAsia="zh-CN"/>
        </w:rPr>
        <w:t>p</w:t>
      </w:r>
      <w:r>
        <w:rPr>
          <w:rFonts w:hint="default" w:ascii="Cambria" w:hAnsi="Cambria" w:eastAsia="黑体" w:cs="Cambria"/>
          <w:bCs/>
          <w:sz w:val="24"/>
          <w:szCs w:val="24"/>
          <w:lang w:val="en-US"/>
        </w:rPr>
        <w:t>osition</w:t>
      </w:r>
    </w:p>
    <w:p w14:paraId="020DC564">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The selection of body position for the child patient during needling shall follow the principle that the practitioner can correctly locate acupoints, perform the procedure conveniently, and the child patient experiences comfort during needle retention and manipulation. Common body positions for child patients are supine and seated positions.</w:t>
      </w:r>
    </w:p>
    <w:p w14:paraId="308A5B49">
      <w:pPr>
        <w:pStyle w:val="13"/>
        <w:snapToGrid w:val="0"/>
        <w:spacing w:before="156" w:beforeLines="50" w:after="156" w:afterLines="50" w:line="276" w:lineRule="auto"/>
        <w:jc w:val="left"/>
        <w:outlineLvl w:val="9"/>
        <w:rPr>
          <w:rFonts w:hint="default" w:ascii="Cambria" w:hAnsi="Cambria" w:eastAsia="黑体" w:cs="Cambria"/>
          <w:bCs/>
          <w:sz w:val="24"/>
          <w:szCs w:val="24"/>
          <w:lang w:val="en-US" w:eastAsia="zh-CN"/>
        </w:rPr>
      </w:pPr>
      <w:r>
        <w:rPr>
          <w:rFonts w:hint="default" w:ascii="Cambria" w:hAnsi="Cambria" w:eastAsia="黑体" w:cs="Cambria"/>
          <w:bCs/>
          <w:sz w:val="24"/>
          <w:szCs w:val="24"/>
          <w:lang w:val="en-US" w:eastAsia="zh-CN"/>
        </w:rPr>
        <w:t>4.1.5 Acupoints</w:t>
      </w:r>
    </w:p>
    <w:p w14:paraId="1D322290">
      <w:pPr>
        <w:spacing w:line="276" w:lineRule="auto"/>
        <w:ind w:firstLine="420"/>
        <w:rPr>
          <w:rFonts w:hint="default" w:ascii="Cambria" w:hAnsi="Cambria" w:cs="Cambria"/>
          <w:color w:val="000000" w:themeColor="text1"/>
          <w:sz w:val="24"/>
          <w:szCs w:val="24"/>
          <w:lang w:eastAsia="zh-CN"/>
          <w14:textFill>
            <w14:solidFill>
              <w14:schemeClr w14:val="tx1"/>
            </w14:solidFill>
          </w14:textFill>
        </w:rPr>
      </w:pPr>
      <w:r>
        <w:rPr>
          <w:rFonts w:hint="default" w:ascii="Cambria" w:hAnsi="Cambria" w:cs="Cambria"/>
          <w:color w:val="000000" w:themeColor="text1"/>
          <w:sz w:val="24"/>
          <w:szCs w:val="24"/>
          <w:lang w:eastAsia="zh-CN"/>
          <w14:textFill>
            <w14:solidFill>
              <w14:schemeClr w14:val="tx1"/>
            </w14:solidFill>
          </w14:textFill>
        </w:rPr>
        <w:t>Select appropriate acupoints or treatment areas according to the condition. Acupoint location shall comply with the provisions of WHO Standard Acupuncture Point Locations, GB/T 12346, and GB/T 40997.</w:t>
      </w:r>
    </w:p>
    <w:p w14:paraId="27C70755">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4.1.6 Preoperative care</w:t>
      </w:r>
    </w:p>
    <w:p w14:paraId="04DBB36A">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 Prepare the acupuncture instruments and bring them to the child patient</w:t>
      </w:r>
      <w:r>
        <w:rPr>
          <w:rFonts w:hint="default" w:ascii="Cambria" w:hAnsi="Cambria" w:cs="Cambria"/>
          <w:color w:val="000000" w:themeColor="text1"/>
          <w:sz w:val="24"/>
          <w:szCs w:val="24"/>
          <w:lang w:val="en-US" w:eastAsia="zh-CN"/>
          <w14:textFill>
            <w14:solidFill>
              <w14:schemeClr w14:val="tx1"/>
            </w14:solidFill>
          </w14:textFill>
        </w:rPr>
        <w:t>’</w:t>
      </w:r>
      <w:r>
        <w:rPr>
          <w:rFonts w:hint="default" w:ascii="Cambria" w:hAnsi="Cambria" w:cs="Cambria"/>
          <w:color w:val="000000" w:themeColor="text1"/>
          <w:sz w:val="24"/>
          <w:szCs w:val="24"/>
          <w14:textFill>
            <w14:solidFill>
              <w14:schemeClr w14:val="tx1"/>
            </w14:solidFill>
          </w14:textFill>
        </w:rPr>
        <w:t>s bedside.</w:t>
      </w:r>
    </w:p>
    <w:p w14:paraId="48A00A91">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b) For children aged 3 years and above, provide psychological nursing care, explain the significance of the treatment and the matters requiring attention, give reassurance and encouragement, relieve the child</w:t>
      </w:r>
      <w:r>
        <w:rPr>
          <w:rFonts w:hint="default" w:ascii="Cambria" w:hAnsi="Cambria" w:cs="Cambria"/>
          <w:color w:val="000000" w:themeColor="text1"/>
          <w:sz w:val="24"/>
          <w:szCs w:val="24"/>
          <w:lang w:val="en-US" w:eastAsia="zh-CN"/>
          <w14:textFill>
            <w14:solidFill>
              <w14:schemeClr w14:val="tx1"/>
            </w14:solidFill>
          </w14:textFill>
        </w:rPr>
        <w:t>’</w:t>
      </w:r>
      <w:r>
        <w:rPr>
          <w:rFonts w:hint="default" w:ascii="Cambria" w:hAnsi="Cambria" w:cs="Cambria"/>
          <w:color w:val="000000" w:themeColor="text1"/>
          <w:sz w:val="24"/>
          <w:szCs w:val="24"/>
          <w14:textFill>
            <w14:solidFill>
              <w14:schemeClr w14:val="tx1"/>
            </w14:solidFill>
          </w14:textFill>
        </w:rPr>
        <w:t>s tension and fear, and enable both the child and the parents to actively cooperate with the procedure.</w:t>
      </w:r>
    </w:p>
    <w:p w14:paraId="4BE8E9F2">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c) For uncooperative children under 3 years of age</w:t>
      </w:r>
      <w:r>
        <w:rPr>
          <w:rFonts w:hint="default" w:ascii="Cambria" w:hAnsi="Cambria" w:cs="Cambria"/>
          <w:color w:val="000000" w:themeColor="text1"/>
          <w:sz w:val="24"/>
          <w:szCs w:val="24"/>
          <w:lang w:val="en-US" w:eastAsia="zh-CN"/>
          <w14:textFill>
            <w14:solidFill>
              <w14:schemeClr w14:val="tx1"/>
            </w14:solidFill>
          </w14:textFill>
        </w:rPr>
        <w:t>,</w:t>
      </w:r>
      <w:r>
        <w:rPr>
          <w:rFonts w:hint="default" w:ascii="Cambria" w:hAnsi="Cambria" w:cs="Cambria"/>
          <w:color w:val="000000" w:themeColor="text1"/>
          <w:sz w:val="24"/>
          <w:szCs w:val="24"/>
          <w14:textFill>
            <w14:solidFill>
              <w14:schemeClr w14:val="tx1"/>
            </w14:solidFill>
          </w14:textFill>
        </w:rPr>
        <w:t xml:space="preserve"> the parents may assist by holding and securing the child in a suitable position.</w:t>
      </w:r>
    </w:p>
    <w:p w14:paraId="7F1B252E">
      <w:pPr>
        <w:tabs>
          <w:tab w:val="left" w:pos="360"/>
          <w:tab w:val="left" w:pos="540"/>
        </w:tabs>
        <w:spacing w:before="156" w:beforeLines="50" w:after="156" w:afterLines="50" w:line="276" w:lineRule="auto"/>
        <w:ind w:firstLine="0"/>
        <w:outlineLvl w:val="1"/>
        <w:rPr>
          <w:rFonts w:hint="default" w:ascii="Cambria" w:hAnsi="Cambria" w:eastAsia="黑体" w:cs="Cambria"/>
          <w:b/>
          <w:bCs/>
          <w:sz w:val="24"/>
          <w:szCs w:val="24"/>
        </w:rPr>
      </w:pPr>
      <w:bookmarkStart w:id="170" w:name="_Toc7970"/>
      <w:bookmarkStart w:id="171" w:name="_Toc10655"/>
      <w:r>
        <w:rPr>
          <w:rFonts w:hint="default" w:ascii="Cambria" w:hAnsi="Cambria" w:eastAsia="黑体" w:cs="Cambria"/>
          <w:b/>
          <w:bCs/>
          <w:sz w:val="24"/>
          <w:szCs w:val="24"/>
        </w:rPr>
        <w:t>4.2 Manipulation methods</w:t>
      </w:r>
      <w:bookmarkEnd w:id="170"/>
      <w:bookmarkEnd w:id="171"/>
    </w:p>
    <w:p w14:paraId="08B0D2E3">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4.2.1 Puncturing methods</w:t>
      </w:r>
    </w:p>
    <w:p w14:paraId="2789FCB7">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The manipulation for children should be gentle, and the insertion should be shallow. In clinical practice, puncturing techniques should be flexibly selected based on the anatomical characteristics of the acupoint site, the depth of insertion, and the specific manipulation features, with the goals of facilitating insertion, easily obtaining </w:t>
      </w:r>
      <w:r>
        <w:rPr>
          <w:rFonts w:hint="default" w:ascii="Cambria" w:hAnsi="Cambria" w:cs="Cambria"/>
          <w:i/>
          <w:iCs/>
          <w:color w:val="000000" w:themeColor="text1"/>
          <w:sz w:val="24"/>
          <w:szCs w:val="24"/>
          <w14:textFill>
            <w14:solidFill>
              <w14:schemeClr w14:val="tx1"/>
            </w14:solidFill>
          </w14:textFill>
        </w:rPr>
        <w:t>deqi</w:t>
      </w:r>
      <w:r>
        <w:rPr>
          <w:rFonts w:hint="default" w:ascii="Cambria" w:hAnsi="Cambria" w:cs="Cambria"/>
          <w:color w:val="000000" w:themeColor="text1"/>
          <w:sz w:val="24"/>
          <w:szCs w:val="24"/>
          <w14:textFill>
            <w14:solidFill>
              <w14:schemeClr w14:val="tx1"/>
            </w14:solidFill>
          </w14:textFill>
        </w:rPr>
        <w:t>, and avoiding pain.</w:t>
      </w:r>
    </w:p>
    <w:p w14:paraId="76A1CBC3">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4.2.1.1 Single-hand puncturing method</w:t>
      </w:r>
    </w:p>
    <w:p w14:paraId="242362D2">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The practitioner holds the filiform needle with the thumb and index finger of the right hand, with the tip of the middle finger close to the acupoint and the finger pad supporting the middle of the needle body. Press down with the thumb and index finger while the middle finger flexes accordingly, inserting the needle to an appropriate depth into the acupoint. This method is mostly used for short filiform needles.</w:t>
      </w:r>
    </w:p>
    <w:p w14:paraId="6B981D9A">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4.2.1.2 Bimanual puncturing method</w:t>
      </w:r>
    </w:p>
    <w:p w14:paraId="27042C7C">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4.2.1.2.1 Finger-nail pressing insertion</w:t>
      </w:r>
    </w:p>
    <w:p w14:paraId="49D58D5A">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The practitioner presses the nail of the disinfected thumb or index finger of the left hand onto the acupoint site. Holding the needle with the right hand, the practitioner inserts it into the acupoint to an appropriate depth, closely against the nail of the left hand. This method is suitable for short needles. Note that a slight twirling motion should be applied during insertion so that the needle enters with a single twirl to minimize pain.</w:t>
      </w:r>
    </w:p>
    <w:p w14:paraId="095AD7CE">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4.2.1.2.2 Pinch-hold needle insertion method</w:t>
      </w:r>
    </w:p>
    <w:p w14:paraId="23F71977">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The practitioner uses the disinfected left thumb and index finger to hold the lower part of the needle body, about 1</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cm from the needle tip, while the right thumb and index finger hold the needle handle. The two hands then work together to insert the needle into the dermal layer of the acupoint, after which the right hand twists the needle handle to insert the needle to an appropriate depth. This method is suitable for insertion of long filiform needles.</w:t>
      </w:r>
    </w:p>
    <w:p w14:paraId="32DB7FDE">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4.2.1.2.3 Skin-stretching insertion method</w:t>
      </w:r>
    </w:p>
    <w:p w14:paraId="108A6872">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The practitioner stretches the skin of the acupoint site with the index and middle fingers (or thumb and middle finger) of the supporting hand, while the </w:t>
      </w:r>
      <w:r>
        <w:rPr>
          <w:rFonts w:hint="default" w:ascii="Cambria" w:hAnsi="Cambria" w:cs="Cambria"/>
          <w:color w:val="000000" w:themeColor="text1"/>
          <w:sz w:val="24"/>
          <w:szCs w:val="24"/>
          <w:lang w:eastAsia="zh-CN"/>
          <w14:textFill>
            <w14:solidFill>
              <w14:schemeClr w14:val="tx1"/>
            </w14:solidFill>
          </w14:textFill>
        </w:rPr>
        <w:t>needling hand</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inserts the needle. This is used for sites with loose skin.</w:t>
      </w:r>
    </w:p>
    <w:p w14:paraId="5D75BAD8">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4.2.1.2.4 Skin-lifting and pinching insertion method</w:t>
      </w:r>
    </w:p>
    <w:p w14:paraId="4C9CDD56">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The practitioner pinches the skin on both sides of the acupoint with the thumb and index finger of the supporting hand, while the needling hand inserts the needle into the pinched acupoint. This is used for sites with thin skin and muscle.</w:t>
      </w:r>
    </w:p>
    <w:p w14:paraId="5553F6DB">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4.2.1.</w:t>
      </w:r>
      <w:r>
        <w:rPr>
          <w:rFonts w:hint="default" w:ascii="Cambria" w:hAnsi="Cambria" w:eastAsia="黑体" w:cs="Cambria"/>
          <w:b/>
          <w:bCs/>
          <w:sz w:val="24"/>
          <w:szCs w:val="24"/>
          <w:lang w:val="en-US" w:eastAsia="zh-CN"/>
        </w:rPr>
        <w:t>3</w:t>
      </w:r>
      <w:r>
        <w:rPr>
          <w:rFonts w:hint="default" w:ascii="Cambria" w:hAnsi="Cambria" w:eastAsia="黑体" w:cs="Cambria"/>
          <w:b/>
          <w:bCs/>
          <w:sz w:val="24"/>
          <w:szCs w:val="24"/>
          <w:lang w:val="en-US"/>
        </w:rPr>
        <w:t xml:space="preserve"> Tube insertion method</w:t>
      </w:r>
    </w:p>
    <w:p w14:paraId="0ED59422">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The needle is first placed into a small tube (made of glass, plastic, or metal) that is 7.5 mm</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(3</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fen)</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shorter than the needle, touching the skin surface of the acupoint. The supporting hand holds the tube firmly, while the index finger of the </w:t>
      </w:r>
      <w:r>
        <w:rPr>
          <w:rFonts w:hint="default" w:ascii="Cambria" w:hAnsi="Cambria" w:cs="Cambria"/>
          <w:color w:val="000000" w:themeColor="text1"/>
          <w:sz w:val="24"/>
          <w:szCs w:val="24"/>
          <w:lang w:eastAsia="zh-CN"/>
          <w14:textFill>
            <w14:solidFill>
              <w14:schemeClr w14:val="tx1"/>
            </w14:solidFill>
          </w14:textFill>
        </w:rPr>
        <w:t>needling hand</w:t>
      </w:r>
      <w:r>
        <w:rPr>
          <w:rFonts w:hint="default" w:ascii="Cambria" w:hAnsi="Cambria" w:cs="Cambria"/>
          <w:color w:val="000000" w:themeColor="text1"/>
          <w:sz w:val="24"/>
          <w:szCs w:val="24"/>
          <w14:textFill>
            <w14:solidFill>
              <w14:schemeClr w14:val="tx1"/>
            </w14:solidFill>
          </w14:textFill>
        </w:rPr>
        <w:t> taps the needle tail to rapidly insert the tip into the skin. Then, the tube is removed, and the needle is further inserted to the required depth. This method involves minimal pain and is highly suitable for children.</w:t>
      </w:r>
    </w:p>
    <w:p w14:paraId="33A64351">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eastAsia="zh-CN"/>
        </w:rPr>
      </w:pPr>
      <w:r>
        <w:rPr>
          <w:rFonts w:hint="default" w:ascii="Cambria" w:hAnsi="Cambria" w:eastAsia="黑体" w:cs="Cambria"/>
          <w:b/>
          <w:bCs/>
          <w:sz w:val="24"/>
          <w:szCs w:val="24"/>
          <w:lang w:val="en-US" w:eastAsia="zh-CN"/>
        </w:rPr>
        <w:t>4.2.2 angle of needle insertion</w:t>
      </w:r>
    </w:p>
    <w:p w14:paraId="7B5870B2">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4.2.2.1 Perpendicular insertion</w:t>
      </w:r>
    </w:p>
    <w:p w14:paraId="61544E5B">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Insert the needle vertically, forming an angle of approximately 90</w:t>
      </w:r>
      <w:r>
        <w:rPr>
          <w:rFonts w:hint="default" w:ascii="Cambria" w:hAnsi="Cambria" w:cs="Cambria"/>
          <w:color w:val="000000" w:themeColor="text1"/>
          <w:sz w:val="24"/>
          <w:szCs w:val="24"/>
          <w:lang w:eastAsia="zh-CN"/>
          <w14:textFill>
            <w14:solidFill>
              <w14:schemeClr w14:val="tx1"/>
            </w14:solidFill>
          </w14:textFill>
        </w:rPr>
        <w:t>°</w:t>
      </w:r>
      <w:r>
        <w:rPr>
          <w:rFonts w:hint="default" w:ascii="Cambria" w:hAnsi="Cambria" w:cs="Cambria"/>
          <w:color w:val="000000" w:themeColor="text1"/>
          <w:sz w:val="24"/>
          <w:szCs w:val="24"/>
          <w14:textFill>
            <w14:solidFill>
              <w14:schemeClr w14:val="tx1"/>
            </w14:solidFill>
          </w14:textFill>
        </w:rPr>
        <w:t> with the skin surface. This method is suitable for most acupoints and can be used for both shallow and deep insertion.</w:t>
      </w:r>
    </w:p>
    <w:p w14:paraId="4DE9B259">
      <w:pPr>
        <w:pStyle w:val="13"/>
        <w:snapToGrid w:val="0"/>
        <w:spacing w:before="156" w:beforeLines="50" w:after="156" w:afterLines="50" w:line="276" w:lineRule="auto"/>
        <w:ind w:firstLineChars="0"/>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4.2.2.2</w:t>
      </w:r>
      <w:r>
        <w:rPr>
          <w:rFonts w:hint="default" w:ascii="Cambria" w:hAnsi="Cambria" w:eastAsia="黑体" w:cs="Cambria"/>
          <w:b/>
          <w:bCs/>
          <w:sz w:val="24"/>
          <w:szCs w:val="24"/>
          <w:lang w:val="en-US" w:eastAsia="zh-CN"/>
        </w:rPr>
        <w:t xml:space="preserve"> </w:t>
      </w:r>
      <w:r>
        <w:rPr>
          <w:rFonts w:hint="default" w:ascii="Cambria" w:hAnsi="Cambria" w:eastAsia="黑体" w:cs="Cambria"/>
          <w:b/>
          <w:bCs/>
          <w:sz w:val="24"/>
          <w:szCs w:val="24"/>
          <w:lang w:val="en-US"/>
        </w:rPr>
        <w:t>Oblique</w:t>
      </w:r>
      <w:r>
        <w:rPr>
          <w:rFonts w:hint="default" w:ascii="Cambria" w:hAnsi="Cambria" w:eastAsia="黑体" w:cs="Cambria"/>
          <w:b/>
          <w:bCs/>
          <w:sz w:val="24"/>
          <w:szCs w:val="24"/>
          <w:lang w:val="en-US" w:eastAsia="zh-CN"/>
        </w:rPr>
        <w:t xml:space="preserve"> </w:t>
      </w:r>
      <w:r>
        <w:rPr>
          <w:rFonts w:hint="default" w:ascii="Cambria" w:hAnsi="Cambria" w:eastAsia="黑体" w:cs="Cambria"/>
          <w:b/>
          <w:bCs/>
          <w:sz w:val="24"/>
          <w:szCs w:val="24"/>
          <w:lang w:val="en-US"/>
        </w:rPr>
        <w:t>puncturing</w:t>
      </w:r>
    </w:p>
    <w:p w14:paraId="1A1A2382">
      <w:pPr>
        <w:spacing w:line="276" w:lineRule="auto"/>
        <w:ind w:left="0" w:leftChars="0" w:firstLine="480" w:firstLineChars="20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Insert the needle at an inclination of approximately 45</w:t>
      </w:r>
      <w:r>
        <w:rPr>
          <w:rFonts w:hint="default" w:ascii="Cambria" w:hAnsi="Cambria" w:cs="Cambria"/>
          <w:color w:val="000000" w:themeColor="text1"/>
          <w:sz w:val="24"/>
          <w:szCs w:val="24"/>
          <w:lang w:val="en-US" w:eastAsia="zh-CN"/>
          <w14:textFill>
            <w14:solidFill>
              <w14:schemeClr w14:val="tx1"/>
            </w14:solidFill>
          </w14:textFill>
        </w:rPr>
        <w:t>°</w:t>
      </w:r>
      <w:r>
        <w:rPr>
          <w:rFonts w:hint="default" w:ascii="Cambria" w:hAnsi="Cambria" w:cs="Cambria"/>
          <w:color w:val="000000" w:themeColor="text1"/>
          <w:sz w:val="24"/>
          <w:szCs w:val="24"/>
          <w14:textFill>
            <w14:solidFill>
              <w14:schemeClr w14:val="tx1"/>
            </w14:solidFill>
          </w14:textFill>
        </w:rPr>
        <w:t> to the skin surface. This method is suitable for sites where the muscle layer is thin, or for acupoints located over vital organs or joints.</w:t>
      </w:r>
    </w:p>
    <w:p w14:paraId="3A7541F8">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4.2.2.3 Horizontal insertion</w:t>
      </w:r>
    </w:p>
    <w:p w14:paraId="07D31665">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Also known as transverse puncturing. Insert the needle at an angle of approximately 15</w:t>
      </w:r>
      <w:r>
        <w:rPr>
          <w:rFonts w:hint="default" w:ascii="Cambria" w:hAnsi="Cambria" w:cs="Cambria"/>
          <w:color w:val="000000" w:themeColor="text1"/>
          <w:sz w:val="24"/>
          <w:szCs w:val="24"/>
          <w:lang w:eastAsia="zh-CN"/>
          <w14:textFill>
            <w14:solidFill>
              <w14:schemeClr w14:val="tx1"/>
            </w14:solidFill>
          </w14:textFill>
        </w:rPr>
        <w:t>°</w:t>
      </w:r>
      <w:r>
        <w:rPr>
          <w:rFonts w:hint="default" w:ascii="Cambria" w:hAnsi="Cambria" w:cs="Cambria"/>
          <w:color w:val="000000" w:themeColor="text1"/>
          <w:sz w:val="24"/>
          <w:szCs w:val="24"/>
          <w14:textFill>
            <w14:solidFill>
              <w14:schemeClr w14:val="tx1"/>
            </w14:solidFill>
          </w14:textFill>
        </w:rPr>
        <w:t> to the skin surface, or even a smaller angle along the skin surface. This method is suitable for acupoints with thin skin and little muscle, such as those on the head and sternum.</w:t>
      </w:r>
    </w:p>
    <w:p w14:paraId="777E484B">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4.2.3 Depth of needle insertion</w:t>
      </w:r>
    </w:p>
    <w:p w14:paraId="6E6382E8">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Based on the child's age, constitution, illness condition, and the anatomical site, the insertion depth should be determined by the arrival of qi (</w:t>
      </w:r>
      <w:r>
        <w:rPr>
          <w:rFonts w:hint="default" w:ascii="Cambria" w:hAnsi="Cambria" w:cs="Cambria"/>
          <w:i/>
          <w:iCs/>
          <w:color w:val="000000" w:themeColor="text1"/>
          <w:sz w:val="24"/>
          <w:szCs w:val="24"/>
          <w14:textFill>
            <w14:solidFill>
              <w14:schemeClr w14:val="tx1"/>
            </w14:solidFill>
          </w14:textFill>
        </w:rPr>
        <w:t>deqi</w:t>
      </w:r>
      <w:r>
        <w:rPr>
          <w:rFonts w:hint="default" w:ascii="Cambria" w:hAnsi="Cambria" w:cs="Cambria"/>
          <w:color w:val="000000" w:themeColor="text1"/>
          <w:sz w:val="24"/>
          <w:szCs w:val="24"/>
          <w14:textFill>
            <w14:solidFill>
              <w14:schemeClr w14:val="tx1"/>
            </w14:solidFill>
          </w14:textFill>
        </w:rPr>
        <w:t>) or until the practitioner feels a sensation of sinking, tightness, or sluggishness beneath the needle.</w:t>
      </w:r>
    </w:p>
    <w:p w14:paraId="32F64935">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4.2.4 Needle manipulation methods</w:t>
      </w:r>
    </w:p>
    <w:p w14:paraId="730C2492">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4.2.4.1 Lifting and thrusting method</w:t>
      </w:r>
    </w:p>
    <w:p w14:paraId="59121AA9">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After the needle is inserted to a certain depth, apply upward lifting and downward thrusting with even finger force in a repeated longitudinal motion. The action of pushing the needle from the shallow layer to the deep layer is called thrusting, while the action of withdrawing the needle from the deep layer to the shallow layer is called lifting. Generally, an amplitude of 3 mm</w:t>
      </w:r>
      <w:r>
        <w:rPr>
          <w:rFonts w:hint="default" w:ascii="Cambria" w:hAnsi="Cambria" w:cs="Cambria"/>
          <w:color w:val="000000" w:themeColor="text1"/>
          <w:sz w:val="24"/>
          <w:szCs w:val="24"/>
          <w:lang w:val="en-US" w:eastAsia="zh-CN"/>
          <w14:textFill>
            <w14:solidFill>
              <w14:schemeClr w14:val="tx1"/>
            </w14:solidFill>
          </w14:textFill>
        </w:rPr>
        <w:t xml:space="preserve"> - </w:t>
      </w:r>
      <w:r>
        <w:rPr>
          <w:rFonts w:hint="default" w:ascii="Cambria" w:hAnsi="Cambria" w:cs="Cambria"/>
          <w:color w:val="000000" w:themeColor="text1"/>
          <w:sz w:val="24"/>
          <w:szCs w:val="24"/>
          <w14:textFill>
            <w14:solidFill>
              <w14:schemeClr w14:val="tx1"/>
            </w14:solidFill>
          </w14:textFill>
        </w:rPr>
        <w:t>5 mm and a frequency of 60 times/min are appropriate. The intensity of stimulation should be flexibly determined according to the child's constitution, condition, acupoint site, and therapeutic purpose.</w:t>
      </w:r>
    </w:p>
    <w:p w14:paraId="55AF374B">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4.2.4.2 Twirling and rotating method</w:t>
      </w:r>
    </w:p>
    <w:p w14:paraId="3C10D5ED">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After the needle is inserted to a certain depth, apply forward and backward twirling with even finger force in a repeated rotational motion. Generally, an angle of 180</w:t>
      </w:r>
      <w:r>
        <w:rPr>
          <w:rFonts w:hint="default" w:ascii="Cambria" w:hAnsi="Cambria" w:cs="Cambria"/>
          <w:color w:val="000000" w:themeColor="text1"/>
          <w:sz w:val="24"/>
          <w:szCs w:val="24"/>
          <w:lang w:eastAsia="zh-CN"/>
          <w14:textFill>
            <w14:solidFill>
              <w14:schemeClr w14:val="tx1"/>
            </w14:solidFill>
          </w14:textFill>
        </w:rPr>
        <w:t>°</w:t>
      </w:r>
      <w:r>
        <w:rPr>
          <w:rFonts w:hint="default" w:ascii="Cambria" w:hAnsi="Cambria" w:cs="Cambria"/>
          <w:color w:val="000000" w:themeColor="text1"/>
          <w:sz w:val="24"/>
          <w:szCs w:val="24"/>
          <w14:textFill>
            <w14:solidFill>
              <w14:schemeClr w14:val="tx1"/>
            </w14:solidFill>
          </w14:textFill>
        </w:rPr>
        <w:t>～360</w:t>
      </w:r>
      <w:r>
        <w:rPr>
          <w:rFonts w:hint="default" w:ascii="Cambria" w:hAnsi="Cambria" w:cs="Cambria"/>
          <w:color w:val="000000" w:themeColor="text1"/>
          <w:sz w:val="24"/>
          <w:szCs w:val="24"/>
          <w:lang w:eastAsia="zh-CN"/>
          <w14:textFill>
            <w14:solidFill>
              <w14:schemeClr w14:val="tx1"/>
            </w14:solidFill>
          </w14:textFill>
        </w:rPr>
        <w:t>°</w:t>
      </w:r>
      <w:r>
        <w:rPr>
          <w:rFonts w:hint="default" w:ascii="Cambria" w:hAnsi="Cambria" w:cs="Cambria"/>
          <w:color w:val="000000" w:themeColor="text1"/>
          <w:sz w:val="24"/>
          <w:szCs w:val="24"/>
          <w14:textFill>
            <w14:solidFill>
              <w14:schemeClr w14:val="tx1"/>
            </w14:solidFill>
          </w14:textFill>
        </w:rPr>
        <w:t> is appropriate. The angle, frequency, and duration of the twirling should be determined based on the child's constitution, condition, acupoint site, and therapeutic purpose.</w:t>
      </w:r>
    </w:p>
    <w:p w14:paraId="5B6FA0DF">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eastAsia="zh-CN"/>
        </w:rPr>
      </w:pPr>
      <w:r>
        <w:rPr>
          <w:rFonts w:hint="default" w:ascii="Cambria" w:hAnsi="Cambria" w:eastAsia="黑体" w:cs="Cambria"/>
          <w:b/>
          <w:bCs/>
          <w:sz w:val="24"/>
          <w:szCs w:val="24"/>
          <w:lang w:val="en-US"/>
        </w:rPr>
        <w:t>4.2.4.3 Other manipulation</w:t>
      </w:r>
      <w:r>
        <w:rPr>
          <w:rFonts w:hint="default" w:ascii="Cambria" w:hAnsi="Cambria" w:eastAsia="黑体" w:cs="Cambria"/>
          <w:b/>
          <w:bCs/>
          <w:sz w:val="24"/>
          <w:szCs w:val="24"/>
          <w:lang w:val="en-US" w:eastAsia="zh-CN"/>
        </w:rPr>
        <w:t xml:space="preserve"> methods</w:t>
      </w:r>
    </w:p>
    <w:p w14:paraId="7B980A63">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These include </w:t>
      </w:r>
      <w:r>
        <w:rPr>
          <w:rFonts w:hint="default" w:ascii="Cambria" w:hAnsi="Cambria" w:cs="Cambria"/>
          <w:color w:val="000000" w:themeColor="text1"/>
          <w:sz w:val="24"/>
          <w:szCs w:val="24"/>
          <w:lang w:val="en-US" w:eastAsia="zh-CN"/>
          <w14:textFill>
            <w14:solidFill>
              <w14:schemeClr w14:val="tx1"/>
            </w14:solidFill>
          </w14:textFill>
        </w:rPr>
        <w:t>p</w:t>
      </w:r>
      <w:r>
        <w:rPr>
          <w:rFonts w:hint="default" w:ascii="Cambria" w:hAnsi="Cambria" w:cs="Cambria"/>
          <w:color w:val="000000" w:themeColor="text1"/>
          <w:sz w:val="24"/>
          <w:szCs w:val="24"/>
          <w14:textFill>
            <w14:solidFill>
              <w14:schemeClr w14:val="tx1"/>
            </w14:solidFill>
          </w14:textFill>
        </w:rPr>
        <w:t>ressing-along (</w:t>
      </w:r>
      <w:r>
        <w:rPr>
          <w:rFonts w:hint="default" w:ascii="Cambria" w:hAnsi="Cambria" w:cs="Cambria"/>
          <w:i/>
          <w:iCs/>
          <w:color w:val="000000" w:themeColor="text1"/>
          <w:sz w:val="24"/>
          <w:szCs w:val="24"/>
          <w14:textFill>
            <w14:solidFill>
              <w14:schemeClr w14:val="tx1"/>
            </w14:solidFill>
          </w14:textFill>
        </w:rPr>
        <w:t>xun</w:t>
      </w:r>
      <w:r>
        <w:rPr>
          <w:rFonts w:hint="default" w:ascii="Cambria" w:hAnsi="Cambria" w:cs="Cambria"/>
          <w:color w:val="000000" w:themeColor="text1"/>
          <w:sz w:val="24"/>
          <w:szCs w:val="24"/>
          <w14:textFill>
            <w14:solidFill>
              <w14:schemeClr w14:val="tx1"/>
            </w14:solidFill>
          </w14:textFill>
        </w:rPr>
        <w:t>), flicking (</w:t>
      </w:r>
      <w:r>
        <w:rPr>
          <w:rFonts w:hint="default" w:ascii="Cambria" w:hAnsi="Cambria" w:cs="Cambria"/>
          <w:i/>
          <w:iCs/>
          <w:color w:val="000000" w:themeColor="text1"/>
          <w:sz w:val="24"/>
          <w:szCs w:val="24"/>
          <w14:textFill>
            <w14:solidFill>
              <w14:schemeClr w14:val="tx1"/>
            </w14:solidFill>
          </w14:textFill>
        </w:rPr>
        <w:t>tan</w:t>
      </w:r>
      <w:r>
        <w:rPr>
          <w:rFonts w:hint="default" w:ascii="Cambria" w:hAnsi="Cambria" w:cs="Cambria"/>
          <w:color w:val="000000" w:themeColor="text1"/>
          <w:sz w:val="24"/>
          <w:szCs w:val="24"/>
          <w14:textFill>
            <w14:solidFill>
              <w14:schemeClr w14:val="tx1"/>
            </w14:solidFill>
          </w14:textFill>
        </w:rPr>
        <w:t>), scraping (</w:t>
      </w:r>
      <w:r>
        <w:rPr>
          <w:rFonts w:hint="default" w:ascii="Cambria" w:hAnsi="Cambria" w:cs="Cambria"/>
          <w:i/>
          <w:iCs/>
          <w:color w:val="000000" w:themeColor="text1"/>
          <w:sz w:val="24"/>
          <w:szCs w:val="24"/>
          <w14:textFill>
            <w14:solidFill>
              <w14:schemeClr w14:val="tx1"/>
            </w14:solidFill>
          </w14:textFill>
        </w:rPr>
        <w:t>gua</w:t>
      </w:r>
      <w:r>
        <w:rPr>
          <w:rFonts w:hint="default" w:ascii="Cambria" w:hAnsi="Cambria" w:cs="Cambria"/>
          <w:color w:val="000000" w:themeColor="text1"/>
          <w:sz w:val="24"/>
          <w:szCs w:val="24"/>
          <w14:textFill>
            <w14:solidFill>
              <w14:schemeClr w14:val="tx1"/>
            </w14:solidFill>
          </w14:textFill>
        </w:rPr>
        <w:t>), shaking (</w:t>
      </w:r>
      <w:r>
        <w:rPr>
          <w:rFonts w:hint="default" w:ascii="Cambria" w:hAnsi="Cambria" w:cs="Cambria"/>
          <w:i/>
          <w:iCs/>
          <w:color w:val="000000" w:themeColor="text1"/>
          <w:sz w:val="24"/>
          <w:szCs w:val="24"/>
          <w14:textFill>
            <w14:solidFill>
              <w14:schemeClr w14:val="tx1"/>
            </w14:solidFill>
          </w14:textFill>
        </w:rPr>
        <w:t>yao</w:t>
      </w:r>
      <w:r>
        <w:rPr>
          <w:rFonts w:hint="default" w:ascii="Cambria" w:hAnsi="Cambria" w:cs="Cambria"/>
          <w:color w:val="000000" w:themeColor="text1"/>
          <w:sz w:val="24"/>
          <w:szCs w:val="24"/>
          <w14:textFill>
            <w14:solidFill>
              <w14:schemeClr w14:val="tx1"/>
            </w14:solidFill>
          </w14:textFill>
        </w:rPr>
        <w:t>), flying (</w:t>
      </w:r>
      <w:r>
        <w:rPr>
          <w:rFonts w:hint="default" w:ascii="Cambria" w:hAnsi="Cambria" w:cs="Cambria"/>
          <w:i/>
          <w:iCs/>
          <w:color w:val="000000" w:themeColor="text1"/>
          <w:sz w:val="24"/>
          <w:szCs w:val="24"/>
          <w14:textFill>
            <w14:solidFill>
              <w14:schemeClr w14:val="tx1"/>
            </w14:solidFill>
          </w14:textFill>
        </w:rPr>
        <w:t>fei)</w:t>
      </w:r>
      <w:r>
        <w:rPr>
          <w:rFonts w:hint="default" w:ascii="Cambria" w:hAnsi="Cambria" w:cs="Cambria"/>
          <w:color w:val="000000" w:themeColor="text1"/>
          <w:sz w:val="24"/>
          <w:szCs w:val="24"/>
          <w14:textFill>
            <w14:solidFill>
              <w14:schemeClr w14:val="tx1"/>
            </w14:solidFill>
          </w14:textFill>
        </w:rPr>
        <w:t>, and vibrating (</w:t>
      </w:r>
      <w:r>
        <w:rPr>
          <w:rFonts w:hint="default" w:ascii="Cambria" w:hAnsi="Cambria" w:cs="Cambria"/>
          <w:i/>
          <w:iCs/>
          <w:color w:val="000000" w:themeColor="text1"/>
          <w:sz w:val="24"/>
          <w:szCs w:val="24"/>
          <w14:textFill>
            <w14:solidFill>
              <w14:schemeClr w14:val="tx1"/>
            </w14:solidFill>
          </w14:textFill>
        </w:rPr>
        <w:t>zhenchan</w:t>
      </w:r>
      <w:r>
        <w:rPr>
          <w:rFonts w:hint="default" w:ascii="Cambria" w:hAnsi="Cambria" w:cs="Cambria"/>
          <w:color w:val="000000" w:themeColor="text1"/>
          <w:sz w:val="24"/>
          <w:szCs w:val="24"/>
          <w14:textFill>
            <w14:solidFill>
              <w14:schemeClr w14:val="tx1"/>
            </w14:solidFill>
          </w14:textFill>
        </w:rPr>
        <w:t xml:space="preserve">) methods. For detailed operations, see </w:t>
      </w:r>
      <w:r>
        <w:rPr>
          <w:rFonts w:hint="default" w:ascii="Cambria" w:hAnsi="Cambria" w:cs="Cambria"/>
          <w:color w:val="000000" w:themeColor="text1"/>
          <w:sz w:val="24"/>
          <w:szCs w:val="24"/>
          <w:lang w:eastAsia="zh-CN"/>
          <w14:textFill>
            <w14:solidFill>
              <w14:schemeClr w14:val="tx1"/>
            </w14:solidFill>
          </w14:textFill>
        </w:rPr>
        <w:t>Annex</w:t>
      </w:r>
      <w:r>
        <w:rPr>
          <w:rFonts w:hint="default" w:ascii="Cambria" w:hAnsi="Cambria" w:cs="Cambria"/>
          <w:color w:val="000000" w:themeColor="text1"/>
          <w:sz w:val="24"/>
          <w:szCs w:val="24"/>
          <w14:textFill>
            <w14:solidFill>
              <w14:schemeClr w14:val="tx1"/>
            </w14:solidFill>
          </w14:textFill>
        </w:rPr>
        <w:t> B.</w:t>
      </w:r>
    </w:p>
    <w:p w14:paraId="7B7A740F">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4.2.5 Reinforcing and reducing methods</w:t>
      </w:r>
    </w:p>
    <w:p w14:paraId="1EF80997">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According to TCM theory, select the reinforcing (</w:t>
      </w:r>
      <w:r>
        <w:rPr>
          <w:rFonts w:hint="default" w:ascii="Cambria" w:hAnsi="Cambria" w:cs="Cambria"/>
          <w:i/>
          <w:iCs/>
          <w:color w:val="000000" w:themeColor="text1"/>
          <w:sz w:val="24"/>
          <w:szCs w:val="24"/>
          <w14:textFill>
            <w14:solidFill>
              <w14:schemeClr w14:val="tx1"/>
            </w14:solidFill>
          </w14:textFill>
        </w:rPr>
        <w:t>bu</w:t>
      </w:r>
      <w:r>
        <w:rPr>
          <w:rFonts w:hint="default" w:ascii="Cambria" w:hAnsi="Cambria" w:cs="Cambria"/>
          <w:color w:val="000000" w:themeColor="text1"/>
          <w:sz w:val="24"/>
          <w:szCs w:val="24"/>
          <w14:textFill>
            <w14:solidFill>
              <w14:schemeClr w14:val="tx1"/>
            </w14:solidFill>
          </w14:textFill>
        </w:rPr>
        <w:t>) or reducing (</w:t>
      </w:r>
      <w:r>
        <w:rPr>
          <w:rFonts w:hint="default" w:ascii="Cambria" w:hAnsi="Cambria" w:cs="Cambria"/>
          <w:i/>
          <w:iCs/>
          <w:color w:val="000000" w:themeColor="text1"/>
          <w:sz w:val="24"/>
          <w:szCs w:val="24"/>
          <w14:textFill>
            <w14:solidFill>
              <w14:schemeClr w14:val="tx1"/>
            </w14:solidFill>
          </w14:textFill>
        </w:rPr>
        <w:t>xie</w:t>
      </w:r>
      <w:r>
        <w:rPr>
          <w:rFonts w:hint="default" w:ascii="Cambria" w:hAnsi="Cambria" w:cs="Cambria"/>
          <w:color w:val="000000" w:themeColor="text1"/>
          <w:sz w:val="24"/>
          <w:szCs w:val="24"/>
          <w14:textFill>
            <w14:solidFill>
              <w14:schemeClr w14:val="tx1"/>
            </w14:solidFill>
          </w14:textFill>
        </w:rPr>
        <w:t xml:space="preserve">) method based on the syndrome. For detailed operations, see </w:t>
      </w:r>
      <w:r>
        <w:rPr>
          <w:rFonts w:hint="default" w:ascii="Cambria" w:hAnsi="Cambria" w:cs="Cambria"/>
          <w:color w:val="000000" w:themeColor="text1"/>
          <w:sz w:val="24"/>
          <w:szCs w:val="24"/>
          <w:lang w:eastAsia="zh-CN"/>
          <w14:textFill>
            <w14:solidFill>
              <w14:schemeClr w14:val="tx1"/>
            </w14:solidFill>
          </w14:textFill>
        </w:rPr>
        <w:t>Annex</w:t>
      </w:r>
      <w:r>
        <w:rPr>
          <w:rFonts w:hint="default" w:ascii="Cambria" w:hAnsi="Cambria" w:cs="Cambria"/>
          <w:color w:val="000000" w:themeColor="text1"/>
          <w:sz w:val="24"/>
          <w:szCs w:val="24"/>
          <w14:textFill>
            <w14:solidFill>
              <w14:schemeClr w14:val="tx1"/>
            </w14:solidFill>
          </w14:textFill>
        </w:rPr>
        <w:t> B.</w:t>
      </w:r>
    </w:p>
    <w:p w14:paraId="2E6B7E2B">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4.2.6 Needle retention</w:t>
      </w:r>
    </w:p>
    <w:p w14:paraId="2FD84C5B">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Leave the filiform needle in the acupoint. In general, needle retention is not used for children</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under</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3 years of age;</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for children aged 3 to 6 years, the needle may be retained for 10 min to 15 min as appropriate; for children over 6 years of age, the needle may be retained for 30 min. Needle retention is not recommended for child patients who are uncooperative, crying, or moving restlessly.</w:t>
      </w:r>
    </w:p>
    <w:p w14:paraId="329F52CA">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4.2.7 Needle withdrawal</w:t>
      </w:r>
    </w:p>
    <w:p w14:paraId="289BE7C9">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The practitioner uses the thumb and index finger of the </w:t>
      </w:r>
      <w:r>
        <w:rPr>
          <w:rFonts w:hint="default" w:ascii="Cambria" w:hAnsi="Cambria" w:cs="Cambria"/>
          <w:color w:val="000000" w:themeColor="text1"/>
          <w:sz w:val="24"/>
          <w:szCs w:val="24"/>
          <w:lang w:eastAsia="zh-CN"/>
          <w14:textFill>
            <w14:solidFill>
              <w14:schemeClr w14:val="tx1"/>
            </w14:solidFill>
          </w14:textFill>
        </w:rPr>
        <w:t>supporting hand</w:t>
      </w:r>
      <w:r>
        <w:rPr>
          <w:rFonts w:hint="default" w:ascii="Cambria" w:hAnsi="Cambria" w:cs="Cambria"/>
          <w:color w:val="000000" w:themeColor="text1"/>
          <w:sz w:val="24"/>
          <w:szCs w:val="24"/>
          <w14:textFill>
            <w14:solidFill>
              <w14:schemeClr w14:val="tx1"/>
            </w14:solidFill>
          </w14:textFill>
        </w:rPr>
        <w:t> to hold a sterile dry cotton ball or swab and gently presses the site. The </w:t>
      </w:r>
      <w:r>
        <w:rPr>
          <w:rFonts w:hint="default" w:ascii="Cambria" w:hAnsi="Cambria" w:cs="Cambria"/>
          <w:color w:val="000000" w:themeColor="text1"/>
          <w:sz w:val="24"/>
          <w:szCs w:val="24"/>
          <w:lang w:eastAsia="zh-CN"/>
          <w14:textFill>
            <w14:solidFill>
              <w14:schemeClr w14:val="tx1"/>
            </w14:solidFill>
          </w14:textFill>
        </w:rPr>
        <w:t>needling hand</w:t>
      </w:r>
      <w:r>
        <w:rPr>
          <w:rFonts w:hint="default" w:ascii="Cambria" w:hAnsi="Cambria" w:cs="Cambria"/>
          <w:color w:val="000000" w:themeColor="text1"/>
          <w:sz w:val="24"/>
          <w:szCs w:val="24"/>
          <w14:textFill>
            <w14:solidFill>
              <w14:schemeClr w14:val="tx1"/>
            </w14:solidFill>
          </w14:textFill>
        </w:rPr>
        <w:t> twirls the needle slightly with a small amplitude and slowly lifts it to the subcutaneous layer, then withdraws the needle rapidly after a brief pause. If a stuck needle occurs, do not pull it out with force; instead, gently pat the skin around the acupoint and withdraw the needle once the sensation beneath the needle becomes smooth and loose.</w:t>
      </w:r>
    </w:p>
    <w:p w14:paraId="18E3214D">
      <w:pPr>
        <w:tabs>
          <w:tab w:val="left" w:pos="360"/>
          <w:tab w:val="left" w:pos="540"/>
        </w:tabs>
        <w:spacing w:before="156" w:beforeLines="50" w:after="156" w:afterLines="50" w:line="276" w:lineRule="auto"/>
        <w:ind w:firstLine="0"/>
        <w:outlineLvl w:val="1"/>
        <w:rPr>
          <w:rFonts w:hint="default" w:ascii="Cambria" w:hAnsi="Cambria" w:eastAsia="黑体" w:cs="Cambria"/>
          <w:b/>
          <w:bCs/>
          <w:sz w:val="24"/>
          <w:szCs w:val="24"/>
        </w:rPr>
      </w:pPr>
      <w:bookmarkStart w:id="172" w:name="_Toc5643"/>
      <w:bookmarkStart w:id="173" w:name="_Toc2741"/>
      <w:r>
        <w:rPr>
          <w:rFonts w:hint="default" w:ascii="Cambria" w:hAnsi="Cambria" w:eastAsia="黑体" w:cs="Cambria"/>
          <w:b/>
          <w:bCs/>
          <w:sz w:val="24"/>
          <w:szCs w:val="24"/>
        </w:rPr>
        <w:t>4.3 Post-treatment care</w:t>
      </w:r>
      <w:bookmarkEnd w:id="172"/>
      <w:bookmarkEnd w:id="173"/>
    </w:p>
    <w:p w14:paraId="1B60046D">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If bleeding is observed at the needle hole after withdrawal, use a sterile swab or cotton ball to apply pressure for 1 min∼2 min. Do not rub the site. Let the child rest for 5 min</w:t>
      </w:r>
      <w:r>
        <w:rPr>
          <w:rFonts w:hint="default" w:ascii="Cambria" w:hAnsi="Cambria" w:cs="Cambria"/>
          <w:color w:val="000000" w:themeColor="text1"/>
          <w:sz w:val="24"/>
          <w:szCs w:val="24"/>
          <w:lang w:val="en-US" w:eastAsia="zh-CN"/>
          <w14:textFill>
            <w14:solidFill>
              <w14:schemeClr w14:val="tx1"/>
            </w14:solidFill>
          </w14:textFill>
        </w:rPr>
        <w:t xml:space="preserve"> - </w:t>
      </w:r>
      <w:r>
        <w:rPr>
          <w:rFonts w:hint="default" w:ascii="Cambria" w:hAnsi="Cambria" w:cs="Cambria"/>
          <w:color w:val="000000" w:themeColor="text1"/>
          <w:sz w:val="24"/>
          <w:szCs w:val="24"/>
          <w14:textFill>
            <w14:solidFill>
              <w14:schemeClr w14:val="tx1"/>
            </w14:solidFill>
          </w14:textFill>
        </w:rPr>
        <w:t>10 min after the treatment and observe for any adverse reactions.</w:t>
      </w:r>
    </w:p>
    <w:p w14:paraId="0809F9CF">
      <w:pPr>
        <w:spacing w:before="312" w:beforeLines="100" w:after="312" w:afterLines="100" w:line="276" w:lineRule="auto"/>
        <w:ind w:firstLine="0"/>
        <w:outlineLvl w:val="0"/>
        <w:rPr>
          <w:rFonts w:hint="default" w:ascii="Cambria" w:hAnsi="Cambria" w:cs="Cambria"/>
          <w:b/>
          <w:bCs/>
          <w:sz w:val="24"/>
          <w:szCs w:val="24"/>
        </w:rPr>
      </w:pPr>
      <w:bookmarkStart w:id="174" w:name="_Toc7605"/>
      <w:bookmarkStart w:id="175" w:name="_Toc6883"/>
      <w:r>
        <w:rPr>
          <w:rFonts w:hint="default" w:ascii="Cambria" w:hAnsi="Cambria" w:cs="Cambria"/>
          <w:b/>
          <w:bCs/>
          <w:sz w:val="24"/>
          <w:szCs w:val="24"/>
        </w:rPr>
        <w:t>5 Operating procedures and requirements for pediatric three-edge needle therapy</w:t>
      </w:r>
      <w:bookmarkEnd w:id="174"/>
      <w:bookmarkEnd w:id="175"/>
    </w:p>
    <w:p w14:paraId="35023F4B">
      <w:pPr>
        <w:tabs>
          <w:tab w:val="left" w:pos="360"/>
          <w:tab w:val="left" w:pos="540"/>
        </w:tabs>
        <w:spacing w:before="156" w:beforeLines="50" w:after="156" w:afterLines="50" w:line="276" w:lineRule="auto"/>
        <w:ind w:firstLine="0"/>
        <w:outlineLvl w:val="1"/>
        <w:rPr>
          <w:rFonts w:hint="default" w:ascii="Cambria" w:hAnsi="Cambria" w:eastAsia="黑体" w:cs="Cambria"/>
          <w:b/>
          <w:bCs/>
          <w:sz w:val="24"/>
          <w:szCs w:val="24"/>
        </w:rPr>
      </w:pPr>
      <w:bookmarkStart w:id="176" w:name="_Toc12151"/>
      <w:bookmarkStart w:id="177" w:name="_Toc16188"/>
      <w:r>
        <w:rPr>
          <w:rFonts w:hint="default" w:ascii="Cambria" w:hAnsi="Cambria" w:eastAsia="黑体" w:cs="Cambria"/>
          <w:b/>
          <w:bCs/>
          <w:sz w:val="24"/>
          <w:szCs w:val="24"/>
        </w:rPr>
        <w:t>5.1 Preparation before treatment</w:t>
      </w:r>
      <w:bookmarkEnd w:id="176"/>
      <w:bookmarkEnd w:id="177"/>
    </w:p>
    <w:p w14:paraId="26A223D3">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5.1.1 Selection of needles</w:t>
      </w:r>
    </w:p>
    <w:p w14:paraId="43F4632D">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Select three</w:t>
      </w:r>
      <w:r>
        <w:rPr>
          <w:rFonts w:hint="default" w:ascii="Cambria" w:hAnsi="Cambria" w:cs="Cambria"/>
          <w:color w:val="000000" w:themeColor="text1"/>
          <w:sz w:val="24"/>
          <w:szCs w:val="24"/>
          <w:lang w:val="en-US" w:eastAsia="zh-CN"/>
          <w14:textFill>
            <w14:solidFill>
              <w14:schemeClr w14:val="tx1"/>
            </w14:solidFill>
          </w14:textFill>
        </w:rPr>
        <w:t>-</w:t>
      </w:r>
      <w:r>
        <w:rPr>
          <w:rFonts w:hint="default" w:ascii="Cambria" w:hAnsi="Cambria" w:cs="Cambria"/>
          <w:color w:val="000000" w:themeColor="text1"/>
          <w:sz w:val="24"/>
          <w:szCs w:val="24"/>
          <w14:textFill>
            <w14:solidFill>
              <w14:schemeClr w14:val="tx1"/>
            </w14:solidFill>
          </w14:textFill>
        </w:rPr>
        <w:t>edge needles of different specifications according to the child's age, condition requirements, and treatment site. Small-sized three</w:t>
      </w:r>
      <w:r>
        <w:rPr>
          <w:rFonts w:hint="default" w:ascii="Cambria" w:hAnsi="Cambria" w:cs="Cambria"/>
          <w:color w:val="000000" w:themeColor="text1"/>
          <w:sz w:val="24"/>
          <w:szCs w:val="24"/>
          <w:lang w:val="en-US" w:eastAsia="zh-CN"/>
          <w14:textFill>
            <w14:solidFill>
              <w14:schemeClr w14:val="tx1"/>
            </w14:solidFill>
          </w14:textFill>
        </w:rPr>
        <w:t>-</w:t>
      </w:r>
      <w:r>
        <w:rPr>
          <w:rFonts w:hint="default" w:ascii="Cambria" w:hAnsi="Cambria" w:cs="Cambria"/>
          <w:color w:val="000000" w:themeColor="text1"/>
          <w:sz w:val="24"/>
          <w:szCs w:val="24"/>
          <w14:textFill>
            <w14:solidFill>
              <w14:schemeClr w14:val="tx1"/>
            </w14:solidFill>
          </w14:textFill>
        </w:rPr>
        <w:t>edge needles are mostly used in pediatrics.</w:t>
      </w:r>
    </w:p>
    <w:p w14:paraId="7C05AFD3">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5.1.2 Disinfection</w:t>
      </w:r>
    </w:p>
    <w:p w14:paraId="40D52A3D">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5.1.2.1 Needles</w:t>
      </w:r>
    </w:p>
    <w:p w14:paraId="2BBE46A8">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Disposable three-edge needles shall be selected; disposable blood sampling needles or sterile injection needles may also be used.</w:t>
      </w:r>
    </w:p>
    <w:p w14:paraId="09EF496A">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5.1.2.2 Site</w:t>
      </w:r>
    </w:p>
    <w:p w14:paraId="68C8719E">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Use 75% ethanol or 0.5%</w:t>
      </w:r>
      <w:r>
        <w:rPr>
          <w:rFonts w:hint="default" w:ascii="Cambria" w:hAnsi="Cambria" w:cs="Cambria"/>
          <w:color w:val="000000" w:themeColor="text1"/>
          <w:sz w:val="24"/>
          <w:szCs w:val="24"/>
          <w:lang w:val="en-US" w:eastAsia="zh-CN"/>
          <w14:textFill>
            <w14:solidFill>
              <w14:schemeClr w14:val="tx1"/>
            </w14:solidFill>
          </w14:textFill>
        </w:rPr>
        <w:t>-</w:t>
      </w:r>
      <w:r>
        <w:rPr>
          <w:rFonts w:hint="default" w:ascii="Cambria" w:hAnsi="Cambria" w:cs="Cambria"/>
          <w:color w:val="000000" w:themeColor="text1"/>
          <w:sz w:val="24"/>
          <w:szCs w:val="24"/>
          <w14:textFill>
            <w14:solidFill>
              <w14:schemeClr w14:val="tx1"/>
            </w14:solidFill>
          </w14:textFill>
        </w:rPr>
        <w:t>1% iodophor to wipe the treatment site in a circular motion from the center outward.</w:t>
      </w:r>
    </w:p>
    <w:p w14:paraId="4A0EF9BA">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5.1.2.3 Practitioner</w:t>
      </w:r>
    </w:p>
    <w:p w14:paraId="5765527E">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The practitioner's hands should be washed with soapy water, rinsed thoroughly with clean water, and then wiped with a 75% ethanol cotton ball.</w:t>
      </w:r>
    </w:p>
    <w:p w14:paraId="3A8BAA61">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5.1.3 Environment</w:t>
      </w:r>
    </w:p>
    <w:p w14:paraId="3325A110">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The treatment room should be clean, quiet, brightly lit, and at an appropriate temperature, avoiding exposure to wind and catching cold.</w:t>
      </w:r>
    </w:p>
    <w:p w14:paraId="78E7632D">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5.1.4 Patient position</w:t>
      </w:r>
    </w:p>
    <w:p w14:paraId="26F9C2C7">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Choose a treatment position that is comfortable for the child and convenient for the practitioner. Generally, the prone position or supine position is selected based on the treatment site. Children under 3 years of age may also sit on the parent's lap. The practitioner stands on the right side of the child.</w:t>
      </w:r>
    </w:p>
    <w:p w14:paraId="6F98CAE3">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5.1.5 Acupoints</w:t>
      </w:r>
    </w:p>
    <w:p w14:paraId="28A83435">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Select appropriate acupoints or treatment sites according to the illness condition. Acupoint location shall comply with the regulations of the WHO Standard Acupuncture Point Locations in the Western Pacific Region, GB/T 12346, and GB/T 40997.</w:t>
      </w:r>
    </w:p>
    <w:p w14:paraId="40060EE0">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5.1.6 Pre-treatment care</w:t>
      </w:r>
    </w:p>
    <w:p w14:paraId="09AF8A28">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 Bring all equipment and instruments to the child's bedside.</w:t>
      </w:r>
    </w:p>
    <w:p w14:paraId="320A40EA">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b) Provide proper psychological care for children aged 3 years and above; explain the significance of the treatment and precautions, offer mental comfort and encouragement to eliminate the child's tension and fear, and enable both the child and parents to actively cooperate with the operation.</w:t>
      </w:r>
    </w:p>
    <w:p w14:paraId="539E45A4">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c) For uncooperative children under 3 years of age, parents can assist by holding and securing the child in an appropriate position before the procedure.</w:t>
      </w:r>
    </w:p>
    <w:p w14:paraId="79492F00">
      <w:pPr>
        <w:tabs>
          <w:tab w:val="left" w:pos="360"/>
          <w:tab w:val="left" w:pos="540"/>
        </w:tabs>
        <w:spacing w:before="156" w:beforeLines="50" w:after="156" w:afterLines="50" w:line="276" w:lineRule="auto"/>
        <w:ind w:firstLine="0"/>
        <w:outlineLvl w:val="1"/>
        <w:rPr>
          <w:rFonts w:hint="default" w:ascii="Cambria" w:hAnsi="Cambria" w:eastAsia="黑体" w:cs="Cambria"/>
          <w:b/>
          <w:bCs/>
          <w:sz w:val="24"/>
          <w:szCs w:val="24"/>
        </w:rPr>
      </w:pPr>
      <w:bookmarkStart w:id="178" w:name="_Toc17428"/>
      <w:bookmarkStart w:id="179" w:name="_Toc30728"/>
      <w:r>
        <w:rPr>
          <w:rFonts w:hint="default" w:ascii="Cambria" w:hAnsi="Cambria" w:eastAsia="黑体" w:cs="Cambria"/>
          <w:b/>
          <w:bCs/>
          <w:sz w:val="24"/>
          <w:szCs w:val="24"/>
        </w:rPr>
        <w:t>5.2 Manipulation methods</w:t>
      </w:r>
      <w:bookmarkEnd w:id="178"/>
      <w:bookmarkEnd w:id="179"/>
    </w:p>
    <w:p w14:paraId="33AE97A1">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5.2.1 Three-edge needle pricking method</w:t>
      </w:r>
    </w:p>
    <w:p w14:paraId="554E42D8">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Before</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pricking, the practitioner may use techniques such as pushing, rubbing, squeezing, and stroking on or around the site to be pricked to cause local congestion. This is followed by circular disinfection with 75% ethanol or 0.5%</w:t>
      </w:r>
      <w:r>
        <w:rPr>
          <w:rFonts w:hint="default" w:ascii="Cambria" w:hAnsi="Cambria" w:cs="Cambria"/>
          <w:color w:val="000000" w:themeColor="text1"/>
          <w:sz w:val="24"/>
          <w:szCs w:val="24"/>
          <w:lang w:val="en-US" w:eastAsia="zh-CN"/>
          <w14:textFill>
            <w14:solidFill>
              <w14:schemeClr w14:val="tx1"/>
            </w14:solidFill>
          </w14:textFill>
        </w:rPr>
        <w:t xml:space="preserve"> - </w:t>
      </w:r>
      <w:r>
        <w:rPr>
          <w:rFonts w:hint="default" w:ascii="Cambria" w:hAnsi="Cambria" w:cs="Cambria"/>
          <w:color w:val="000000" w:themeColor="text1"/>
          <w:sz w:val="24"/>
          <w:szCs w:val="24"/>
          <w14:textFill>
            <w14:solidFill>
              <w14:schemeClr w14:val="tx1"/>
            </w14:solidFill>
          </w14:textFill>
        </w:rPr>
        <w:t>1% iodophor from the center outward. During pricking, the thumb, index, and middle fingers of the </w:t>
      </w:r>
      <w:r>
        <w:rPr>
          <w:rFonts w:hint="default" w:ascii="Cambria" w:hAnsi="Cambria" w:cs="Cambria"/>
          <w:color w:val="000000" w:themeColor="text1"/>
          <w:sz w:val="24"/>
          <w:szCs w:val="24"/>
          <w:lang w:eastAsia="zh-CN"/>
          <w14:textFill>
            <w14:solidFill>
              <w14:schemeClr w14:val="tx1"/>
            </w14:solidFill>
          </w14:textFill>
        </w:rPr>
        <w:t>supporting hand</w:t>
      </w:r>
      <w:r>
        <w:rPr>
          <w:rFonts w:hint="default" w:ascii="Cambria" w:hAnsi="Cambria" w:cs="Cambria"/>
          <w:color w:val="000000" w:themeColor="text1"/>
          <w:sz w:val="24"/>
          <w:szCs w:val="24"/>
          <w14:textFill>
            <w14:solidFill>
              <w14:schemeClr w14:val="tx1"/>
            </w14:solidFill>
          </w14:textFill>
        </w:rPr>
        <w:t> pinch the site firmly. The </w:t>
      </w:r>
      <w:r>
        <w:rPr>
          <w:rFonts w:hint="default" w:ascii="Cambria" w:hAnsi="Cambria" w:cs="Cambria"/>
          <w:color w:val="000000" w:themeColor="text1"/>
          <w:sz w:val="24"/>
          <w:szCs w:val="24"/>
          <w:lang w:eastAsia="zh-CN"/>
          <w14:textFill>
            <w14:solidFill>
              <w14:schemeClr w14:val="tx1"/>
            </w14:solidFill>
          </w14:textFill>
        </w:rPr>
        <w:t>needling hand</w:t>
      </w:r>
      <w:r>
        <w:rPr>
          <w:rFonts w:hint="default" w:ascii="Cambria" w:hAnsi="Cambria" w:cs="Cambria"/>
          <w:color w:val="000000" w:themeColor="text1"/>
          <w:sz w:val="24"/>
          <w:szCs w:val="24"/>
          <w14:textFill>
            <w14:solidFill>
              <w14:schemeClr w14:val="tx1"/>
            </w14:solidFill>
          </w14:textFill>
        </w:rPr>
        <w:t> holds the needle, with the thumb and index finger pinching the handle and the middle finger pad resting against the lower part of the needle body, leaving 0.5 mm</w:t>
      </w:r>
      <w:r>
        <w:rPr>
          <w:rFonts w:hint="default" w:ascii="Cambria" w:hAnsi="Cambria" w:cs="Cambria"/>
          <w:color w:val="000000" w:themeColor="text1"/>
          <w:sz w:val="24"/>
          <w:szCs w:val="24"/>
          <w:lang w:val="en-US" w:eastAsia="zh-CN"/>
          <w14:textFill>
            <w14:solidFill>
              <w14:schemeClr w14:val="tx1"/>
            </w14:solidFill>
          </w14:textFill>
        </w:rPr>
        <w:t xml:space="preserve"> - </w:t>
      </w:r>
      <w:r>
        <w:rPr>
          <w:rFonts w:hint="default" w:ascii="Cambria" w:hAnsi="Cambria" w:cs="Cambria"/>
          <w:color w:val="000000" w:themeColor="text1"/>
          <w:sz w:val="24"/>
          <w:szCs w:val="24"/>
          <w14:textFill>
            <w14:solidFill>
              <w14:schemeClr w14:val="tx1"/>
            </w14:solidFill>
          </w14:textFill>
        </w:rPr>
        <w:t>5 mm of the needle tip exposed. Aim at the disinfected site, prick to a depth of 0.5 mm</w:t>
      </w:r>
      <w:r>
        <w:rPr>
          <w:rFonts w:hint="default" w:ascii="Cambria" w:hAnsi="Cambria" w:cs="Cambria"/>
          <w:color w:val="000000" w:themeColor="text1"/>
          <w:sz w:val="24"/>
          <w:szCs w:val="24"/>
          <w:lang w:val="en-US" w:eastAsia="zh-CN"/>
          <w14:textFill>
            <w14:solidFill>
              <w14:schemeClr w14:val="tx1"/>
            </w14:solidFill>
          </w14:textFill>
        </w:rPr>
        <w:t xml:space="preserve"> - </w:t>
      </w:r>
      <w:r>
        <w:rPr>
          <w:rFonts w:hint="default" w:ascii="Cambria" w:hAnsi="Cambria" w:cs="Cambria"/>
          <w:color w:val="000000" w:themeColor="text1"/>
          <w:sz w:val="24"/>
          <w:szCs w:val="24"/>
          <w14:textFill>
            <w14:solidFill>
              <w14:schemeClr w14:val="tx1"/>
            </w14:solidFill>
          </w14:textFill>
        </w:rPr>
        <w:t>5 mm, and withdraw the needle rapidly. Gently squeeze the area around the needle hole to allow a small amount of blood to escape; pushing and squeezing may also be used to increase the volume of blood or fluid discharge.</w:t>
      </w:r>
    </w:p>
    <w:p w14:paraId="0D468644">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5.2.2 </w:t>
      </w:r>
      <w:r>
        <w:rPr>
          <w:rFonts w:hint="default" w:ascii="Cambria" w:hAnsi="Cambria" w:eastAsia="黑体" w:cs="Cambria"/>
          <w:bCs/>
          <w:sz w:val="24"/>
          <w:szCs w:val="24"/>
          <w:lang w:val="en-US" w:eastAsia="zh-CN"/>
        </w:rPr>
        <w:t>three-edge</w:t>
      </w:r>
      <w:r>
        <w:rPr>
          <w:rFonts w:hint="default" w:ascii="Cambria" w:hAnsi="Cambria" w:eastAsia="黑体" w:cs="Cambria"/>
          <w:bCs/>
          <w:sz w:val="24"/>
          <w:szCs w:val="24"/>
          <w:lang w:val="en-US"/>
        </w:rPr>
        <w:t xml:space="preserve"> needle bloodletting method</w:t>
      </w:r>
    </w:p>
    <w:p w14:paraId="380A99A0">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Before pricking, use pushing, rubbing, squeezing, or stroking on or around the site. For limbs, a tourniquet can be tied at the proximal end of the site to cause local congestion. During pricking, fix the site with one hand and hold the needle with the other, exposing 3 mm</w:t>
      </w:r>
      <w:r>
        <w:rPr>
          <w:rFonts w:hint="default" w:ascii="Cambria" w:hAnsi="Cambria" w:cs="Cambria"/>
          <w:color w:val="000000" w:themeColor="text1"/>
          <w:sz w:val="24"/>
          <w:szCs w:val="24"/>
          <w:lang w:val="en-US" w:eastAsia="zh-CN"/>
          <w14:textFill>
            <w14:solidFill>
              <w14:schemeClr w14:val="tx1"/>
            </w14:solidFill>
          </w14:textFill>
        </w:rPr>
        <w:t xml:space="preserve"> - </w:t>
      </w:r>
      <w:r>
        <w:rPr>
          <w:rFonts w:hint="default" w:ascii="Cambria" w:hAnsi="Cambria" w:cs="Cambria"/>
          <w:color w:val="000000" w:themeColor="text1"/>
          <w:sz w:val="24"/>
          <w:szCs w:val="24"/>
          <w14:textFill>
            <w14:solidFill>
              <w14:schemeClr w14:val="tx1"/>
            </w14:solidFill>
          </w14:textFill>
        </w:rPr>
        <w:t>5 mm of the needle tip. Aim at the site, prick rapidly, and withdraw the needle to release an appropriate amount of blood, then loosen the tourniquet.</w:t>
      </w:r>
    </w:p>
    <w:p w14:paraId="02F6887C">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5.2.3 Scattered pricking with three-edge needle</w:t>
      </w:r>
    </w:p>
    <w:p w14:paraId="2EB1897A">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The practitioner fixes the site with one hand and holds the needle with the other to perform vertical spot pricking at multiple points. Depending on the size of the lesion, 10</w:t>
      </w:r>
      <w:r>
        <w:rPr>
          <w:rFonts w:hint="default" w:ascii="Cambria" w:hAnsi="Cambria" w:cs="Cambria"/>
          <w:color w:val="000000" w:themeColor="text1"/>
          <w:sz w:val="24"/>
          <w:szCs w:val="24"/>
          <w:lang w:val="en-US" w:eastAsia="zh-CN"/>
          <w14:textFill>
            <w14:solidFill>
              <w14:schemeClr w14:val="tx1"/>
            </w14:solidFill>
          </w14:textFill>
        </w:rPr>
        <w:t xml:space="preserve"> - </w:t>
      </w:r>
      <w:r>
        <w:rPr>
          <w:rFonts w:hint="default" w:ascii="Cambria" w:hAnsi="Cambria" w:cs="Cambria"/>
          <w:color w:val="000000" w:themeColor="text1"/>
          <w:sz w:val="24"/>
          <w:szCs w:val="24"/>
          <w14:textFill>
            <w14:solidFill>
              <w14:schemeClr w14:val="tx1"/>
            </w14:solidFill>
          </w14:textFill>
        </w:rPr>
        <w:t>20 or more pricks can be made in a circular pattern from the outer edge toward the center.</w:t>
      </w:r>
    </w:p>
    <w:p w14:paraId="7DB431A0">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5.2.4 Three-edge needle picking method</w:t>
      </w:r>
    </w:p>
    <w:p w14:paraId="3BBF2173">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The practitioner fixes the site with one hand and holds the needle with the other to insert it at an angle of 15</w:t>
      </w:r>
      <w:r>
        <w:rPr>
          <w:rFonts w:hint="default" w:ascii="Cambria" w:hAnsi="Cambria" w:cs="Cambria"/>
          <w:color w:val="000000" w:themeColor="text1"/>
          <w:sz w:val="24"/>
          <w:szCs w:val="24"/>
          <w:lang w:eastAsia="zh-CN"/>
          <w14:textFill>
            <w14:solidFill>
              <w14:schemeClr w14:val="tx1"/>
            </w14:solidFill>
          </w14:textFill>
        </w:rPr>
        <w:t>°</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30</w:t>
      </w:r>
      <w:r>
        <w:rPr>
          <w:rFonts w:hint="default" w:ascii="Cambria" w:hAnsi="Cambria" w:cs="Cambria"/>
          <w:color w:val="000000" w:themeColor="text1"/>
          <w:sz w:val="24"/>
          <w:szCs w:val="24"/>
          <w:lang w:eastAsia="zh-CN"/>
          <w14:textFill>
            <w14:solidFill>
              <w14:schemeClr w14:val="tx1"/>
            </w14:solidFill>
          </w14:textFill>
        </w:rPr>
        <w:t>°</w:t>
      </w:r>
      <w:r>
        <w:rPr>
          <w:rFonts w:hint="default" w:ascii="Cambria" w:hAnsi="Cambria" w:cs="Cambria"/>
          <w:color w:val="000000" w:themeColor="text1"/>
          <w:sz w:val="24"/>
          <w:szCs w:val="24"/>
          <w14:textFill>
            <w14:solidFill>
              <w14:schemeClr w14:val="tx1"/>
            </w14:solidFill>
          </w14:textFill>
        </w:rPr>
        <w:t> to a certain depth. Then, lift the needle tip upward to break the skin or subcutaneous tissue. After needle withdrawal, disinfect the area and cover it with a dressing.</w:t>
      </w:r>
    </w:p>
    <w:p w14:paraId="552A9CCB">
      <w:pPr>
        <w:tabs>
          <w:tab w:val="left" w:pos="360"/>
          <w:tab w:val="left" w:pos="540"/>
        </w:tabs>
        <w:spacing w:before="156" w:beforeLines="50" w:after="156" w:afterLines="50" w:line="276" w:lineRule="auto"/>
        <w:ind w:firstLine="0"/>
        <w:outlineLvl w:val="1"/>
        <w:rPr>
          <w:rFonts w:hint="default" w:ascii="Cambria" w:hAnsi="Cambria" w:eastAsia="黑体" w:cs="Cambria"/>
          <w:b/>
          <w:bCs/>
          <w:sz w:val="24"/>
          <w:szCs w:val="24"/>
        </w:rPr>
      </w:pPr>
      <w:bookmarkStart w:id="180" w:name="_Toc24752"/>
      <w:bookmarkStart w:id="181" w:name="_Toc27168"/>
      <w:r>
        <w:rPr>
          <w:rFonts w:hint="default" w:ascii="Cambria" w:hAnsi="Cambria" w:eastAsia="黑体" w:cs="Cambria"/>
          <w:b/>
          <w:bCs/>
          <w:sz w:val="24"/>
          <w:szCs w:val="24"/>
        </w:rPr>
        <w:t>5.3 Post-procedural management</w:t>
      </w:r>
      <w:bookmarkEnd w:id="180"/>
      <w:bookmarkEnd w:id="181"/>
    </w:p>
    <w:p w14:paraId="098CCECE">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After the procedure, the site shall be wiped and pressed with a sterile dry cotton ball or sterile cotton swab for 2 min. In cases of moderate or large amounts of bleeding, the blood may be collected in an open container and shall be treated for harmless disposal.</w:t>
      </w:r>
    </w:p>
    <w:p w14:paraId="439801AF">
      <w:pPr>
        <w:spacing w:before="312" w:beforeLines="100" w:after="312" w:afterLines="100" w:line="276" w:lineRule="auto"/>
        <w:ind w:firstLine="0"/>
        <w:outlineLvl w:val="0"/>
        <w:rPr>
          <w:rFonts w:hint="default" w:ascii="Cambria" w:hAnsi="Cambria" w:cs="Cambria"/>
          <w:b/>
          <w:bCs/>
          <w:sz w:val="24"/>
          <w:szCs w:val="24"/>
        </w:rPr>
      </w:pPr>
      <w:bookmarkStart w:id="182" w:name="_Toc31621"/>
      <w:bookmarkStart w:id="183" w:name="_Toc27649"/>
      <w:r>
        <w:rPr>
          <w:rFonts w:hint="default" w:ascii="Cambria" w:hAnsi="Cambria" w:cs="Cambria"/>
          <w:b/>
          <w:bCs/>
          <w:sz w:val="24"/>
          <w:szCs w:val="24"/>
        </w:rPr>
        <w:t>6 Operating steps and requirements for Sifeng pricking therapy</w:t>
      </w:r>
      <w:bookmarkEnd w:id="182"/>
      <w:bookmarkEnd w:id="183"/>
    </w:p>
    <w:p w14:paraId="1CADD898">
      <w:pPr>
        <w:tabs>
          <w:tab w:val="left" w:pos="360"/>
          <w:tab w:val="left" w:pos="540"/>
        </w:tabs>
        <w:spacing w:before="156" w:beforeLines="50" w:after="156" w:afterLines="50" w:line="276" w:lineRule="auto"/>
        <w:ind w:firstLine="0"/>
        <w:outlineLvl w:val="1"/>
        <w:rPr>
          <w:rFonts w:hint="default" w:ascii="Cambria" w:hAnsi="Cambria" w:eastAsia="黑体" w:cs="Cambria"/>
          <w:b/>
          <w:bCs/>
          <w:sz w:val="24"/>
          <w:szCs w:val="24"/>
        </w:rPr>
      </w:pPr>
      <w:bookmarkStart w:id="184" w:name="_Toc16097"/>
      <w:bookmarkStart w:id="185" w:name="_Toc28456"/>
      <w:r>
        <w:rPr>
          <w:rFonts w:hint="default" w:ascii="Cambria" w:hAnsi="Cambria" w:eastAsia="黑体" w:cs="Cambria"/>
          <w:b/>
          <w:bCs/>
          <w:sz w:val="24"/>
          <w:szCs w:val="24"/>
        </w:rPr>
        <w:t>6.1 Pre-treatment preparation</w:t>
      </w:r>
      <w:bookmarkEnd w:id="184"/>
      <w:bookmarkEnd w:id="185"/>
    </w:p>
    <w:p w14:paraId="5600EAA0">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6.1.1 Selection of needles</w:t>
      </w:r>
    </w:p>
    <w:p w14:paraId="0EB529C0">
      <w:pPr>
        <w:spacing w:line="276" w:lineRule="auto"/>
        <w:ind w:firstLine="420"/>
        <w:rPr>
          <w:rFonts w:hint="default" w:ascii="Cambria" w:hAnsi="Cambria" w:eastAsia="宋体" w:cs="Cambria"/>
          <w:color w:val="000000" w:themeColor="text1"/>
          <w:sz w:val="24"/>
          <w:szCs w:val="24"/>
          <w:lang w:val="en-US" w:eastAsia="zh-CN"/>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Select three-edge needles of different specifications according to the child's age, the thickness of the fingers, and the condition requirements. Small-sized three-edge needles are generally used.</w:t>
      </w:r>
      <w:r>
        <w:rPr>
          <w:rFonts w:hint="default" w:ascii="Cambria" w:hAnsi="Cambria" w:cs="Cambria"/>
          <w:color w:val="000000" w:themeColor="text1"/>
          <w:sz w:val="24"/>
          <w:szCs w:val="24"/>
          <w:lang w:val="en-US" w:eastAsia="zh-CN"/>
          <w14:textFill>
            <w14:solidFill>
              <w14:schemeClr w14:val="tx1"/>
            </w14:solidFill>
          </w14:textFill>
        </w:rPr>
        <w:t xml:space="preserve"> </w:t>
      </w:r>
    </w:p>
    <w:p w14:paraId="31477470">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6.1.2 Disinfection</w:t>
      </w:r>
    </w:p>
    <w:p w14:paraId="3AD44AE3">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6.1.2.1 Needles</w:t>
      </w:r>
    </w:p>
    <w:p w14:paraId="568BC6F2">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Disposable </w:t>
      </w:r>
      <w:r>
        <w:rPr>
          <w:rFonts w:hint="default" w:ascii="Cambria" w:hAnsi="Cambria" w:cs="Cambria"/>
          <w:color w:val="000000" w:themeColor="text1"/>
          <w:sz w:val="24"/>
          <w:szCs w:val="24"/>
          <w:lang w:eastAsia="zh-CN"/>
          <w14:textFill>
            <w14:solidFill>
              <w14:schemeClr w14:val="tx1"/>
            </w14:solidFill>
          </w14:textFill>
        </w:rPr>
        <w:t>three-edge</w:t>
      </w:r>
      <w:r>
        <w:rPr>
          <w:rFonts w:hint="default" w:ascii="Cambria" w:hAnsi="Cambria" w:cs="Cambria"/>
          <w:color w:val="000000" w:themeColor="text1"/>
          <w:sz w:val="24"/>
          <w:szCs w:val="24"/>
          <w14:textFill>
            <w14:solidFill>
              <w14:schemeClr w14:val="tx1"/>
            </w14:solidFill>
          </w14:textFill>
        </w:rPr>
        <w:t> needles shall be selected.</w:t>
      </w:r>
    </w:p>
    <w:p w14:paraId="6F99289A">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6.1.2.2 Site</w:t>
      </w:r>
    </w:p>
    <w:p w14:paraId="694982E3">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Use a cotton ball soaked in 75% ethanol or 0.5%−1% iodophor to disinfect the area around the Sifeng (EX−UE10) acupoints 3 times.</w:t>
      </w:r>
    </w:p>
    <w:p w14:paraId="307321A1">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6.1.2.3 Practitioner</w:t>
      </w:r>
    </w:p>
    <w:p w14:paraId="153C3483">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The practitioner's hands should be washed with soapy water, rinsed thoroughly with clean water, and then wiped with a 75% ethanol cotton ball.</w:t>
      </w:r>
    </w:p>
    <w:p w14:paraId="7E1B3AD2">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6.1.3 Environment</w:t>
      </w:r>
    </w:p>
    <w:p w14:paraId="672E2231">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The treatment room should be clean, quiet, brightly lit, and at an appropriate temperature, avoiding exposure to wind and catching cold.</w:t>
      </w:r>
    </w:p>
    <w:p w14:paraId="1467C7C9">
      <w:pPr>
        <w:pStyle w:val="13"/>
        <w:snapToGrid w:val="0"/>
        <w:spacing w:before="156" w:beforeLines="50" w:after="156" w:afterLines="50" w:line="276" w:lineRule="auto"/>
        <w:jc w:val="left"/>
        <w:outlineLvl w:val="9"/>
        <w:rPr>
          <w:rFonts w:hint="default" w:ascii="Cambria" w:hAnsi="Cambria" w:eastAsia="黑体" w:cs="Cambria"/>
          <w:bCs/>
          <w:sz w:val="24"/>
          <w:szCs w:val="24"/>
          <w:lang w:val="en-US" w:eastAsia="zh-CN"/>
        </w:rPr>
      </w:pPr>
      <w:r>
        <w:rPr>
          <w:rFonts w:hint="default" w:ascii="Cambria" w:hAnsi="Cambria" w:eastAsia="黑体" w:cs="Cambria"/>
          <w:bCs/>
          <w:sz w:val="24"/>
          <w:szCs w:val="24"/>
          <w:lang w:val="en-US" w:eastAsia="zh-CN"/>
        </w:rPr>
        <w:t>6.1.4 Body position</w:t>
      </w:r>
    </w:p>
    <w:p w14:paraId="70D0E6D3">
      <w:pPr>
        <w:spacing w:line="276" w:lineRule="auto"/>
        <w:ind w:firstLine="420"/>
        <w:rPr>
          <w:rFonts w:hint="default" w:ascii="Cambria" w:hAnsi="Cambria" w:eastAsia="宋体" w:cs="Cambria"/>
          <w:color w:val="000000" w:themeColor="text1"/>
          <w:sz w:val="24"/>
          <w:szCs w:val="24"/>
          <w:lang w:val="en-US" w:eastAsia="zh-CN"/>
          <w14:textFill>
            <w14:solidFill>
              <w14:schemeClr w14:val="tx1"/>
            </w14:solidFill>
          </w14:textFill>
        </w:rPr>
      </w:pPr>
      <w:r>
        <w:rPr>
          <w:rFonts w:hint="default" w:ascii="Cambria" w:hAnsi="Cambria" w:eastAsia="宋体" w:cs="Cambria"/>
          <w:color w:val="000000" w:themeColor="text1"/>
          <w:sz w:val="24"/>
          <w:szCs w:val="24"/>
          <w:lang w:val="en-US" w:eastAsia="zh-CN"/>
          <w14:textFill>
            <w14:solidFill>
              <w14:schemeClr w14:val="tx1"/>
            </w14:solidFill>
          </w14:textFill>
        </w:rPr>
        <w:t>Select a treatment position that is comfortable for the child and convenient for the operator. For children under 3 years of age, they are generally seated on a parent</w:t>
      </w:r>
      <w:r>
        <w:rPr>
          <w:rFonts w:hint="default" w:ascii="Cambria" w:hAnsi="Cambria" w:cs="Cambria"/>
          <w:color w:val="000000" w:themeColor="text1"/>
          <w:sz w:val="24"/>
          <w:szCs w:val="24"/>
          <w:lang w:val="en-US" w:eastAsia="zh-CN"/>
          <w14:textFill>
            <w14:solidFill>
              <w14:schemeClr w14:val="tx1"/>
            </w14:solidFill>
          </w14:textFill>
        </w:rPr>
        <w:t>’</w:t>
      </w:r>
      <w:r>
        <w:rPr>
          <w:rFonts w:hint="default" w:ascii="Cambria" w:hAnsi="Cambria" w:eastAsia="宋体" w:cs="Cambria"/>
          <w:color w:val="000000" w:themeColor="text1"/>
          <w:sz w:val="24"/>
          <w:szCs w:val="24"/>
          <w:lang w:val="en-US" w:eastAsia="zh-CN"/>
          <w14:textFill>
            <w14:solidFill>
              <w14:schemeClr w14:val="tx1"/>
            </w14:solidFill>
          </w14:textFill>
        </w:rPr>
        <w:t>s lap, with the parent holding the child</w:t>
      </w:r>
      <w:r>
        <w:rPr>
          <w:rFonts w:hint="default" w:ascii="Cambria" w:hAnsi="Cambria" w:cs="Cambria"/>
          <w:color w:val="000000" w:themeColor="text1"/>
          <w:sz w:val="24"/>
          <w:szCs w:val="24"/>
          <w:lang w:val="en-US" w:eastAsia="zh-CN"/>
          <w14:textFill>
            <w14:solidFill>
              <w14:schemeClr w14:val="tx1"/>
            </w14:solidFill>
          </w14:textFill>
        </w:rPr>
        <w:t>’</w:t>
      </w:r>
      <w:r>
        <w:rPr>
          <w:rFonts w:hint="default" w:ascii="Cambria" w:hAnsi="Cambria" w:eastAsia="宋体" w:cs="Cambria"/>
          <w:color w:val="000000" w:themeColor="text1"/>
          <w:sz w:val="24"/>
          <w:szCs w:val="24"/>
          <w:lang w:val="en-US" w:eastAsia="zh-CN"/>
          <w14:textFill>
            <w14:solidFill>
              <w14:schemeClr w14:val="tx1"/>
            </w14:solidFill>
          </w14:textFill>
        </w:rPr>
        <w:t>s body and arms. The operator stands opposite the child.</w:t>
      </w:r>
    </w:p>
    <w:p w14:paraId="249C26D7">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6.1.5 Acupoints</w:t>
      </w:r>
    </w:p>
    <w:p w14:paraId="4EC7104A">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The Sifeng (EX−UE10) acupoints of the child are used. Select either unilateral or bilateral points based on the condition. Acupoint location shall comply with the regulations of GB/T 40997.</w:t>
      </w:r>
    </w:p>
    <w:p w14:paraId="16EC7265">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6.1.6 Pre-treatment care</w:t>
      </w:r>
    </w:p>
    <w:p w14:paraId="3487841A">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 Bring all equipment and instruments to the child's bedside.</w:t>
      </w:r>
    </w:p>
    <w:p w14:paraId="5AEDF801">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b) Provide proper psychological care for children aged 3 years and above; explain the significance of the treatment and precautions, offer mental comfort and encouragement to eliminate the child's tension and fear, and enable both the child and parents to actively cooperate with the operation.</w:t>
      </w:r>
    </w:p>
    <w:p w14:paraId="4B15F2CD">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c) For uncooperative children under 3 years of age, parents can assist by holding and securing the child in an appropriate position (generally the sitting position) before the procedure.</w:t>
      </w:r>
    </w:p>
    <w:p w14:paraId="43185F87">
      <w:pPr>
        <w:tabs>
          <w:tab w:val="left" w:pos="360"/>
          <w:tab w:val="left" w:pos="540"/>
        </w:tabs>
        <w:spacing w:before="156" w:beforeLines="50" w:after="156" w:afterLines="50" w:line="276" w:lineRule="auto"/>
        <w:ind w:firstLine="0"/>
        <w:outlineLvl w:val="1"/>
        <w:rPr>
          <w:rFonts w:hint="default" w:ascii="Cambria" w:hAnsi="Cambria" w:eastAsia="黑体" w:cs="Cambria"/>
          <w:b/>
          <w:bCs/>
          <w:sz w:val="24"/>
          <w:szCs w:val="24"/>
        </w:rPr>
      </w:pPr>
      <w:bookmarkStart w:id="186" w:name="_Toc22966"/>
      <w:bookmarkStart w:id="187" w:name="_Toc17784"/>
      <w:r>
        <w:rPr>
          <w:rFonts w:hint="default" w:ascii="Cambria" w:hAnsi="Cambria" w:eastAsia="黑体" w:cs="Cambria"/>
          <w:b/>
          <w:bCs/>
          <w:sz w:val="24"/>
          <w:szCs w:val="24"/>
        </w:rPr>
        <w:t>6.2 Manipulation methods</w:t>
      </w:r>
      <w:bookmarkEnd w:id="186"/>
      <w:bookmarkEnd w:id="187"/>
    </w:p>
    <w:p w14:paraId="148A3EEB">
      <w:pPr>
        <w:spacing w:line="276" w:lineRule="auto"/>
        <w:ind w:firstLine="420"/>
        <w:rPr>
          <w:rFonts w:hint="default" w:ascii="Cambria" w:hAnsi="Cambria" w:cs="Cambria"/>
          <w:color w:val="000000" w:themeColor="text1"/>
          <w:sz w:val="24"/>
          <w:szCs w:val="24"/>
          <w:lang w:val="en-US" w:eastAsia="zh-CN"/>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Instruct the child to extend the hand with the palm facing upward and the 2nd to 5th fingers held together. The practitioner's </w:t>
      </w:r>
      <w:r>
        <w:rPr>
          <w:rFonts w:hint="default" w:ascii="Cambria" w:hAnsi="Cambria" w:cs="Cambria"/>
          <w:color w:val="000000" w:themeColor="text1"/>
          <w:sz w:val="24"/>
          <w:szCs w:val="24"/>
          <w:lang w:eastAsia="zh-CN"/>
          <w14:textFill>
            <w14:solidFill>
              <w14:schemeClr w14:val="tx1"/>
            </w14:solidFill>
          </w14:textFill>
        </w:rPr>
        <w:t>supporting hand</w:t>
      </w:r>
      <w:r>
        <w:rPr>
          <w:rFonts w:hint="default" w:ascii="Cambria" w:hAnsi="Cambria" w:cs="Cambria"/>
          <w:color w:val="000000" w:themeColor="text1"/>
          <w:sz w:val="24"/>
          <w:szCs w:val="24"/>
          <w14:textFill>
            <w14:solidFill>
              <w14:schemeClr w14:val="tx1"/>
            </w14:solidFill>
          </w14:textFill>
        </w:rPr>
        <w:t> thumb presses across the tips of the child's four fingers, while the remaining four fingers apply slight force to support the back of the child's fingers. The </w:t>
      </w:r>
      <w:r>
        <w:rPr>
          <w:rFonts w:hint="default" w:ascii="Cambria" w:hAnsi="Cambria" w:cs="Cambria"/>
          <w:color w:val="000000" w:themeColor="text1"/>
          <w:sz w:val="24"/>
          <w:szCs w:val="24"/>
          <w:lang w:eastAsia="zh-CN"/>
          <w14:textFill>
            <w14:solidFill>
              <w14:schemeClr w14:val="tx1"/>
            </w14:solidFill>
          </w14:textFill>
        </w:rPr>
        <w:t>needling hand</w:t>
      </w:r>
      <w:r>
        <w:rPr>
          <w:rFonts w:hint="default" w:ascii="Cambria" w:hAnsi="Cambria" w:cs="Cambria"/>
          <w:color w:val="000000" w:themeColor="text1"/>
          <w:sz w:val="24"/>
          <w:szCs w:val="24"/>
          <w14:textFill>
            <w14:solidFill>
              <w14:schemeClr w14:val="tx1"/>
            </w14:solidFill>
          </w14:textFill>
        </w:rPr>
        <w:t> holds the </w:t>
      </w:r>
      <w:r>
        <w:rPr>
          <w:rFonts w:hint="default" w:ascii="Cambria" w:hAnsi="Cambria" w:cs="Cambria"/>
          <w:color w:val="000000" w:themeColor="text1"/>
          <w:sz w:val="24"/>
          <w:szCs w:val="24"/>
          <w:lang w:eastAsia="zh-CN"/>
          <w14:textFill>
            <w14:solidFill>
              <w14:schemeClr w14:val="tx1"/>
            </w14:solidFill>
          </w14:textFill>
        </w:rPr>
        <w:t>three-edge</w:t>
      </w:r>
      <w:r>
        <w:rPr>
          <w:rFonts w:hint="default" w:ascii="Cambria" w:hAnsi="Cambria" w:cs="Cambria"/>
          <w:color w:val="000000" w:themeColor="text1"/>
          <w:sz w:val="24"/>
          <w:szCs w:val="24"/>
          <w14:textFill>
            <w14:solidFill>
              <w14:schemeClr w14:val="tx1"/>
            </w14:solidFill>
          </w14:textFill>
        </w:rPr>
        <w:t> needle, aims at the center of the transverse crease of the proximal interphalangeal joints on the palmar side of the 2nd to 5th fingers, avoids blood vessels, and pricks rapidly to a depth of 0.5 mm</w:t>
      </w:r>
      <w:r>
        <w:rPr>
          <w:rFonts w:hint="default" w:ascii="Cambria" w:hAnsi="Cambria" w:cs="Cambria"/>
          <w:color w:val="000000" w:themeColor="text1"/>
          <w:sz w:val="24"/>
          <w:szCs w:val="24"/>
          <w:lang w:val="en-US" w:eastAsia="zh-CN"/>
          <w14:textFill>
            <w14:solidFill>
              <w14:schemeClr w14:val="tx1"/>
            </w14:solidFill>
          </w14:textFill>
        </w:rPr>
        <w:t>-</w:t>
      </w:r>
      <w:r>
        <w:rPr>
          <w:rFonts w:hint="default" w:ascii="Cambria" w:hAnsi="Cambria" w:cs="Cambria"/>
          <w:color w:val="000000" w:themeColor="text1"/>
          <w:sz w:val="24"/>
          <w:szCs w:val="24"/>
          <w14:textFill>
            <w14:solidFill>
              <w14:schemeClr w14:val="tx1"/>
            </w14:solidFill>
          </w14:textFill>
        </w:rPr>
        <w:t>3 mm before withdrawing the needle. Use hands to squeeze out yellowish fluid, transparent mucus, or a small amount of blood.</w:t>
      </w:r>
    </w:p>
    <w:p w14:paraId="09ACD584">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 xml:space="preserve">For the course of treatment, see </w:t>
      </w:r>
      <w:r>
        <w:rPr>
          <w:rFonts w:hint="default" w:ascii="Cambria" w:hAnsi="Cambria" w:cs="Cambria"/>
          <w:color w:val="000000" w:themeColor="text1"/>
          <w:sz w:val="24"/>
          <w:szCs w:val="24"/>
          <w:lang w:eastAsia="zh-CN"/>
          <w14:textFill>
            <w14:solidFill>
              <w14:schemeClr w14:val="tx1"/>
            </w14:solidFill>
          </w14:textFill>
        </w:rPr>
        <w:t>Annex</w:t>
      </w:r>
      <w:r>
        <w:rPr>
          <w:rFonts w:hint="default" w:ascii="Cambria" w:hAnsi="Cambria" w:cs="Cambria"/>
          <w:color w:val="000000" w:themeColor="text1"/>
          <w:sz w:val="24"/>
          <w:szCs w:val="24"/>
          <w14:textFill>
            <w14:solidFill>
              <w14:schemeClr w14:val="tx1"/>
            </w14:solidFill>
          </w14:textFill>
        </w:rPr>
        <w:t> C.</w:t>
      </w:r>
    </w:p>
    <w:p w14:paraId="0B1B51DE">
      <w:pPr>
        <w:tabs>
          <w:tab w:val="left" w:pos="360"/>
          <w:tab w:val="left" w:pos="540"/>
        </w:tabs>
        <w:spacing w:before="156" w:beforeLines="50" w:after="156" w:afterLines="50" w:line="276" w:lineRule="auto"/>
        <w:ind w:firstLine="0"/>
        <w:outlineLvl w:val="1"/>
        <w:rPr>
          <w:rFonts w:hint="default" w:ascii="Cambria" w:hAnsi="Cambria" w:eastAsia="黑体" w:cs="Cambria"/>
          <w:b/>
          <w:bCs/>
          <w:sz w:val="24"/>
          <w:szCs w:val="24"/>
        </w:rPr>
      </w:pPr>
      <w:bookmarkStart w:id="188" w:name="_Toc14600"/>
      <w:bookmarkStart w:id="189" w:name="_Toc29903"/>
      <w:r>
        <w:rPr>
          <w:rFonts w:hint="default" w:ascii="Cambria" w:hAnsi="Cambria" w:eastAsia="黑体" w:cs="Cambria"/>
          <w:b/>
          <w:bCs/>
          <w:sz w:val="24"/>
          <w:szCs w:val="24"/>
        </w:rPr>
        <w:t>6.3 Post-treatment handling</w:t>
      </w:r>
      <w:bookmarkEnd w:id="188"/>
      <w:bookmarkEnd w:id="189"/>
    </w:p>
    <w:p w14:paraId="4768349B">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After the procedure, wipe the local area dry with a sterile swab and apply pressure with a sterile cotton ball for 2 min. If bleeding persists, appropriately extend the pressure time. Used swabs and cotton balls shall undergo harmless disposal.</w:t>
      </w:r>
    </w:p>
    <w:p w14:paraId="5DD429D0">
      <w:pPr>
        <w:spacing w:before="312" w:beforeLines="100" w:after="312" w:afterLines="100" w:line="276" w:lineRule="auto"/>
        <w:ind w:firstLine="0"/>
        <w:outlineLvl w:val="0"/>
        <w:rPr>
          <w:rFonts w:hint="default" w:ascii="Cambria" w:hAnsi="Cambria" w:cs="Cambria"/>
          <w:b/>
          <w:bCs/>
          <w:sz w:val="24"/>
          <w:szCs w:val="24"/>
        </w:rPr>
      </w:pPr>
      <w:bookmarkStart w:id="190" w:name="_Toc3341"/>
      <w:bookmarkStart w:id="191" w:name="_Toc15911"/>
      <w:r>
        <w:rPr>
          <w:rFonts w:hint="default" w:ascii="Cambria" w:hAnsi="Cambria" w:cs="Cambria"/>
          <w:b/>
          <w:bCs/>
          <w:sz w:val="24"/>
          <w:szCs w:val="24"/>
        </w:rPr>
        <w:t>7 Operating procedures and requirements for pediatric moxibustion therapy</w:t>
      </w:r>
      <w:bookmarkEnd w:id="190"/>
      <w:bookmarkEnd w:id="191"/>
    </w:p>
    <w:p w14:paraId="112C5494">
      <w:pPr>
        <w:tabs>
          <w:tab w:val="left" w:pos="360"/>
          <w:tab w:val="left" w:pos="540"/>
        </w:tabs>
        <w:spacing w:before="156" w:beforeLines="50" w:after="156" w:afterLines="50" w:line="276" w:lineRule="auto"/>
        <w:ind w:firstLine="0"/>
        <w:outlineLvl w:val="1"/>
        <w:rPr>
          <w:rFonts w:hint="default" w:ascii="Cambria" w:hAnsi="Cambria" w:eastAsia="黑体" w:cs="Cambria"/>
          <w:b/>
          <w:bCs/>
          <w:sz w:val="24"/>
          <w:szCs w:val="24"/>
        </w:rPr>
      </w:pPr>
      <w:bookmarkStart w:id="192" w:name="_Toc30397"/>
      <w:bookmarkStart w:id="193" w:name="_Toc20852"/>
      <w:r>
        <w:rPr>
          <w:rFonts w:hint="default" w:ascii="Cambria" w:hAnsi="Cambria" w:eastAsia="黑体" w:cs="Cambria"/>
          <w:b/>
          <w:bCs/>
          <w:sz w:val="24"/>
          <w:szCs w:val="24"/>
        </w:rPr>
        <w:t>7.1 Preparation before treatment</w:t>
      </w:r>
      <w:bookmarkEnd w:id="192"/>
      <w:bookmarkEnd w:id="193"/>
    </w:p>
    <w:p w14:paraId="6DFECB54">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7.1.1 Moxibustion materials and devices</w:t>
      </w:r>
    </w:p>
    <w:p w14:paraId="71E65F43">
      <w:pPr>
        <w:spacing w:line="276" w:lineRule="auto"/>
        <w:ind w:firstLine="420"/>
        <w:rPr>
          <w:rFonts w:hint="default" w:ascii="Cambria" w:hAnsi="Cambria" w:cs="Cambria"/>
          <w:color w:val="000000" w:themeColor="text1"/>
          <w:sz w:val="24"/>
          <w:szCs w:val="24"/>
          <w:lang w:eastAsia="zh-CN"/>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w:t>
      </w:r>
      <w:r>
        <w:rPr>
          <w:rFonts w:hint="default" w:ascii="Cambria" w:hAnsi="Cambria" w:cs="Cambria"/>
          <w:color w:val="000000" w:themeColor="text1"/>
          <w:sz w:val="24"/>
          <w:szCs w:val="24"/>
          <w:lang w:val="en-US" w:eastAsia="zh-CN"/>
          <w14:textFill>
            <w14:solidFill>
              <w14:schemeClr w14:val="tx1"/>
            </w14:solidFill>
          </w14:textFill>
        </w:rPr>
        <w:t xml:space="preserve"> For moxa stick moxibustion, select an appropriate pure moxa stick or medicinal moxa stick. The moxa stick shall be free from mold and dampness, and the package shall be intact</w:t>
      </w:r>
      <w:r>
        <w:rPr>
          <w:rFonts w:hint="default" w:ascii="Cambria" w:hAnsi="Cambria" w:cs="Cambria"/>
          <w:color w:val="000000" w:themeColor="text1"/>
          <w:sz w:val="24"/>
          <w:szCs w:val="24"/>
          <w14:textFill>
            <w14:solidFill>
              <w14:schemeClr w14:val="tx1"/>
            </w14:solidFill>
          </w14:textFill>
        </w:rPr>
        <w:t>.</w:t>
      </w:r>
    </w:p>
    <w:p w14:paraId="4841C2B9">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b) For moxa cone moxibustion, appropriate pure moxa floss should be selected. The moxa floss should be free from mold and moisture.</w:t>
      </w:r>
    </w:p>
    <w:p w14:paraId="2514F2F6">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 xml:space="preserve">c) For medicinal materials used in indirect moxibustion, refer to </w:t>
      </w:r>
      <w:r>
        <w:rPr>
          <w:rFonts w:hint="default" w:ascii="Cambria" w:hAnsi="Cambria" w:cs="Cambria"/>
          <w:color w:val="000000" w:themeColor="text1"/>
          <w:sz w:val="24"/>
          <w:szCs w:val="24"/>
          <w:lang w:eastAsia="zh-CN"/>
          <w14:textFill>
            <w14:solidFill>
              <w14:schemeClr w14:val="tx1"/>
            </w14:solidFill>
          </w14:textFill>
        </w:rPr>
        <w:t>Annex</w:t>
      </w:r>
      <w:r>
        <w:rPr>
          <w:rFonts w:hint="default" w:ascii="Cambria" w:hAnsi="Cambria" w:cs="Cambria"/>
          <w:color w:val="000000" w:themeColor="text1"/>
          <w:sz w:val="24"/>
          <w:szCs w:val="24"/>
          <w14:textFill>
            <w14:solidFill>
              <w14:schemeClr w14:val="tx1"/>
            </w14:solidFill>
          </w14:textFill>
        </w:rPr>
        <w:t xml:space="preserve"> D; for the selection of moxibustion devices, refer to </w:t>
      </w:r>
      <w:r>
        <w:rPr>
          <w:rFonts w:hint="default" w:ascii="Cambria" w:hAnsi="Cambria" w:cs="Cambria"/>
          <w:color w:val="000000" w:themeColor="text1"/>
          <w:sz w:val="24"/>
          <w:szCs w:val="24"/>
          <w:lang w:eastAsia="zh-CN"/>
          <w14:textFill>
            <w14:solidFill>
              <w14:schemeClr w14:val="tx1"/>
            </w14:solidFill>
          </w14:textFill>
        </w:rPr>
        <w:t>Annex</w:t>
      </w:r>
      <w:r>
        <w:rPr>
          <w:rFonts w:hint="default" w:ascii="Cambria" w:hAnsi="Cambria" w:cs="Cambria"/>
          <w:color w:val="000000" w:themeColor="text1"/>
          <w:sz w:val="24"/>
          <w:szCs w:val="24"/>
          <w14:textFill>
            <w14:solidFill>
              <w14:schemeClr w14:val="tx1"/>
            </w14:solidFill>
          </w14:textFill>
        </w:rPr>
        <w:t> E.</w:t>
      </w:r>
    </w:p>
    <w:p w14:paraId="5CB8D556">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d) Other instruments include ignition tools such as matches, lighters, incense sticks, or paper spills, as well as auxiliary tools such as treatment trays, kidney basins, tweezers, and extinguishing tubes.</w:t>
      </w:r>
    </w:p>
    <w:p w14:paraId="0BDA277A">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 xml:space="preserve">e) For common preparation methods of moxa sticks, see </w:t>
      </w:r>
      <w:r>
        <w:rPr>
          <w:rFonts w:hint="default" w:ascii="Cambria" w:hAnsi="Cambria" w:cs="Cambria"/>
          <w:color w:val="000000" w:themeColor="text1"/>
          <w:sz w:val="24"/>
          <w:szCs w:val="24"/>
          <w:lang w:eastAsia="zh-CN"/>
          <w14:textFill>
            <w14:solidFill>
              <w14:schemeClr w14:val="tx1"/>
            </w14:solidFill>
          </w14:textFill>
        </w:rPr>
        <w:t>Annex</w:t>
      </w:r>
      <w:r>
        <w:rPr>
          <w:rFonts w:hint="default" w:ascii="Cambria" w:hAnsi="Cambria" w:cs="Cambria"/>
          <w:color w:val="000000" w:themeColor="text1"/>
          <w:sz w:val="24"/>
          <w:szCs w:val="24"/>
          <w14:textFill>
            <w14:solidFill>
              <w14:schemeClr w14:val="tx1"/>
            </w14:solidFill>
          </w14:textFill>
        </w:rPr>
        <w:t> F.</w:t>
      </w:r>
    </w:p>
    <w:p w14:paraId="0FA676CB">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7.1.2 Disinfection</w:t>
      </w:r>
    </w:p>
    <w:p w14:paraId="4E984FA7">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7.1.2.1 Instruments</w:t>
      </w:r>
    </w:p>
    <w:p w14:paraId="0667C29F">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Disposable needles shall be used for</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warm</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needling</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moxibustion. The parts of the moxibustion device in contact with the body should be clean.</w:t>
      </w:r>
    </w:p>
    <w:p w14:paraId="54F58846">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7.1.2.2 Site</w:t>
      </w:r>
    </w:p>
    <w:p w14:paraId="0580D7D1">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For warm needling moxibustion, the puncturing site may be wiped in a circular motion from the center outward with a cotton ball soaked in 75% ethanol or 0.5%∼1% iodophor. For other moxibustion methods, the treatment site should be free from contamination.</w:t>
      </w:r>
    </w:p>
    <w:p w14:paraId="4BB32843">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7.1.2.3 Practitioner</w:t>
      </w:r>
    </w:p>
    <w:p w14:paraId="7371A846">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The practitioner's hands should be washed with soapy water and then wiped with a 75% ethanol cotton ball.</w:t>
      </w:r>
    </w:p>
    <w:p w14:paraId="48C2E84F">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7.1.3 Environment</w:t>
      </w:r>
    </w:p>
    <w:p w14:paraId="1FA62ABD">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The treatment room should be clean, quiet, brightly lit, and at an appropriate temperature, avoiding exposure to wind and catching cold.</w:t>
      </w:r>
    </w:p>
    <w:p w14:paraId="238638C6">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7.1.4 Body position</w:t>
      </w:r>
    </w:p>
    <w:p w14:paraId="2580A70A">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Select a treatment position that is comfortable for the child and convenient for the operator. The child patient is generally placed in the prone position or supine position according to the treatment area; children under 3 years of age may also sit on a parent</w:t>
      </w:r>
      <w:r>
        <w:rPr>
          <w:rFonts w:hint="default" w:ascii="Cambria" w:hAnsi="Cambria" w:cs="Cambria"/>
          <w:color w:val="000000" w:themeColor="text1"/>
          <w:sz w:val="24"/>
          <w:szCs w:val="24"/>
          <w:lang w:val="en-US" w:eastAsia="zh-CN"/>
          <w14:textFill>
            <w14:solidFill>
              <w14:schemeClr w14:val="tx1"/>
            </w14:solidFill>
          </w14:textFill>
        </w:rPr>
        <w:t>’</w:t>
      </w:r>
      <w:r>
        <w:rPr>
          <w:rFonts w:hint="default" w:ascii="Cambria" w:hAnsi="Cambria" w:cs="Cambria"/>
          <w:color w:val="000000" w:themeColor="text1"/>
          <w:sz w:val="24"/>
          <w:szCs w:val="24"/>
          <w14:textFill>
            <w14:solidFill>
              <w14:schemeClr w14:val="tx1"/>
            </w14:solidFill>
          </w14:textFill>
        </w:rPr>
        <w:t>s lap. The operator stands on the child</w:t>
      </w:r>
      <w:r>
        <w:rPr>
          <w:rFonts w:hint="default" w:ascii="Cambria" w:hAnsi="Cambria" w:cs="Cambria"/>
          <w:color w:val="000000" w:themeColor="text1"/>
          <w:sz w:val="24"/>
          <w:szCs w:val="24"/>
          <w:lang w:val="en-US" w:eastAsia="zh-CN"/>
          <w14:textFill>
            <w14:solidFill>
              <w14:schemeClr w14:val="tx1"/>
            </w14:solidFill>
          </w14:textFill>
        </w:rPr>
        <w:t>’</w:t>
      </w:r>
      <w:r>
        <w:rPr>
          <w:rFonts w:hint="default" w:ascii="Cambria" w:hAnsi="Cambria" w:cs="Cambria"/>
          <w:color w:val="000000" w:themeColor="text1"/>
          <w:sz w:val="24"/>
          <w:szCs w:val="24"/>
          <w14:textFill>
            <w14:solidFill>
              <w14:schemeClr w14:val="tx1"/>
            </w14:solidFill>
          </w14:textFill>
        </w:rPr>
        <w:t>s right side.</w:t>
      </w:r>
    </w:p>
    <w:p w14:paraId="2FCD73D9">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7.1.5 Acupoints</w:t>
      </w:r>
    </w:p>
    <w:p w14:paraId="3E14663F">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Select appropriate acupoints or treatment sites according to the illness condition. Acupoint location shall comply with the regulations of the WHO Standard Acupuncture Point Locations in the Western Pacific Region, GB/T 12346, and GB/T 40997.</w:t>
      </w:r>
    </w:p>
    <w:p w14:paraId="5B069725">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7.1.6 Pre-treatment care</w:t>
      </w:r>
    </w:p>
    <w:p w14:paraId="7EC33389">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Bring all moxa materials and instruments to the child's bedside.</w:t>
      </w:r>
    </w:p>
    <w:p w14:paraId="2193E40F">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b)</w:t>
      </w:r>
      <w:r>
        <w:rPr>
          <w:rFonts w:hint="default" w:ascii="Cambria" w:hAnsi="Cambria" w:cs="Cambria"/>
          <w:color w:val="000000" w:themeColor="text1"/>
          <w:sz w:val="24"/>
          <w:szCs w:val="24"/>
          <w:lang w:val="en-US" w:eastAsia="zh-CN"/>
          <w14:textFill>
            <w14:solidFill>
              <w14:schemeClr w14:val="tx1"/>
            </w14:solidFill>
          </w14:textFill>
        </w:rPr>
        <w:t xml:space="preserve"> </w:t>
      </w:r>
      <w:r>
        <w:rPr>
          <w:rFonts w:hint="default" w:ascii="Cambria" w:hAnsi="Cambria" w:cs="Cambria"/>
          <w:color w:val="000000" w:themeColor="text1"/>
          <w:sz w:val="24"/>
          <w:szCs w:val="24"/>
          <w14:textFill>
            <w14:solidFill>
              <w14:schemeClr w14:val="tx1"/>
            </w14:solidFill>
          </w14:textFill>
        </w:rPr>
        <w:t>Provide proper psychological care for children aged 3 years and above; explain the significance of the treatment and precautions, offer mental comfort and encouragement to eliminate the child's tension and fear, and enable both the child and parents to actively cooperate with the operation.</w:t>
      </w:r>
    </w:p>
    <w:p w14:paraId="6A04FA78">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c) For uncooperative children under 3 years of age, parents can assist by holding and securing the child in an appropriate position before the procedure.</w:t>
      </w:r>
    </w:p>
    <w:p w14:paraId="173581A3">
      <w:pPr>
        <w:tabs>
          <w:tab w:val="left" w:pos="360"/>
          <w:tab w:val="left" w:pos="540"/>
        </w:tabs>
        <w:spacing w:before="156" w:beforeLines="50" w:after="156" w:afterLines="50" w:line="276" w:lineRule="auto"/>
        <w:ind w:firstLine="0"/>
        <w:outlineLvl w:val="1"/>
        <w:rPr>
          <w:rFonts w:hint="default" w:ascii="Cambria" w:hAnsi="Cambria" w:eastAsia="黑体" w:cs="Cambria"/>
          <w:b/>
          <w:bCs/>
          <w:sz w:val="24"/>
          <w:szCs w:val="24"/>
        </w:rPr>
      </w:pPr>
      <w:bookmarkStart w:id="194" w:name="_Toc5475"/>
      <w:bookmarkStart w:id="195" w:name="_Toc10559"/>
      <w:r>
        <w:rPr>
          <w:rFonts w:hint="default" w:ascii="Cambria" w:hAnsi="Cambria" w:eastAsia="黑体" w:cs="Cambria"/>
          <w:b/>
          <w:bCs/>
          <w:sz w:val="24"/>
          <w:szCs w:val="24"/>
        </w:rPr>
        <w:t>7.2 Manipulation methods</w:t>
      </w:r>
      <w:bookmarkEnd w:id="194"/>
      <w:bookmarkEnd w:id="195"/>
    </w:p>
    <w:p w14:paraId="0D3B0FE4">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7.2.1 Moxa stick moxibustion</w:t>
      </w:r>
    </w:p>
    <w:p w14:paraId="24D2A6A1">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7.2.1.1 Suspended moxibustion</w:t>
      </w:r>
    </w:p>
    <w:p w14:paraId="01EFC479">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Mild moxibustion: The practitioner holds a moxa stick, lights the tip, and suspends the burning end 2 cm</w:t>
      </w:r>
      <w:r>
        <w:rPr>
          <w:rFonts w:hint="default" w:ascii="Cambria" w:hAnsi="Cambria" w:cs="Cambria"/>
          <w:color w:val="000000" w:themeColor="text1"/>
          <w:sz w:val="24"/>
          <w:szCs w:val="24"/>
          <w:lang w:val="en-US" w:eastAsia="zh-CN"/>
          <w14:textFill>
            <w14:solidFill>
              <w14:schemeClr w14:val="tx1"/>
            </w14:solidFill>
          </w14:textFill>
        </w:rPr>
        <w:t>-</w:t>
      </w:r>
      <w:r>
        <w:rPr>
          <w:rFonts w:hint="default" w:ascii="Cambria" w:hAnsi="Cambria" w:cs="Cambria"/>
          <w:color w:val="000000" w:themeColor="text1"/>
          <w:sz w:val="24"/>
          <w:szCs w:val="24"/>
          <w14:textFill>
            <w14:solidFill>
              <w14:schemeClr w14:val="tx1"/>
            </w14:solidFill>
          </w14:textFill>
        </w:rPr>
        <w:t>3 cm above the treatment site so that the heat acts mildly on the area. The procedure is continued until the child feels warm and comfortable without burning pain, and the skin shows slight erythema. This method is gentle and suitable for pediatric use.</w:t>
      </w:r>
    </w:p>
    <w:p w14:paraId="432C328E">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7.2.1.2 Pressing moxibustion</w:t>
      </w:r>
    </w:p>
    <w:p w14:paraId="2E0F4CA9">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Select the treatment site and light one end of a special medicated moxa stick. Lay approximately 5∼10 layers of cotton paper, cotton cloth, or sterile gauze over the acupoint to provide heat insulation and prevent burns. The practitioner holds the moxa stick like a pen, aims the burning end at the treatment site, and presses it firmly onto the acupoint through the covering materials. The stick is held for 1 s</w:t>
      </w:r>
      <w:r>
        <w:rPr>
          <w:rFonts w:hint="default" w:ascii="Cambria" w:hAnsi="Cambria" w:cs="Cambria"/>
          <w:color w:val="000000" w:themeColor="text1"/>
          <w:sz w:val="24"/>
          <w:szCs w:val="24"/>
          <w:lang w:val="en-US" w:eastAsia="zh-CN"/>
          <w14:textFill>
            <w14:solidFill>
              <w14:schemeClr w14:val="tx1"/>
            </w14:solidFill>
          </w14:textFill>
        </w:rPr>
        <w:t xml:space="preserve"> - </w:t>
      </w:r>
      <w:r>
        <w:rPr>
          <w:rFonts w:hint="default" w:ascii="Cambria" w:hAnsi="Cambria" w:cs="Cambria"/>
          <w:color w:val="000000" w:themeColor="text1"/>
          <w:sz w:val="24"/>
          <w:szCs w:val="24"/>
          <w14:textFill>
            <w14:solidFill>
              <w14:schemeClr w14:val="tx1"/>
            </w14:solidFill>
          </w14:textFill>
        </w:rPr>
        <w:t>2 s to allow the medicinal vapor and heat to penetrate deeply. Once the child feels a distinct warm sensation, the stick is lifted and pressed again after a short pause. If the moxa fire goes out during the operation, it can be relit or replaced quickly with a pre-lit spare stick. This process is repeated 3</w:t>
      </w:r>
      <w:r>
        <w:rPr>
          <w:rFonts w:hint="default" w:ascii="Cambria" w:hAnsi="Cambria" w:cs="Cambria"/>
          <w:color w:val="000000" w:themeColor="text1"/>
          <w:sz w:val="24"/>
          <w:szCs w:val="24"/>
          <w:lang w:val="en-US" w:eastAsia="zh-CN"/>
          <w14:textFill>
            <w14:solidFill>
              <w14:schemeClr w14:val="tx1"/>
            </w14:solidFill>
          </w14:textFill>
        </w:rPr>
        <w:t>-</w:t>
      </w:r>
      <w:r>
        <w:rPr>
          <w:rFonts w:hint="default" w:ascii="Cambria" w:hAnsi="Cambria" w:cs="Cambria"/>
          <w:color w:val="000000" w:themeColor="text1"/>
          <w:sz w:val="24"/>
          <w:szCs w:val="24"/>
          <w14:textFill>
            <w14:solidFill>
              <w14:schemeClr w14:val="tx1"/>
            </w14:solidFill>
          </w14:textFill>
        </w:rPr>
        <w:t>7 times for each acupoint until the skin at the site shows warmth and erythema. This is performed 1 time daily or every other day.</w:t>
      </w:r>
    </w:p>
    <w:p w14:paraId="57240832">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7.2.2 Moxa cone moxibustion</w:t>
      </w:r>
    </w:p>
    <w:p w14:paraId="7BF9A789">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7.2.2.1 Direct moxibustion</w:t>
      </w:r>
    </w:p>
    <w:p w14:paraId="4E3B6F99">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First, apply liquid or grease that increases adhesion or stimulation, such as garlic juice, Vaseline, or glycerin, to the local skin of the acupoint. Then, paste the moxa cone onto it and light it from the tip. When the moxa cone is half-burned and the local skin shows erythema or the child feels a burning pain, the practitioner should remove the moxa cone with tweezers. This is called one unit (</w:t>
      </w:r>
      <w:r>
        <w:rPr>
          <w:rFonts w:hint="default" w:ascii="Cambria" w:hAnsi="Cambria" w:cs="Cambria"/>
          <w:i/>
          <w:iCs/>
          <w:color w:val="000000" w:themeColor="text1"/>
          <w:sz w:val="24"/>
          <w:szCs w:val="24"/>
          <w14:textFill>
            <w14:solidFill>
              <w14:schemeClr w14:val="tx1"/>
            </w14:solidFill>
          </w14:textFill>
        </w:rPr>
        <w:t>zhuang</w:t>
      </w:r>
      <w:r>
        <w:rPr>
          <w:rFonts w:hint="default" w:ascii="Cambria" w:hAnsi="Cambria" w:cs="Cambria"/>
          <w:color w:val="000000" w:themeColor="text1"/>
          <w:sz w:val="24"/>
          <w:szCs w:val="24"/>
          <w14:textFill>
            <w14:solidFill>
              <w14:schemeClr w14:val="tx1"/>
            </w14:solidFill>
          </w14:textFill>
        </w:rPr>
        <w:t>). Replace it with another moxa cone and continue the moxibustion until the required number of units (</w:t>
      </w:r>
      <w:r>
        <w:rPr>
          <w:rFonts w:hint="default" w:ascii="Cambria" w:hAnsi="Cambria" w:cs="Cambria"/>
          <w:i/>
          <w:iCs/>
          <w:color w:val="000000" w:themeColor="text1"/>
          <w:sz w:val="24"/>
          <w:szCs w:val="24"/>
          <w14:textFill>
            <w14:solidFill>
              <w14:schemeClr w14:val="tx1"/>
            </w14:solidFill>
          </w14:textFill>
        </w:rPr>
        <w:t>zhuang</w:t>
      </w:r>
      <w:r>
        <w:rPr>
          <w:rFonts w:hint="default" w:ascii="Cambria" w:hAnsi="Cambria" w:cs="Cambria"/>
          <w:color w:val="000000" w:themeColor="text1"/>
          <w:sz w:val="24"/>
          <w:szCs w:val="24"/>
          <w14:textFill>
            <w14:solidFill>
              <w14:schemeClr w14:val="tx1"/>
            </w14:solidFill>
          </w14:textFill>
        </w:rPr>
        <w:t>) is reached.</w:t>
      </w:r>
    </w:p>
    <w:p w14:paraId="2A15CAFB">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7.2.2.2 Indirect moxibustion</w:t>
      </w:r>
    </w:p>
    <w:p w14:paraId="078045EF">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Place the selected and prepared medicinal materials (such as ginger slices, garlic slices, or table salt) on the treatment site. Then place the moxa cone on the medicinal material and light it from the tip. When the moxa cone burns until the local skin shows erythema, if an older child feels pain, the medicinal material may be lifted slightly to leave the skin for a moment and then put back down to continue the treatment. This process may be repeated.</w:t>
      </w:r>
    </w:p>
    <w:p w14:paraId="7AEE1841">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The stimulation intensity for pediatric indirect moxibustion should be mild. The moxa cone should be removed when it is burned to 2/3, or replaced with another one, until the required number of units (</w:t>
      </w:r>
      <w:r>
        <w:rPr>
          <w:rFonts w:hint="default" w:ascii="Cambria" w:hAnsi="Cambria" w:cs="Cambria"/>
          <w:i/>
          <w:iCs/>
          <w:color w:val="000000" w:themeColor="text1"/>
          <w:sz w:val="24"/>
          <w:szCs w:val="24"/>
          <w14:textFill>
            <w14:solidFill>
              <w14:schemeClr w14:val="tx1"/>
            </w14:solidFill>
          </w14:textFill>
        </w:rPr>
        <w:t>zhuang</w:t>
      </w:r>
      <w:r>
        <w:rPr>
          <w:rFonts w:hint="default" w:ascii="Cambria" w:hAnsi="Cambria" w:cs="Cambria"/>
          <w:color w:val="000000" w:themeColor="text1"/>
          <w:sz w:val="24"/>
          <w:szCs w:val="24"/>
          <w14:textFill>
            <w14:solidFill>
              <w14:schemeClr w14:val="tx1"/>
            </w14:solidFill>
          </w14:textFill>
        </w:rPr>
        <w:t xml:space="preserve">) is reached. For common indirect moxibustion methods, see </w:t>
      </w:r>
      <w:r>
        <w:rPr>
          <w:rFonts w:hint="default" w:ascii="Cambria" w:hAnsi="Cambria" w:cs="Cambria"/>
          <w:color w:val="000000" w:themeColor="text1"/>
          <w:sz w:val="24"/>
          <w:szCs w:val="24"/>
          <w:lang w:eastAsia="zh-CN"/>
          <w14:textFill>
            <w14:solidFill>
              <w14:schemeClr w14:val="tx1"/>
            </w14:solidFill>
          </w14:textFill>
        </w:rPr>
        <w:t>Annex</w:t>
      </w:r>
      <w:r>
        <w:rPr>
          <w:rFonts w:hint="default" w:ascii="Cambria" w:hAnsi="Cambria" w:cs="Cambria"/>
          <w:color w:val="000000" w:themeColor="text1"/>
          <w:sz w:val="24"/>
          <w:szCs w:val="24"/>
          <w14:textFill>
            <w14:solidFill>
              <w14:schemeClr w14:val="tx1"/>
            </w14:solidFill>
          </w14:textFill>
        </w:rPr>
        <w:t> D.</w:t>
      </w:r>
    </w:p>
    <w:p w14:paraId="71B8AB8D">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7.2.3 Warm needling moxibustion</w:t>
      </w:r>
    </w:p>
    <w:p w14:paraId="3E8F1B46">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First, insert a filiform needle into the selected acupoint. After the arrival of qi (</w:t>
      </w:r>
      <w:r>
        <w:rPr>
          <w:rFonts w:hint="default" w:ascii="Cambria" w:hAnsi="Cambria" w:cs="Cambria"/>
          <w:i/>
          <w:iCs/>
          <w:color w:val="000000" w:themeColor="text1"/>
          <w:sz w:val="24"/>
          <w:szCs w:val="24"/>
          <w14:textFill>
            <w14:solidFill>
              <w14:schemeClr w14:val="tx1"/>
            </w14:solidFill>
          </w14:textFill>
        </w:rPr>
        <w:t>deqi</w:t>
      </w:r>
      <w:r>
        <w:rPr>
          <w:rFonts w:hint="default" w:ascii="Cambria" w:hAnsi="Cambria" w:cs="Cambria"/>
          <w:color w:val="000000" w:themeColor="text1"/>
          <w:sz w:val="24"/>
          <w:szCs w:val="24"/>
          <w14:textFill>
            <w14:solidFill>
              <w14:schemeClr w14:val="tx1"/>
            </w14:solidFill>
          </w14:textFill>
        </w:rPr>
        <w:t>) and the application of appropriate reinforcing or reducing methods, place a moxa stick segment with a length of 1 cm-2 cm directly onto the needle handle while the needle is retained (the moxa segment should be 3 cm-4 cm away from the skin). Light the moxa for treatment. After the moxa is completely burned out and has no more heat, remove the ash and the needle. During the burning of the moxa segment, if the child finds the heat unbearable, a piece of hard paper of appropriate size may be placed in the acupoint area to reduce the heat intensity.</w:t>
      </w:r>
    </w:p>
    <w:p w14:paraId="1D686776">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 xml:space="preserve">7.2.4 Moxibustion with </w:t>
      </w:r>
      <w:r>
        <w:rPr>
          <w:rFonts w:hint="default" w:ascii="Cambria" w:hAnsi="Cambria" w:eastAsia="黑体" w:cs="Cambria"/>
          <w:bCs/>
          <w:sz w:val="24"/>
          <w:szCs w:val="24"/>
          <w:lang w:val="en-US" w:eastAsia="zh-CN"/>
        </w:rPr>
        <w:t xml:space="preserve">a </w:t>
      </w:r>
      <w:r>
        <w:rPr>
          <w:rFonts w:hint="default" w:ascii="Cambria" w:hAnsi="Cambria" w:eastAsia="黑体" w:cs="Cambria"/>
          <w:bCs/>
          <w:sz w:val="24"/>
          <w:szCs w:val="24"/>
          <w:lang w:val="en-US"/>
        </w:rPr>
        <w:t>moxibustion device</w:t>
      </w:r>
    </w:p>
    <w:p w14:paraId="72A2E68B">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 xml:space="preserve">7.2.4.1 </w:t>
      </w:r>
      <w:r>
        <w:rPr>
          <w:rFonts w:hint="default" w:ascii="Cambria" w:hAnsi="Cambria" w:eastAsia="黑体" w:cs="Cambria"/>
          <w:b/>
          <w:bCs/>
          <w:sz w:val="24"/>
          <w:szCs w:val="24"/>
          <w:lang w:val="en-US" w:eastAsia="zh-CN"/>
        </w:rPr>
        <w:t>M</w:t>
      </w:r>
      <w:r>
        <w:rPr>
          <w:rFonts w:hint="default" w:ascii="Cambria" w:hAnsi="Cambria" w:eastAsia="黑体" w:cs="Cambria"/>
          <w:b/>
          <w:bCs/>
          <w:sz w:val="24"/>
          <w:szCs w:val="24"/>
          <w:lang w:val="en-US"/>
        </w:rPr>
        <w:t>oxibustion with</w:t>
      </w:r>
      <w:r>
        <w:rPr>
          <w:rFonts w:hint="default" w:ascii="Cambria" w:hAnsi="Cambria" w:eastAsia="黑体" w:cs="Cambria"/>
          <w:b/>
          <w:bCs/>
          <w:sz w:val="24"/>
          <w:szCs w:val="24"/>
          <w:lang w:val="en-US" w:eastAsia="zh-CN"/>
        </w:rPr>
        <w:t xml:space="preserve"> moxibustion </w:t>
      </w:r>
      <w:r>
        <w:rPr>
          <w:rFonts w:hint="default" w:ascii="Cambria" w:hAnsi="Cambria" w:eastAsia="黑体" w:cs="Cambria"/>
          <w:b/>
          <w:bCs/>
          <w:sz w:val="24"/>
          <w:szCs w:val="24"/>
          <w:lang w:val="en-US"/>
        </w:rPr>
        <w:t>stand</w:t>
      </w:r>
    </w:p>
    <w:p w14:paraId="2719966B">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 xml:space="preserve">After the moxa stick is ignited, insert it into the top opening of the </w:t>
      </w:r>
      <w:r>
        <w:rPr>
          <w:rFonts w:hint="default" w:ascii="Cambria" w:hAnsi="Cambria" w:cs="Cambria"/>
          <w:color w:val="000000" w:themeColor="text1"/>
          <w:sz w:val="24"/>
          <w:szCs w:val="24"/>
          <w:lang w:eastAsia="zh-CN"/>
          <w14:textFill>
            <w14:solidFill>
              <w14:schemeClr w14:val="tx1"/>
            </w14:solidFill>
          </w14:textFill>
        </w:rPr>
        <w:t>moxibustion stand</w:t>
      </w:r>
      <w:r>
        <w:rPr>
          <w:rFonts w:hint="default" w:ascii="Cambria" w:hAnsi="Cambria" w:cs="Cambria"/>
          <w:color w:val="000000" w:themeColor="text1"/>
          <w:sz w:val="24"/>
          <w:szCs w:val="24"/>
          <w14:textFill>
            <w14:solidFill>
              <w14:schemeClr w14:val="tx1"/>
            </w14:solidFill>
          </w14:textFill>
        </w:rPr>
        <w:t xml:space="preserve"> and secure the rack over the acupoint. The operator may adjust the height of the inserted moxa stick up and down to regulate the moxibustion temperature. It is appropriate when the child feels warmth with slight heat that is tolerable, or when the skin becomes slightly flushed. After moxibustion, remove the </w:t>
      </w:r>
      <w:r>
        <w:rPr>
          <w:rFonts w:hint="default" w:ascii="Cambria" w:hAnsi="Cambria" w:cs="Cambria"/>
          <w:color w:val="000000" w:themeColor="text1"/>
          <w:sz w:val="24"/>
          <w:szCs w:val="24"/>
          <w:lang w:eastAsia="zh-CN"/>
          <w14:textFill>
            <w14:solidFill>
              <w14:schemeClr w14:val="tx1"/>
            </w14:solidFill>
          </w14:textFill>
        </w:rPr>
        <w:t>moxibustion stand</w:t>
      </w:r>
      <w:r>
        <w:rPr>
          <w:rFonts w:hint="default" w:ascii="Cambria" w:hAnsi="Cambria" w:cs="Cambria"/>
          <w:color w:val="000000" w:themeColor="text1"/>
          <w:sz w:val="24"/>
          <w:szCs w:val="24"/>
          <w14:textFill>
            <w14:solidFill>
              <w14:schemeClr w14:val="tx1"/>
            </w14:solidFill>
          </w14:textFill>
        </w:rPr>
        <w:t xml:space="preserve">, take out the moxa stick, and extinguish it. See </w:t>
      </w:r>
      <w:r>
        <w:rPr>
          <w:rFonts w:hint="default" w:ascii="Cambria" w:hAnsi="Cambria" w:cs="Cambria"/>
          <w:color w:val="000000" w:themeColor="text1"/>
          <w:sz w:val="24"/>
          <w:szCs w:val="24"/>
          <w:lang w:eastAsia="zh-CN"/>
          <w14:textFill>
            <w14:solidFill>
              <w14:schemeClr w14:val="tx1"/>
            </w14:solidFill>
          </w14:textFill>
        </w:rPr>
        <w:t>Annex</w:t>
      </w:r>
      <w:r>
        <w:rPr>
          <w:rFonts w:hint="default" w:ascii="Cambria" w:hAnsi="Cambria" w:cs="Cambria"/>
          <w:color w:val="000000" w:themeColor="text1"/>
          <w:sz w:val="24"/>
          <w:szCs w:val="24"/>
          <w14:textFill>
            <w14:solidFill>
              <w14:schemeClr w14:val="tx1"/>
            </w14:solidFill>
          </w14:textFill>
        </w:rPr>
        <w:t> E for the moxa rack.</w:t>
      </w:r>
    </w:p>
    <w:p w14:paraId="727E4B3C">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7.2.4.2 Moxibustion with</w:t>
      </w:r>
      <w:r>
        <w:rPr>
          <w:rFonts w:hint="default" w:ascii="Cambria" w:hAnsi="Cambria" w:eastAsia="黑体" w:cs="Cambria"/>
          <w:b/>
          <w:bCs/>
          <w:sz w:val="24"/>
          <w:szCs w:val="24"/>
          <w:lang w:val="en-US" w:eastAsia="zh-CN"/>
        </w:rPr>
        <w:t xml:space="preserve"> </w:t>
      </w:r>
      <w:r>
        <w:rPr>
          <w:rFonts w:hint="default" w:ascii="Cambria" w:hAnsi="Cambria" w:eastAsia="黑体" w:cs="Cambria"/>
          <w:b/>
          <w:bCs/>
          <w:sz w:val="24"/>
          <w:szCs w:val="24"/>
          <w:lang w:val="en-US"/>
        </w:rPr>
        <w:t>cylinder moxibustion</w:t>
      </w:r>
    </w:p>
    <w:p w14:paraId="3F42CA3F">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 xml:space="preserve">First remove the inner </w:t>
      </w:r>
      <w:r>
        <w:rPr>
          <w:rFonts w:hint="default" w:ascii="Cambria" w:hAnsi="Cambria" w:cs="Cambria"/>
          <w:color w:val="000000" w:themeColor="text1"/>
          <w:sz w:val="24"/>
          <w:szCs w:val="24"/>
          <w:lang w:val="en-US"/>
          <w14:textFill>
            <w14:solidFill>
              <w14:schemeClr w14:val="tx1"/>
            </w14:solidFill>
          </w14:textFill>
        </w:rPr>
        <w:t>cylinder</w:t>
      </w:r>
      <w:r>
        <w:rPr>
          <w:rFonts w:hint="default" w:ascii="Cambria" w:hAnsi="Cambria" w:cs="Cambria"/>
          <w:color w:val="000000" w:themeColor="text1"/>
          <w:sz w:val="24"/>
          <w:szCs w:val="24"/>
          <w14:textFill>
            <w14:solidFill>
              <w14:schemeClr w14:val="tx1"/>
            </w14:solidFill>
          </w14:textFill>
        </w:rPr>
        <w:t xml:space="preserve"> of the moxa </w:t>
      </w:r>
      <w:r>
        <w:rPr>
          <w:rFonts w:hint="default" w:ascii="Cambria" w:hAnsi="Cambria" w:cs="Cambria"/>
          <w:color w:val="000000" w:themeColor="text1"/>
          <w:sz w:val="24"/>
          <w:szCs w:val="24"/>
          <w:lang w:eastAsia="zh-CN"/>
          <w14:textFill>
            <w14:solidFill>
              <w14:schemeClr w14:val="tx1"/>
            </w14:solidFill>
          </w14:textFill>
        </w:rPr>
        <w:t>cylinder</w:t>
      </w:r>
      <w:r>
        <w:rPr>
          <w:rFonts w:hint="default" w:ascii="Cambria" w:hAnsi="Cambria" w:cs="Cambria"/>
          <w:color w:val="000000" w:themeColor="text1"/>
          <w:sz w:val="24"/>
          <w:szCs w:val="24"/>
          <w14:textFill>
            <w14:solidFill>
              <w14:schemeClr w14:val="tx1"/>
            </w14:solidFill>
          </w14:textFill>
        </w:rPr>
        <w:t xml:space="preserve">, fill it with moxa floss, and then fit the outer </w:t>
      </w:r>
      <w:r>
        <w:rPr>
          <w:rFonts w:hint="default" w:ascii="Cambria" w:hAnsi="Cambria" w:cs="Cambria"/>
          <w:color w:val="000000" w:themeColor="text1"/>
          <w:sz w:val="24"/>
          <w:szCs w:val="24"/>
          <w:lang w:eastAsia="zh-CN"/>
          <w14:textFill>
            <w14:solidFill>
              <w14:schemeClr w14:val="tx1"/>
            </w14:solidFill>
          </w14:textFill>
        </w:rPr>
        <w:t>cylinder</w:t>
      </w:r>
      <w:r>
        <w:rPr>
          <w:rFonts w:hint="default" w:ascii="Cambria" w:hAnsi="Cambria" w:cs="Cambria"/>
          <w:color w:val="000000" w:themeColor="text1"/>
          <w:sz w:val="24"/>
          <w:szCs w:val="24"/>
          <w14:textFill>
            <w14:solidFill>
              <w14:schemeClr w14:val="tx1"/>
            </w14:solidFill>
          </w14:textFill>
        </w:rPr>
        <w:t xml:space="preserve"> in place. Ignite the moxa floss in the central part of the inner </w:t>
      </w:r>
      <w:r>
        <w:rPr>
          <w:rFonts w:hint="default" w:ascii="Cambria" w:hAnsi="Cambria" w:cs="Cambria"/>
          <w:color w:val="000000" w:themeColor="text1"/>
          <w:sz w:val="24"/>
          <w:szCs w:val="24"/>
          <w:lang w:eastAsia="zh-CN"/>
          <w14:textFill>
            <w14:solidFill>
              <w14:schemeClr w14:val="tx1"/>
            </w14:solidFill>
          </w14:textFill>
        </w:rPr>
        <w:t>cylinder</w:t>
      </w:r>
      <w:r>
        <w:rPr>
          <w:rFonts w:hint="default" w:ascii="Cambria" w:hAnsi="Cambria" w:cs="Cambria"/>
          <w:color w:val="000000" w:themeColor="text1"/>
          <w:sz w:val="24"/>
          <w:szCs w:val="24"/>
          <w14:textFill>
            <w14:solidFill>
              <w14:schemeClr w14:val="tx1"/>
            </w14:solidFill>
          </w14:textFill>
        </w:rPr>
        <w:t xml:space="preserve"> and place it outdoors. When the outside of the moxa </w:t>
      </w:r>
      <w:r>
        <w:rPr>
          <w:rFonts w:hint="default" w:ascii="Cambria" w:hAnsi="Cambria" w:cs="Cambria"/>
          <w:color w:val="000000" w:themeColor="text1"/>
          <w:sz w:val="24"/>
          <w:szCs w:val="24"/>
          <w:lang w:eastAsia="zh-CN"/>
          <w14:textFill>
            <w14:solidFill>
              <w14:schemeClr w14:val="tx1"/>
            </w14:solidFill>
          </w14:textFill>
        </w:rPr>
        <w:t>cylinder</w:t>
      </w:r>
      <w:r>
        <w:rPr>
          <w:rFonts w:hint="default" w:ascii="Cambria" w:hAnsi="Cambria" w:cs="Cambria"/>
          <w:color w:val="000000" w:themeColor="text1"/>
          <w:sz w:val="24"/>
          <w:szCs w:val="24"/>
          <w14:textFill>
            <w14:solidFill>
              <w14:schemeClr w14:val="tx1"/>
            </w14:solidFill>
          </w14:textFill>
        </w:rPr>
        <w:t xml:space="preserve"> becomes hot and the amount of smoke is reduced, cover it with the top lid and bring it back. The operator places 8 to 10 layers of clean cotton cloth or gauze over the treatment area, then places the moxa </w:t>
      </w:r>
      <w:r>
        <w:rPr>
          <w:rFonts w:hint="default" w:ascii="Cambria" w:hAnsi="Cambria" w:cs="Cambria"/>
          <w:color w:val="000000" w:themeColor="text1"/>
          <w:sz w:val="24"/>
          <w:szCs w:val="24"/>
          <w:lang w:eastAsia="zh-CN"/>
          <w14:textFill>
            <w14:solidFill>
              <w14:schemeClr w14:val="tx1"/>
            </w14:solidFill>
          </w14:textFill>
        </w:rPr>
        <w:t>cylinder</w:t>
      </w:r>
      <w:r>
        <w:rPr>
          <w:rFonts w:hint="default" w:ascii="Cambria" w:hAnsi="Cambria" w:cs="Cambria"/>
          <w:color w:val="000000" w:themeColor="text1"/>
          <w:sz w:val="24"/>
          <w:szCs w:val="24"/>
          <w14:textFill>
            <w14:solidFill>
              <w14:schemeClr w14:val="tx1"/>
            </w14:solidFill>
          </w14:textFill>
        </w:rPr>
        <w:t xml:space="preserve"> on top of it. It is suitable when the child feels comfortable, the heat is sufficient, and the skin is not scalded. After treatment, remove the moxa </w:t>
      </w:r>
      <w:r>
        <w:rPr>
          <w:rFonts w:hint="default" w:ascii="Cambria" w:hAnsi="Cambria" w:cs="Cambria"/>
          <w:color w:val="000000" w:themeColor="text1"/>
          <w:sz w:val="24"/>
          <w:szCs w:val="24"/>
          <w:lang w:eastAsia="zh-CN"/>
          <w14:textFill>
            <w14:solidFill>
              <w14:schemeClr w14:val="tx1"/>
            </w14:solidFill>
          </w14:textFill>
        </w:rPr>
        <w:t>cylinder</w:t>
      </w:r>
      <w:r>
        <w:rPr>
          <w:rFonts w:hint="default" w:ascii="Cambria" w:hAnsi="Cambria" w:cs="Cambria"/>
          <w:color w:val="000000" w:themeColor="text1"/>
          <w:sz w:val="24"/>
          <w:szCs w:val="24"/>
          <w14:textFill>
            <w14:solidFill>
              <w14:schemeClr w14:val="tx1"/>
            </w14:solidFill>
          </w14:textFill>
        </w:rPr>
        <w:t xml:space="preserve">, take out the moxa and extinguish the ashes. See </w:t>
      </w:r>
      <w:r>
        <w:rPr>
          <w:rFonts w:hint="default" w:ascii="Cambria" w:hAnsi="Cambria" w:cs="Cambria"/>
          <w:color w:val="000000" w:themeColor="text1"/>
          <w:sz w:val="24"/>
          <w:szCs w:val="24"/>
          <w:lang w:eastAsia="zh-CN"/>
          <w14:textFill>
            <w14:solidFill>
              <w14:schemeClr w14:val="tx1"/>
            </w14:solidFill>
          </w14:textFill>
        </w:rPr>
        <w:t>Annex</w:t>
      </w:r>
      <w:r>
        <w:rPr>
          <w:rFonts w:hint="default" w:ascii="Cambria" w:hAnsi="Cambria" w:cs="Cambria"/>
          <w:color w:val="000000" w:themeColor="text1"/>
          <w:sz w:val="24"/>
          <w:szCs w:val="24"/>
          <w14:textFill>
            <w14:solidFill>
              <w14:schemeClr w14:val="tx1"/>
            </w14:solidFill>
          </w14:textFill>
        </w:rPr>
        <w:t xml:space="preserve"> E for the moxa </w:t>
      </w:r>
      <w:r>
        <w:rPr>
          <w:rFonts w:hint="default" w:ascii="Cambria" w:hAnsi="Cambria" w:cs="Cambria"/>
          <w:color w:val="000000" w:themeColor="text1"/>
          <w:sz w:val="24"/>
          <w:szCs w:val="24"/>
          <w:lang w:eastAsia="zh-CN"/>
          <w14:textFill>
            <w14:solidFill>
              <w14:schemeClr w14:val="tx1"/>
            </w14:solidFill>
          </w14:textFill>
        </w:rPr>
        <w:t>cylinder</w:t>
      </w:r>
      <w:r>
        <w:rPr>
          <w:rFonts w:hint="default" w:ascii="Cambria" w:hAnsi="Cambria" w:cs="Cambria"/>
          <w:color w:val="000000" w:themeColor="text1"/>
          <w:sz w:val="24"/>
          <w:szCs w:val="24"/>
          <w14:textFill>
            <w14:solidFill>
              <w14:schemeClr w14:val="tx1"/>
            </w14:solidFill>
          </w14:textFill>
        </w:rPr>
        <w:t>.</w:t>
      </w:r>
    </w:p>
    <w:p w14:paraId="649C838E">
      <w:pPr>
        <w:pStyle w:val="13"/>
        <w:snapToGrid w:val="0"/>
        <w:spacing w:before="156" w:beforeLines="50" w:after="156" w:afterLines="50" w:line="276" w:lineRule="auto"/>
        <w:jc w:val="left"/>
        <w:outlineLvl w:val="9"/>
        <w:rPr>
          <w:rFonts w:hint="default" w:ascii="Cambria" w:hAnsi="Cambria" w:eastAsia="黑体" w:cs="Cambria"/>
          <w:b/>
          <w:bCs/>
          <w:sz w:val="24"/>
          <w:szCs w:val="24"/>
          <w:lang w:val="en-US"/>
        </w:rPr>
      </w:pPr>
      <w:r>
        <w:rPr>
          <w:rFonts w:hint="default" w:ascii="Cambria" w:hAnsi="Cambria" w:eastAsia="黑体" w:cs="Cambria"/>
          <w:b/>
          <w:bCs/>
          <w:sz w:val="24"/>
          <w:szCs w:val="24"/>
          <w:lang w:val="en-US"/>
        </w:rPr>
        <w:t>7.2.4.3 Moxibustion with moxibustion box</w:t>
      </w:r>
    </w:p>
    <w:p w14:paraId="14052DD9">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 xml:space="preserve">Place the </w:t>
      </w:r>
      <w:r>
        <w:rPr>
          <w:rFonts w:hint="default" w:ascii="Cambria" w:hAnsi="Cambria" w:cs="Cambria"/>
          <w:color w:val="000000" w:themeColor="text1"/>
          <w:sz w:val="24"/>
          <w:szCs w:val="24"/>
          <w:lang w:eastAsia="zh-CN"/>
          <w14:textFill>
            <w14:solidFill>
              <w14:schemeClr w14:val="tx1"/>
            </w14:solidFill>
          </w14:textFill>
        </w:rPr>
        <w:t>moxibustion box</w:t>
      </w:r>
      <w:r>
        <w:rPr>
          <w:rFonts w:hint="default" w:ascii="Cambria" w:hAnsi="Cambria" w:cs="Cambria"/>
          <w:color w:val="000000" w:themeColor="text1"/>
          <w:sz w:val="24"/>
          <w:szCs w:val="24"/>
          <w14:textFill>
            <w14:solidFill>
              <w14:schemeClr w14:val="tx1"/>
            </w14:solidFill>
          </w14:textFill>
        </w:rPr>
        <w:t xml:space="preserve"> over the treatment area. After igniting a segment of moxa stick or moxa floss, place it on the wire gauze in the middle-lower part of the </w:t>
      </w:r>
      <w:r>
        <w:rPr>
          <w:rFonts w:hint="default" w:ascii="Cambria" w:hAnsi="Cambria" w:cs="Cambria"/>
          <w:color w:val="000000" w:themeColor="text1"/>
          <w:sz w:val="24"/>
          <w:szCs w:val="24"/>
          <w:lang w:eastAsia="zh-CN"/>
          <w14:textFill>
            <w14:solidFill>
              <w14:schemeClr w14:val="tx1"/>
            </w14:solidFill>
          </w14:textFill>
        </w:rPr>
        <w:t>moxibustion box</w:t>
      </w:r>
      <w:r>
        <w:rPr>
          <w:rFonts w:hint="default" w:ascii="Cambria" w:hAnsi="Cambria" w:cs="Cambria"/>
          <w:color w:val="000000" w:themeColor="text1"/>
          <w:sz w:val="24"/>
          <w:szCs w:val="24"/>
          <w14:textFill>
            <w14:solidFill>
              <w14:schemeClr w14:val="tx1"/>
            </w14:solidFill>
          </w14:textFill>
        </w:rPr>
        <w:t xml:space="preserve">, then cover the box. Apply moxibustion until the child feels warmth that is comfortable and without burning pain, and the skin becomes slightly flushed. If the child feels burning heat, the box lid may be slightly lifted or the </w:t>
      </w:r>
      <w:r>
        <w:rPr>
          <w:rFonts w:hint="default" w:ascii="Cambria" w:hAnsi="Cambria" w:cs="Cambria"/>
          <w:color w:val="000000" w:themeColor="text1"/>
          <w:sz w:val="24"/>
          <w:szCs w:val="24"/>
          <w:lang w:eastAsia="zh-CN"/>
          <w14:textFill>
            <w14:solidFill>
              <w14:schemeClr w14:val="tx1"/>
            </w14:solidFill>
          </w14:textFill>
        </w:rPr>
        <w:t>moxibustion box</w:t>
      </w:r>
      <w:r>
        <w:rPr>
          <w:rFonts w:hint="default" w:ascii="Cambria" w:hAnsi="Cambria" w:cs="Cambria"/>
          <w:color w:val="000000" w:themeColor="text1"/>
          <w:sz w:val="24"/>
          <w:szCs w:val="24"/>
          <w14:textFill>
            <w14:solidFill>
              <w14:schemeClr w14:val="tx1"/>
            </w14:solidFill>
          </w14:textFill>
        </w:rPr>
        <w:t xml:space="preserve"> may be raised to move it away from the skin for a moment, then placed back down and moxibustion continued repeatedly until the required moxibustion amount has been achieved. After treatment, remove the </w:t>
      </w:r>
      <w:r>
        <w:rPr>
          <w:rFonts w:hint="default" w:ascii="Cambria" w:hAnsi="Cambria" w:cs="Cambria"/>
          <w:color w:val="000000" w:themeColor="text1"/>
          <w:sz w:val="24"/>
          <w:szCs w:val="24"/>
          <w:lang w:eastAsia="zh-CN"/>
          <w14:textFill>
            <w14:solidFill>
              <w14:schemeClr w14:val="tx1"/>
            </w14:solidFill>
          </w14:textFill>
        </w:rPr>
        <w:t>moxibustion box</w:t>
      </w:r>
      <w:r>
        <w:rPr>
          <w:rFonts w:hint="default" w:ascii="Cambria" w:hAnsi="Cambria" w:cs="Cambria"/>
          <w:color w:val="000000" w:themeColor="text1"/>
          <w:sz w:val="24"/>
          <w:szCs w:val="24"/>
          <w14:textFill>
            <w14:solidFill>
              <w14:schemeClr w14:val="tx1"/>
            </w14:solidFill>
          </w14:textFill>
        </w:rPr>
        <w:t xml:space="preserve">, take out the moxa and extinguish the ashes. See </w:t>
      </w:r>
      <w:r>
        <w:rPr>
          <w:rFonts w:hint="default" w:ascii="Cambria" w:hAnsi="Cambria" w:cs="Cambria"/>
          <w:color w:val="000000" w:themeColor="text1"/>
          <w:sz w:val="24"/>
          <w:szCs w:val="24"/>
          <w:lang w:eastAsia="zh-CN"/>
          <w14:textFill>
            <w14:solidFill>
              <w14:schemeClr w14:val="tx1"/>
            </w14:solidFill>
          </w14:textFill>
        </w:rPr>
        <w:t>Annex</w:t>
      </w:r>
      <w:r>
        <w:rPr>
          <w:rFonts w:hint="default" w:ascii="Cambria" w:hAnsi="Cambria" w:cs="Cambria"/>
          <w:color w:val="000000" w:themeColor="text1"/>
          <w:sz w:val="24"/>
          <w:szCs w:val="24"/>
          <w14:textFill>
            <w14:solidFill>
              <w14:schemeClr w14:val="tx1"/>
            </w14:solidFill>
          </w14:textFill>
        </w:rPr>
        <w:t xml:space="preserve"> E for the </w:t>
      </w:r>
      <w:r>
        <w:rPr>
          <w:rFonts w:hint="default" w:ascii="Cambria" w:hAnsi="Cambria" w:cs="Cambria"/>
          <w:color w:val="000000" w:themeColor="text1"/>
          <w:sz w:val="24"/>
          <w:szCs w:val="24"/>
          <w:lang w:eastAsia="zh-CN"/>
          <w14:textFill>
            <w14:solidFill>
              <w14:schemeClr w14:val="tx1"/>
            </w14:solidFill>
          </w14:textFill>
        </w:rPr>
        <w:t>moxibustion box</w:t>
      </w:r>
      <w:r>
        <w:rPr>
          <w:rFonts w:hint="default" w:ascii="Cambria" w:hAnsi="Cambria" w:cs="Cambria"/>
          <w:color w:val="000000" w:themeColor="text1"/>
          <w:sz w:val="24"/>
          <w:szCs w:val="24"/>
          <w14:textFill>
            <w14:solidFill>
              <w14:schemeClr w14:val="tx1"/>
            </w14:solidFill>
          </w14:textFill>
        </w:rPr>
        <w:t>.</w:t>
      </w:r>
    </w:p>
    <w:p w14:paraId="66599D5F">
      <w:pPr>
        <w:pStyle w:val="13"/>
        <w:snapToGrid w:val="0"/>
        <w:spacing w:before="156" w:beforeLines="50" w:after="156" w:afterLines="50" w:line="276" w:lineRule="auto"/>
        <w:jc w:val="left"/>
        <w:outlineLvl w:val="9"/>
        <w:rPr>
          <w:rFonts w:hint="default" w:ascii="Cambria" w:hAnsi="Cambria" w:eastAsia="黑体" w:cs="Cambria"/>
          <w:bCs/>
          <w:sz w:val="24"/>
          <w:szCs w:val="24"/>
          <w:lang w:val="en-US"/>
        </w:rPr>
      </w:pPr>
      <w:r>
        <w:rPr>
          <w:rFonts w:hint="default" w:ascii="Cambria" w:hAnsi="Cambria" w:eastAsia="黑体" w:cs="Cambria"/>
          <w:bCs/>
          <w:sz w:val="24"/>
          <w:szCs w:val="24"/>
          <w:lang w:val="en-US"/>
        </w:rPr>
        <w:t>7.2.5 Moxibustion dosage, treatment duration, course of treatment, and management of fainting during moxibustion</w:t>
      </w:r>
    </w:p>
    <w:p w14:paraId="76C8538B">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Moxibustion dosage, treatment time and course, and management of fainting during moxibustion are given in Annex G.</w:t>
      </w:r>
    </w:p>
    <w:p w14:paraId="0E133922">
      <w:pPr>
        <w:tabs>
          <w:tab w:val="left" w:pos="360"/>
          <w:tab w:val="left" w:pos="540"/>
        </w:tabs>
        <w:spacing w:before="156" w:beforeLines="50" w:after="156" w:afterLines="50" w:line="276" w:lineRule="auto"/>
        <w:ind w:firstLine="0"/>
        <w:outlineLvl w:val="1"/>
        <w:rPr>
          <w:rFonts w:hint="default" w:ascii="Cambria" w:hAnsi="Cambria" w:eastAsia="黑体" w:cs="Cambria"/>
          <w:b/>
          <w:bCs/>
          <w:sz w:val="24"/>
          <w:szCs w:val="24"/>
        </w:rPr>
      </w:pPr>
      <w:bookmarkStart w:id="196" w:name="_Toc16259"/>
      <w:bookmarkStart w:id="197" w:name="_Toc3508"/>
      <w:r>
        <w:rPr>
          <w:rFonts w:hint="default" w:ascii="Cambria" w:hAnsi="Cambria" w:eastAsia="黑体" w:cs="Cambria"/>
          <w:b/>
          <w:bCs/>
          <w:sz w:val="24"/>
          <w:szCs w:val="24"/>
        </w:rPr>
        <w:t>7.3 Post-treatment care</w:t>
      </w:r>
      <w:bookmarkEnd w:id="196"/>
      <w:bookmarkEnd w:id="197"/>
    </w:p>
    <w:p w14:paraId="5FE92B21">
      <w:pPr>
        <w:spacing w:line="276" w:lineRule="auto"/>
        <w:ind w:firstLine="420"/>
        <w:rPr>
          <w:rFonts w:hint="default"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After moxibustion, the skin often exhibits erythema and a burning sensation, which do not require treatment and will disappear spontaneously. Care should be taken to avoid skin damage. If local edema or blisters occur at the site: for blisters with a diameter less than 1 cm, avoid rupturing them and allow them to be absorbed naturally; for blisters with a diameter of 1 cm or above with a large amount of fluid, it is recommended to seek assistance from a surgeon for handling.</w:t>
      </w:r>
    </w:p>
    <w:p w14:paraId="055C47A4">
      <w:pPr>
        <w:spacing w:before="312" w:beforeLines="100" w:after="312" w:afterLines="100" w:line="276" w:lineRule="auto"/>
        <w:ind w:firstLine="0"/>
        <w:outlineLvl w:val="0"/>
        <w:rPr>
          <w:rFonts w:ascii="Cambria" w:hAnsi="Cambria" w:cs="Cambria"/>
          <w:b/>
          <w:bCs/>
          <w:sz w:val="24"/>
          <w:szCs w:val="24"/>
        </w:rPr>
      </w:pPr>
      <w:bookmarkStart w:id="198" w:name="_Toc9053"/>
      <w:bookmarkStart w:id="199" w:name="_Toc31238"/>
      <w:r>
        <w:rPr>
          <w:rFonts w:ascii="Cambria" w:hAnsi="Cambria" w:cs="Cambria"/>
          <w:b/>
          <w:bCs/>
          <w:sz w:val="24"/>
          <w:szCs w:val="24"/>
        </w:rPr>
        <w:t>8 Precautions and contraindications</w:t>
      </w:r>
      <w:bookmarkEnd w:id="198"/>
      <w:bookmarkEnd w:id="199"/>
    </w:p>
    <w:p w14:paraId="41BEB2C4">
      <w:pPr>
        <w:spacing w:line="276" w:lineRule="auto"/>
        <w:ind w:firstLine="420"/>
        <w:rPr>
          <w:rFonts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t xml:space="preserve">Precautions and contraindications for pediatric acupuncture and moxibustion therapy are given in </w:t>
      </w:r>
      <w:r>
        <w:rPr>
          <w:rFonts w:hint="default" w:ascii="Cambria" w:hAnsi="Cambria" w:cs="Cambria"/>
          <w:color w:val="000000" w:themeColor="text1"/>
          <w:sz w:val="24"/>
          <w:szCs w:val="24"/>
          <w:lang w:eastAsia="zh-CN"/>
          <w14:textFill>
            <w14:solidFill>
              <w14:schemeClr w14:val="tx1"/>
            </w14:solidFill>
          </w14:textFill>
        </w:rPr>
        <w:t>Annex</w:t>
      </w:r>
      <w:r>
        <w:rPr>
          <w:rFonts w:hint="default" w:ascii="Cambria" w:hAnsi="Cambria" w:cs="Cambria"/>
          <w:color w:val="000000" w:themeColor="text1"/>
          <w:sz w:val="24"/>
          <w:szCs w:val="24"/>
          <w14:textFill>
            <w14:solidFill>
              <w14:schemeClr w14:val="tx1"/>
            </w14:solidFill>
          </w14:textFill>
        </w:rPr>
        <w:t> </w:t>
      </w:r>
      <w:r>
        <w:rPr>
          <w:rFonts w:ascii="Cambria" w:hAnsi="Cambria" w:cs="Cambria"/>
          <w:color w:val="000000" w:themeColor="text1"/>
          <w:sz w:val="24"/>
          <w:szCs w:val="24"/>
          <w14:textFill>
            <w14:solidFill>
              <w14:schemeClr w14:val="tx1"/>
            </w14:solidFill>
          </w14:textFill>
        </w:rPr>
        <w:t>H</w:t>
      </w:r>
      <w:r>
        <w:rPr>
          <w:rFonts w:hint="default" w:ascii="Cambria" w:hAnsi="Cambria" w:cs="Cambria"/>
          <w:color w:val="000000" w:themeColor="text1"/>
          <w:sz w:val="24"/>
          <w:szCs w:val="24"/>
          <w14:textFill>
            <w14:solidFill>
              <w14:schemeClr w14:val="tx1"/>
            </w14:solidFill>
          </w14:textFill>
        </w:rPr>
        <w:t xml:space="preserve"> and </w:t>
      </w:r>
      <w:r>
        <w:rPr>
          <w:rFonts w:hint="default" w:ascii="Cambria" w:hAnsi="Cambria" w:cs="Cambria"/>
          <w:color w:val="000000" w:themeColor="text1"/>
          <w:sz w:val="24"/>
          <w:szCs w:val="24"/>
          <w:lang w:eastAsia="zh-CN"/>
          <w14:textFill>
            <w14:solidFill>
              <w14:schemeClr w14:val="tx1"/>
            </w14:solidFill>
          </w14:textFill>
        </w:rPr>
        <w:t>Annex</w:t>
      </w:r>
      <w:r>
        <w:rPr>
          <w:rFonts w:hint="default" w:ascii="Cambria" w:hAnsi="Cambria" w:cs="Cambria"/>
          <w:color w:val="000000" w:themeColor="text1"/>
          <w:sz w:val="24"/>
          <w:szCs w:val="24"/>
          <w14:textFill>
            <w14:solidFill>
              <w14:schemeClr w14:val="tx1"/>
            </w14:solidFill>
          </w14:textFill>
        </w:rPr>
        <w:t> I.</w:t>
      </w:r>
    </w:p>
    <w:p w14:paraId="162AA427">
      <w:pPr>
        <w:spacing w:line="276" w:lineRule="auto"/>
        <w:ind w:firstLine="420"/>
        <w:rPr>
          <w:rFonts w:ascii="Cambria" w:hAnsi="Cambria" w:cs="Cambria"/>
          <w:color w:val="000000" w:themeColor="text1"/>
          <w:sz w:val="24"/>
          <w:szCs w:val="24"/>
          <w14:textFill>
            <w14:solidFill>
              <w14:schemeClr w14:val="tx1"/>
            </w14:solidFill>
          </w14:textFill>
        </w:rPr>
      </w:pPr>
    </w:p>
    <w:p w14:paraId="111B8C8C">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r>
        <w:rPr>
          <w:rFonts w:ascii="Cambria" w:hAnsi="Cambria" w:cs="Cambria"/>
          <w:color w:val="000000" w:themeColor="text1"/>
          <w:sz w:val="24"/>
          <w:szCs w:val="24"/>
          <w14:textFill>
            <w14:solidFill>
              <w14:schemeClr w14:val="tx1"/>
            </w14:solidFill>
          </w14:textFill>
        </w:rPr>
        <w:br w:type="page"/>
      </w:r>
      <w:bookmarkStart w:id="200" w:name="_Toc4210"/>
      <w:bookmarkStart w:id="201" w:name="_Toc13267"/>
      <w:r>
        <w:rPr>
          <w:rFonts w:ascii="Cambria" w:hAnsi="Cambria" w:cs="Cambria"/>
          <w:b/>
          <w:bCs/>
          <w:sz w:val="24"/>
          <w:szCs w:val="24"/>
          <w:lang w:val="en-US"/>
        </w:rPr>
        <w:t>Annex A</w:t>
      </w:r>
      <w:bookmarkEnd w:id="200"/>
      <w:bookmarkEnd w:id="201"/>
    </w:p>
    <w:p w14:paraId="089DDB8A">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02" w:name="_Toc26193"/>
      <w:bookmarkStart w:id="203" w:name="_Toc438"/>
      <w:r>
        <w:rPr>
          <w:rFonts w:ascii="Cambria" w:hAnsi="Cambria" w:cs="Cambria"/>
          <w:b/>
          <w:bCs/>
          <w:sz w:val="24"/>
          <w:szCs w:val="24"/>
          <w:lang w:val="en-US"/>
        </w:rPr>
        <w:t>(informative)</w:t>
      </w:r>
      <w:bookmarkEnd w:id="202"/>
      <w:bookmarkEnd w:id="203"/>
    </w:p>
    <w:p w14:paraId="3FCD2299">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04" w:name="_Toc7014"/>
      <w:bookmarkStart w:id="205" w:name="_Toc31804"/>
      <w:r>
        <w:rPr>
          <w:rFonts w:ascii="Cambria" w:hAnsi="Cambria" w:cs="Cambria"/>
          <w:b/>
          <w:bCs/>
          <w:sz w:val="24"/>
          <w:szCs w:val="24"/>
          <w:lang w:val="en-US"/>
        </w:rPr>
        <w:t>Commonly used filiform needles</w:t>
      </w:r>
      <w:bookmarkEnd w:id="204"/>
      <w:bookmarkEnd w:id="205"/>
    </w:p>
    <w:p w14:paraId="6A8E3F17">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Filiform needles are the most widely used needle instruments in clinical practice. At present, sterile single-use stainless-steel needles are commonly used. The specifications of filiform needles mainly refer to the thickness and length of the needle body. The commonly used length and diameter specifications of filiform needles are shown in Table A.1 and Table A.2.</w:t>
      </w:r>
    </w:p>
    <w:p w14:paraId="5CFA27E3">
      <w:pPr>
        <w:spacing w:line="276" w:lineRule="auto"/>
        <w:jc w:val="center"/>
        <w:rPr>
          <w:rFonts w:ascii="Cambria" w:hAnsi="Cambria" w:eastAsia="黑体" w:cs="Cambria"/>
          <w:b/>
          <w:bCs/>
          <w:color w:val="000000" w:themeColor="text1"/>
          <w:sz w:val="21"/>
          <w:szCs w:val="21"/>
          <w14:textFill>
            <w14:solidFill>
              <w14:schemeClr w14:val="tx1"/>
            </w14:solidFill>
          </w14:textFill>
        </w:rPr>
      </w:pPr>
      <w:r>
        <w:rPr>
          <w:rFonts w:ascii="Cambria" w:hAnsi="Cambria" w:cs="Cambria"/>
          <w:b/>
          <w:bCs/>
          <w:sz w:val="21"/>
          <w:szCs w:val="21"/>
          <w:lang w:val="en-US"/>
        </w:rPr>
        <w:t>Table A.1</w:t>
      </w:r>
      <w:r>
        <w:rPr>
          <w:rFonts w:hint="default" w:ascii="Cambria" w:hAnsi="Cambria" w:cs="Cambria"/>
          <w:b/>
          <w:bCs/>
          <w:sz w:val="21"/>
          <w:szCs w:val="21"/>
          <w:lang w:val="en-US" w:eastAsia="zh-CN"/>
        </w:rPr>
        <w:t xml:space="preserve"> </w:t>
      </w:r>
      <w:r>
        <w:rPr>
          <w:rFonts w:ascii="Cambria" w:hAnsi="Cambria" w:cs="Cambria"/>
          <w:b/>
          <w:bCs/>
          <w:sz w:val="21"/>
          <w:szCs w:val="21"/>
          <w:lang w:val="en-US"/>
        </w:rPr>
        <w:t>Length specifications of filiform needles</w:t>
      </w:r>
    </w:p>
    <w:tbl>
      <w:tblPr>
        <w:tblStyle w:val="15"/>
        <w:tblW w:w="8324" w:type="dxa"/>
        <w:jc w:val="center"/>
        <w:shd w:val="clear" w:color="auto" w:fill="auto"/>
        <w:tblLayout w:type="fixed"/>
        <w:tblCellMar>
          <w:top w:w="0" w:type="dxa"/>
          <w:left w:w="10" w:type="dxa"/>
          <w:bottom w:w="0" w:type="dxa"/>
          <w:right w:w="10" w:type="dxa"/>
        </w:tblCellMar>
      </w:tblPr>
      <w:tblGrid>
        <w:gridCol w:w="763"/>
        <w:gridCol w:w="758"/>
        <w:gridCol w:w="758"/>
        <w:gridCol w:w="763"/>
        <w:gridCol w:w="758"/>
        <w:gridCol w:w="758"/>
        <w:gridCol w:w="758"/>
        <w:gridCol w:w="763"/>
        <w:gridCol w:w="758"/>
        <w:gridCol w:w="759"/>
        <w:gridCol w:w="728"/>
      </w:tblGrid>
      <w:tr w14:paraId="7FFEF8CC">
        <w:tblPrEx>
          <w:shd w:val="clear" w:color="auto" w:fill="auto"/>
          <w:tblCellMar>
            <w:top w:w="0" w:type="dxa"/>
            <w:left w:w="10" w:type="dxa"/>
            <w:bottom w:w="0" w:type="dxa"/>
            <w:right w:w="10" w:type="dxa"/>
          </w:tblCellMar>
        </w:tblPrEx>
        <w:trPr>
          <w:trHeight w:val="952" w:hRule="exact"/>
          <w:jc w:val="center"/>
        </w:trPr>
        <w:tc>
          <w:tcPr>
            <w:tcW w:w="763" w:type="dxa"/>
            <w:tcBorders>
              <w:top w:val="single" w:color="auto" w:sz="4" w:space="0"/>
              <w:left w:val="single" w:color="auto" w:sz="4" w:space="0"/>
            </w:tcBorders>
            <w:shd w:val="clear" w:color="auto" w:fill="auto"/>
            <w:vAlign w:val="center"/>
          </w:tcPr>
          <w:p w14:paraId="48EDD4AD">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寸</w:t>
            </w:r>
          </w:p>
          <w:p w14:paraId="5418CCA7">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Cun</w:t>
            </w:r>
          </w:p>
        </w:tc>
        <w:tc>
          <w:tcPr>
            <w:tcW w:w="758" w:type="dxa"/>
            <w:tcBorders>
              <w:top w:val="single" w:color="auto" w:sz="4" w:space="0"/>
              <w:left w:val="single" w:color="auto" w:sz="4" w:space="0"/>
            </w:tcBorders>
            <w:shd w:val="clear" w:color="auto" w:fill="auto"/>
            <w:vAlign w:val="center"/>
          </w:tcPr>
          <w:p w14:paraId="4C14F053">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0.5</w:t>
            </w:r>
          </w:p>
        </w:tc>
        <w:tc>
          <w:tcPr>
            <w:tcW w:w="758" w:type="dxa"/>
            <w:tcBorders>
              <w:top w:val="single" w:color="auto" w:sz="4" w:space="0"/>
              <w:left w:val="single" w:color="auto" w:sz="4" w:space="0"/>
            </w:tcBorders>
            <w:shd w:val="clear" w:color="auto" w:fill="auto"/>
            <w:vAlign w:val="center"/>
          </w:tcPr>
          <w:p w14:paraId="53918117">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1.0</w:t>
            </w:r>
          </w:p>
        </w:tc>
        <w:tc>
          <w:tcPr>
            <w:tcW w:w="763" w:type="dxa"/>
            <w:tcBorders>
              <w:top w:val="single" w:color="auto" w:sz="4" w:space="0"/>
              <w:left w:val="single" w:color="auto" w:sz="4" w:space="0"/>
            </w:tcBorders>
            <w:shd w:val="clear" w:color="auto" w:fill="auto"/>
            <w:vAlign w:val="center"/>
          </w:tcPr>
          <w:p w14:paraId="07039A00">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1.5</w:t>
            </w:r>
          </w:p>
        </w:tc>
        <w:tc>
          <w:tcPr>
            <w:tcW w:w="758" w:type="dxa"/>
            <w:tcBorders>
              <w:top w:val="single" w:color="auto" w:sz="4" w:space="0"/>
              <w:left w:val="single" w:color="auto" w:sz="4" w:space="0"/>
            </w:tcBorders>
            <w:shd w:val="clear" w:color="auto" w:fill="auto"/>
            <w:vAlign w:val="center"/>
          </w:tcPr>
          <w:p w14:paraId="4A7D1970">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2.0</w:t>
            </w:r>
          </w:p>
        </w:tc>
        <w:tc>
          <w:tcPr>
            <w:tcW w:w="758" w:type="dxa"/>
            <w:tcBorders>
              <w:top w:val="single" w:color="auto" w:sz="4" w:space="0"/>
              <w:left w:val="single" w:color="auto" w:sz="4" w:space="0"/>
            </w:tcBorders>
            <w:shd w:val="clear" w:color="auto" w:fill="auto"/>
            <w:vAlign w:val="center"/>
          </w:tcPr>
          <w:p w14:paraId="6BC08117">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2.5</w:t>
            </w:r>
          </w:p>
        </w:tc>
        <w:tc>
          <w:tcPr>
            <w:tcW w:w="758" w:type="dxa"/>
            <w:tcBorders>
              <w:top w:val="single" w:color="auto" w:sz="4" w:space="0"/>
              <w:left w:val="single" w:color="auto" w:sz="4" w:space="0"/>
            </w:tcBorders>
            <w:shd w:val="clear" w:color="auto" w:fill="auto"/>
            <w:vAlign w:val="center"/>
          </w:tcPr>
          <w:p w14:paraId="4D94D424">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3.0</w:t>
            </w:r>
          </w:p>
        </w:tc>
        <w:tc>
          <w:tcPr>
            <w:tcW w:w="763" w:type="dxa"/>
            <w:tcBorders>
              <w:top w:val="single" w:color="auto" w:sz="4" w:space="0"/>
              <w:left w:val="single" w:color="auto" w:sz="4" w:space="0"/>
            </w:tcBorders>
            <w:shd w:val="clear" w:color="auto" w:fill="auto"/>
            <w:vAlign w:val="center"/>
          </w:tcPr>
          <w:p w14:paraId="05A5CC1C">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3.5</w:t>
            </w:r>
          </w:p>
        </w:tc>
        <w:tc>
          <w:tcPr>
            <w:tcW w:w="758" w:type="dxa"/>
            <w:tcBorders>
              <w:top w:val="single" w:color="auto" w:sz="4" w:space="0"/>
              <w:left w:val="single" w:color="auto" w:sz="4" w:space="0"/>
            </w:tcBorders>
            <w:shd w:val="clear" w:color="auto" w:fill="auto"/>
            <w:vAlign w:val="center"/>
          </w:tcPr>
          <w:p w14:paraId="6E57BF83">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4</w:t>
            </w:r>
          </w:p>
        </w:tc>
        <w:tc>
          <w:tcPr>
            <w:tcW w:w="759" w:type="dxa"/>
            <w:tcBorders>
              <w:top w:val="single" w:color="auto" w:sz="4" w:space="0"/>
              <w:left w:val="single" w:color="auto" w:sz="4" w:space="0"/>
            </w:tcBorders>
            <w:shd w:val="clear" w:color="auto" w:fill="auto"/>
            <w:vAlign w:val="center"/>
          </w:tcPr>
          <w:p w14:paraId="5AABA80E">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4.5</w:t>
            </w:r>
          </w:p>
        </w:tc>
        <w:tc>
          <w:tcPr>
            <w:tcW w:w="728" w:type="dxa"/>
            <w:tcBorders>
              <w:top w:val="single" w:color="auto" w:sz="4" w:space="0"/>
              <w:left w:val="single" w:color="auto" w:sz="4" w:space="0"/>
              <w:right w:val="single" w:color="auto" w:sz="4" w:space="0"/>
            </w:tcBorders>
            <w:shd w:val="clear" w:color="auto" w:fill="auto"/>
            <w:vAlign w:val="center"/>
          </w:tcPr>
          <w:p w14:paraId="0D7DD258">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5</w:t>
            </w:r>
          </w:p>
        </w:tc>
      </w:tr>
      <w:tr w14:paraId="162B9BBD">
        <w:tblPrEx>
          <w:shd w:val="clear" w:color="auto" w:fill="auto"/>
          <w:tblCellMar>
            <w:top w:w="0" w:type="dxa"/>
            <w:left w:w="10" w:type="dxa"/>
            <w:bottom w:w="0" w:type="dxa"/>
            <w:right w:w="10" w:type="dxa"/>
          </w:tblCellMar>
        </w:tblPrEx>
        <w:trPr>
          <w:trHeight w:val="1481" w:hRule="exact"/>
          <w:jc w:val="center"/>
        </w:trPr>
        <w:tc>
          <w:tcPr>
            <w:tcW w:w="763" w:type="dxa"/>
            <w:tcBorders>
              <w:top w:val="single" w:color="auto" w:sz="4" w:space="0"/>
              <w:left w:val="single" w:color="auto" w:sz="4" w:space="0"/>
              <w:bottom w:val="single" w:color="auto" w:sz="4" w:space="0"/>
            </w:tcBorders>
            <w:shd w:val="clear" w:color="auto" w:fill="auto"/>
            <w:vAlign w:val="center"/>
          </w:tcPr>
          <w:p w14:paraId="4DDDBD65">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长度</w:t>
            </w:r>
          </w:p>
          <w:p w14:paraId="52BE633D">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mm</w:t>
            </w:r>
          </w:p>
          <w:p w14:paraId="78B8EA64">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Length / mm</w:t>
            </w:r>
          </w:p>
        </w:tc>
        <w:tc>
          <w:tcPr>
            <w:tcW w:w="758" w:type="dxa"/>
            <w:tcBorders>
              <w:top w:val="single" w:color="auto" w:sz="4" w:space="0"/>
              <w:left w:val="single" w:color="auto" w:sz="4" w:space="0"/>
              <w:bottom w:val="single" w:color="auto" w:sz="4" w:space="0"/>
            </w:tcBorders>
            <w:shd w:val="clear" w:color="auto" w:fill="auto"/>
            <w:vAlign w:val="center"/>
          </w:tcPr>
          <w:p w14:paraId="0F452E49">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15</w:t>
            </w:r>
          </w:p>
        </w:tc>
        <w:tc>
          <w:tcPr>
            <w:tcW w:w="758" w:type="dxa"/>
            <w:tcBorders>
              <w:top w:val="single" w:color="auto" w:sz="4" w:space="0"/>
              <w:left w:val="single" w:color="auto" w:sz="4" w:space="0"/>
              <w:bottom w:val="single" w:color="auto" w:sz="4" w:space="0"/>
            </w:tcBorders>
            <w:shd w:val="clear" w:color="auto" w:fill="auto"/>
            <w:vAlign w:val="center"/>
          </w:tcPr>
          <w:p w14:paraId="2119B684">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25</w:t>
            </w:r>
          </w:p>
        </w:tc>
        <w:tc>
          <w:tcPr>
            <w:tcW w:w="763" w:type="dxa"/>
            <w:tcBorders>
              <w:top w:val="single" w:color="auto" w:sz="4" w:space="0"/>
              <w:left w:val="single" w:color="auto" w:sz="4" w:space="0"/>
              <w:bottom w:val="single" w:color="auto" w:sz="4" w:space="0"/>
            </w:tcBorders>
            <w:shd w:val="clear" w:color="auto" w:fill="auto"/>
            <w:vAlign w:val="center"/>
          </w:tcPr>
          <w:p w14:paraId="518ADF68">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40</w:t>
            </w:r>
          </w:p>
        </w:tc>
        <w:tc>
          <w:tcPr>
            <w:tcW w:w="758" w:type="dxa"/>
            <w:tcBorders>
              <w:top w:val="single" w:color="auto" w:sz="4" w:space="0"/>
              <w:left w:val="single" w:color="auto" w:sz="4" w:space="0"/>
              <w:bottom w:val="single" w:color="auto" w:sz="4" w:space="0"/>
            </w:tcBorders>
            <w:shd w:val="clear" w:color="auto" w:fill="auto"/>
            <w:vAlign w:val="center"/>
          </w:tcPr>
          <w:p w14:paraId="40BD7F28">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50</w:t>
            </w:r>
          </w:p>
        </w:tc>
        <w:tc>
          <w:tcPr>
            <w:tcW w:w="758" w:type="dxa"/>
            <w:tcBorders>
              <w:top w:val="single" w:color="auto" w:sz="4" w:space="0"/>
              <w:left w:val="single" w:color="auto" w:sz="4" w:space="0"/>
              <w:bottom w:val="single" w:color="auto" w:sz="4" w:space="0"/>
            </w:tcBorders>
            <w:shd w:val="clear" w:color="auto" w:fill="auto"/>
            <w:vAlign w:val="center"/>
          </w:tcPr>
          <w:p w14:paraId="3B183067">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65</w:t>
            </w:r>
          </w:p>
        </w:tc>
        <w:tc>
          <w:tcPr>
            <w:tcW w:w="758" w:type="dxa"/>
            <w:tcBorders>
              <w:top w:val="single" w:color="auto" w:sz="4" w:space="0"/>
              <w:left w:val="single" w:color="auto" w:sz="4" w:space="0"/>
              <w:bottom w:val="single" w:color="auto" w:sz="4" w:space="0"/>
            </w:tcBorders>
            <w:shd w:val="clear" w:color="auto" w:fill="auto"/>
            <w:vAlign w:val="center"/>
          </w:tcPr>
          <w:p w14:paraId="289D81C5">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75</w:t>
            </w:r>
          </w:p>
        </w:tc>
        <w:tc>
          <w:tcPr>
            <w:tcW w:w="763" w:type="dxa"/>
            <w:tcBorders>
              <w:top w:val="single" w:color="auto" w:sz="4" w:space="0"/>
              <w:left w:val="single" w:color="auto" w:sz="4" w:space="0"/>
              <w:bottom w:val="single" w:color="auto" w:sz="4" w:space="0"/>
            </w:tcBorders>
            <w:shd w:val="clear" w:color="auto" w:fill="auto"/>
            <w:vAlign w:val="center"/>
          </w:tcPr>
          <w:p w14:paraId="716DCEC7">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90</w:t>
            </w:r>
          </w:p>
        </w:tc>
        <w:tc>
          <w:tcPr>
            <w:tcW w:w="758" w:type="dxa"/>
            <w:tcBorders>
              <w:top w:val="single" w:color="auto" w:sz="4" w:space="0"/>
              <w:left w:val="single" w:color="auto" w:sz="4" w:space="0"/>
              <w:bottom w:val="single" w:color="auto" w:sz="4" w:space="0"/>
            </w:tcBorders>
            <w:shd w:val="clear" w:color="auto" w:fill="auto"/>
            <w:vAlign w:val="center"/>
          </w:tcPr>
          <w:p w14:paraId="55789879">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100</w:t>
            </w:r>
          </w:p>
        </w:tc>
        <w:tc>
          <w:tcPr>
            <w:tcW w:w="759" w:type="dxa"/>
            <w:tcBorders>
              <w:top w:val="single" w:color="auto" w:sz="4" w:space="0"/>
              <w:left w:val="single" w:color="auto" w:sz="4" w:space="0"/>
              <w:bottom w:val="single" w:color="auto" w:sz="4" w:space="0"/>
            </w:tcBorders>
            <w:shd w:val="clear" w:color="auto" w:fill="auto"/>
            <w:vAlign w:val="center"/>
          </w:tcPr>
          <w:p w14:paraId="6A5C3EFF">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115</w:t>
            </w:r>
          </w:p>
        </w:tc>
        <w:tc>
          <w:tcPr>
            <w:tcW w:w="728" w:type="dxa"/>
            <w:tcBorders>
              <w:top w:val="single" w:color="auto" w:sz="4" w:space="0"/>
              <w:left w:val="single" w:color="auto" w:sz="4" w:space="0"/>
              <w:bottom w:val="single" w:color="auto" w:sz="4" w:space="0"/>
              <w:right w:val="single" w:color="auto" w:sz="4" w:space="0"/>
            </w:tcBorders>
            <w:shd w:val="clear" w:color="auto" w:fill="auto"/>
            <w:vAlign w:val="center"/>
          </w:tcPr>
          <w:p w14:paraId="14F100A8">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125</w:t>
            </w:r>
          </w:p>
        </w:tc>
      </w:tr>
    </w:tbl>
    <w:p w14:paraId="09E1C3B6">
      <w:pPr>
        <w:spacing w:line="276" w:lineRule="auto"/>
        <w:jc w:val="center"/>
        <w:rPr>
          <w:rFonts w:ascii="Cambria" w:hAnsi="Cambria" w:cs="Cambria"/>
          <w:color w:val="000000" w:themeColor="text1"/>
          <w:sz w:val="21"/>
          <w:szCs w:val="21"/>
          <w14:textFill>
            <w14:solidFill>
              <w14:schemeClr w14:val="tx1"/>
            </w14:solidFill>
          </w14:textFill>
        </w:rPr>
      </w:pPr>
    </w:p>
    <w:p w14:paraId="3E167811">
      <w:pPr>
        <w:spacing w:line="276" w:lineRule="auto"/>
        <w:jc w:val="center"/>
        <w:rPr>
          <w:rFonts w:ascii="Cambria" w:hAnsi="Cambria" w:eastAsia="黑体" w:cs="Cambria"/>
          <w:b/>
          <w:bCs/>
          <w:color w:val="000000" w:themeColor="text1"/>
          <w:sz w:val="21"/>
          <w:szCs w:val="21"/>
          <w14:textFill>
            <w14:solidFill>
              <w14:schemeClr w14:val="tx1"/>
            </w14:solidFill>
          </w14:textFill>
        </w:rPr>
      </w:pPr>
      <w:r>
        <w:rPr>
          <w:rFonts w:ascii="Cambria" w:hAnsi="Cambria" w:cs="Cambria"/>
          <w:b/>
          <w:bCs/>
          <w:sz w:val="21"/>
          <w:szCs w:val="21"/>
          <w:lang w:val="en-US"/>
        </w:rPr>
        <w:t>Table A.2 - Diameter specifications of filiform needles</w:t>
      </w:r>
    </w:p>
    <w:tbl>
      <w:tblPr>
        <w:tblStyle w:val="15"/>
        <w:tblW w:w="4998" w:type="pct"/>
        <w:jc w:val="center"/>
        <w:shd w:val="clear" w:color="auto" w:fill="auto"/>
        <w:tblLayout w:type="autofit"/>
        <w:tblCellMar>
          <w:top w:w="0" w:type="dxa"/>
          <w:left w:w="10" w:type="dxa"/>
          <w:bottom w:w="0" w:type="dxa"/>
          <w:right w:w="10" w:type="dxa"/>
        </w:tblCellMar>
      </w:tblPr>
      <w:tblGrid>
        <w:gridCol w:w="856"/>
        <w:gridCol w:w="681"/>
        <w:gridCol w:w="681"/>
        <w:gridCol w:w="682"/>
        <w:gridCol w:w="682"/>
        <w:gridCol w:w="682"/>
        <w:gridCol w:w="687"/>
        <w:gridCol w:w="682"/>
        <w:gridCol w:w="890"/>
        <w:gridCol w:w="894"/>
        <w:gridCol w:w="906"/>
      </w:tblGrid>
      <w:tr w14:paraId="5D1300B1">
        <w:tblPrEx>
          <w:shd w:val="clear" w:color="auto" w:fill="auto"/>
          <w:tblCellMar>
            <w:top w:w="0" w:type="dxa"/>
            <w:left w:w="10" w:type="dxa"/>
            <w:bottom w:w="0" w:type="dxa"/>
            <w:right w:w="10" w:type="dxa"/>
          </w:tblCellMar>
        </w:tblPrEx>
        <w:trPr>
          <w:trHeight w:val="763" w:hRule="exact"/>
          <w:jc w:val="center"/>
        </w:trPr>
        <w:tc>
          <w:tcPr>
            <w:tcW w:w="421" w:type="pct"/>
            <w:tcBorders>
              <w:top w:val="single" w:color="auto" w:sz="4" w:space="0"/>
              <w:left w:val="single" w:color="auto" w:sz="4" w:space="0"/>
            </w:tcBorders>
            <w:shd w:val="clear" w:color="auto" w:fill="auto"/>
            <w:vAlign w:val="center"/>
          </w:tcPr>
          <w:p w14:paraId="3B8719ED">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号数</w:t>
            </w:r>
          </w:p>
          <w:p w14:paraId="7722F36A">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Size</w:t>
            </w:r>
          </w:p>
        </w:tc>
        <w:tc>
          <w:tcPr>
            <w:tcW w:w="419" w:type="pct"/>
            <w:tcBorders>
              <w:top w:val="single" w:color="auto" w:sz="4" w:space="0"/>
              <w:left w:val="single" w:color="auto" w:sz="4" w:space="0"/>
            </w:tcBorders>
            <w:shd w:val="clear" w:color="auto" w:fill="auto"/>
            <w:vAlign w:val="center"/>
          </w:tcPr>
          <w:p w14:paraId="2D23EDED">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26</w:t>
            </w:r>
          </w:p>
        </w:tc>
        <w:tc>
          <w:tcPr>
            <w:tcW w:w="419" w:type="pct"/>
            <w:tcBorders>
              <w:top w:val="single" w:color="auto" w:sz="4" w:space="0"/>
              <w:left w:val="single" w:color="auto" w:sz="4" w:space="0"/>
            </w:tcBorders>
            <w:shd w:val="clear" w:color="auto" w:fill="auto"/>
            <w:vAlign w:val="center"/>
          </w:tcPr>
          <w:p w14:paraId="30E23AC9">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27</w:t>
            </w:r>
          </w:p>
        </w:tc>
        <w:tc>
          <w:tcPr>
            <w:tcW w:w="419" w:type="pct"/>
            <w:tcBorders>
              <w:top w:val="single" w:color="auto" w:sz="4" w:space="0"/>
              <w:left w:val="single" w:color="auto" w:sz="4" w:space="0"/>
            </w:tcBorders>
            <w:shd w:val="clear" w:color="auto" w:fill="auto"/>
            <w:vAlign w:val="center"/>
          </w:tcPr>
          <w:p w14:paraId="47ADE004">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28</w:t>
            </w:r>
          </w:p>
        </w:tc>
        <w:tc>
          <w:tcPr>
            <w:tcW w:w="419" w:type="pct"/>
            <w:tcBorders>
              <w:top w:val="single" w:color="auto" w:sz="4" w:space="0"/>
              <w:left w:val="single" w:color="auto" w:sz="4" w:space="0"/>
            </w:tcBorders>
            <w:shd w:val="clear" w:color="auto" w:fill="auto"/>
            <w:vAlign w:val="center"/>
          </w:tcPr>
          <w:p w14:paraId="0E632A11">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29</w:t>
            </w:r>
          </w:p>
        </w:tc>
        <w:tc>
          <w:tcPr>
            <w:tcW w:w="419" w:type="pct"/>
            <w:tcBorders>
              <w:top w:val="single" w:color="auto" w:sz="4" w:space="0"/>
              <w:left w:val="single" w:color="auto" w:sz="4" w:space="0"/>
            </w:tcBorders>
            <w:shd w:val="clear" w:color="auto" w:fill="auto"/>
            <w:vAlign w:val="center"/>
          </w:tcPr>
          <w:p w14:paraId="29CA4FF8">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30</w:t>
            </w:r>
          </w:p>
        </w:tc>
        <w:tc>
          <w:tcPr>
            <w:tcW w:w="422" w:type="pct"/>
            <w:tcBorders>
              <w:top w:val="single" w:color="auto" w:sz="4" w:space="0"/>
              <w:left w:val="single" w:color="auto" w:sz="4" w:space="0"/>
            </w:tcBorders>
            <w:shd w:val="clear" w:color="auto" w:fill="auto"/>
            <w:vAlign w:val="center"/>
          </w:tcPr>
          <w:p w14:paraId="5A60820B">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31</w:t>
            </w:r>
          </w:p>
        </w:tc>
        <w:tc>
          <w:tcPr>
            <w:tcW w:w="419" w:type="pct"/>
            <w:tcBorders>
              <w:top w:val="single" w:color="auto" w:sz="4" w:space="0"/>
              <w:left w:val="single" w:color="auto" w:sz="4" w:space="0"/>
            </w:tcBorders>
            <w:shd w:val="clear" w:color="auto" w:fill="auto"/>
            <w:vAlign w:val="center"/>
          </w:tcPr>
          <w:p w14:paraId="0F602382">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32</w:t>
            </w:r>
          </w:p>
        </w:tc>
        <w:tc>
          <w:tcPr>
            <w:tcW w:w="544" w:type="pct"/>
            <w:tcBorders>
              <w:top w:val="single" w:color="auto" w:sz="4" w:space="0"/>
              <w:left w:val="single" w:color="auto" w:sz="4" w:space="0"/>
              <w:right w:val="single" w:color="auto" w:sz="4" w:space="0"/>
            </w:tcBorders>
            <w:shd w:val="clear" w:color="auto" w:fill="auto"/>
            <w:vAlign w:val="center"/>
          </w:tcPr>
          <w:p w14:paraId="60E281F6">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33</w:t>
            </w:r>
          </w:p>
        </w:tc>
        <w:tc>
          <w:tcPr>
            <w:tcW w:w="546" w:type="pct"/>
            <w:tcBorders>
              <w:top w:val="single" w:color="auto" w:sz="4" w:space="0"/>
              <w:left w:val="single" w:color="auto" w:sz="4" w:space="0"/>
              <w:right w:val="single" w:color="auto" w:sz="4" w:space="0"/>
            </w:tcBorders>
            <w:shd w:val="clear" w:color="auto" w:fill="auto"/>
            <w:vAlign w:val="center"/>
          </w:tcPr>
          <w:p w14:paraId="09F87478">
            <w:pPr>
              <w:spacing w:line="276" w:lineRule="auto"/>
              <w:jc w:val="center"/>
              <w:rPr>
                <w:rFonts w:ascii="Cambria" w:hAnsi="Cambria" w:cs="Cambria"/>
                <w:color w:val="000000" w:themeColor="text1"/>
                <w:sz w:val="21"/>
                <w:szCs w:val="21"/>
                <w14:textFill>
                  <w14:solidFill>
                    <w14:schemeClr w14:val="tx1"/>
                  </w14:solidFill>
                </w14:textFill>
              </w:rPr>
            </w:pPr>
            <w:r>
              <w:rPr>
                <w:rFonts w:hint="default" w:ascii="Cambria" w:hAnsi="Cambria" w:cs="Cambria"/>
                <w:color w:val="000000" w:themeColor="text1"/>
                <w:sz w:val="21"/>
                <w:szCs w:val="21"/>
                <w14:textFill>
                  <w14:solidFill>
                    <w14:schemeClr w14:val="tx1"/>
                  </w14:solidFill>
                </w14:textFill>
              </w:rPr>
              <w:t>34</w:t>
            </w:r>
          </w:p>
        </w:tc>
        <w:tc>
          <w:tcPr>
            <w:tcW w:w="911" w:type="dxa"/>
            <w:tcBorders>
              <w:top w:val="single" w:color="auto" w:sz="4" w:space="0"/>
              <w:left w:val="single" w:color="auto" w:sz="4" w:space="0"/>
              <w:right w:val="single" w:color="auto" w:sz="4" w:space="0"/>
            </w:tcBorders>
            <w:shd w:val="clear" w:color="auto" w:fill="auto"/>
            <w:vAlign w:val="center"/>
          </w:tcPr>
          <w:p w14:paraId="23AACFF8">
            <w:pPr>
              <w:spacing w:line="276" w:lineRule="auto"/>
              <w:jc w:val="center"/>
              <w:rPr>
                <w:rFonts w:ascii="Cambria" w:hAnsi="Cambria" w:cs="Cambria"/>
                <w:color w:val="000000" w:themeColor="text1"/>
                <w:sz w:val="21"/>
                <w:szCs w:val="21"/>
                <w14:textFill>
                  <w14:solidFill>
                    <w14:schemeClr w14:val="tx1"/>
                  </w14:solidFill>
                </w14:textFill>
              </w:rPr>
            </w:pPr>
            <w:r>
              <w:rPr>
                <w:rFonts w:hint="default" w:ascii="Cambria" w:hAnsi="Cambria" w:cs="Cambria"/>
                <w:color w:val="000000" w:themeColor="text1"/>
                <w:sz w:val="21"/>
                <w:szCs w:val="21"/>
                <w14:textFill>
                  <w14:solidFill>
                    <w14:schemeClr w14:val="tx1"/>
                  </w14:solidFill>
                </w14:textFill>
              </w:rPr>
              <w:t>36</w:t>
            </w:r>
          </w:p>
        </w:tc>
      </w:tr>
      <w:tr w14:paraId="643AF0F3">
        <w:tblPrEx>
          <w:shd w:val="clear" w:color="auto" w:fill="auto"/>
          <w:tblCellMar>
            <w:top w:w="0" w:type="dxa"/>
            <w:left w:w="10" w:type="dxa"/>
            <w:bottom w:w="0" w:type="dxa"/>
            <w:right w:w="10" w:type="dxa"/>
          </w:tblCellMar>
        </w:tblPrEx>
        <w:trPr>
          <w:trHeight w:val="1459" w:hRule="exact"/>
          <w:jc w:val="center"/>
        </w:trPr>
        <w:tc>
          <w:tcPr>
            <w:tcW w:w="421" w:type="pct"/>
            <w:tcBorders>
              <w:top w:val="single" w:color="auto" w:sz="4" w:space="0"/>
              <w:left w:val="single" w:color="auto" w:sz="4" w:space="0"/>
              <w:bottom w:val="single" w:color="auto" w:sz="4" w:space="0"/>
            </w:tcBorders>
            <w:shd w:val="clear" w:color="auto" w:fill="auto"/>
            <w:vAlign w:val="center"/>
          </w:tcPr>
          <w:p w14:paraId="5122A4E4">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直径</w:t>
            </w:r>
          </w:p>
          <w:p w14:paraId="3CFED826">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mm</w:t>
            </w:r>
          </w:p>
          <w:p w14:paraId="0D6CBD49">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Diameter / mm</w:t>
            </w:r>
          </w:p>
        </w:tc>
        <w:tc>
          <w:tcPr>
            <w:tcW w:w="419" w:type="pct"/>
            <w:tcBorders>
              <w:top w:val="single" w:color="auto" w:sz="4" w:space="0"/>
              <w:left w:val="single" w:color="auto" w:sz="4" w:space="0"/>
              <w:bottom w:val="single" w:color="auto" w:sz="4" w:space="0"/>
            </w:tcBorders>
            <w:shd w:val="clear" w:color="auto" w:fill="auto"/>
            <w:vAlign w:val="center"/>
          </w:tcPr>
          <w:p w14:paraId="5F499C00">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0.45</w:t>
            </w:r>
          </w:p>
        </w:tc>
        <w:tc>
          <w:tcPr>
            <w:tcW w:w="419" w:type="pct"/>
            <w:tcBorders>
              <w:top w:val="single" w:color="auto" w:sz="4" w:space="0"/>
              <w:left w:val="single" w:color="auto" w:sz="4" w:space="0"/>
              <w:bottom w:val="single" w:color="auto" w:sz="4" w:space="0"/>
            </w:tcBorders>
            <w:shd w:val="clear" w:color="auto" w:fill="auto"/>
            <w:vAlign w:val="center"/>
          </w:tcPr>
          <w:p w14:paraId="49BF1D54">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0.42</w:t>
            </w:r>
          </w:p>
        </w:tc>
        <w:tc>
          <w:tcPr>
            <w:tcW w:w="419" w:type="pct"/>
            <w:tcBorders>
              <w:top w:val="single" w:color="auto" w:sz="4" w:space="0"/>
              <w:left w:val="single" w:color="auto" w:sz="4" w:space="0"/>
              <w:bottom w:val="single" w:color="auto" w:sz="4" w:space="0"/>
            </w:tcBorders>
            <w:shd w:val="clear" w:color="auto" w:fill="auto"/>
            <w:vAlign w:val="center"/>
          </w:tcPr>
          <w:p w14:paraId="184F7AC1">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0.38</w:t>
            </w:r>
          </w:p>
        </w:tc>
        <w:tc>
          <w:tcPr>
            <w:tcW w:w="419" w:type="pct"/>
            <w:tcBorders>
              <w:top w:val="single" w:color="auto" w:sz="4" w:space="0"/>
              <w:left w:val="single" w:color="auto" w:sz="4" w:space="0"/>
              <w:bottom w:val="single" w:color="auto" w:sz="4" w:space="0"/>
            </w:tcBorders>
            <w:shd w:val="clear" w:color="auto" w:fill="auto"/>
            <w:vAlign w:val="center"/>
          </w:tcPr>
          <w:p w14:paraId="5176D4B8">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0.34</w:t>
            </w:r>
          </w:p>
        </w:tc>
        <w:tc>
          <w:tcPr>
            <w:tcW w:w="419" w:type="pct"/>
            <w:tcBorders>
              <w:top w:val="single" w:color="auto" w:sz="4" w:space="0"/>
              <w:left w:val="single" w:color="auto" w:sz="4" w:space="0"/>
              <w:bottom w:val="single" w:color="auto" w:sz="4" w:space="0"/>
            </w:tcBorders>
            <w:shd w:val="clear" w:color="auto" w:fill="auto"/>
            <w:vAlign w:val="center"/>
          </w:tcPr>
          <w:p w14:paraId="3BF5DF4F">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0.32</w:t>
            </w:r>
          </w:p>
        </w:tc>
        <w:tc>
          <w:tcPr>
            <w:tcW w:w="422" w:type="pct"/>
            <w:tcBorders>
              <w:top w:val="single" w:color="auto" w:sz="4" w:space="0"/>
              <w:left w:val="single" w:color="auto" w:sz="4" w:space="0"/>
              <w:bottom w:val="single" w:color="auto" w:sz="4" w:space="0"/>
            </w:tcBorders>
            <w:shd w:val="clear" w:color="auto" w:fill="auto"/>
            <w:vAlign w:val="center"/>
          </w:tcPr>
          <w:p w14:paraId="179AC782">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0.30</w:t>
            </w:r>
          </w:p>
        </w:tc>
        <w:tc>
          <w:tcPr>
            <w:tcW w:w="419" w:type="pct"/>
            <w:tcBorders>
              <w:top w:val="single" w:color="auto" w:sz="4" w:space="0"/>
              <w:left w:val="single" w:color="auto" w:sz="4" w:space="0"/>
              <w:bottom w:val="single" w:color="auto" w:sz="4" w:space="0"/>
            </w:tcBorders>
            <w:shd w:val="clear" w:color="auto" w:fill="auto"/>
            <w:vAlign w:val="center"/>
          </w:tcPr>
          <w:p w14:paraId="1EC7AF34">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0.28</w:t>
            </w:r>
          </w:p>
        </w:tc>
        <w:tc>
          <w:tcPr>
            <w:tcW w:w="544" w:type="pct"/>
            <w:tcBorders>
              <w:top w:val="single" w:color="auto" w:sz="4" w:space="0"/>
              <w:left w:val="single" w:color="auto" w:sz="4" w:space="0"/>
              <w:bottom w:val="single" w:color="auto" w:sz="4" w:space="0"/>
              <w:right w:val="single" w:color="auto" w:sz="4" w:space="0"/>
            </w:tcBorders>
            <w:shd w:val="clear" w:color="auto" w:fill="auto"/>
            <w:vAlign w:val="center"/>
          </w:tcPr>
          <w:p w14:paraId="1F0A49F5">
            <w:pPr>
              <w:spacing w:line="276" w:lineRule="auto"/>
              <w:jc w:val="center"/>
              <w:rPr>
                <w:rFonts w:ascii="Cambria" w:hAnsi="Cambria" w:cs="Cambria"/>
                <w:color w:val="000000" w:themeColor="text1"/>
                <w:sz w:val="21"/>
                <w:szCs w:val="21"/>
                <w14:textFill>
                  <w14:solidFill>
                    <w14:schemeClr w14:val="tx1"/>
                  </w14:solidFill>
                </w14:textFill>
              </w:rPr>
            </w:pPr>
            <w:r>
              <w:rPr>
                <w:rFonts w:ascii="Cambria" w:hAnsi="Cambria" w:cs="Cambria"/>
                <w:color w:val="000000" w:themeColor="text1"/>
                <w:sz w:val="21"/>
                <w:szCs w:val="21"/>
                <w14:textFill>
                  <w14:solidFill>
                    <w14:schemeClr w14:val="tx1"/>
                  </w14:solidFill>
                </w14:textFill>
              </w:rPr>
              <w:t>0.26</w:t>
            </w:r>
          </w:p>
        </w:tc>
        <w:tc>
          <w:tcPr>
            <w:tcW w:w="546" w:type="pct"/>
            <w:tcBorders>
              <w:top w:val="single" w:color="auto" w:sz="4" w:space="0"/>
              <w:left w:val="single" w:color="auto" w:sz="4" w:space="0"/>
              <w:bottom w:val="single" w:color="auto" w:sz="4" w:space="0"/>
              <w:right w:val="single" w:color="auto" w:sz="4" w:space="0"/>
            </w:tcBorders>
            <w:shd w:val="clear" w:color="auto" w:fill="auto"/>
            <w:vAlign w:val="center"/>
          </w:tcPr>
          <w:p w14:paraId="37C9E238">
            <w:pPr>
              <w:spacing w:line="276" w:lineRule="auto"/>
              <w:jc w:val="center"/>
              <w:rPr>
                <w:rFonts w:ascii="Cambria" w:hAnsi="Cambria" w:cs="Cambria"/>
                <w:color w:val="000000" w:themeColor="text1"/>
                <w:sz w:val="21"/>
                <w:szCs w:val="21"/>
                <w14:textFill>
                  <w14:solidFill>
                    <w14:schemeClr w14:val="tx1"/>
                  </w14:solidFill>
                </w14:textFill>
              </w:rPr>
            </w:pPr>
            <w:r>
              <w:rPr>
                <w:rFonts w:hint="default" w:ascii="Cambria" w:hAnsi="Cambria" w:cs="Cambria"/>
                <w:color w:val="000000" w:themeColor="text1"/>
                <w:sz w:val="21"/>
                <w:szCs w:val="21"/>
                <w14:textFill>
                  <w14:solidFill>
                    <w14:schemeClr w14:val="tx1"/>
                  </w14:solidFill>
                </w14:textFill>
              </w:rPr>
              <w:t>0.23</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166678D7">
            <w:pPr>
              <w:spacing w:line="276" w:lineRule="auto"/>
              <w:jc w:val="center"/>
              <w:rPr>
                <w:rFonts w:ascii="Cambria" w:hAnsi="Cambria" w:cs="Cambria"/>
                <w:color w:val="000000" w:themeColor="text1"/>
                <w:sz w:val="21"/>
                <w:szCs w:val="21"/>
                <w14:textFill>
                  <w14:solidFill>
                    <w14:schemeClr w14:val="tx1"/>
                  </w14:solidFill>
                </w14:textFill>
              </w:rPr>
            </w:pPr>
            <w:r>
              <w:rPr>
                <w:rFonts w:hint="default" w:ascii="Cambria" w:hAnsi="Cambria" w:cs="Cambria"/>
                <w:color w:val="000000" w:themeColor="text1"/>
                <w:sz w:val="21"/>
                <w:szCs w:val="21"/>
                <w14:textFill>
                  <w14:solidFill>
                    <w14:schemeClr w14:val="tx1"/>
                  </w14:solidFill>
                </w14:textFill>
              </w:rPr>
              <w:t>0.20</w:t>
            </w:r>
          </w:p>
        </w:tc>
      </w:tr>
    </w:tbl>
    <w:p w14:paraId="4B926F6B">
      <w:pPr>
        <w:spacing w:line="276" w:lineRule="auto"/>
        <w:rPr>
          <w:rFonts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br w:type="page"/>
      </w:r>
    </w:p>
    <w:p w14:paraId="1FF3324E">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06" w:name="_Toc28139"/>
      <w:bookmarkStart w:id="207" w:name="_Toc7655"/>
      <w:r>
        <w:rPr>
          <w:rFonts w:ascii="Cambria" w:hAnsi="Cambria" w:cs="Cambria"/>
          <w:b/>
          <w:bCs/>
          <w:sz w:val="24"/>
          <w:szCs w:val="24"/>
          <w:lang w:val="en-US"/>
        </w:rPr>
        <w:t>Annex B</w:t>
      </w:r>
      <w:bookmarkEnd w:id="206"/>
      <w:bookmarkEnd w:id="207"/>
    </w:p>
    <w:p w14:paraId="1981453A">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08" w:name="_Toc20640"/>
      <w:bookmarkStart w:id="209" w:name="_Toc23234"/>
      <w:r>
        <w:rPr>
          <w:rFonts w:ascii="Cambria" w:hAnsi="Cambria" w:cs="Cambria"/>
          <w:b/>
          <w:bCs/>
          <w:sz w:val="24"/>
          <w:szCs w:val="24"/>
          <w:lang w:val="en-US"/>
        </w:rPr>
        <w:t>(informative)</w:t>
      </w:r>
      <w:bookmarkEnd w:id="208"/>
      <w:bookmarkEnd w:id="209"/>
    </w:p>
    <w:p w14:paraId="5898257E">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10" w:name="_Toc31221"/>
      <w:bookmarkStart w:id="211" w:name="_Toc20210"/>
      <w:r>
        <w:rPr>
          <w:rFonts w:ascii="Cambria" w:hAnsi="Cambria" w:cs="Cambria"/>
          <w:b/>
          <w:bCs/>
          <w:sz w:val="24"/>
          <w:szCs w:val="24"/>
          <w:lang w:val="en-US"/>
        </w:rPr>
        <w:t>Acupuncture manipulations</w:t>
      </w:r>
      <w:bookmarkEnd w:id="210"/>
      <w:bookmarkEnd w:id="211"/>
    </w:p>
    <w:p w14:paraId="60E143B2">
      <w:pPr>
        <w:pStyle w:val="13"/>
        <w:spacing w:before="312" w:beforeLines="100" w:after="312" w:afterLines="100" w:line="276" w:lineRule="auto"/>
        <w:jc w:val="both"/>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B.1 Needle manipulation methods</w:t>
      </w:r>
    </w:p>
    <w:p w14:paraId="3CCD4368">
      <w:pPr>
        <w:pStyle w:val="13"/>
        <w:snapToGrid w:val="0"/>
        <w:spacing w:before="156" w:beforeLines="50" w:after="156" w:afterLines="50" w:line="276" w:lineRule="auto"/>
        <w:jc w:val="left"/>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B.1.1 Pressing-along method</w:t>
      </w:r>
    </w:p>
    <w:p w14:paraId="6191F48E">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Before or after needle insertion, the practitioner straightens the index, middle and ring fingers, with the first interphalangeal joints slightly flexed, and uses the finger pads to gently press along, or tap around, the pathway of the meridian to which the needled acupoint belongs, or around the acupoint.</w:t>
      </w:r>
    </w:p>
    <w:p w14:paraId="0236BDE6">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hint="default" w:ascii="Cambria" w:hAnsi="Cambria" w:cs="Cambria"/>
          <w:sz w:val="24"/>
          <w:szCs w:val="24"/>
          <w:lang w:val="en-US" w:eastAsia="zh-CN"/>
        </w:rPr>
        <w:t>Technical considerations</w:t>
      </w:r>
      <w:r>
        <w:rPr>
          <w:rFonts w:ascii="Cambria" w:hAnsi="Cambria" w:cs="Cambria"/>
          <w:sz w:val="24"/>
          <w:szCs w:val="24"/>
          <w:lang w:val="en-US"/>
        </w:rPr>
        <w:t>: The force used in pressing-along shall be appropriate. Excessive force may obstruct the flow of meridian qi, increase muscular tension and cause pain; insufficient force may fail to achieve the intended effect. The pressing-along method is generally performed along the course of the meridian.</w:t>
      </w:r>
    </w:p>
    <w:p w14:paraId="16854605">
      <w:pPr>
        <w:pStyle w:val="13"/>
        <w:snapToGrid w:val="0"/>
        <w:spacing w:before="156" w:beforeLines="50" w:after="156" w:afterLines="50" w:line="276" w:lineRule="auto"/>
        <w:jc w:val="left"/>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B.1.2 Flicking method (flicking and tapping the needle handle)</w:t>
      </w:r>
    </w:p>
    <w:p w14:paraId="1E240AFF">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The practitioner alternately uses the thumb and index finger, or the thumb and middle finger, to gently flick the tail of the needle handle inserted into the acupoint with the fingernail, causing slight vibration of the needle body to regulate meridian qi.</w:t>
      </w:r>
    </w:p>
    <w:p w14:paraId="6E32E7B7">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hint="default" w:ascii="Cambria" w:hAnsi="Cambria" w:cs="Cambria"/>
          <w:sz w:val="24"/>
          <w:szCs w:val="24"/>
          <w:lang w:val="en-US" w:eastAsia="zh-CN"/>
        </w:rPr>
        <w:t>Technical considerations</w:t>
      </w:r>
      <w:r>
        <w:rPr>
          <w:rFonts w:ascii="Cambria" w:hAnsi="Cambria" w:cs="Cambria"/>
          <w:sz w:val="24"/>
          <w:szCs w:val="24"/>
          <w:lang w:val="en-US"/>
        </w:rPr>
        <w:t>: The movement shall not be too forceful or too frequent. In general, the needle handle may be flicked approximately 7 to 10 times during needle retention. The flicking method may be omitted in children under 10 years of age.</w:t>
      </w:r>
    </w:p>
    <w:p w14:paraId="14ECCD66">
      <w:pPr>
        <w:pStyle w:val="13"/>
        <w:snapToGrid w:val="0"/>
        <w:spacing w:before="156" w:beforeLines="50" w:after="156" w:afterLines="50" w:line="276" w:lineRule="auto"/>
        <w:jc w:val="left"/>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B.1.3 Scraping method</w:t>
      </w:r>
    </w:p>
    <w:p w14:paraId="590B1DF2">
      <w:pPr>
        <w:pStyle w:val="13"/>
        <w:snapToGrid w:val="0"/>
        <w:spacing w:before="156" w:beforeLines="50" w:after="156" w:afterLines="50" w:line="276" w:lineRule="auto"/>
        <w:jc w:val="left"/>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B.1.3.1 One-handed needle scraping method</w:t>
      </w:r>
    </w:p>
    <w:p w14:paraId="29FA7398">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The practitioner supports the needle tail with the thumb and lightly scrapes the needle handle downward with the fingernail of the index finger; or supports the needle tail with the index finger and lightly scrapes the needle handle upward with the thumbnail. The practitioner may also support the needle handle with the index and middle fingers and scrape the needle handle upward or downward with the thumb.</w:t>
      </w:r>
    </w:p>
    <w:p w14:paraId="30715AED">
      <w:pPr>
        <w:pStyle w:val="13"/>
        <w:snapToGrid w:val="0"/>
        <w:spacing w:before="156" w:beforeLines="50" w:after="156" w:afterLines="50" w:line="276" w:lineRule="auto"/>
        <w:jc w:val="left"/>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B.1.3.2 Two-handed needle scraping method</w:t>
      </w:r>
    </w:p>
    <w:p w14:paraId="3F70AC3D">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The practitioner presses the head of the needle handle with the tip of the left thumb, applying slight downward force. The index fingers of both hands are flexed, with the backs of the fingers facing each other to hold the needle body, and the thumbnail of the right hand is used to lightly scrape the needle handle upward and downward.</w:t>
      </w:r>
    </w:p>
    <w:p w14:paraId="5811F979">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hint="default" w:ascii="Cambria" w:hAnsi="Cambria" w:cs="Cambria"/>
          <w:sz w:val="24"/>
          <w:szCs w:val="24"/>
          <w:lang w:val="en-US" w:eastAsia="zh-CN"/>
        </w:rPr>
        <w:t>Technical considerations</w:t>
      </w:r>
      <w:r>
        <w:rPr>
          <w:rFonts w:ascii="Cambria" w:hAnsi="Cambria" w:cs="Cambria"/>
          <w:sz w:val="24"/>
          <w:szCs w:val="24"/>
          <w:lang w:val="en-US"/>
        </w:rPr>
        <w:t>: During needle scraping, the finger joints shall be flexible and the force shall be even. The fingernail used for scraping shall be flat and smooth, and shall not be too long or too short.</w:t>
      </w:r>
    </w:p>
    <w:p w14:paraId="6E17D310">
      <w:pPr>
        <w:pStyle w:val="13"/>
        <w:snapToGrid w:val="0"/>
        <w:spacing w:before="156" w:beforeLines="50" w:after="156" w:afterLines="50" w:line="276" w:lineRule="auto"/>
        <w:jc w:val="left"/>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B.1.4 Shaking method</w:t>
      </w:r>
    </w:p>
    <w:p w14:paraId="219CBF3B">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After inserting the needle to a certain depth, the practitioner holds the needle handle and gently shakes it to promote the movement of meridian qi. There are two specific methods: one is to keep the needle body upright and shake it; the other is to incline the needle body, direct the needle tip toward the affected site, and shake it from side to side. During needle withdrawal, the needle may be shaken upward and downward or from side to side to enlarge the needle hole, and then withdrawn rapidly.</w:t>
      </w:r>
    </w:p>
    <w:p w14:paraId="0DC52CD9">
      <w:pPr>
        <w:pStyle w:val="13"/>
        <w:snapToGrid w:val="0"/>
        <w:spacing w:before="156" w:beforeLines="50" w:after="156" w:afterLines="50" w:line="276" w:lineRule="auto"/>
        <w:jc w:val="left"/>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B.1.5 Flying method</w:t>
      </w:r>
    </w:p>
    <w:p w14:paraId="70B41297">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The practitioner uses the thumb and index finger of the right hand. The thumb and index finger are positioned alternately, with the thumb pointing forward and the index finger pointing backward, and both fingers are flexed. The pad of the thumb and the radial side of the first phalanx of the index finger lightly contact the needle handle from the needle root upward, rubbing and rolling it in a spiral manner. The two fingers alternately rub and release, resembling a bird spreading its wings. The force shall be even and consistent, producing a finger sensation similar to needle rotation, but the needle body shall not be lifted upward.</w:t>
      </w:r>
    </w:p>
    <w:p w14:paraId="27FC37F2">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hint="default" w:ascii="Cambria" w:hAnsi="Cambria" w:cs="Cambria"/>
          <w:sz w:val="24"/>
          <w:szCs w:val="24"/>
          <w:lang w:val="en-US" w:eastAsia="zh-CN"/>
        </w:rPr>
        <w:t>Technical considerations</w:t>
      </w:r>
      <w:r>
        <w:rPr>
          <w:rFonts w:ascii="Cambria" w:hAnsi="Cambria" w:cs="Cambria"/>
          <w:sz w:val="24"/>
          <w:szCs w:val="24"/>
          <w:lang w:val="en-US"/>
        </w:rPr>
        <w:t>: Flying needling shall be slow and even, and shall not be too forceful. Excessive force may easily cause needle sticking and pain. The force is applied spirally, upward and outward. The finger technique is funnel-shaped, tight below and loose above. The spiral force contains an upward-lifting component, but the needle shall be lifted without being withdrawn; it also contains a rightward-rotating component, but the needle shall rotate without visible movement. The key to successful flying needling is to cause meridian qi to fill the acupoint, manifested by spontaneous shaking of the needle body.</w:t>
      </w:r>
    </w:p>
    <w:p w14:paraId="07701182">
      <w:pPr>
        <w:pStyle w:val="13"/>
        <w:snapToGrid w:val="0"/>
        <w:spacing w:before="156" w:beforeLines="50" w:after="156" w:afterLines="50" w:line="276" w:lineRule="auto"/>
        <w:jc w:val="left"/>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B.1.6 Vibrating method</w:t>
      </w:r>
    </w:p>
    <w:p w14:paraId="483C1D30">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If deqi is not obtained after needle insertion, the practitioner holds the needle with the thumb and index finger and performs small-amplitude, high-frequency lifting, thrusting, twirling and rotating movements, causing slight vibration of the needle body.</w:t>
      </w:r>
    </w:p>
    <w:p w14:paraId="6A57BCE4">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hint="default" w:ascii="Cambria" w:hAnsi="Cambria" w:cs="Cambria"/>
          <w:sz w:val="24"/>
          <w:szCs w:val="24"/>
          <w:lang w:val="en-US" w:eastAsia="zh-CN"/>
        </w:rPr>
        <w:t>Technical considerations</w:t>
      </w:r>
      <w:r>
        <w:rPr>
          <w:rFonts w:ascii="Cambria" w:hAnsi="Cambria" w:cs="Cambria"/>
          <w:sz w:val="24"/>
          <w:szCs w:val="24"/>
          <w:lang w:val="en-US"/>
        </w:rPr>
        <w:t>: The vibrating method should be gentle and delicate, with fine movements. Large-amplitude vibration or shaking is not appropriate, in order to avoid pain and needle sticking.</w:t>
      </w:r>
    </w:p>
    <w:p w14:paraId="2EFD5727">
      <w:pPr>
        <w:pStyle w:val="13"/>
        <w:spacing w:before="312" w:beforeLines="100" w:after="312" w:afterLines="100" w:line="276" w:lineRule="auto"/>
        <w:jc w:val="both"/>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B.2 Reinforcing and reducing manipulations</w:t>
      </w:r>
    </w:p>
    <w:p w14:paraId="4E928DE4">
      <w:pPr>
        <w:pStyle w:val="13"/>
        <w:snapToGrid w:val="0"/>
        <w:spacing w:before="156" w:beforeLines="50" w:after="156" w:afterLines="50" w:line="276" w:lineRule="auto"/>
        <w:jc w:val="left"/>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B.2.1 Simple reinforcing and reducing manipulations</w:t>
      </w:r>
    </w:p>
    <w:p w14:paraId="3BA6BD1E">
      <w:pPr>
        <w:pStyle w:val="13"/>
        <w:snapToGrid w:val="0"/>
        <w:spacing w:before="156" w:beforeLines="50" w:after="156" w:afterLines="50" w:line="276" w:lineRule="auto"/>
        <w:jc w:val="left"/>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B.2.1.1 Slow-rapid reinforcing and reducing method</w:t>
      </w:r>
    </w:p>
    <w:p w14:paraId="54936008">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Reinforcing method: After inserting the needle into the skin, the practitioner first obtains deqi in the superficial layer, then slowly advances the needle inward to a certain depth, and rapidly withdraws it to the subcutaneous layer. During needle withdrawal, the needle is withdrawn rapidly and the acupoint is immediately pressed. The emphasis is on slow insertion.</w:t>
      </w:r>
    </w:p>
    <w:p w14:paraId="0458E560">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Reducing method: After rapidly inserting the needle into the skin, the practitioner rapidly thrusts the needle into the deeper layer to obtain deqi, and then slowly withdraws it outward to the subcutaneous layer. During needle withdrawal, the needle is withdrawn slowly, and the acupoint is not pressed or is pressed only gently. The emphasis is on slow withdrawal.</w:t>
      </w:r>
    </w:p>
    <w:p w14:paraId="22DB7339">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hint="default" w:ascii="Cambria" w:hAnsi="Cambria" w:cs="Cambria"/>
          <w:sz w:val="24"/>
          <w:szCs w:val="24"/>
          <w:lang w:val="en-US" w:eastAsia="zh-CN"/>
        </w:rPr>
        <w:t>Technical considerations</w:t>
      </w:r>
      <w:r>
        <w:rPr>
          <w:rFonts w:ascii="Cambria" w:hAnsi="Cambria" w:cs="Cambria"/>
          <w:sz w:val="24"/>
          <w:szCs w:val="24"/>
          <w:lang w:val="en-US"/>
        </w:rPr>
        <w:t xml:space="preserve">: After </w:t>
      </w:r>
      <w:r>
        <w:rPr>
          <w:rFonts w:hint="default" w:ascii="Cambria" w:hAnsi="Cambria" w:cs="Cambria"/>
          <w:sz w:val="24"/>
          <w:szCs w:val="24"/>
          <w:lang w:val="en-US" w:eastAsia="zh-CN"/>
        </w:rPr>
        <w:t>arrival of qi (deqi)</w:t>
      </w:r>
      <w:r>
        <w:rPr>
          <w:rFonts w:ascii="Cambria" w:hAnsi="Cambria" w:cs="Cambria"/>
          <w:sz w:val="24"/>
          <w:szCs w:val="24"/>
          <w:lang w:val="en-US"/>
        </w:rPr>
        <w:t>, slow insertion and rapid withdrawal constitute the reinforcing method, while rapid insertion and slow withdrawal constitute the reducing method.</w:t>
      </w:r>
    </w:p>
    <w:p w14:paraId="4C99157C">
      <w:pPr>
        <w:spacing w:before="156" w:beforeLines="50" w:after="156" w:afterLines="50" w:line="276" w:lineRule="auto"/>
        <w:rPr>
          <w:rFonts w:ascii="Cambria" w:hAnsi="Cambria" w:eastAsia="黑体" w:cs="Cambria"/>
          <w:b/>
          <w:bCs/>
          <w:color w:val="000000" w:themeColor="text1"/>
          <w:sz w:val="24"/>
          <w:szCs w:val="24"/>
          <w14:textFill>
            <w14:solidFill>
              <w14:schemeClr w14:val="tx1"/>
            </w14:solidFill>
          </w14:textFill>
        </w:rPr>
      </w:pPr>
      <w:r>
        <w:rPr>
          <w:rFonts w:ascii="Cambria" w:hAnsi="Cambria" w:cs="Cambria"/>
          <w:b/>
          <w:bCs/>
          <w:sz w:val="24"/>
          <w:szCs w:val="24"/>
          <w:lang w:val="en-US"/>
        </w:rPr>
        <w:t>B.2.1.2 Lifting-thrusting reinforcing and reducing method</w:t>
      </w:r>
    </w:p>
    <w:p w14:paraId="2024B9AB">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 xml:space="preserve">Reinforcing method: After </w:t>
      </w:r>
      <w:r>
        <w:rPr>
          <w:rFonts w:hint="default" w:ascii="Cambria" w:hAnsi="Cambria" w:cs="Cambria"/>
          <w:sz w:val="24"/>
          <w:szCs w:val="24"/>
          <w:lang w:val="en-US" w:eastAsia="zh-CN"/>
        </w:rPr>
        <w:t>arrival of qi (deqi)</w:t>
      </w:r>
      <w:r>
        <w:rPr>
          <w:rFonts w:ascii="Cambria" w:hAnsi="Cambria" w:cs="Cambria"/>
          <w:sz w:val="24"/>
          <w:szCs w:val="24"/>
          <w:lang w:val="en-US"/>
        </w:rPr>
        <w:t xml:space="preserve">, the practitioner manipulates from superficial to deep layers, performing small-amplitude lifting and thrusting at the site where </w:t>
      </w:r>
      <w:r>
        <w:rPr>
          <w:rFonts w:hint="default" w:ascii="Cambria" w:hAnsi="Cambria" w:cs="Cambria"/>
          <w:sz w:val="24"/>
          <w:szCs w:val="24"/>
          <w:lang w:val="en-US" w:eastAsia="zh-CN"/>
        </w:rPr>
        <w:t>arrival of qi (deqi)</w:t>
      </w:r>
      <w:r>
        <w:rPr>
          <w:rFonts w:ascii="Cambria" w:hAnsi="Cambria" w:cs="Cambria"/>
          <w:sz w:val="24"/>
          <w:szCs w:val="24"/>
          <w:lang w:val="en-US"/>
        </w:rPr>
        <w:t>, with heavy thrusting and light lifting, namely rapid thrusting and slow lifting, for a short duration. When the needle is lifted upward, the speed is slow and the force is light; when the needle is thrust downward, the speed is fast and the force is heavy.</w:t>
      </w:r>
    </w:p>
    <w:p w14:paraId="05968753">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 xml:space="preserve">Reducing method: After </w:t>
      </w:r>
      <w:r>
        <w:rPr>
          <w:rFonts w:hint="default" w:ascii="Cambria" w:hAnsi="Cambria" w:cs="Cambria"/>
          <w:sz w:val="24"/>
          <w:szCs w:val="24"/>
          <w:lang w:val="en-US" w:eastAsia="zh-CN"/>
        </w:rPr>
        <w:t>arrival of qi (deqi)</w:t>
      </w:r>
      <w:r>
        <w:rPr>
          <w:rFonts w:ascii="Cambria" w:hAnsi="Cambria" w:cs="Cambria"/>
          <w:sz w:val="24"/>
          <w:szCs w:val="24"/>
          <w:lang w:val="en-US"/>
        </w:rPr>
        <w:t>, the practitioner manipulates from deep to superficial layers, performing large-amplitude lifting and thrusting at the site where the arrival of qi (deqi) occurs, with light thrusting and heavy lifting, namely slow thrusting and rapid lifting, for a long duration. When the needle is lifted upward, the speed is fast and the force is heavy; when the needle is thrust downward, the speed is slow and the force is light.</w:t>
      </w:r>
    </w:p>
    <w:p w14:paraId="09A9E160">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hint="default" w:ascii="Cambria" w:hAnsi="Cambria" w:cs="Cambria"/>
          <w:sz w:val="24"/>
          <w:szCs w:val="24"/>
          <w:lang w:val="en-US" w:eastAsia="zh-CN"/>
        </w:rPr>
        <w:t>Technical considerations</w:t>
      </w:r>
      <w:r>
        <w:rPr>
          <w:rFonts w:ascii="Cambria" w:hAnsi="Cambria" w:cs="Cambria"/>
          <w:sz w:val="24"/>
          <w:szCs w:val="24"/>
          <w:lang w:val="en-US"/>
        </w:rPr>
        <w:t xml:space="preserve">: After </w:t>
      </w:r>
      <w:r>
        <w:rPr>
          <w:rFonts w:hint="default" w:ascii="Cambria" w:hAnsi="Cambria" w:cs="Cambria"/>
          <w:sz w:val="24"/>
          <w:szCs w:val="24"/>
          <w:lang w:val="en-US" w:eastAsia="zh-CN"/>
        </w:rPr>
        <w:t>arrival of qi (deqi)</w:t>
      </w:r>
      <w:r>
        <w:rPr>
          <w:rFonts w:ascii="Cambria" w:hAnsi="Cambria" w:cs="Cambria"/>
          <w:sz w:val="24"/>
          <w:szCs w:val="24"/>
          <w:lang w:val="en-US"/>
        </w:rPr>
        <w:t>, heavy thrusting and light lifting constitute the reinforcing method, while heavy lifting and light thrusting constitute the reducing method.</w:t>
      </w:r>
    </w:p>
    <w:p w14:paraId="3D92FD1B">
      <w:pPr>
        <w:spacing w:before="156" w:beforeLines="50" w:after="156" w:afterLines="50" w:line="276" w:lineRule="auto"/>
        <w:rPr>
          <w:rFonts w:ascii="Cambria" w:hAnsi="Cambria" w:eastAsia="黑体" w:cs="Cambria"/>
          <w:b/>
          <w:bCs/>
          <w:color w:val="000000" w:themeColor="text1"/>
          <w:sz w:val="24"/>
          <w:szCs w:val="24"/>
          <w14:textFill>
            <w14:solidFill>
              <w14:schemeClr w14:val="tx1"/>
            </w14:solidFill>
          </w14:textFill>
        </w:rPr>
      </w:pPr>
      <w:r>
        <w:rPr>
          <w:rFonts w:ascii="Cambria" w:hAnsi="Cambria" w:cs="Cambria"/>
          <w:b/>
          <w:bCs/>
          <w:sz w:val="24"/>
          <w:szCs w:val="24"/>
          <w:lang w:val="en-US"/>
        </w:rPr>
        <w:t>B.2.1.3 Twirling-rotating reinforcing and reducing method</w:t>
      </w:r>
    </w:p>
    <w:p w14:paraId="2EA667D2">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 xml:space="preserve">Reinforcing method: After </w:t>
      </w:r>
      <w:r>
        <w:rPr>
          <w:rFonts w:hint="default" w:ascii="Cambria" w:hAnsi="Cambria" w:cs="Cambria"/>
          <w:sz w:val="24"/>
          <w:szCs w:val="24"/>
          <w:lang w:val="en-US" w:eastAsia="zh-CN"/>
        </w:rPr>
        <w:t>arrival of qi (deqi)</w:t>
      </w:r>
      <w:r>
        <w:rPr>
          <w:rFonts w:ascii="Cambria" w:hAnsi="Cambria" w:cs="Cambria"/>
          <w:sz w:val="24"/>
          <w:szCs w:val="24"/>
          <w:lang w:val="en-US"/>
        </w:rPr>
        <w:t>, the practitioner performs small-amplitude twirling and rotating at the site where the arrival of qi (deqi) occurs. Greater force is applied when the thumb moves forward and rotates the needle to the left, with the finger force heavy and directed downward; lighter force is applied when the thumb moves backward and rotates the needle to the right to restore its position. The operation is repeated.</w:t>
      </w:r>
    </w:p>
    <w:p w14:paraId="65A0379A">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 xml:space="preserve">Reducing method: After </w:t>
      </w:r>
      <w:r>
        <w:rPr>
          <w:rFonts w:hint="default" w:ascii="Cambria" w:hAnsi="Cambria" w:cs="Cambria"/>
          <w:sz w:val="24"/>
          <w:szCs w:val="24"/>
          <w:lang w:val="en-US" w:eastAsia="zh-CN"/>
        </w:rPr>
        <w:t>arrival of qi (deqi)</w:t>
      </w:r>
      <w:r>
        <w:rPr>
          <w:rFonts w:ascii="Cambria" w:hAnsi="Cambria" w:cs="Cambria"/>
          <w:sz w:val="24"/>
          <w:szCs w:val="24"/>
          <w:lang w:val="en-US"/>
        </w:rPr>
        <w:t>, the practitioner performs small-amplitude twirling and rotating at the site where the arrival of qi (deqi) occurs. Greater force is applied when the thumb moves backward and rotates the needle to the right, with the finger force light and directed upward; lighter force is applied when the thumb moves forward and rotates the needle to the left to restore its position. The operation is repeated.</w:t>
      </w:r>
    </w:p>
    <w:p w14:paraId="17FB7736">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hint="default" w:ascii="Cambria" w:hAnsi="Cambria" w:cs="Cambria"/>
          <w:sz w:val="24"/>
          <w:szCs w:val="24"/>
          <w:lang w:val="en-US" w:eastAsia="zh-CN"/>
        </w:rPr>
        <w:t>Technical considerations</w:t>
      </w:r>
      <w:r>
        <w:rPr>
          <w:rFonts w:ascii="Cambria" w:hAnsi="Cambria" w:cs="Cambria"/>
          <w:sz w:val="24"/>
          <w:szCs w:val="24"/>
          <w:lang w:val="en-US"/>
        </w:rPr>
        <w:t xml:space="preserve">: After </w:t>
      </w:r>
      <w:r>
        <w:rPr>
          <w:rFonts w:hint="default" w:ascii="Cambria" w:hAnsi="Cambria" w:cs="Cambria"/>
          <w:sz w:val="24"/>
          <w:szCs w:val="24"/>
          <w:lang w:val="en-US" w:eastAsia="zh-CN"/>
        </w:rPr>
        <w:t>arrival of qi (deqi)</w:t>
      </w:r>
      <w:r>
        <w:rPr>
          <w:rFonts w:ascii="Cambria" w:hAnsi="Cambria" w:cs="Cambria"/>
          <w:sz w:val="24"/>
          <w:szCs w:val="24"/>
          <w:lang w:val="en-US"/>
        </w:rPr>
        <w:t>, forceful left rotation by the thumb constitutes the reinforcing method, while forceful right rotation by the thumb constitutes the reducing method.</w:t>
      </w:r>
    </w:p>
    <w:p w14:paraId="6ABDBE72">
      <w:pPr>
        <w:spacing w:before="156" w:beforeLines="50" w:after="156" w:afterLines="50" w:line="276" w:lineRule="auto"/>
        <w:rPr>
          <w:rFonts w:ascii="Cambria" w:hAnsi="Cambria" w:eastAsia="黑体" w:cs="Cambria"/>
          <w:b/>
          <w:bCs/>
          <w:color w:val="000000" w:themeColor="text1"/>
          <w:sz w:val="24"/>
          <w:szCs w:val="24"/>
          <w14:textFill>
            <w14:solidFill>
              <w14:schemeClr w14:val="tx1"/>
            </w14:solidFill>
          </w14:textFill>
        </w:rPr>
      </w:pPr>
      <w:r>
        <w:rPr>
          <w:rFonts w:ascii="Cambria" w:hAnsi="Cambria" w:cs="Cambria"/>
          <w:b/>
          <w:bCs/>
          <w:sz w:val="24"/>
          <w:szCs w:val="24"/>
          <w:lang w:val="en-US"/>
        </w:rPr>
        <w:t>B.2.1.4 Respiration reinforcing and reducing method</w:t>
      </w:r>
    </w:p>
    <w:p w14:paraId="2885D1DA">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Reinforcing method: The child patient is instructed to inhale through the nose and exhale through the mouth. The practitioner inserts and manipulates the needle during exhalation, and withdraws the needle during inhalation.</w:t>
      </w:r>
    </w:p>
    <w:p w14:paraId="11A4DDDB">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Reducing method: The child patient is instructed to inhale through the mouth and exhale through the nose. The practitioner inserts and manipulates the needle during inhalation, and withdraws the needle during exhalation.</w:t>
      </w:r>
    </w:p>
    <w:p w14:paraId="7B62ABDE">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hint="default" w:ascii="Cambria" w:hAnsi="Cambria" w:cs="Cambria"/>
          <w:sz w:val="24"/>
          <w:szCs w:val="24"/>
          <w:lang w:val="en-US" w:eastAsia="zh-CN"/>
        </w:rPr>
        <w:t>Technical considerations</w:t>
      </w:r>
      <w:r>
        <w:rPr>
          <w:rFonts w:ascii="Cambria" w:hAnsi="Cambria" w:cs="Cambria"/>
          <w:sz w:val="24"/>
          <w:szCs w:val="24"/>
          <w:lang w:val="en-US"/>
        </w:rPr>
        <w:t>: This is a reinforcing and reducing method based on coordinating needle insertion, needle manipulation and needle withdrawal with the respiration of the child patient. It is applicable to children over 6 years of age.</w:t>
      </w:r>
    </w:p>
    <w:p w14:paraId="13D4A2E0">
      <w:pPr>
        <w:spacing w:before="156" w:beforeLines="50" w:after="156" w:afterLines="50" w:line="276" w:lineRule="auto"/>
        <w:rPr>
          <w:rFonts w:ascii="Cambria" w:hAnsi="Cambria" w:eastAsia="黑体" w:cs="Cambria"/>
          <w:b/>
          <w:bCs/>
          <w:color w:val="000000" w:themeColor="text1"/>
          <w:sz w:val="24"/>
          <w:szCs w:val="24"/>
          <w14:textFill>
            <w14:solidFill>
              <w14:schemeClr w14:val="tx1"/>
            </w14:solidFill>
          </w14:textFill>
        </w:rPr>
      </w:pPr>
      <w:r>
        <w:rPr>
          <w:rFonts w:ascii="Cambria" w:hAnsi="Cambria" w:cs="Cambria"/>
          <w:b/>
          <w:bCs/>
          <w:sz w:val="24"/>
          <w:szCs w:val="24"/>
          <w:lang w:val="en-US"/>
        </w:rPr>
        <w:t>B.2.1.5 Opening-closing reinforcing and reducing method</w:t>
      </w:r>
    </w:p>
    <w:p w14:paraId="2F62D5AD">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Reinforcing method: After needle withdrawal, the needle hole is rapidly rubbed and pressed.</w:t>
      </w:r>
    </w:p>
    <w:p w14:paraId="1190D036">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Reducing method: During needle withdrawal, the needle hole is enlarged by shaking the needle, and the needle hole is not pressed after needle withdrawal.</w:t>
      </w:r>
    </w:p>
    <w:p w14:paraId="3D2F1696">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hint="default" w:ascii="Cambria" w:hAnsi="Cambria" w:cs="Cambria"/>
          <w:sz w:val="24"/>
          <w:szCs w:val="24"/>
          <w:lang w:val="en-US" w:eastAsia="zh-CN"/>
        </w:rPr>
        <w:t>Technical considerations</w:t>
      </w:r>
      <w:r>
        <w:rPr>
          <w:rFonts w:ascii="Cambria" w:hAnsi="Cambria" w:cs="Cambria"/>
          <w:sz w:val="24"/>
          <w:szCs w:val="24"/>
          <w:lang w:val="en-US"/>
        </w:rPr>
        <w:t>: This is a reinforcing and reducing method based on whether the needle hole is pressed after needle withdrawal.</w:t>
      </w:r>
    </w:p>
    <w:p w14:paraId="1D3A9967">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During needle insertion, insertion with the needle tip directed along the course of the meridian is called the reinforcing method; insertion with the needle tip directed against the course of the meridian is called the reducing method.</w:t>
      </w:r>
    </w:p>
    <w:p w14:paraId="07A58E4E">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hint="default" w:ascii="Cambria" w:hAnsi="Cambria" w:cs="Cambria"/>
          <w:sz w:val="24"/>
          <w:szCs w:val="24"/>
          <w:lang w:val="en-US" w:eastAsia="zh-CN"/>
        </w:rPr>
        <w:t>Technical considerations</w:t>
      </w:r>
      <w:r>
        <w:rPr>
          <w:rFonts w:ascii="Cambria" w:hAnsi="Cambria" w:cs="Cambria"/>
          <w:sz w:val="24"/>
          <w:szCs w:val="24"/>
          <w:lang w:val="en-US"/>
        </w:rPr>
        <w:t>: This method is based on whether the direction of needle insertion follows or opposes the course of the meridian.</w:t>
      </w:r>
    </w:p>
    <w:p w14:paraId="1470B8C7">
      <w:pPr>
        <w:snapToGrid w:val="0"/>
        <w:spacing w:before="156" w:beforeLines="50" w:after="156" w:afterLines="50" w:line="276" w:lineRule="auto"/>
        <w:rPr>
          <w:rFonts w:ascii="Cambria" w:hAnsi="Cambria" w:eastAsia="黑体" w:cs="Cambria"/>
          <w:b/>
          <w:bCs/>
          <w:color w:val="000000" w:themeColor="text1"/>
          <w:sz w:val="24"/>
          <w:szCs w:val="24"/>
          <w14:textFill>
            <w14:solidFill>
              <w14:schemeClr w14:val="tx1"/>
            </w14:solidFill>
          </w14:textFill>
        </w:rPr>
      </w:pPr>
      <w:r>
        <w:rPr>
          <w:rFonts w:ascii="Cambria" w:hAnsi="Cambria" w:cs="Cambria"/>
          <w:b/>
          <w:bCs/>
          <w:sz w:val="24"/>
          <w:szCs w:val="24"/>
          <w:lang w:val="en-US"/>
        </w:rPr>
        <w:t>B.2.2 Compound reinforcing and reducing manipulations</w:t>
      </w:r>
    </w:p>
    <w:p w14:paraId="4041DD30">
      <w:pPr>
        <w:spacing w:before="156" w:beforeLines="50" w:after="156" w:afterLines="50" w:line="276" w:lineRule="auto"/>
        <w:rPr>
          <w:rFonts w:ascii="Cambria" w:hAnsi="Cambria" w:eastAsia="黑体" w:cs="Cambria"/>
          <w:b/>
          <w:bCs/>
          <w:color w:val="000000" w:themeColor="text1"/>
          <w:sz w:val="24"/>
          <w:szCs w:val="24"/>
          <w14:textFill>
            <w14:solidFill>
              <w14:schemeClr w14:val="tx1"/>
            </w14:solidFill>
          </w14:textFill>
        </w:rPr>
      </w:pPr>
      <w:r>
        <w:rPr>
          <w:rFonts w:ascii="Cambria" w:hAnsi="Cambria" w:cs="Cambria"/>
          <w:b/>
          <w:bCs/>
          <w:sz w:val="24"/>
          <w:szCs w:val="24"/>
          <w:lang w:val="en-US"/>
        </w:rPr>
        <w:t>B.2.2.1 Setting-the-mountain-on-fire method</w:t>
      </w:r>
    </w:p>
    <w:p w14:paraId="3D9B2C3B">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 xml:space="preserve">According to the depth to which the acupoint can be needled, the depth is divided into three layers: superficial, middle and deep. After </w:t>
      </w:r>
      <w:r>
        <w:rPr>
          <w:rFonts w:hint="default" w:ascii="Cambria" w:hAnsi="Cambria" w:cs="Cambria"/>
          <w:sz w:val="24"/>
          <w:szCs w:val="24"/>
          <w:lang w:val="en-US" w:eastAsia="zh-CN"/>
        </w:rPr>
        <w:t>arrival of qi (deqi)</w:t>
      </w:r>
      <w:r>
        <w:rPr>
          <w:rFonts w:ascii="Cambria" w:hAnsi="Cambria" w:cs="Cambria"/>
          <w:sz w:val="24"/>
          <w:szCs w:val="24"/>
          <w:lang w:val="en-US"/>
        </w:rPr>
        <w:t>, the practitioner first performs heavy thrusting and slow lifting nine times in the superficial layer, also known as the heaven level, or twirls the needle nine times to the left. The needle is then advanced to the middle layer, also known as the human level, where reinforcing manipulation by lifting-thrusting and twirling-rotating is performed in the same manner. Finally, the needle is inserted into the deep layer, also known as the earth level, where reinforcing manipulation by lifting-thrusting and twirling-rotating is continued. The needle is then withdrawn to the superficial layer, which is counted as one cycle. This operation is repeated for several cycles until a warm sensation is produced beneath the needle. The needle is then thrust down to the earth level and retained to maintain qi.</w:t>
      </w:r>
    </w:p>
    <w:p w14:paraId="3FBAFDD5">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hint="default" w:ascii="Cambria" w:hAnsi="Cambria" w:cs="Cambria"/>
          <w:sz w:val="24"/>
          <w:szCs w:val="24"/>
          <w:lang w:val="en-US" w:eastAsia="zh-CN"/>
        </w:rPr>
        <w:t>Technical considerations</w:t>
      </w:r>
      <w:r>
        <w:rPr>
          <w:rFonts w:ascii="Cambria" w:hAnsi="Cambria" w:cs="Cambria"/>
          <w:sz w:val="24"/>
          <w:szCs w:val="24"/>
          <w:lang w:val="en-US"/>
        </w:rPr>
        <w:t>: This method may be combined with respiration, slow-rapid, opening-closing and other reinforcing or reducing methods. It is performed from superficial to deep layers, with three advances and one withdrawal, heavy thrusting and light lifting, and nine yang counts. When needling children, verbal guidance should be provided.</w:t>
      </w:r>
    </w:p>
    <w:p w14:paraId="16567097">
      <w:pPr>
        <w:spacing w:before="156" w:beforeLines="50" w:after="156" w:afterLines="50" w:line="276" w:lineRule="auto"/>
        <w:rPr>
          <w:rFonts w:ascii="Cambria" w:hAnsi="Cambria" w:eastAsia="黑体" w:cs="Cambria"/>
          <w:b/>
          <w:bCs/>
          <w:color w:val="000000" w:themeColor="text1"/>
          <w:sz w:val="24"/>
          <w:szCs w:val="24"/>
          <w14:textFill>
            <w14:solidFill>
              <w14:schemeClr w14:val="tx1"/>
            </w14:solidFill>
          </w14:textFill>
        </w:rPr>
      </w:pPr>
      <w:r>
        <w:rPr>
          <w:rFonts w:ascii="Cambria" w:hAnsi="Cambria" w:cs="Cambria"/>
          <w:b/>
          <w:bCs/>
          <w:sz w:val="24"/>
          <w:szCs w:val="24"/>
          <w:lang w:val="en-US"/>
        </w:rPr>
        <w:t>B.2.2.2 Penetrating-heaven-coolness method</w:t>
      </w:r>
    </w:p>
    <w:p w14:paraId="77031C01">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 xml:space="preserve">According to the depth to which the acupoint can be needled, the depth is divided into three layers: superficial, middle and deep. After </w:t>
      </w:r>
      <w:r>
        <w:rPr>
          <w:rFonts w:hint="default" w:ascii="Cambria" w:hAnsi="Cambria" w:cs="Cambria"/>
          <w:sz w:val="24"/>
          <w:szCs w:val="24"/>
          <w:lang w:val="en-US" w:eastAsia="zh-CN"/>
        </w:rPr>
        <w:t>arrival of qi (deqi)</w:t>
      </w:r>
      <w:r>
        <w:rPr>
          <w:rFonts w:ascii="Cambria" w:hAnsi="Cambria" w:cs="Cambria"/>
          <w:sz w:val="24"/>
          <w:szCs w:val="24"/>
          <w:lang w:val="en-US"/>
        </w:rPr>
        <w:t>, the practitioner first performs heavy lifting and slow thrusting six times in the deep layer, also known as the earth level, or twirls the needle six times to the right. The needle is then advanced to the middle layer, also known as the human level, where reducing manipulation by lifting-thrusting and twirling-rotating is performed in the same manner. Finally, the needle is inserted into the superficial layer, also known as the heaven level, where reducing manipulation by lifting-thrusting and twirling-rotating is continued. This is counted as one cycle. The operation is repeated for several cycles until a cool sensation is produced beneath the needle. The needle is then lifted to the heaven level and retained to maintain qi.</w:t>
      </w:r>
    </w:p>
    <w:p w14:paraId="50DBC60E">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hint="default" w:ascii="Cambria" w:hAnsi="Cambria" w:cs="Cambria"/>
          <w:sz w:val="24"/>
          <w:szCs w:val="24"/>
          <w:lang w:val="en-US" w:eastAsia="zh-CN"/>
        </w:rPr>
        <w:t>Technical considerations</w:t>
      </w:r>
      <w:r>
        <w:rPr>
          <w:rFonts w:ascii="Cambria" w:hAnsi="Cambria" w:cs="Cambria"/>
          <w:sz w:val="24"/>
          <w:szCs w:val="24"/>
          <w:lang w:val="en-US"/>
        </w:rPr>
        <w:t>: This method may be combined with respiration, slow-rapid, opening-closing and other reducing methods. It is performed from deep to superficial layers, with one advance and three withdrawals, light thrusting and heavy lifting, and six yin counts. When needling children, verbal guidance should be provided.</w:t>
      </w:r>
    </w:p>
    <w:p w14:paraId="4E268D11">
      <w:pPr>
        <w:spacing w:line="276" w:lineRule="auto"/>
        <w:rPr>
          <w:rFonts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br w:type="page"/>
      </w:r>
    </w:p>
    <w:p w14:paraId="7F4B6786">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12" w:name="_Toc29285"/>
      <w:bookmarkStart w:id="213" w:name="_Toc14198"/>
      <w:r>
        <w:rPr>
          <w:rFonts w:ascii="Cambria" w:hAnsi="Cambria" w:cs="Cambria"/>
          <w:b/>
          <w:bCs/>
          <w:sz w:val="24"/>
          <w:szCs w:val="24"/>
          <w:lang w:val="en-US"/>
        </w:rPr>
        <w:t>Annex C</w:t>
      </w:r>
      <w:bookmarkEnd w:id="212"/>
      <w:bookmarkEnd w:id="213"/>
    </w:p>
    <w:p w14:paraId="03C944A7">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14" w:name="_Toc7854"/>
      <w:bookmarkStart w:id="215" w:name="_Toc12654"/>
      <w:r>
        <w:rPr>
          <w:rFonts w:ascii="Cambria" w:hAnsi="Cambria" w:cs="Cambria"/>
          <w:b/>
          <w:bCs/>
          <w:sz w:val="24"/>
          <w:szCs w:val="24"/>
          <w:lang w:val="en-US"/>
        </w:rPr>
        <w:t>(informative)</w:t>
      </w:r>
      <w:bookmarkEnd w:id="214"/>
      <w:bookmarkEnd w:id="215"/>
    </w:p>
    <w:p w14:paraId="16DC3115">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16" w:name="_Toc15352"/>
      <w:bookmarkStart w:id="217" w:name="_Toc25896"/>
      <w:r>
        <w:rPr>
          <w:rFonts w:ascii="Cambria" w:hAnsi="Cambria" w:cs="Cambria"/>
          <w:b/>
          <w:bCs/>
          <w:sz w:val="24"/>
          <w:szCs w:val="24"/>
          <w:lang w:val="en-US"/>
        </w:rPr>
        <w:t xml:space="preserve">Treatment course for </w:t>
      </w:r>
      <w:r>
        <w:rPr>
          <w:rFonts w:ascii="Cambria" w:hAnsi="Cambria" w:cs="Cambria"/>
          <w:b/>
          <w:bCs/>
          <w:i/>
          <w:iCs/>
          <w:sz w:val="24"/>
          <w:szCs w:val="24"/>
          <w:lang w:val="en-US"/>
        </w:rPr>
        <w:t>Si Feng</w:t>
      </w:r>
      <w:r>
        <w:rPr>
          <w:rFonts w:ascii="Cambria" w:hAnsi="Cambria" w:cs="Cambria"/>
          <w:b/>
          <w:bCs/>
          <w:sz w:val="24"/>
          <w:szCs w:val="24"/>
          <w:lang w:val="en-US"/>
        </w:rPr>
        <w:t xml:space="preserve"> (EX-UE 10) pricking therapy</w:t>
      </w:r>
      <w:bookmarkEnd w:id="216"/>
      <w:bookmarkEnd w:id="217"/>
    </w:p>
    <w:p w14:paraId="3EE9CE56">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Si Feng (EX-UE 10) pricking therapy may be performed once to twice weekly. In severe cases, it may be performed once every other day. After the condition improves, the frequency may be reduced to once weekly, once every 10 days, or once every 15 days. The total number of treatments shall not exceed 10.</w:t>
      </w:r>
    </w:p>
    <w:p w14:paraId="6E02C3B3">
      <w:pPr>
        <w:spacing w:line="276" w:lineRule="auto"/>
        <w:rPr>
          <w:rFonts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br w:type="page"/>
      </w:r>
    </w:p>
    <w:p w14:paraId="353BD1B7">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18" w:name="_Toc32371"/>
      <w:bookmarkStart w:id="219" w:name="_Toc16902"/>
      <w:r>
        <w:rPr>
          <w:rFonts w:ascii="Cambria" w:hAnsi="Cambria" w:cs="Cambria"/>
          <w:b/>
          <w:bCs/>
          <w:sz w:val="24"/>
          <w:szCs w:val="24"/>
          <w:lang w:val="en-US"/>
        </w:rPr>
        <w:t>Annex D</w:t>
      </w:r>
      <w:bookmarkEnd w:id="218"/>
      <w:bookmarkEnd w:id="219"/>
    </w:p>
    <w:p w14:paraId="63118BCE">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20" w:name="_Toc18140"/>
      <w:bookmarkStart w:id="221" w:name="_Toc27768"/>
      <w:r>
        <w:rPr>
          <w:rFonts w:ascii="Cambria" w:hAnsi="Cambria" w:cs="Cambria"/>
          <w:b/>
          <w:bCs/>
          <w:sz w:val="24"/>
          <w:szCs w:val="24"/>
          <w:lang w:val="en-US"/>
        </w:rPr>
        <w:t>(informative)</w:t>
      </w:r>
      <w:bookmarkEnd w:id="220"/>
      <w:bookmarkEnd w:id="221"/>
    </w:p>
    <w:p w14:paraId="31449207">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22" w:name="_Toc30754"/>
      <w:bookmarkStart w:id="223" w:name="_Toc29741"/>
      <w:r>
        <w:rPr>
          <w:rFonts w:ascii="Cambria" w:hAnsi="Cambria" w:cs="Cambria"/>
          <w:b/>
          <w:bCs/>
          <w:sz w:val="24"/>
          <w:szCs w:val="24"/>
          <w:lang w:val="en-US"/>
        </w:rPr>
        <w:t>Commonly used indirect moxibustion</w:t>
      </w:r>
      <w:bookmarkEnd w:id="222"/>
      <w:bookmarkEnd w:id="223"/>
    </w:p>
    <w:p w14:paraId="09DA4CCD">
      <w:pPr>
        <w:pStyle w:val="13"/>
        <w:spacing w:before="312" w:beforeLines="100" w:after="312" w:afterLines="100" w:line="276" w:lineRule="auto"/>
        <w:jc w:val="both"/>
        <w:outlineLvl w:val="9"/>
        <w:rPr>
          <w:rFonts w:hint="default"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D.1 Ginger-partitioned moxibustion</w:t>
      </w:r>
    </w:p>
    <w:p w14:paraId="62D65DAC">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Fresh ginger is cut into slices approximately 0.3 cm thick and 2 cm to 3 cm in diameter, of appropriate size. Several holes are made in the center with a needle, and the ginger slice is placed on the acupoint to be treated. Large, medium or small moxa cones are selected according to the condition, ignited, and placed at the center of the ginger slice for moxibustion. If the child patient feels a burning sensation, the ginger slice may be lifted slightly. When the moxa cone burns out, it is replaced with another cone and moxibustion is continued until the required number of zhuang has been completed. In general, 2 to 5 zhuang may be applied each time, with local redness and moistening of the skin as the appropriate endpoint. This method is commonly used for vomiting, abdominal pain, diarrhea and other cold patterns, and is applicable to children aged 3 years and above.</w:t>
      </w:r>
    </w:p>
    <w:p w14:paraId="2FD000CA">
      <w:pPr>
        <w:pStyle w:val="13"/>
        <w:spacing w:before="312" w:beforeLines="100" w:after="312" w:afterLines="100" w:line="276" w:lineRule="auto"/>
        <w:jc w:val="both"/>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D.2 Garlic-partitioned moxibustion</w:t>
      </w:r>
    </w:p>
    <w:p w14:paraId="0F618489">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Fresh single-clove garlic is cut transversely into thin slices approximately 0.3 cm thick, of appropriate size. Several holes are made in the center with a needle, and the garlic slice is placed on the acupoint to be treated. Large, medium or small moxa cones are selected according to the condition, ignited, and placed at the center of the garlic slice for moxibustion. If the child patient feels a burning sensation, the garlic slice may be lifted slightly. When the moxa cone burns out, the garlic slice is replaced with a new one, another moxa cone is applied, and moxibustion is continued until the required number of zhuang has been completed. In general, 2 to 5 zhuang may be applied each time, with local redness of the skin as the appropriate endpoint. This method is commonly used for scrofula, pulmonary tuberculosis, early-stage swollen sores and abdominal pain. As garlic juice is irritating to the skin and may easily cause blistering after moxibustion, the moxibustion site shall be protected. This method shall be used with caution in children.</w:t>
      </w:r>
    </w:p>
    <w:p w14:paraId="539E6633">
      <w:pPr>
        <w:pStyle w:val="13"/>
        <w:spacing w:before="312" w:beforeLines="100" w:after="312" w:afterLines="100" w:line="276" w:lineRule="auto"/>
        <w:jc w:val="both"/>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D.3 Salt-partitioned moxibustion</w:t>
      </w:r>
    </w:p>
    <w:p w14:paraId="5605F4B2">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 xml:space="preserve">Clean, dry table salt is placed into the umbilicus to fill and level the umbilical depression, or a thin ginger slice approximately 0.1 cm thick may be placed on top of the salt. Large, medium or small moxa cones are selected according to the condition, ignited, and used for moxibustion. When the moxa cone burns out, it is replaced with another cone and moxibustion is continued until the required number of zhuang has been completed. In general, 3 to 6 zhuang may be applied each time. The appropriate endpoint is reached when the child patient has a slight burning pain that can be tolerated. This method is commonly used for simultaneous vomiting and diarrhea due to </w:t>
      </w:r>
      <w:r>
        <w:rPr>
          <w:rFonts w:hint="default" w:ascii="Cambria" w:hAnsi="Cambria" w:cs="Cambria"/>
          <w:sz w:val="24"/>
          <w:szCs w:val="24"/>
          <w:lang w:val="en-US" w:eastAsia="zh-CN"/>
        </w:rPr>
        <w:t>cold patterns</w:t>
      </w:r>
      <w:r>
        <w:rPr>
          <w:rFonts w:ascii="Cambria" w:hAnsi="Cambria" w:cs="Cambria"/>
          <w:sz w:val="24"/>
          <w:szCs w:val="24"/>
          <w:lang w:val="en-US"/>
        </w:rPr>
        <w:t>, collapse and other conditions.</w:t>
      </w:r>
    </w:p>
    <w:p w14:paraId="5C8BFC3D">
      <w:pPr>
        <w:pStyle w:val="13"/>
        <w:spacing w:before="312" w:beforeLines="100" w:after="312" w:afterLines="100" w:line="276" w:lineRule="auto"/>
        <w:jc w:val="both"/>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D.4 Aconite-cake-partitioned moxibustion</w:t>
      </w:r>
    </w:p>
    <w:p w14:paraId="4F47BAF4">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Unprocessed aconite is finely cut and ground into powder, mixed with yellow rice wine, and made into aconite cakes approximately 1 cm to 2 cm in diameter and approximately 0.4 cm thick, of appropriate size. Several holes are made in the center with a needle, and the aconite cake is placed on the acupoint to be treated. Large, medium or small moxa cones are selected according to the condition, ignited, and placed at the center of the aconite cake for moxibustion. When the moxa cone burns out, it is replaced with another cone and moxibustion is continued until the required number of zhuang has been completed. When the aconite cake becomes dry and charred, it is replaced with a new one. In general, 3 zhuang are appropriate each time. The appropriate endpoint is reached when the skin at the moxibustion site becomes warm with a reddish flush. This method is commonly used for severe conditions of heart and kidney yang decline, or for chronic non-healing sores and ulcers.</w:t>
      </w:r>
    </w:p>
    <w:p w14:paraId="4930AC9D">
      <w:pPr>
        <w:spacing w:line="276" w:lineRule="auto"/>
        <w:ind w:firstLine="480" w:firstLineChars="200"/>
        <w:rPr>
          <w:rFonts w:ascii="Cambria" w:hAnsi="Cambria" w:cs="Cambria"/>
          <w:color w:val="000000" w:themeColor="text1"/>
          <w:sz w:val="24"/>
          <w:szCs w:val="24"/>
          <w14:textFill>
            <w14:solidFill>
              <w14:schemeClr w14:val="tx1"/>
            </w14:solidFill>
          </w14:textFill>
        </w:rPr>
      </w:pPr>
    </w:p>
    <w:p w14:paraId="413494E9">
      <w:pPr>
        <w:spacing w:line="276" w:lineRule="auto"/>
        <w:ind w:firstLine="480" w:firstLineChars="200"/>
        <w:rPr>
          <w:rFonts w:ascii="Cambria" w:hAnsi="Cambria" w:cs="Cambria"/>
          <w:color w:val="000000" w:themeColor="text1"/>
          <w:sz w:val="24"/>
          <w:szCs w:val="24"/>
          <w14:textFill>
            <w14:solidFill>
              <w14:schemeClr w14:val="tx1"/>
            </w14:solidFill>
          </w14:textFill>
        </w:rPr>
      </w:pPr>
    </w:p>
    <w:p w14:paraId="2A67B642">
      <w:pPr>
        <w:spacing w:line="276" w:lineRule="auto"/>
        <w:rPr>
          <w:rFonts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br w:type="page"/>
      </w:r>
    </w:p>
    <w:p w14:paraId="2FA8E5D3">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24" w:name="_Toc10594"/>
      <w:bookmarkStart w:id="225" w:name="_Toc7613"/>
      <w:r>
        <w:rPr>
          <w:rFonts w:ascii="Cambria" w:hAnsi="Cambria" w:cs="Cambria"/>
          <w:b/>
          <w:bCs/>
          <w:sz w:val="24"/>
          <w:szCs w:val="24"/>
          <w:lang w:val="en-US"/>
        </w:rPr>
        <w:t>Annex E</w:t>
      </w:r>
      <w:bookmarkEnd w:id="224"/>
      <w:bookmarkEnd w:id="225"/>
    </w:p>
    <w:p w14:paraId="4DC8C5A1">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26" w:name="_Toc13785"/>
      <w:bookmarkStart w:id="227" w:name="_Toc16506"/>
      <w:r>
        <w:rPr>
          <w:rFonts w:ascii="Cambria" w:hAnsi="Cambria" w:cs="Cambria"/>
          <w:b/>
          <w:bCs/>
          <w:sz w:val="24"/>
          <w:szCs w:val="24"/>
          <w:lang w:val="en-US"/>
        </w:rPr>
        <w:t>(informative)</w:t>
      </w:r>
      <w:bookmarkEnd w:id="226"/>
      <w:bookmarkEnd w:id="227"/>
    </w:p>
    <w:p w14:paraId="3C674544">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28" w:name="_Toc17407"/>
      <w:bookmarkStart w:id="229" w:name="_Toc29486"/>
      <w:r>
        <w:rPr>
          <w:rFonts w:ascii="Cambria" w:hAnsi="Cambria" w:cs="Cambria"/>
          <w:b/>
          <w:bCs/>
          <w:sz w:val="24"/>
          <w:szCs w:val="24"/>
          <w:lang w:val="en-US"/>
        </w:rPr>
        <w:t>Commonly used moxibustion devices</w:t>
      </w:r>
      <w:bookmarkEnd w:id="228"/>
      <w:bookmarkEnd w:id="229"/>
    </w:p>
    <w:p w14:paraId="4860714C">
      <w:pPr>
        <w:pStyle w:val="13"/>
        <w:spacing w:before="312" w:beforeLines="100" w:after="312" w:afterLines="100" w:line="276" w:lineRule="auto"/>
        <w:jc w:val="both"/>
        <w:outlineLvl w:val="9"/>
        <w:rPr>
          <w:rFonts w:hint="default" w:ascii="Cambria" w:hAnsi="Cambria" w:eastAsia="宋体" w:cs="Cambria"/>
          <w:b w:val="0"/>
          <w:color w:val="000000" w:themeColor="text1"/>
          <w:sz w:val="24"/>
          <w:szCs w:val="24"/>
          <w:lang w:val="en-US" w:eastAsia="zh-CN"/>
          <w14:textFill>
            <w14:solidFill>
              <w14:schemeClr w14:val="tx1"/>
            </w14:solidFill>
          </w14:textFill>
        </w:rPr>
      </w:pPr>
      <w:r>
        <w:rPr>
          <w:rFonts w:ascii="Cambria" w:hAnsi="Cambria" w:cs="Cambria"/>
          <w:sz w:val="24"/>
          <w:szCs w:val="24"/>
          <w:lang w:val="en-US"/>
        </w:rPr>
        <w:t xml:space="preserve">E.1 </w:t>
      </w:r>
      <w:r>
        <w:rPr>
          <w:rFonts w:hint="default" w:ascii="Cambria" w:hAnsi="Cambria" w:cs="Cambria"/>
          <w:sz w:val="24"/>
          <w:szCs w:val="24"/>
          <w:lang w:val="en-US" w:eastAsia="zh-CN"/>
        </w:rPr>
        <w:t>Moxibustion stand</w:t>
      </w:r>
    </w:p>
    <w:p w14:paraId="0D9EF668">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 xml:space="preserve">A </w:t>
      </w:r>
      <w:r>
        <w:rPr>
          <w:rFonts w:hint="default" w:ascii="Cambria" w:hAnsi="Cambria" w:cs="Cambria"/>
          <w:sz w:val="24"/>
          <w:szCs w:val="24"/>
          <w:lang w:val="en-US" w:eastAsia="zh-CN"/>
        </w:rPr>
        <w:t>moxibustion stand</w:t>
      </w:r>
      <w:r>
        <w:rPr>
          <w:rFonts w:ascii="Cambria" w:hAnsi="Cambria" w:cs="Cambria"/>
          <w:sz w:val="24"/>
          <w:szCs w:val="24"/>
          <w:lang w:val="en-US"/>
        </w:rPr>
        <w:t xml:space="preserve"> is a specially made, barrel-shaped plastic moxibustion device. It is hollowed out on all four sides, and a round hole is located in the center of the top for placing and fixing a moxa stick. An iron mesh screen is installed in the middle-lower part of the </w:t>
      </w:r>
      <w:r>
        <w:rPr>
          <w:rFonts w:hint="default" w:ascii="Cambria" w:hAnsi="Cambria" w:cs="Cambria"/>
          <w:sz w:val="24"/>
          <w:szCs w:val="24"/>
          <w:lang w:val="en-US"/>
        </w:rPr>
        <w:t>stand</w:t>
      </w:r>
      <w:r>
        <w:rPr>
          <w:rFonts w:ascii="Cambria" w:hAnsi="Cambria" w:cs="Cambria"/>
          <w:sz w:val="24"/>
          <w:szCs w:val="24"/>
          <w:lang w:val="en-US"/>
        </w:rPr>
        <w:t xml:space="preserve">, 3 cm to 4 cm from the bottom edge. A bottom loop is located on each side of the </w:t>
      </w:r>
      <w:r>
        <w:rPr>
          <w:rFonts w:hint="default" w:ascii="Cambria" w:hAnsi="Cambria" w:cs="Cambria"/>
          <w:sz w:val="24"/>
          <w:szCs w:val="24"/>
          <w:lang w:val="en-US"/>
        </w:rPr>
        <w:t>stand</w:t>
      </w:r>
      <w:r>
        <w:rPr>
          <w:rFonts w:ascii="Cambria" w:hAnsi="Cambria" w:cs="Cambria"/>
          <w:sz w:val="24"/>
          <w:szCs w:val="24"/>
          <w:lang w:val="en-US"/>
        </w:rPr>
        <w:t xml:space="preserve">, and an elastic band and an extinguishing tube are provided. During moxibustion, an ignited moxa stick is inserted into the hole so that it can move freely up and down. The </w:t>
      </w:r>
      <w:r>
        <w:rPr>
          <w:rFonts w:hint="default" w:ascii="Cambria" w:hAnsi="Cambria" w:cs="Cambria"/>
          <w:sz w:val="24"/>
          <w:szCs w:val="24"/>
          <w:lang w:val="en-US" w:eastAsia="zh-CN"/>
        </w:rPr>
        <w:t>moxibustion stand</w:t>
      </w:r>
      <w:r>
        <w:rPr>
          <w:rFonts w:ascii="Cambria" w:hAnsi="Cambria" w:cs="Cambria"/>
          <w:sz w:val="24"/>
          <w:szCs w:val="24"/>
          <w:lang w:val="en-US"/>
        </w:rPr>
        <w:t xml:space="preserve"> is then fixed over a selected acupoint by placing the elastic band over the bottom loops on both sides of the </w:t>
      </w:r>
      <w:r>
        <w:rPr>
          <w:rFonts w:hint="default" w:ascii="Cambria" w:hAnsi="Cambria" w:cs="Cambria"/>
          <w:sz w:val="24"/>
          <w:szCs w:val="24"/>
          <w:lang w:val="en-US"/>
        </w:rPr>
        <w:t>stand</w:t>
      </w:r>
      <w:r>
        <w:rPr>
          <w:rFonts w:ascii="Cambria" w:hAnsi="Cambria" w:cs="Cambria"/>
          <w:sz w:val="24"/>
          <w:szCs w:val="24"/>
          <w:lang w:val="en-US"/>
        </w:rPr>
        <w:t>, so that it remains fixed and does not fall off. The height of the moxa stick is adjusted to regulate the distance, with a slightly hot but non-painful sensation as appropriate. After treatment, the remaining moxa stick is inserted into the extinguishing tube.</w:t>
      </w:r>
    </w:p>
    <w:p w14:paraId="197BE736">
      <w:pPr>
        <w:pStyle w:val="13"/>
        <w:spacing w:before="312" w:beforeLines="100" w:after="312" w:afterLines="100" w:line="276" w:lineRule="auto"/>
        <w:jc w:val="both"/>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E.2 Moxibustion cylinder</w:t>
      </w:r>
    </w:p>
    <w:p w14:paraId="060D3FB8">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 xml:space="preserve">A moxibustion cylinder consists of an inner cylinder and an outer cylinder fitted together, both made of iron or copper sheets 2 cm to 5 cm thick. Holes are present in the bottom and walls of both the inner and outer cylinders. The outer cylinder is covered with a movable top cover, and the inner cylinder is positioned on a fixed support so that the distance between the inner and outer cylinders remains constant. A handle is attached to the outer cylinder for easy holding. Moxa floss placed in the inner </w:t>
      </w:r>
      <w:r>
        <w:rPr>
          <w:rFonts w:hint="default" w:ascii="Cambria" w:hAnsi="Cambria" w:cs="Cambria"/>
          <w:sz w:val="24"/>
          <w:szCs w:val="24"/>
          <w:lang w:val="en-US" w:eastAsia="zh-CN"/>
        </w:rPr>
        <w:t>cylinder</w:t>
      </w:r>
      <w:r>
        <w:rPr>
          <w:rFonts w:ascii="Cambria" w:hAnsi="Cambria" w:cs="Cambria"/>
          <w:sz w:val="24"/>
          <w:szCs w:val="24"/>
          <w:lang w:val="en-US"/>
        </w:rPr>
        <w:t xml:space="preserve"> is ignited, the inner cylinder is returned to the outer cylinder, and the top cover is closed for use.</w:t>
      </w:r>
    </w:p>
    <w:p w14:paraId="1754C97E">
      <w:pPr>
        <w:pStyle w:val="13"/>
        <w:spacing w:before="312" w:beforeLines="100" w:after="312" w:afterLines="100" w:line="276" w:lineRule="auto"/>
        <w:jc w:val="both"/>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E.3 Moxibustion box</w:t>
      </w:r>
    </w:p>
    <w:p w14:paraId="0AC13E9B">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A moxibustion box is a specially made box-shaped moxibustion device. A traditional moxibustion box is made of wood, with no bottom, and has a removable lid of the same size as the outer diameter of the box. An iron mesh screen is installed in the middle-lower part of the box, 4 cm to 6 cm from the bottom edge. New types of moxibustion boxes may be made of various materials, with the shape and size designed according to ergonomic principles for convenient wearing, and may be equipped with smoke-filtering and burn-prevention devices. During moxibustion, the moxibustion box is placed on the treatment site, ignited moxa floss or moxa stick is placed on the iron mesh screen, and the lid is closed.</w:t>
      </w:r>
    </w:p>
    <w:p w14:paraId="776453F6">
      <w:pPr>
        <w:pStyle w:val="13"/>
        <w:spacing w:before="312" w:beforeLines="100" w:after="312" w:afterLines="100" w:line="276" w:lineRule="auto"/>
        <w:jc w:val="both"/>
        <w:outlineLvl w:val="9"/>
        <w:rPr>
          <w:rFonts w:hint="default" w:ascii="Cambria" w:hAnsi="Cambria" w:eastAsia="宋体" w:cs="Cambria"/>
          <w:b w:val="0"/>
          <w:color w:val="000000" w:themeColor="text1"/>
          <w:sz w:val="24"/>
          <w:szCs w:val="24"/>
          <w:lang w:val="en-US" w:eastAsia="zh-CN"/>
          <w14:textFill>
            <w14:solidFill>
              <w14:schemeClr w14:val="tx1"/>
            </w14:solidFill>
          </w14:textFill>
        </w:rPr>
      </w:pPr>
      <w:r>
        <w:rPr>
          <w:rFonts w:ascii="Cambria" w:hAnsi="Cambria" w:cs="Cambria"/>
          <w:sz w:val="24"/>
          <w:szCs w:val="24"/>
          <w:lang w:val="en-US"/>
        </w:rPr>
        <w:t xml:space="preserve">E.4 </w:t>
      </w:r>
      <w:r>
        <w:rPr>
          <w:rFonts w:hint="default" w:ascii="Cambria" w:hAnsi="Cambria" w:cs="Cambria"/>
          <w:sz w:val="24"/>
          <w:szCs w:val="24"/>
          <w:lang w:val="en-US" w:eastAsia="zh-CN"/>
        </w:rPr>
        <w:t>Automated moxibustion device</w:t>
      </w:r>
    </w:p>
    <w:p w14:paraId="3D21D384">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A</w:t>
      </w:r>
      <w:r>
        <w:rPr>
          <w:rFonts w:hint="default" w:ascii="Cambria" w:hAnsi="Cambria" w:cs="Cambria"/>
          <w:sz w:val="24"/>
          <w:szCs w:val="24"/>
          <w:lang w:val="en-US" w:eastAsia="zh-CN"/>
        </w:rPr>
        <w:t>n</w:t>
      </w:r>
      <w:r>
        <w:rPr>
          <w:rFonts w:ascii="Cambria" w:hAnsi="Cambria" w:cs="Cambria"/>
          <w:sz w:val="24"/>
          <w:szCs w:val="24"/>
          <w:lang w:val="en-US"/>
        </w:rPr>
        <w:t xml:space="preserve"> </w:t>
      </w:r>
      <w:r>
        <w:rPr>
          <w:rFonts w:hint="default" w:ascii="Cambria" w:hAnsi="Cambria" w:cs="Cambria"/>
          <w:sz w:val="24"/>
          <w:szCs w:val="24"/>
          <w:lang w:val="en-US" w:eastAsia="zh-CN"/>
        </w:rPr>
        <w:t>automated moxibustion device</w:t>
      </w:r>
      <w:r>
        <w:rPr>
          <w:rFonts w:ascii="Cambria" w:hAnsi="Cambria" w:cs="Cambria"/>
          <w:sz w:val="24"/>
          <w:szCs w:val="24"/>
          <w:lang w:val="en-US"/>
        </w:rPr>
        <w:t xml:space="preserve"> generally consists of a main unit, a moxibustion material holder and an automatic control device. Through real-time temperature monitoring, temperature feedback is transmitted to the drive motor, which automatically adjusts the distance between the moxibustion material and the treatment site to control the moxibustion temperature. By burning moxibustion material to generate a warming effect on the human body, moxibustion is applied to human acupoints for the prevention and treatment of diseases.</w:t>
      </w:r>
    </w:p>
    <w:p w14:paraId="36B8F21F">
      <w:pPr>
        <w:spacing w:line="276" w:lineRule="auto"/>
        <w:rPr>
          <w:rFonts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br w:type="page"/>
      </w:r>
    </w:p>
    <w:p w14:paraId="4D290893">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30" w:name="_Toc22586"/>
      <w:bookmarkStart w:id="231" w:name="_Toc2278"/>
      <w:r>
        <w:rPr>
          <w:rFonts w:ascii="Cambria" w:hAnsi="Cambria" w:cs="Cambria"/>
          <w:b/>
          <w:bCs/>
          <w:sz w:val="24"/>
          <w:szCs w:val="24"/>
          <w:lang w:val="en-US"/>
        </w:rPr>
        <w:t>Annex F</w:t>
      </w:r>
      <w:bookmarkEnd w:id="230"/>
      <w:bookmarkEnd w:id="231"/>
    </w:p>
    <w:p w14:paraId="4E93963F">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32" w:name="_Toc644"/>
      <w:bookmarkStart w:id="233" w:name="_Toc5017"/>
      <w:r>
        <w:rPr>
          <w:rFonts w:ascii="Cambria" w:hAnsi="Cambria" w:cs="Cambria"/>
          <w:b/>
          <w:bCs/>
          <w:sz w:val="24"/>
          <w:szCs w:val="24"/>
          <w:lang w:val="en-US"/>
        </w:rPr>
        <w:t>(informative)</w:t>
      </w:r>
      <w:bookmarkEnd w:id="232"/>
      <w:bookmarkEnd w:id="233"/>
    </w:p>
    <w:p w14:paraId="33467FD7">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34" w:name="_Toc14725"/>
      <w:bookmarkStart w:id="235" w:name="_Toc11093"/>
      <w:r>
        <w:rPr>
          <w:rFonts w:ascii="Cambria" w:hAnsi="Cambria" w:cs="Cambria"/>
          <w:b/>
          <w:bCs/>
          <w:sz w:val="24"/>
          <w:szCs w:val="24"/>
          <w:lang w:val="en-US"/>
        </w:rPr>
        <w:t>Commonly used moxa sticks</w:t>
      </w:r>
      <w:bookmarkEnd w:id="234"/>
      <w:bookmarkEnd w:id="235"/>
    </w:p>
    <w:p w14:paraId="4E4AF50D">
      <w:pPr>
        <w:pStyle w:val="13"/>
        <w:spacing w:before="312" w:beforeLines="100" w:after="312" w:afterLines="100" w:line="276" w:lineRule="auto"/>
        <w:jc w:val="both"/>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F.1 Pure moxa stick</w:t>
      </w:r>
    </w:p>
    <w:p w14:paraId="67766E65">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Take 20 g to 30 g of pure moxa floss, wrap it with cotton-bark paper or similar material, and roll it into a long cylindrical stick.</w:t>
      </w:r>
    </w:p>
    <w:p w14:paraId="081F9CC0">
      <w:pPr>
        <w:pStyle w:val="13"/>
        <w:spacing w:before="312" w:beforeLines="100" w:after="312" w:afterLines="100" w:line="276" w:lineRule="auto"/>
        <w:jc w:val="both"/>
        <w:outlineLvl w:val="9"/>
        <w:rPr>
          <w:rFonts w:ascii="Cambria" w:hAnsi="Cambria" w:cs="Cambria"/>
          <w:b w:val="0"/>
          <w:color w:val="000000" w:themeColor="text1"/>
          <w:sz w:val="24"/>
          <w:szCs w:val="24"/>
          <w:lang w:val="en-US"/>
          <w14:textFill>
            <w14:solidFill>
              <w14:schemeClr w14:val="tx1"/>
            </w14:solidFill>
          </w14:textFill>
        </w:rPr>
      </w:pPr>
      <w:r>
        <w:rPr>
          <w:rFonts w:ascii="Cambria" w:hAnsi="Cambria" w:cs="Cambria"/>
          <w:sz w:val="24"/>
          <w:szCs w:val="24"/>
          <w:lang w:val="en-US"/>
        </w:rPr>
        <w:t>F.2 Ordinary medicinal moxa stick</w:t>
      </w:r>
    </w:p>
    <w:p w14:paraId="59AFF241">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Take equal amounts of cinnamon bark, dried ginger, costus root, Angelica pubescens root, asarum, Angelica dahurica root, realgar, Atractylodes rhizome, myrrh, frankincense and Sichuan pepper, and grind them into fine powder. Add 6 g of the medicinal powder to each moxa stick, mix it with moxa floss, and prepare it into a moxa stick.</w:t>
      </w:r>
    </w:p>
    <w:p w14:paraId="5001A944">
      <w:pPr>
        <w:pStyle w:val="13"/>
        <w:spacing w:before="312" w:beforeLines="100" w:after="312" w:afterLines="100" w:line="276" w:lineRule="auto"/>
        <w:jc w:val="both"/>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F.3 Lei Huo Shen Zhen (Thunder-Fire Miraculous Moxa Stick)</w:t>
      </w:r>
    </w:p>
    <w:p w14:paraId="13B48F98">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Lei Huo Shen Zhen is a type of medicinal moxa stick, commonly used for wind-cold-damp impediment, wilting conditions and deficiency-</w:t>
      </w:r>
      <w:r>
        <w:rPr>
          <w:rFonts w:hint="default" w:ascii="Cambria" w:hAnsi="Cambria" w:cs="Cambria"/>
          <w:sz w:val="24"/>
          <w:szCs w:val="24"/>
          <w:lang w:val="en-US" w:eastAsia="zh-CN"/>
        </w:rPr>
        <w:t>cold patterns</w:t>
      </w:r>
      <w:r>
        <w:rPr>
          <w:rFonts w:ascii="Cambria" w:hAnsi="Cambria" w:cs="Cambria"/>
          <w:sz w:val="24"/>
          <w:szCs w:val="24"/>
          <w:lang w:val="en-US"/>
        </w:rPr>
        <w:t>. Prescription: moxa floss 94 g; agarwood, costus root, frankincense, Yinchen, Notopterygium root and dried ginger, 9 g each; and a small amount of musk. Grind the ingredients into powder and mix evenly. Spread the medicinal materials evenly on mulberry-bark paper, roll them tightly into a firecracker-like shape, then roll and tighten them further with a wooden board. Apply egg white externally, dry in the shade, and store for later use.</w:t>
      </w:r>
    </w:p>
    <w:p w14:paraId="7AB41474">
      <w:pPr>
        <w:pStyle w:val="13"/>
        <w:spacing w:before="312" w:beforeLines="100" w:after="312" w:afterLines="100" w:line="276" w:lineRule="auto"/>
        <w:jc w:val="both"/>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F.4 Tai Yi Shen Zhen (Taiyi Miraculous Moxa Stick)</w:t>
      </w:r>
    </w:p>
    <w:p w14:paraId="0EB4C529">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Tai Yi Shen Zhen is a type of medicinal moxa stick, prepared by modifying the medicinal ingredients of Lei Huo Shen Zhen. It has a wider range of indications and is commonly used for wind-cold-damp impediment, wilting disease, pediatric wind stroke and other conditions. Prescription: moxa floss 90 g; sulfur 6 g; musk, frankincense, myrrh, rosin, cinnamon twig, Eucommia bark, bitter orange, Chinese honeylocust spine, asarum, Chuanxiong rhizome, Angelica pubescens root, realgar, Angelica dahurica root and scorpion, 3 g each. The preparation method of the moxa stick and the moxibustion procedure are the same as those for Lei Huo Shen Zhen.</w:t>
      </w:r>
    </w:p>
    <w:p w14:paraId="474CC057">
      <w:pPr>
        <w:spacing w:line="276" w:lineRule="auto"/>
        <w:rPr>
          <w:rFonts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br w:type="page"/>
      </w:r>
    </w:p>
    <w:p w14:paraId="2C134D09">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36" w:name="_Toc27747"/>
      <w:bookmarkStart w:id="237" w:name="_Toc31748"/>
      <w:r>
        <w:rPr>
          <w:rFonts w:ascii="Cambria" w:hAnsi="Cambria" w:cs="Cambria"/>
          <w:b/>
          <w:bCs/>
          <w:sz w:val="24"/>
          <w:szCs w:val="24"/>
          <w:lang w:val="en-US"/>
        </w:rPr>
        <w:t>Annex G</w:t>
      </w:r>
      <w:bookmarkEnd w:id="236"/>
      <w:bookmarkEnd w:id="237"/>
    </w:p>
    <w:p w14:paraId="72715511">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38" w:name="_Toc16853"/>
      <w:bookmarkStart w:id="239" w:name="_Toc25874"/>
      <w:r>
        <w:rPr>
          <w:rFonts w:ascii="Cambria" w:hAnsi="Cambria" w:cs="Cambria"/>
          <w:b/>
          <w:bCs/>
          <w:sz w:val="24"/>
          <w:szCs w:val="24"/>
          <w:lang w:val="en-US"/>
        </w:rPr>
        <w:t>(informative)</w:t>
      </w:r>
      <w:bookmarkEnd w:id="238"/>
      <w:bookmarkEnd w:id="239"/>
    </w:p>
    <w:p w14:paraId="6406AB14">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40" w:name="_Toc22094"/>
      <w:bookmarkStart w:id="241" w:name="_Toc12871"/>
      <w:r>
        <w:rPr>
          <w:rFonts w:ascii="Cambria" w:hAnsi="Cambria" w:cs="Cambria"/>
          <w:b/>
          <w:bCs/>
          <w:sz w:val="24"/>
          <w:szCs w:val="24"/>
          <w:lang w:val="en-US"/>
        </w:rPr>
        <w:t>Moxibustion dose, treatment time, treatment course, and management of fainting during moxibustion</w:t>
      </w:r>
      <w:bookmarkEnd w:id="240"/>
      <w:bookmarkEnd w:id="241"/>
    </w:p>
    <w:p w14:paraId="68D0464C">
      <w:pPr>
        <w:pStyle w:val="13"/>
        <w:spacing w:before="312" w:beforeLines="100" w:after="312" w:afterLines="100" w:line="276" w:lineRule="auto"/>
        <w:jc w:val="both"/>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G.1 Moxibustion dose</w:t>
      </w:r>
    </w:p>
    <w:p w14:paraId="60B66D93">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The moxibustion dose refers to the amount of moxa used during moxibustion treatment and the degree of local warmth achieved. Different moxibustion doses produce different therapeutic effects. The dose of moxa cone moxibustion is generally calculated according to the size of the moxa cone and the number of zhuang. A smaller cone and fewer zhuang indicate a smaller dose, while a larger cone and more zhuang indicate a larger dose. Mild moxibustion with a moxa stick and moxibustion with a moxibustion device are calculated according to treatment time.</w:t>
      </w:r>
    </w:p>
    <w:p w14:paraId="011EB983">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When the moxibustion site is on the head, face, chest, distal extremities, or areas with thin skin and many tendons, the moxibustion dose should be small. When the site is on the lumbar region, abdomen, shoulders, legs or other areas with thick skin and abundant flesh, the dose may be larger.</w:t>
      </w:r>
    </w:p>
    <w:p w14:paraId="2EB90A6E">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 xml:space="preserve">For deep-seated cold and chronic </w:t>
      </w:r>
      <w:r>
        <w:rPr>
          <w:rFonts w:hint="default" w:ascii="Cambria" w:hAnsi="Cambria" w:cs="Cambria"/>
          <w:sz w:val="24"/>
          <w:szCs w:val="24"/>
          <w:lang w:val="en-US" w:eastAsia="zh-CN"/>
        </w:rPr>
        <w:t>cold patterns</w:t>
      </w:r>
      <w:r>
        <w:rPr>
          <w:rFonts w:ascii="Cambria" w:hAnsi="Cambria" w:cs="Cambria"/>
          <w:sz w:val="24"/>
          <w:szCs w:val="24"/>
          <w:lang w:val="en-US"/>
        </w:rPr>
        <w:t>, the moxibustion dose may be larger. For externally contracted diseases, the dose should be smaller.</w:t>
      </w:r>
    </w:p>
    <w:p w14:paraId="22297CDA">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The younger the child and the weaker the constitution, the smaller the moxibustion dose should be.</w:t>
      </w:r>
    </w:p>
    <w:p w14:paraId="79202AAD">
      <w:pPr>
        <w:pStyle w:val="13"/>
        <w:spacing w:before="312" w:beforeLines="100" w:after="312" w:afterLines="100" w:line="276" w:lineRule="auto"/>
        <w:jc w:val="left"/>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G.2 Moxibustion treatment time and treatment course</w:t>
      </w:r>
    </w:p>
    <w:p w14:paraId="50B9299E">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The duration of moxibustion should not be too long. In general, 3 min to 10 min per acupoint is appropriate. The duration should be shorter in summer and may be slightly longer in winter. The frequency and treatment course of moxibustion shall be determined according to the child’s condition. Moxibustion may be performed once daily, once every other day, or once every 3 days.</w:t>
      </w:r>
    </w:p>
    <w:p w14:paraId="265063A8">
      <w:pPr>
        <w:pStyle w:val="13"/>
        <w:spacing w:before="312" w:beforeLines="100" w:after="312" w:afterLines="100" w:line="276" w:lineRule="auto"/>
        <w:jc w:val="both"/>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G.3 Management of fainting during moxibustion</w:t>
      </w:r>
    </w:p>
    <w:p w14:paraId="2E4E1E67">
      <w:pPr>
        <w:spacing w:line="276" w:lineRule="auto"/>
        <w:ind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If fainting during moxibustion occurs, moxibustion shall be stopped immediately. The child patient shall lie flat with the head lowered, and warmth shall be maintained. In mild cases, the child patient generally recovers after resting for a short period or drinking warm boiled water. In severe cases, pinching Renzhong (GV 26), Neiguan (PC 6) and Zusanli (ST 36) may be added. Very severe cases shall be managed as syncope.</w:t>
      </w:r>
    </w:p>
    <w:p w14:paraId="70515C7E">
      <w:pPr>
        <w:spacing w:line="276" w:lineRule="auto"/>
        <w:rPr>
          <w:rFonts w:ascii="Cambria" w:hAnsi="Cambria" w:cs="Cambria"/>
          <w:color w:val="000000" w:themeColor="text1"/>
          <w:sz w:val="24"/>
          <w:szCs w:val="24"/>
          <w14:textFill>
            <w14:solidFill>
              <w14:schemeClr w14:val="tx1"/>
            </w14:solidFill>
          </w14:textFill>
        </w:rPr>
      </w:pPr>
      <w:r>
        <w:rPr>
          <w:rFonts w:hint="default" w:ascii="Cambria" w:hAnsi="Cambria" w:cs="Cambria"/>
          <w:color w:val="000000" w:themeColor="text1"/>
          <w:sz w:val="24"/>
          <w:szCs w:val="24"/>
          <w14:textFill>
            <w14:solidFill>
              <w14:schemeClr w14:val="tx1"/>
            </w14:solidFill>
          </w14:textFill>
        </w:rPr>
        <w:br w:type="page"/>
      </w:r>
    </w:p>
    <w:p w14:paraId="0499F0F2">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42" w:name="_Toc9336"/>
      <w:bookmarkStart w:id="243" w:name="_Toc32165"/>
      <w:r>
        <w:rPr>
          <w:rFonts w:ascii="Cambria" w:hAnsi="Cambria" w:cs="Cambria"/>
          <w:b/>
          <w:bCs/>
          <w:sz w:val="24"/>
          <w:szCs w:val="24"/>
          <w:lang w:val="en-US"/>
        </w:rPr>
        <w:t>Annex H</w:t>
      </w:r>
      <w:bookmarkEnd w:id="242"/>
      <w:bookmarkEnd w:id="243"/>
    </w:p>
    <w:p w14:paraId="60A6C6BB">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44" w:name="_Toc12231"/>
      <w:bookmarkStart w:id="245" w:name="_Toc10151"/>
      <w:r>
        <w:rPr>
          <w:rFonts w:ascii="Cambria" w:hAnsi="Cambria" w:cs="Cambria"/>
          <w:b/>
          <w:bCs/>
          <w:sz w:val="24"/>
          <w:szCs w:val="24"/>
          <w:lang w:val="en-US"/>
        </w:rPr>
        <w:t>(informative)</w:t>
      </w:r>
      <w:bookmarkEnd w:id="244"/>
      <w:bookmarkEnd w:id="245"/>
    </w:p>
    <w:p w14:paraId="7B3B9FEF">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46" w:name="_Toc23963"/>
      <w:bookmarkStart w:id="247" w:name="_Toc27006"/>
      <w:r>
        <w:rPr>
          <w:rFonts w:ascii="Cambria" w:hAnsi="Cambria" w:cs="Cambria"/>
          <w:b/>
          <w:bCs/>
          <w:sz w:val="24"/>
          <w:szCs w:val="24"/>
          <w:lang w:val="en-US"/>
        </w:rPr>
        <w:t>Precautions for pediatric acupuncture and moxibustion therapy</w:t>
      </w:r>
      <w:bookmarkEnd w:id="246"/>
      <w:bookmarkEnd w:id="247"/>
    </w:p>
    <w:p w14:paraId="45DB8A67">
      <w:pPr>
        <w:pStyle w:val="13"/>
        <w:spacing w:before="312" w:beforeLines="100" w:after="312" w:afterLines="100" w:line="276" w:lineRule="auto"/>
        <w:jc w:val="both"/>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H.1 Precautions for pediatric filiform needle acupuncture</w:t>
      </w:r>
    </w:p>
    <w:p w14:paraId="74FA980E">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H.1.1 Needling is not appropriate when the child patient is mentally tense, sweating profusely, or hungry.</w:t>
      </w:r>
    </w:p>
    <w:p w14:paraId="30D4075D">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H.1.2 Needling is not appropriate at sites with skin ulceration, infection or bleeding.</w:t>
      </w:r>
    </w:p>
    <w:p w14:paraId="46ACD107">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H.1.3 In children under 3 years of age, light and shallow needling methods should be used, and needles should not be retained. Acupoints on the head may only be needled by horizontal insertion, and needling on the chest and back shall not be deep.</w:t>
      </w:r>
    </w:p>
    <w:p w14:paraId="46F98B7B">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H.1.4 Infection shall be prevented during operation. Major arteries shall not be injured.</w:t>
      </w:r>
    </w:p>
    <w:p w14:paraId="442486D7">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H.1.5 During operation, attention shall be paid to changes in complexion, blood pressure and heart rate to prevent fainting during acupuncture.</w:t>
      </w:r>
    </w:p>
    <w:p w14:paraId="2910B230">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H.1.6 If there is considerable local bleeding after needling, the child patient shall rest appropriately and may leave only after observation confirms that there is no abnormality. The practitioner shall avoid contact with the blood of the child patient.</w:t>
      </w:r>
    </w:p>
    <w:p w14:paraId="6F1F14D4">
      <w:pPr>
        <w:pStyle w:val="13"/>
        <w:spacing w:before="312" w:beforeLines="100" w:after="312" w:afterLines="100" w:line="276" w:lineRule="auto"/>
        <w:jc w:val="both"/>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H.2 Precautions for pediatric three-edge needle therapy</w:t>
      </w:r>
    </w:p>
    <w:p w14:paraId="0DB02A48">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H.2.1 Needling is not appropriate when the child patient is mentally tense, sweating profusely, or hungry.</w:t>
      </w:r>
    </w:p>
    <w:p w14:paraId="1A2AF296">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H.2.2 Arteries shall not be injured. Infection at the operation site shall be prevented.</w:t>
      </w:r>
    </w:p>
    <w:p w14:paraId="387A0BBB">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H.2.3 Attention shall be paid to changes in complexion, blood pressure and heart rate to prevent fainting during acupuncture or blood-related syncope.</w:t>
      </w:r>
    </w:p>
    <w:p w14:paraId="54CDFC77">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H.2.4 If there is considerable bleeding after needling, the child patient shall rest appropriately and may leave only after observation confirms that there is no abnormality.</w:t>
      </w:r>
    </w:p>
    <w:p w14:paraId="4C9A4472">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H.2.5 The practitioner shall avoid contact with the blood discharged from the child patient.</w:t>
      </w:r>
    </w:p>
    <w:p w14:paraId="51C0A538">
      <w:pPr>
        <w:pStyle w:val="13"/>
        <w:spacing w:before="312" w:beforeLines="100" w:after="312" w:afterLines="100" w:line="276" w:lineRule="auto"/>
        <w:jc w:val="both"/>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 xml:space="preserve">H.3 Precautions for Si Feng (EX-UE 10) </w:t>
      </w:r>
      <w:r>
        <w:rPr>
          <w:rFonts w:ascii="Cambria" w:hAnsi="Cambria" w:cs="Cambria"/>
          <w:i/>
          <w:iCs/>
          <w:sz w:val="24"/>
          <w:szCs w:val="24"/>
          <w:lang w:val="en-US"/>
        </w:rPr>
        <w:t>pricking</w:t>
      </w:r>
      <w:r>
        <w:rPr>
          <w:rFonts w:ascii="Cambria" w:hAnsi="Cambria" w:cs="Cambria"/>
          <w:sz w:val="24"/>
          <w:szCs w:val="24"/>
          <w:lang w:val="en-US"/>
        </w:rPr>
        <w:t xml:space="preserve"> therapy</w:t>
      </w:r>
    </w:p>
    <w:p w14:paraId="54B4CEB5">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H.3.1 Strict disinfection shall be performed to prevent infection.</w:t>
      </w:r>
    </w:p>
    <w:p w14:paraId="1794B141">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H.3.2 Needling is not appropriate when the child patient is mentally tense, sweating profusely, or hungry.</w:t>
      </w:r>
    </w:p>
    <w:p w14:paraId="1B802D76">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H.3.3 Needling is not appropriate if the Si Feng (EX-UE 10) acupoint site of the child patient has ulceration or infection.</w:t>
      </w:r>
    </w:p>
    <w:p w14:paraId="7A0FE0B4">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H.3.4 During pricking, the manipulation should be light, rapid and accurate. Excessive force shall not be used, in order to prevent excessively deep insertion. Blood vessels should be avoided as far as possible.</w:t>
      </w:r>
    </w:p>
    <w:p w14:paraId="77271137">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H.3.5 The practitioner shall avoid contact with the blood discharged from the child patient.</w:t>
      </w:r>
    </w:p>
    <w:p w14:paraId="1058ED1E">
      <w:pPr>
        <w:pStyle w:val="13"/>
        <w:spacing w:before="312" w:beforeLines="100" w:after="312" w:afterLines="100" w:line="276" w:lineRule="auto"/>
        <w:jc w:val="both"/>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H.4 Precautions for pediatric moxibustion therapy</w:t>
      </w:r>
    </w:p>
    <w:p w14:paraId="51522ED8">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H.4.1 Compared with moxibustion in adults, moxa cones used in children should be smaller, the number of zhuang should be fewer, and the duration should be shorter.</w:t>
      </w:r>
    </w:p>
    <w:p w14:paraId="32538BF1">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H.4.2 During direct moxibustion, the moxibustion dose shall be properly controlled, and attention shall be paid to preventing infection.</w:t>
      </w:r>
    </w:p>
    <w:p w14:paraId="63FD9AED">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 xml:space="preserve">H.4.3 Needle retention is not appropriate in children under 3 years of age; therefore, warm needling </w:t>
      </w:r>
      <w:r>
        <w:rPr>
          <w:rFonts w:hint="default" w:ascii="Cambria" w:hAnsi="Cambria" w:cs="Cambria"/>
          <w:sz w:val="24"/>
          <w:szCs w:val="24"/>
          <w:lang w:val="en-US"/>
        </w:rPr>
        <w:t>moxibustion</w:t>
      </w:r>
      <w:r>
        <w:rPr>
          <w:rFonts w:ascii="Cambria" w:hAnsi="Cambria" w:cs="Cambria"/>
          <w:sz w:val="24"/>
          <w:szCs w:val="24"/>
          <w:lang w:val="en-US"/>
        </w:rPr>
        <w:t xml:space="preserve"> is generally not used.</w:t>
      </w:r>
    </w:p>
    <w:p w14:paraId="403C5B9E">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H.4.4 Care shall be taken to prevent burning moxa from falling off during moxibustion, causing skin burns or burning clothing and bedding.</w:t>
      </w:r>
    </w:p>
    <w:p w14:paraId="484A23E2">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H.4.5 After moxibustion, the burning moxa shall be completely extinguished to prevent re-ignition.</w:t>
      </w:r>
    </w:p>
    <w:p w14:paraId="3AC3378D">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H.4.6 During moxibustion, the skin and general condition of the child patient shall be closely observed, with attention paid to any adverse reactions. If fainting during moxibustion occurs, moxibustion shall be stopped promptly and appropriate management shall be provided.</w:t>
      </w:r>
    </w:p>
    <w:p w14:paraId="197C55E6">
      <w:pPr>
        <w:spacing w:line="276" w:lineRule="auto"/>
        <w:jc w:val="left"/>
        <w:outlineLvl w:val="9"/>
        <w:rPr>
          <w:rFonts w:hint="default" w:ascii="Cambria" w:hAnsi="Cambria" w:eastAsia="黑体" w:cs="Cambria"/>
          <w:color w:val="000000" w:themeColor="text1"/>
          <w:sz w:val="24"/>
          <w:szCs w:val="24"/>
          <w14:textFill>
            <w14:solidFill>
              <w14:schemeClr w14:val="tx1"/>
            </w14:solidFill>
          </w14:textFill>
        </w:rPr>
      </w:pPr>
      <w:r>
        <w:rPr>
          <w:rFonts w:hint="default" w:ascii="Cambria" w:hAnsi="Cambria" w:eastAsia="黑体" w:cs="Cambria"/>
          <w:color w:val="000000" w:themeColor="text1"/>
          <w:sz w:val="24"/>
          <w:szCs w:val="24"/>
          <w14:textFill>
            <w14:solidFill>
              <w14:schemeClr w14:val="tx1"/>
            </w14:solidFill>
          </w14:textFill>
        </w:rPr>
        <w:br w:type="page"/>
      </w:r>
    </w:p>
    <w:p w14:paraId="2BB01F0A">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48" w:name="_Toc24952"/>
      <w:bookmarkStart w:id="249" w:name="_Toc4450"/>
      <w:r>
        <w:rPr>
          <w:rFonts w:ascii="Cambria" w:hAnsi="Cambria" w:cs="Cambria"/>
          <w:b/>
          <w:bCs/>
          <w:sz w:val="24"/>
          <w:szCs w:val="24"/>
          <w:lang w:val="en-US"/>
        </w:rPr>
        <w:t>Annex I</w:t>
      </w:r>
      <w:bookmarkEnd w:id="248"/>
      <w:bookmarkEnd w:id="249"/>
    </w:p>
    <w:p w14:paraId="26631283">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50" w:name="_Toc24693"/>
      <w:bookmarkStart w:id="251" w:name="_Toc30717"/>
      <w:r>
        <w:rPr>
          <w:rFonts w:ascii="Cambria" w:hAnsi="Cambria" w:cs="Cambria"/>
          <w:b/>
          <w:bCs/>
          <w:sz w:val="24"/>
          <w:szCs w:val="24"/>
          <w:lang w:val="en-US"/>
        </w:rPr>
        <w:t>(informative)</w:t>
      </w:r>
      <w:bookmarkEnd w:id="250"/>
      <w:bookmarkEnd w:id="251"/>
    </w:p>
    <w:p w14:paraId="3267E331">
      <w:pPr>
        <w:spacing w:line="276" w:lineRule="auto"/>
        <w:jc w:val="center"/>
        <w:outlineLvl w:val="0"/>
        <w:rPr>
          <w:rFonts w:ascii="Cambria" w:hAnsi="Cambria" w:eastAsia="黑体" w:cs="Cambria"/>
          <w:b/>
          <w:bCs/>
          <w:color w:val="000000" w:themeColor="text1"/>
          <w:sz w:val="24"/>
          <w:szCs w:val="24"/>
          <w14:textFill>
            <w14:solidFill>
              <w14:schemeClr w14:val="tx1"/>
            </w14:solidFill>
          </w14:textFill>
        </w:rPr>
      </w:pPr>
      <w:bookmarkStart w:id="252" w:name="_Toc3445"/>
      <w:bookmarkStart w:id="253" w:name="_Toc1664"/>
      <w:r>
        <w:rPr>
          <w:rFonts w:ascii="Cambria" w:hAnsi="Cambria" w:cs="Cambria"/>
          <w:b/>
          <w:bCs/>
          <w:sz w:val="24"/>
          <w:szCs w:val="24"/>
          <w:lang w:val="en-US"/>
        </w:rPr>
        <w:t>Contraindications for pediatric acupuncture and moxibustion therapy</w:t>
      </w:r>
      <w:bookmarkEnd w:id="252"/>
      <w:bookmarkEnd w:id="253"/>
    </w:p>
    <w:p w14:paraId="605CCA5D">
      <w:pPr>
        <w:pStyle w:val="13"/>
        <w:spacing w:before="312" w:beforeLines="100" w:after="312" w:afterLines="100" w:line="276" w:lineRule="auto"/>
        <w:jc w:val="both"/>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I.1 Contraindications for pediatric filiform needle acupuncture</w:t>
      </w:r>
    </w:p>
    <w:p w14:paraId="735653EE">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I.1.1 This therapy is contraindicated in child patients with coagulation disorders.</w:t>
      </w:r>
    </w:p>
    <w:p w14:paraId="228B1D7C">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I.1.2 Needling is contraindicated at sites of hemangioma or masses of unknown cause.</w:t>
      </w:r>
    </w:p>
    <w:p w14:paraId="28D6ED9D">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I.1.3 Acupuncture shall be used with caution in neonates. Acupuncture shall be used with caution when the child patient is asleep.</w:t>
      </w:r>
    </w:p>
    <w:p w14:paraId="50B050C6">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I.1.4 When the fontanelle of the child patient has not yet closed, acupoints near the fontanelle are not appropriate for needling.</w:t>
      </w:r>
    </w:p>
    <w:p w14:paraId="10FDEBA4">
      <w:pPr>
        <w:pStyle w:val="13"/>
        <w:spacing w:before="312" w:beforeLines="100" w:after="312" w:afterLines="100" w:line="276" w:lineRule="auto"/>
        <w:jc w:val="both"/>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I.2 Contraindications for pediatric three-edge needle therapy</w:t>
      </w:r>
    </w:p>
    <w:p w14:paraId="592B0DAF">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I.2.1 This therapy is contraindicated in child patients with coagulation disorders.</w:t>
      </w:r>
    </w:p>
    <w:p w14:paraId="439D4528">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I.2.2 This therapy is contraindicated at sites of hemangioma or masses of unknown cause.</w:t>
      </w:r>
    </w:p>
    <w:p w14:paraId="5172BA81">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I.2.3 This therapy is contraindicated in children under 1 year of age, and shall be used with caution in children aged 1 to 2 years.</w:t>
      </w:r>
    </w:p>
    <w:p w14:paraId="08CC5503">
      <w:pPr>
        <w:pStyle w:val="13"/>
        <w:spacing w:before="312" w:beforeLines="100" w:after="312" w:afterLines="100" w:line="276" w:lineRule="auto"/>
        <w:jc w:val="both"/>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 xml:space="preserve">I.3 Contraindications for </w:t>
      </w:r>
      <w:r>
        <w:rPr>
          <w:rFonts w:ascii="Cambria" w:hAnsi="Cambria" w:cs="Cambria"/>
          <w:i/>
          <w:iCs/>
          <w:sz w:val="24"/>
          <w:szCs w:val="24"/>
          <w:lang w:val="en-US"/>
        </w:rPr>
        <w:t>Si Feng</w:t>
      </w:r>
      <w:r>
        <w:rPr>
          <w:rFonts w:ascii="Cambria" w:hAnsi="Cambria" w:cs="Cambria"/>
          <w:sz w:val="24"/>
          <w:szCs w:val="24"/>
          <w:lang w:val="en-US"/>
        </w:rPr>
        <w:t xml:space="preserve"> (EX-UE 10) pricking therapy</w:t>
      </w:r>
    </w:p>
    <w:p w14:paraId="32BB4B95">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I.3.1 This therapy is contraindicated in child patients with coagulation disorders.</w:t>
      </w:r>
    </w:p>
    <w:p w14:paraId="661E0B22">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I.3.2 This therapy is contraindicated if there is a hemangioma or a mass of unknown cause at the Si Feng (EX-UE 10) acupoint site.</w:t>
      </w:r>
    </w:p>
    <w:p w14:paraId="55CC0499">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I.3.3 This therapy shall be used with caution in children under 1 year of age.</w:t>
      </w:r>
    </w:p>
    <w:p w14:paraId="38832DF4">
      <w:pPr>
        <w:pStyle w:val="13"/>
        <w:spacing w:before="312" w:beforeLines="100" w:after="312" w:afterLines="100" w:line="276" w:lineRule="auto"/>
        <w:jc w:val="both"/>
        <w:outlineLvl w:val="9"/>
        <w:rPr>
          <w:rFonts w:ascii="Cambria" w:hAnsi="Cambria" w:eastAsia="黑体" w:cs="Cambria"/>
          <w:b w:val="0"/>
          <w:color w:val="000000" w:themeColor="text1"/>
          <w:sz w:val="24"/>
          <w:szCs w:val="24"/>
          <w:lang w:val="en-US"/>
          <w14:textFill>
            <w14:solidFill>
              <w14:schemeClr w14:val="tx1"/>
            </w14:solidFill>
          </w14:textFill>
        </w:rPr>
      </w:pPr>
      <w:r>
        <w:rPr>
          <w:rFonts w:ascii="Cambria" w:hAnsi="Cambria" w:cs="Cambria"/>
          <w:sz w:val="24"/>
          <w:szCs w:val="24"/>
          <w:lang w:val="en-US"/>
        </w:rPr>
        <w:t>I.4 Contraindications for pediatric moxibustion therapy</w:t>
      </w:r>
    </w:p>
    <w:p w14:paraId="62CCF48D">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I.4.1 Direct moxibustion shall not be used in children under 3 years of age. If moxibustion is used, mild moxibustion is appropriate. Suppurative moxibustion, also known as scarring moxibustion, is contraindicated in pediatrics, and sparrow-pecking moxibustion shall be used with caution.</w:t>
      </w:r>
    </w:p>
    <w:p w14:paraId="113EE91C">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I.4.2 Moxibustion shall be used with caution in child patients who are overfatigued, excessively hungry, sweating profusely, or mentally tense.</w:t>
      </w:r>
    </w:p>
    <w:p w14:paraId="1C5AF039">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 xml:space="preserve">I.4.3 </w:t>
      </w:r>
      <w:r>
        <w:rPr>
          <w:rFonts w:hint="default" w:ascii="Cambria" w:hAnsi="Cambria" w:cs="Cambria"/>
          <w:sz w:val="24"/>
          <w:szCs w:val="24"/>
          <w:lang w:val="en-US"/>
        </w:rPr>
        <w:t>Warm needling moxibustion</w:t>
      </w:r>
      <w:r>
        <w:rPr>
          <w:rFonts w:ascii="Cambria" w:hAnsi="Cambria" w:cs="Cambria"/>
          <w:sz w:val="24"/>
          <w:szCs w:val="24"/>
          <w:lang w:val="en-US"/>
        </w:rPr>
        <w:t xml:space="preserve"> shall not be used in child patients who are unwilling to cooperate or who are crying severely.</w:t>
      </w:r>
    </w:p>
    <w:p w14:paraId="28630EDA">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I.4.4 Moxibustion is contraindicated at sites with skin eruption, damage, or yang-type sores and ulcers.</w:t>
      </w:r>
    </w:p>
    <w:p w14:paraId="30C46F8E">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I.4.5 Moxibustion is contraindicated at the nine orifices, including the eyes, ears, mouth, nose, external genitalia and anus.</w:t>
      </w:r>
    </w:p>
    <w:p w14:paraId="7EC49D57">
      <w:pPr>
        <w:spacing w:line="276" w:lineRule="auto"/>
        <w:rPr>
          <w:rFonts w:ascii="Cambria" w:hAnsi="Cambria" w:cs="Cambria"/>
          <w:color w:val="000000" w:themeColor="text1"/>
          <w:sz w:val="24"/>
          <w:szCs w:val="24"/>
          <w14:textFill>
            <w14:solidFill>
              <w14:schemeClr w14:val="tx1"/>
            </w14:solidFill>
          </w14:textFill>
        </w:rPr>
      </w:pPr>
      <w:r>
        <w:rPr>
          <w:rFonts w:ascii="Cambria" w:hAnsi="Cambria" w:cs="Cambria"/>
          <w:sz w:val="24"/>
          <w:szCs w:val="24"/>
          <w:lang w:val="en-US"/>
        </w:rPr>
        <w:t>I.4.6 Moxibustion is contraindicated in children who are allergic to moxa, auxiliary media or medicinal substances.</w:t>
      </w:r>
    </w:p>
    <w:p w14:paraId="06B7991B">
      <w:pPr>
        <w:spacing w:line="276" w:lineRule="auto"/>
        <w:rPr>
          <w:rFonts w:ascii="Cambria" w:hAnsi="Cambria" w:cs="Cambria"/>
          <w:b/>
          <w:color w:val="000000" w:themeColor="text1"/>
          <w:sz w:val="24"/>
          <w:szCs w:val="24"/>
          <w14:textFill>
            <w14:solidFill>
              <w14:schemeClr w14:val="tx1"/>
            </w14:solidFill>
          </w14:textFill>
        </w:rPr>
      </w:pPr>
      <w:r>
        <w:rPr>
          <w:rFonts w:ascii="Cambria" w:hAnsi="Cambria" w:cs="Cambria"/>
          <w:b/>
          <w:color w:val="000000" w:themeColor="text1"/>
          <w:sz w:val="24"/>
          <w:szCs w:val="24"/>
          <w14:textFill>
            <w14:solidFill>
              <w14:schemeClr w14:val="tx1"/>
            </w14:solidFill>
          </w14:textFill>
        </w:rPr>
        <w:br w:type="page"/>
      </w:r>
    </w:p>
    <w:p w14:paraId="20826C78">
      <w:pPr>
        <w:spacing w:before="312" w:beforeLines="100" w:after="312" w:afterLines="100" w:line="276" w:lineRule="auto"/>
        <w:jc w:val="center"/>
        <w:outlineLvl w:val="0"/>
        <w:rPr>
          <w:rFonts w:ascii="Cambria" w:hAnsi="Cambria" w:eastAsia="黑体" w:cs="Cambria"/>
          <w:b/>
          <w:bCs/>
          <w:color w:val="000000" w:themeColor="text1"/>
          <w:sz w:val="32"/>
          <w:szCs w:val="32"/>
          <w14:textFill>
            <w14:solidFill>
              <w14:schemeClr w14:val="tx1"/>
            </w14:solidFill>
          </w14:textFill>
        </w:rPr>
      </w:pPr>
      <w:bookmarkStart w:id="254" w:name="_Toc27513"/>
      <w:bookmarkStart w:id="255" w:name="_Toc15473"/>
      <w:r>
        <w:rPr>
          <w:rFonts w:ascii="Cambria" w:hAnsi="Cambria" w:eastAsia="黑体" w:cs="Cambria"/>
          <w:b/>
          <w:bCs/>
          <w:color w:val="000000" w:themeColor="text1"/>
          <w:sz w:val="32"/>
          <w:szCs w:val="32"/>
          <w14:textFill>
            <w14:solidFill>
              <w14:schemeClr w14:val="tx1"/>
            </w14:solidFill>
          </w14:textFill>
        </w:rPr>
        <w:t>References</w:t>
      </w:r>
      <w:bookmarkEnd w:id="254"/>
      <w:bookmarkEnd w:id="255"/>
    </w:p>
    <w:p w14:paraId="163C91A1">
      <w:pPr>
        <w:spacing w:line="276" w:lineRule="auto"/>
        <w:ind w:left="0"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color w:val="000000" w:themeColor="text1"/>
          <w:sz w:val="24"/>
          <w:szCs w:val="24"/>
          <w14:textFill>
            <w14:solidFill>
              <w14:schemeClr w14:val="tx1"/>
            </w14:solidFill>
          </w14:textFill>
        </w:rPr>
        <w:t>[1] China National Committee for Terms in Sciences and Technologies. Terms in Traditional Chinese Medicine and Pharmacy. Beijing: Science Press, 2004.</w:t>
      </w:r>
    </w:p>
    <w:p w14:paraId="5C316F79">
      <w:pPr>
        <w:spacing w:line="276" w:lineRule="auto"/>
        <w:ind w:left="0"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color w:val="000000" w:themeColor="text1"/>
          <w:sz w:val="24"/>
          <w:szCs w:val="24"/>
          <w14:textFill>
            <w14:solidFill>
              <w14:schemeClr w14:val="tx1"/>
            </w14:solidFill>
          </w14:textFill>
        </w:rPr>
        <w:t>[2] GB/T 16751—2023, all parts, Terms for Clinical Diagnosis and Treatment of Traditional Chinese Medicine.</w:t>
      </w:r>
    </w:p>
    <w:p w14:paraId="1BA95B55">
      <w:pPr>
        <w:spacing w:line="276" w:lineRule="auto"/>
        <w:ind w:left="0" w:firstLine="480" w:firstLineChars="200"/>
        <w:rPr>
          <w:rFonts w:ascii="Cambria" w:hAnsi="Cambria" w:cs="Cambria"/>
          <w:color w:val="000000" w:themeColor="text1"/>
          <w:sz w:val="24"/>
          <w:szCs w:val="24"/>
          <w14:textFill>
            <w14:solidFill>
              <w14:schemeClr w14:val="tx1"/>
            </w14:solidFill>
          </w14:textFill>
        </w:rPr>
      </w:pPr>
      <w:r>
        <w:rPr>
          <w:rFonts w:ascii="Cambria" w:hAnsi="Cambria" w:cs="Cambria"/>
          <w:color w:val="000000" w:themeColor="text1"/>
          <w:sz w:val="24"/>
          <w:szCs w:val="24"/>
          <w14:textFill>
            <w14:solidFill>
              <w14:schemeClr w14:val="tx1"/>
            </w14:solidFill>
          </w14:textFill>
        </w:rPr>
        <w:t>[3] Chinese Pharmacopoeia Commission. Pharmacopoeia of the People’s Republic of China, 2025 Edition. Beijing: China Medical Science Press, 2025.</w:t>
      </w:r>
    </w:p>
    <w:p w14:paraId="646D3850">
      <w:pPr>
        <w:spacing w:before="31" w:beforeLines="10" w:line="276" w:lineRule="auto"/>
        <w:ind w:firstLine="480" w:firstLineChars="200"/>
        <w:rPr>
          <w:rFonts w:ascii="Cambria" w:hAnsi="Cambria" w:cs="Cambria"/>
          <w:color w:val="000000" w:themeColor="text1"/>
          <w:sz w:val="24"/>
          <w:szCs w:val="24"/>
          <w14:textFill>
            <w14:solidFill>
              <w14:schemeClr w14:val="tx1"/>
            </w14:solidFill>
          </w14:textFill>
        </w:rPr>
      </w:pPr>
    </w:p>
    <w:p w14:paraId="4C31E9AC">
      <w:pPr>
        <w:spacing w:line="276" w:lineRule="auto"/>
        <w:rPr>
          <w:rFonts w:ascii="Cambria" w:hAnsi="Cambria" w:cs="Cambria"/>
          <w:bCs/>
          <w:color w:val="000000" w:themeColor="text1"/>
          <w:sz w:val="24"/>
          <w:szCs w:val="24"/>
          <w14:textFill>
            <w14:solidFill>
              <w14:schemeClr w14:val="tx1"/>
            </w14:solidFill>
          </w14:textFill>
        </w:rPr>
      </w:pPr>
    </w:p>
    <w:p w14:paraId="2047D8E0">
      <w:pPr>
        <w:spacing w:line="276" w:lineRule="auto"/>
        <w:rPr>
          <w:rFonts w:ascii="Cambria" w:hAnsi="Cambria" w:cs="Arial"/>
          <w:bCs/>
          <w:color w:val="000000" w:themeColor="text1"/>
          <w:sz w:val="24"/>
          <w:szCs w:val="24"/>
          <w14:textFill>
            <w14:solidFill>
              <w14:schemeClr w14:val="tx1"/>
            </w14:solidFill>
          </w14:textFill>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512FE5E-1FFE-4943-8E37-FDD89442360E}"/>
  </w:font>
  <w:font w:name="黑体">
    <w:panose1 w:val="02010609060101010101"/>
    <w:charset w:val="86"/>
    <w:family w:val="auto"/>
    <w:pitch w:val="default"/>
    <w:sig w:usb0="800002BF" w:usb1="38CF7CFA" w:usb2="00000016" w:usb3="00000000" w:csb0="00040001" w:csb1="00000000"/>
    <w:embedRegular r:id="rId2" w:fontKey="{4D8CFD23-DE71-4B8F-9776-C646A48565C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3" w:fontKey="{B7C47546-BA52-4274-A0E5-C44C7FE790FD}"/>
  </w:font>
  <w:font w:name="等线">
    <w:panose1 w:val="02010600030101010101"/>
    <w:charset w:val="86"/>
    <w:family w:val="auto"/>
    <w:pitch w:val="default"/>
    <w:sig w:usb0="A00002BF" w:usb1="38CF7CFA" w:usb2="00000016" w:usb3="00000000" w:csb0="0004000F" w:csb1="00000000"/>
    <w:embedRegular r:id="rId4" w:fontKey="{5BFC2F5B-887B-471D-80D7-943B31CE067B}"/>
  </w:font>
  <w:font w:name="华文仿宋">
    <w:panose1 w:val="02010600040101010101"/>
    <w:charset w:val="86"/>
    <w:family w:val="auto"/>
    <w:pitch w:val="default"/>
    <w:sig w:usb0="00000287" w:usb1="080F0000" w:usb2="00000000" w:usb3="00000000" w:csb0="0004009F" w:csb1="DFD70000"/>
    <w:embedRegular r:id="rId5" w:fontKey="{DE212509-1F4A-41B9-A0A9-6138F4D05A58}"/>
  </w:font>
  <w:font w:name="Times New Roman Regular">
    <w:altName w:val="Arial"/>
    <w:panose1 w:val="00000000000000000000"/>
    <w:charset w:val="00"/>
    <w:family w:val="auto"/>
    <w:pitch w:val="default"/>
    <w:sig w:usb0="00000000" w:usb1="00000000" w:usb2="00000001" w:usb3="00000000" w:csb0="400001BF" w:csb1="DFF70000"/>
    <w:embedRegular r:id="rId6" w:fontKey="{D358F9AD-5F48-4772-AB38-D1A23D093228}"/>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27D3C">
    <w:pPr>
      <w:pStyle w:val="8"/>
      <w:rPr>
        <w:rFonts w:hint="eastAsia"/>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53B3F7">
                          <w:pPr>
                            <w:pStyle w:val="8"/>
                          </w:pPr>
                          <w:r>
                            <w:fldChar w:fldCharType="begin"/>
                          </w:r>
                          <w:r>
                            <w:instrText xml:space="preserve"> PAGE  \* MERGEFORMAT </w:instrText>
                          </w:r>
                          <w:r>
                            <w:fldChar w:fldCharType="separate"/>
                          </w:r>
                          <w:r>
                            <w:t>IV</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653B3F7">
                    <w:pPr>
                      <w:pStyle w:val="8"/>
                    </w:pPr>
                    <w:r>
                      <w:fldChar w:fldCharType="begin"/>
                    </w:r>
                    <w:r>
                      <w:instrText xml:space="preserve"> PAGE  \* MERGEFORMAT </w:instrText>
                    </w:r>
                    <w:r>
                      <w:fldChar w:fldCharType="separate"/>
                    </w:r>
                    <w:r>
                      <w:t>IV</w:t>
                    </w:r>
                    <w:r>
                      <w:fldChar w:fldCharType="end"/>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7E4DCB">
                          <w:pPr>
                            <w:pStyle w:val="8"/>
                          </w:pPr>
                          <w:r>
                            <w:rPr>
                              <w:rFonts w:hint="eastAsia" w:ascii="宋体" w:hAnsi="宋体" w:eastAsia="宋体" w:cs="宋体"/>
                            </w:rPr>
                            <w:t>Ⅰ</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C7E4DCB">
                    <w:pPr>
                      <w:pStyle w:val="8"/>
                    </w:pPr>
                    <w:r>
                      <w:rPr>
                        <w:rFonts w:hint="eastAsia" w:ascii="宋体" w:hAnsi="宋体" w:eastAsia="宋体" w:cs="宋体"/>
                      </w:rPr>
                      <w:t>Ⅰ</w:t>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CE754">
                          <w:pPr>
                            <w:pStyle w:val="8"/>
                          </w:pPr>
                          <w:r>
                            <w:rPr>
                              <w:rFonts w:hint="eastAsia" w:ascii="宋体" w:hAnsi="宋体" w:eastAsia="宋体" w:cs="宋体"/>
                            </w:rPr>
                            <w:t>Ⅰ</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6C9CE754">
                    <w:pPr>
                      <w:pStyle w:val="8"/>
                    </w:pPr>
                    <w:r>
                      <w:rPr>
                        <w:rFonts w:hint="eastAsia" w:ascii="宋体" w:hAnsi="宋体" w:eastAsia="宋体" w:cs="宋体"/>
                      </w:rPr>
                      <w:t>Ⅰ</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D2CC2">
    <w:pPr>
      <w:pStyle w:val="8"/>
      <w:rPr>
        <w:rFonts w:hint="eastAsia"/>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EB02A0">
                          <w:pPr>
                            <w:pStyle w:val="8"/>
                          </w:pPr>
                          <w:r>
                            <w:fldChar w:fldCharType="begin"/>
                          </w:r>
                          <w:r>
                            <w:instrText xml:space="preserve"> PAGE  \* MERGEFORMAT </w:instrText>
                          </w:r>
                          <w:r>
                            <w:fldChar w:fldCharType="separate"/>
                          </w:r>
                          <w:r>
                            <w:t>III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7EB02A0">
                    <w:pPr>
                      <w:pStyle w:val="8"/>
                    </w:pPr>
                    <w:r>
                      <w:fldChar w:fldCharType="begin"/>
                    </w:r>
                    <w:r>
                      <w:instrText xml:space="preserve"> PAGE  \* MERGEFORMAT </w:instrText>
                    </w:r>
                    <w:r>
                      <w:fldChar w:fldCharType="separate"/>
                    </w:r>
                    <w:r>
                      <w:t>III</w:t>
                    </w:r>
                    <w:r>
                      <w:fldChar w:fldCharType="end"/>
                    </w:r>
                  </w:p>
                </w:txbxContent>
              </v:textbox>
            </v:shape>
          </w:pict>
        </mc:Fallback>
      </mc:AlternateContent>
    </w:r>
    <w:r>
      <w:rPr>
        <w:sz w:val="18"/>
      </w:rPr>
      <mc:AlternateContent>
        <mc:Choice Requires="wps">
          <w:drawing>
            <wp:anchor distT="0" distB="0" distL="114300" distR="114300" simplePos="0" relativeHeight="251664384" behindDoc="0" locked="0" layoutInCell="1" allowOverlap="1">
              <wp:simplePos x="0" y="0"/>
              <wp:positionH relativeFrom="margin">
                <wp:posOffset>2560320</wp:posOffset>
              </wp:positionH>
              <wp:positionV relativeFrom="paragraph">
                <wp:posOffset>26035</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1372AB">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1.6pt;margin-top:2.05pt;height:144pt;width:144pt;mso-position-horizontal-relative:margin;mso-wrap-style:none;z-index:251664384;mso-width-relative:page;mso-height-relative:page;" filled="f" stroked="f" coordsize="21600,21600" o:gfxdata="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i+iad1gAAAAkBAAAPAAAAAAAAAAEAIAAAACIAAABkcnMvZG93bnJldi54bWxQ&#10;SwECFAAUAAAACACHTuJAf46tETICAABhBAAADgAAAAAAAAABACAAAAAlAQAAZHJzL2Uyb0RvYy54&#10;bWxQSwUGAAAAAAYABgBZAQAAyQUAAAAA&#10;">
              <v:fill on="f" focussize="0,0"/>
              <v:stroke on="f" weight="0.5pt"/>
              <v:imagedata o:title=""/>
              <o:lock v:ext="edit" aspectratio="f"/>
              <v:textbox inset="0mm,0mm,0mm,0mm" style="mso-fit-shape-to-text:t;">
                <w:txbxContent>
                  <w:p w14:paraId="061372AB">
                    <w:pPr>
                      <w:pStyle w:val="8"/>
                    </w:pP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364017">
                          <w:pPr>
                            <w:pStyle w:val="8"/>
                          </w:pPr>
                          <w:r>
                            <w:rPr>
                              <w:rFonts w:hint="eastAsia" w:ascii="宋体" w:hAnsi="宋体" w:eastAsia="宋体" w:cs="宋体"/>
                            </w:rPr>
                            <w:t>Ⅰ</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8364017">
                    <w:pPr>
                      <w:pStyle w:val="8"/>
                    </w:pPr>
                    <w:r>
                      <w:rPr>
                        <w:rFonts w:hint="eastAsia" w:ascii="宋体" w:hAnsi="宋体" w:eastAsia="宋体" w:cs="宋体"/>
                      </w:rPr>
                      <w:t>Ⅰ</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A1B5D">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54224B">
                          <w:pPr>
                            <w:pStyle w:val="8"/>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A54224B">
                    <w:pPr>
                      <w:pStyle w:val="8"/>
                    </w:pPr>
                    <w:r>
                      <w:fldChar w:fldCharType="begin"/>
                    </w:r>
                    <w:r>
                      <w:instrText xml:space="preserve"> PAGE  \* MERGEFORMAT </w:instrText>
                    </w:r>
                    <w:r>
                      <w:fldChar w:fldCharType="separate"/>
                    </w:r>
                    <w:r>
                      <w:t>I</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618"/>
    <w:rsid w:val="00080AE7"/>
    <w:rsid w:val="000A23BD"/>
    <w:rsid w:val="0026329A"/>
    <w:rsid w:val="00334CA5"/>
    <w:rsid w:val="00360E24"/>
    <w:rsid w:val="00372F91"/>
    <w:rsid w:val="004C6CB0"/>
    <w:rsid w:val="005F7E83"/>
    <w:rsid w:val="006F5FED"/>
    <w:rsid w:val="00733382"/>
    <w:rsid w:val="007801BB"/>
    <w:rsid w:val="00836C78"/>
    <w:rsid w:val="0092651D"/>
    <w:rsid w:val="009C272C"/>
    <w:rsid w:val="00B85918"/>
    <w:rsid w:val="00CD5245"/>
    <w:rsid w:val="00D017A4"/>
    <w:rsid w:val="00DC65D7"/>
    <w:rsid w:val="00EA1DB6"/>
    <w:rsid w:val="00EE0618"/>
    <w:rsid w:val="00EF1265"/>
    <w:rsid w:val="010D7DD7"/>
    <w:rsid w:val="01874535"/>
    <w:rsid w:val="01FB2325"/>
    <w:rsid w:val="02286DC3"/>
    <w:rsid w:val="02511F45"/>
    <w:rsid w:val="03F8540B"/>
    <w:rsid w:val="0449381C"/>
    <w:rsid w:val="049029EF"/>
    <w:rsid w:val="04CE3D21"/>
    <w:rsid w:val="053B7608"/>
    <w:rsid w:val="06147E59"/>
    <w:rsid w:val="06E45A7E"/>
    <w:rsid w:val="071A57B2"/>
    <w:rsid w:val="082365B1"/>
    <w:rsid w:val="08AD4A2E"/>
    <w:rsid w:val="08D13DE0"/>
    <w:rsid w:val="0992356F"/>
    <w:rsid w:val="09E842DF"/>
    <w:rsid w:val="09E87633"/>
    <w:rsid w:val="0A917CCA"/>
    <w:rsid w:val="0B1A7766"/>
    <w:rsid w:val="0B3263BE"/>
    <w:rsid w:val="0B336465"/>
    <w:rsid w:val="0BBB5090"/>
    <w:rsid w:val="0C871CA3"/>
    <w:rsid w:val="0DA03BE0"/>
    <w:rsid w:val="0E172B91"/>
    <w:rsid w:val="0E247709"/>
    <w:rsid w:val="0F604DA9"/>
    <w:rsid w:val="0F85292E"/>
    <w:rsid w:val="0FF705D0"/>
    <w:rsid w:val="10F13FD3"/>
    <w:rsid w:val="12015736"/>
    <w:rsid w:val="12121D94"/>
    <w:rsid w:val="12A20F6B"/>
    <w:rsid w:val="133E158B"/>
    <w:rsid w:val="13835434"/>
    <w:rsid w:val="13BE0C48"/>
    <w:rsid w:val="13C50F53"/>
    <w:rsid w:val="14495172"/>
    <w:rsid w:val="14902DA1"/>
    <w:rsid w:val="150D257F"/>
    <w:rsid w:val="15382CAD"/>
    <w:rsid w:val="160B0931"/>
    <w:rsid w:val="168453C8"/>
    <w:rsid w:val="168F29D8"/>
    <w:rsid w:val="16EF017E"/>
    <w:rsid w:val="175B7696"/>
    <w:rsid w:val="17874176"/>
    <w:rsid w:val="193E0B05"/>
    <w:rsid w:val="1A6026AE"/>
    <w:rsid w:val="1ABC6B16"/>
    <w:rsid w:val="1B272F96"/>
    <w:rsid w:val="1B3202FC"/>
    <w:rsid w:val="1B4B2083"/>
    <w:rsid w:val="1BAF4202"/>
    <w:rsid w:val="1BF666A0"/>
    <w:rsid w:val="1C6A62F0"/>
    <w:rsid w:val="1C6B3F7F"/>
    <w:rsid w:val="1C8A7402"/>
    <w:rsid w:val="1CA04C3F"/>
    <w:rsid w:val="1CB87339"/>
    <w:rsid w:val="1E3F96DB"/>
    <w:rsid w:val="1E652BA8"/>
    <w:rsid w:val="1EEE2A26"/>
    <w:rsid w:val="1F837C21"/>
    <w:rsid w:val="1FC63B1B"/>
    <w:rsid w:val="202D1DEC"/>
    <w:rsid w:val="206C021E"/>
    <w:rsid w:val="217557F8"/>
    <w:rsid w:val="22DF561F"/>
    <w:rsid w:val="237F64BA"/>
    <w:rsid w:val="248752E4"/>
    <w:rsid w:val="2652590E"/>
    <w:rsid w:val="273C3CC9"/>
    <w:rsid w:val="28737672"/>
    <w:rsid w:val="28B05368"/>
    <w:rsid w:val="28F811E9"/>
    <w:rsid w:val="29F411BD"/>
    <w:rsid w:val="2A6E1037"/>
    <w:rsid w:val="2AAA68BD"/>
    <w:rsid w:val="2AD86C74"/>
    <w:rsid w:val="2B2D4A4E"/>
    <w:rsid w:val="2B4D3342"/>
    <w:rsid w:val="2B612949"/>
    <w:rsid w:val="2C384579"/>
    <w:rsid w:val="2C446EFF"/>
    <w:rsid w:val="2C59575F"/>
    <w:rsid w:val="2CE245D5"/>
    <w:rsid w:val="2D410C84"/>
    <w:rsid w:val="2DCA2A28"/>
    <w:rsid w:val="2DD87F1B"/>
    <w:rsid w:val="2E3A195C"/>
    <w:rsid w:val="2E623354"/>
    <w:rsid w:val="2E9A4AF0"/>
    <w:rsid w:val="2EC456C9"/>
    <w:rsid w:val="2F367926"/>
    <w:rsid w:val="2F47799C"/>
    <w:rsid w:val="2F6C002B"/>
    <w:rsid w:val="30654C8A"/>
    <w:rsid w:val="30937A49"/>
    <w:rsid w:val="31056E86"/>
    <w:rsid w:val="312760B3"/>
    <w:rsid w:val="315076E8"/>
    <w:rsid w:val="3173793B"/>
    <w:rsid w:val="31D200FD"/>
    <w:rsid w:val="32430FFB"/>
    <w:rsid w:val="32AF043E"/>
    <w:rsid w:val="33EE6400"/>
    <w:rsid w:val="34155E66"/>
    <w:rsid w:val="34AE34DD"/>
    <w:rsid w:val="36301CC9"/>
    <w:rsid w:val="363A1D4B"/>
    <w:rsid w:val="36BE50F4"/>
    <w:rsid w:val="36F609F5"/>
    <w:rsid w:val="3849346C"/>
    <w:rsid w:val="38D17360"/>
    <w:rsid w:val="3A451DB4"/>
    <w:rsid w:val="3A454E26"/>
    <w:rsid w:val="3A5E10B4"/>
    <w:rsid w:val="3B6F24E4"/>
    <w:rsid w:val="3C43068A"/>
    <w:rsid w:val="3C88701C"/>
    <w:rsid w:val="3CA82872"/>
    <w:rsid w:val="3D8742E3"/>
    <w:rsid w:val="3DB542C4"/>
    <w:rsid w:val="3DC23DCA"/>
    <w:rsid w:val="3DFAD755"/>
    <w:rsid w:val="3F122481"/>
    <w:rsid w:val="40406445"/>
    <w:rsid w:val="40672358"/>
    <w:rsid w:val="40CB28E7"/>
    <w:rsid w:val="411767E2"/>
    <w:rsid w:val="418A4550"/>
    <w:rsid w:val="41E635D4"/>
    <w:rsid w:val="42225AFB"/>
    <w:rsid w:val="430F518E"/>
    <w:rsid w:val="43CA5B33"/>
    <w:rsid w:val="43E4263E"/>
    <w:rsid w:val="442B201A"/>
    <w:rsid w:val="44453279"/>
    <w:rsid w:val="45793E0E"/>
    <w:rsid w:val="45C73C76"/>
    <w:rsid w:val="46265614"/>
    <w:rsid w:val="46325752"/>
    <w:rsid w:val="469618BE"/>
    <w:rsid w:val="46D75EBB"/>
    <w:rsid w:val="46E228D4"/>
    <w:rsid w:val="47347438"/>
    <w:rsid w:val="48233B89"/>
    <w:rsid w:val="482524AE"/>
    <w:rsid w:val="48513967"/>
    <w:rsid w:val="48910B36"/>
    <w:rsid w:val="48BA1BBF"/>
    <w:rsid w:val="49583186"/>
    <w:rsid w:val="49AE449B"/>
    <w:rsid w:val="4A3D2AA8"/>
    <w:rsid w:val="4AAF5028"/>
    <w:rsid w:val="4AC45C81"/>
    <w:rsid w:val="4B141BD8"/>
    <w:rsid w:val="4D426699"/>
    <w:rsid w:val="4DF03553"/>
    <w:rsid w:val="4EB6029F"/>
    <w:rsid w:val="4EF43951"/>
    <w:rsid w:val="4EFC7613"/>
    <w:rsid w:val="4FE81398"/>
    <w:rsid w:val="504B29FB"/>
    <w:rsid w:val="50C04F20"/>
    <w:rsid w:val="51C478D1"/>
    <w:rsid w:val="520F53AD"/>
    <w:rsid w:val="524F713B"/>
    <w:rsid w:val="52532C8C"/>
    <w:rsid w:val="5270414C"/>
    <w:rsid w:val="527B6EEB"/>
    <w:rsid w:val="52831274"/>
    <w:rsid w:val="52C33D66"/>
    <w:rsid w:val="53424C8B"/>
    <w:rsid w:val="53966D85"/>
    <w:rsid w:val="53A720AE"/>
    <w:rsid w:val="54701694"/>
    <w:rsid w:val="552B1DC2"/>
    <w:rsid w:val="55757355"/>
    <w:rsid w:val="55D02A22"/>
    <w:rsid w:val="56C500AD"/>
    <w:rsid w:val="57064221"/>
    <w:rsid w:val="57295637"/>
    <w:rsid w:val="57727B09"/>
    <w:rsid w:val="57B95737"/>
    <w:rsid w:val="58350A83"/>
    <w:rsid w:val="58906498"/>
    <w:rsid w:val="589C4E3D"/>
    <w:rsid w:val="58F06F37"/>
    <w:rsid w:val="595D4A51"/>
    <w:rsid w:val="5974394A"/>
    <w:rsid w:val="59CA59DA"/>
    <w:rsid w:val="5A1B5243"/>
    <w:rsid w:val="5AC643F3"/>
    <w:rsid w:val="5BA04C44"/>
    <w:rsid w:val="5BD702C7"/>
    <w:rsid w:val="5C3830CF"/>
    <w:rsid w:val="5C9A78E6"/>
    <w:rsid w:val="5D1C479E"/>
    <w:rsid w:val="5D4816BA"/>
    <w:rsid w:val="5D5201C0"/>
    <w:rsid w:val="5E211941"/>
    <w:rsid w:val="5E5D6E1D"/>
    <w:rsid w:val="5ECF75EF"/>
    <w:rsid w:val="5ED42BA2"/>
    <w:rsid w:val="604638E0"/>
    <w:rsid w:val="60855926"/>
    <w:rsid w:val="619D39D4"/>
    <w:rsid w:val="63065CD5"/>
    <w:rsid w:val="63422A85"/>
    <w:rsid w:val="64504379"/>
    <w:rsid w:val="65051FBC"/>
    <w:rsid w:val="65152535"/>
    <w:rsid w:val="65497BAC"/>
    <w:rsid w:val="65B75E88"/>
    <w:rsid w:val="65C32374"/>
    <w:rsid w:val="66903D44"/>
    <w:rsid w:val="670D6F06"/>
    <w:rsid w:val="672832FA"/>
    <w:rsid w:val="6731380A"/>
    <w:rsid w:val="67604BEC"/>
    <w:rsid w:val="6796514D"/>
    <w:rsid w:val="686F6D0E"/>
    <w:rsid w:val="689F4D57"/>
    <w:rsid w:val="68B00491"/>
    <w:rsid w:val="6A3B4F9B"/>
    <w:rsid w:val="6AB33743"/>
    <w:rsid w:val="6B170353"/>
    <w:rsid w:val="6BF344BD"/>
    <w:rsid w:val="6C3F254B"/>
    <w:rsid w:val="6CBF1C8E"/>
    <w:rsid w:val="6D352454"/>
    <w:rsid w:val="6DDBDBFA"/>
    <w:rsid w:val="6DE22E9A"/>
    <w:rsid w:val="6E2A65EF"/>
    <w:rsid w:val="6F5002D8"/>
    <w:rsid w:val="6FAD1286"/>
    <w:rsid w:val="70A165A7"/>
    <w:rsid w:val="712C09D7"/>
    <w:rsid w:val="713D674F"/>
    <w:rsid w:val="7212448D"/>
    <w:rsid w:val="729A468E"/>
    <w:rsid w:val="72A74928"/>
    <w:rsid w:val="72C02ADE"/>
    <w:rsid w:val="735759D8"/>
    <w:rsid w:val="7358775B"/>
    <w:rsid w:val="736B1B84"/>
    <w:rsid w:val="73816CB2"/>
    <w:rsid w:val="73A5299B"/>
    <w:rsid w:val="7404270E"/>
    <w:rsid w:val="741B2C62"/>
    <w:rsid w:val="743B1556"/>
    <w:rsid w:val="74F507FE"/>
    <w:rsid w:val="74F55BA9"/>
    <w:rsid w:val="75297777"/>
    <w:rsid w:val="759276D8"/>
    <w:rsid w:val="760065B4"/>
    <w:rsid w:val="7601057E"/>
    <w:rsid w:val="76102FE2"/>
    <w:rsid w:val="762C1346"/>
    <w:rsid w:val="765E777E"/>
    <w:rsid w:val="768C42EB"/>
    <w:rsid w:val="76F65C09"/>
    <w:rsid w:val="77B57CE6"/>
    <w:rsid w:val="77FF4B2F"/>
    <w:rsid w:val="781D7CD5"/>
    <w:rsid w:val="79273E57"/>
    <w:rsid w:val="7A3031E0"/>
    <w:rsid w:val="7A356A48"/>
    <w:rsid w:val="7A8C2A1A"/>
    <w:rsid w:val="7ABE0794"/>
    <w:rsid w:val="7B534407"/>
    <w:rsid w:val="7B6FA59E"/>
    <w:rsid w:val="7BDD1145"/>
    <w:rsid w:val="7C9537CE"/>
    <w:rsid w:val="7CA419DC"/>
    <w:rsid w:val="7CD442F6"/>
    <w:rsid w:val="7CE352DA"/>
    <w:rsid w:val="7D036989"/>
    <w:rsid w:val="7D9046C1"/>
    <w:rsid w:val="7DDC0CE1"/>
    <w:rsid w:val="7E447259"/>
    <w:rsid w:val="7EB631D3"/>
    <w:rsid w:val="7EF767C3"/>
    <w:rsid w:val="7EFD0E17"/>
    <w:rsid w:val="7F6E7351"/>
    <w:rsid w:val="7FBFBFC0"/>
    <w:rsid w:val="97CE2209"/>
    <w:rsid w:val="BAFB4D53"/>
    <w:rsid w:val="DCB1597A"/>
    <w:rsid w:val="DCDF37E2"/>
    <w:rsid w:val="DE5FE90F"/>
    <w:rsid w:val="DFBD1C9E"/>
    <w:rsid w:val="E39E2DD7"/>
    <w:rsid w:val="E7B712BA"/>
    <w:rsid w:val="EF6E4074"/>
    <w:rsid w:val="FF7BCD8B"/>
    <w:rsid w:val="FF8053B8"/>
    <w:rsid w:val="FFB98177"/>
    <w:rsid w:val="FFBBF372"/>
    <w:rsid w:val="FFFC18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3"/>
    <w:basedOn w:val="1"/>
    <w:next w:val="1"/>
    <w:unhideWhenUsed/>
    <w:qFormat/>
    <w:uiPriority w:val="0"/>
    <w:pPr>
      <w:spacing w:beforeAutospacing="1" w:afterAutospacing="1"/>
      <w:jc w:val="left"/>
      <w:outlineLvl w:val="2"/>
    </w:pPr>
    <w:rPr>
      <w:rFonts w:hint="eastAsia" w:ascii="宋体" w:hAnsi="宋体"/>
      <w:b/>
      <w:bCs/>
      <w:kern w:val="0"/>
      <w:sz w:val="27"/>
      <w:szCs w:val="27"/>
    </w:rPr>
  </w:style>
  <w:style w:type="paragraph" w:styleId="3">
    <w:name w:val="heading 4"/>
    <w:basedOn w:val="1"/>
    <w:next w:val="1"/>
    <w:unhideWhenUsed/>
    <w:qFormat/>
    <w:uiPriority w:val="0"/>
    <w:pPr>
      <w:spacing w:beforeAutospacing="1" w:afterAutospacing="1"/>
      <w:jc w:val="left"/>
      <w:outlineLvl w:val="3"/>
    </w:pPr>
    <w:rPr>
      <w:rFonts w:hint="eastAsia" w:ascii="宋体" w:hAnsi="宋体"/>
      <w:b/>
      <w:bCs/>
      <w:kern w:val="0"/>
      <w:sz w:val="24"/>
      <w:szCs w:val="24"/>
    </w:rPr>
  </w:style>
  <w:style w:type="paragraph" w:styleId="4">
    <w:name w:val="heading 5"/>
    <w:basedOn w:val="1"/>
    <w:next w:val="1"/>
    <w:unhideWhenUsed/>
    <w:qFormat/>
    <w:uiPriority w:val="0"/>
    <w:pPr>
      <w:spacing w:beforeAutospacing="1" w:afterAutospacing="1"/>
      <w:jc w:val="left"/>
      <w:outlineLvl w:val="4"/>
    </w:pPr>
    <w:rPr>
      <w:rFonts w:hint="eastAsia" w:ascii="宋体" w:hAnsi="宋体"/>
      <w:b/>
      <w:bCs/>
      <w:kern w:val="0"/>
      <w:sz w:val="20"/>
      <w:szCs w:val="20"/>
    </w:rPr>
  </w:style>
  <w:style w:type="paragraph" w:styleId="5">
    <w:name w:val="heading 6"/>
    <w:basedOn w:val="1"/>
    <w:next w:val="1"/>
    <w:unhideWhenUsed/>
    <w:qFormat/>
    <w:uiPriority w:val="0"/>
    <w:pPr>
      <w:spacing w:beforeAutospacing="1" w:afterAutospacing="1"/>
      <w:jc w:val="left"/>
      <w:outlineLvl w:val="5"/>
    </w:pPr>
    <w:rPr>
      <w:rFonts w:hint="eastAsia" w:ascii="宋体" w:hAnsi="宋体"/>
      <w:b/>
      <w:bCs/>
      <w:kern w:val="0"/>
      <w:sz w:val="15"/>
      <w:szCs w:val="15"/>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25"/>
    <w:qFormat/>
    <w:uiPriority w:val="0"/>
    <w:pPr>
      <w:jc w:val="left"/>
    </w:pPr>
  </w:style>
  <w:style w:type="paragraph" w:styleId="7">
    <w:name w:val="Balloon Text"/>
    <w:basedOn w:val="1"/>
    <w:link w:val="27"/>
    <w:qFormat/>
    <w:uiPriority w:val="0"/>
    <w:rPr>
      <w:sz w:val="18"/>
      <w:szCs w:val="18"/>
    </w:rPr>
  </w:style>
  <w:style w:type="paragraph" w:styleId="8">
    <w:name w:val="footer"/>
    <w:basedOn w:val="1"/>
    <w:qFormat/>
    <w:uiPriority w:val="99"/>
    <w:pPr>
      <w:tabs>
        <w:tab w:val="center" w:pos="4153"/>
        <w:tab w:val="right" w:pos="8306"/>
      </w:tabs>
      <w:snapToGrid w:val="0"/>
      <w:jc w:val="left"/>
    </w:pPr>
    <w:rPr>
      <w:kern w:val="0"/>
      <w:sz w:val="18"/>
      <w:szCs w:val="18"/>
    </w:rPr>
  </w:style>
  <w:style w:type="paragraph" w:styleId="9">
    <w:name w:val="header"/>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kern w:val="0"/>
      <w:sz w:val="18"/>
      <w:szCs w:val="18"/>
    </w:rPr>
  </w:style>
  <w:style w:type="paragraph" w:styleId="10">
    <w:name w:val="toc 1"/>
    <w:basedOn w:val="1"/>
    <w:next w:val="1"/>
    <w:unhideWhenUsed/>
    <w:qFormat/>
    <w:uiPriority w:val="39"/>
  </w:style>
  <w:style w:type="paragraph" w:styleId="11">
    <w:name w:val="toc 2"/>
    <w:basedOn w:val="1"/>
    <w:next w:val="1"/>
    <w:qFormat/>
    <w:uiPriority w:val="0"/>
    <w:pPr>
      <w:ind w:left="420" w:leftChars="200"/>
    </w:pPr>
  </w:style>
  <w:style w:type="paragraph" w:styleId="12">
    <w:name w:val="Normal (Web)"/>
    <w:basedOn w:val="1"/>
    <w:qFormat/>
    <w:uiPriority w:val="0"/>
    <w:pPr>
      <w:spacing w:beforeAutospacing="1" w:afterAutospacing="1"/>
      <w:jc w:val="left"/>
    </w:pPr>
    <w:rPr>
      <w:kern w:val="0"/>
      <w:sz w:val="24"/>
    </w:rPr>
  </w:style>
  <w:style w:type="paragraph" w:styleId="13">
    <w:name w:val="Title"/>
    <w:basedOn w:val="1"/>
    <w:qFormat/>
    <w:uiPriority w:val="0"/>
    <w:pPr>
      <w:spacing w:before="240" w:after="60"/>
      <w:jc w:val="center"/>
      <w:outlineLvl w:val="0"/>
    </w:pPr>
    <w:rPr>
      <w:rFonts w:ascii="Arial" w:hAnsi="Arial"/>
      <w:b/>
      <w:sz w:val="44"/>
      <w:lang w:val="zh-CN"/>
    </w:rPr>
  </w:style>
  <w:style w:type="paragraph" w:styleId="14">
    <w:name w:val="annotation subject"/>
    <w:basedOn w:val="6"/>
    <w:next w:val="6"/>
    <w:link w:val="26"/>
    <w:qFormat/>
    <w:uiPriority w:val="0"/>
    <w:rPr>
      <w:b/>
      <w:bCs/>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Emphasis"/>
    <w:basedOn w:val="17"/>
    <w:qFormat/>
    <w:uiPriority w:val="0"/>
    <w:rPr>
      <w:i/>
    </w:rPr>
  </w:style>
  <w:style w:type="character" w:styleId="20">
    <w:name w:val="Hyperlink"/>
    <w:qFormat/>
    <w:uiPriority w:val="99"/>
    <w:rPr>
      <w:color w:val="1A66B3"/>
      <w:u w:val="none"/>
    </w:rPr>
  </w:style>
  <w:style w:type="character" w:styleId="21">
    <w:name w:val="annotation reference"/>
    <w:basedOn w:val="17"/>
    <w:qFormat/>
    <w:uiPriority w:val="0"/>
    <w:rPr>
      <w:sz w:val="21"/>
      <w:szCs w:val="21"/>
    </w:rPr>
  </w:style>
  <w:style w:type="paragraph" w:customStyle="1" w:styleId="22">
    <w:name w:val="Body text|1"/>
    <w:basedOn w:val="1"/>
    <w:qFormat/>
    <w:uiPriority w:val="0"/>
    <w:pPr>
      <w:spacing w:after="160" w:line="346" w:lineRule="auto"/>
      <w:ind w:firstLine="400"/>
    </w:pPr>
    <w:rPr>
      <w:rFonts w:ascii="宋体" w:hAnsi="宋体" w:cs="宋体"/>
      <w:sz w:val="20"/>
      <w:szCs w:val="20"/>
      <w:lang w:val="zh-TW" w:eastAsia="zh-TW" w:bidi="zh-TW"/>
    </w:rPr>
  </w:style>
  <w:style w:type="paragraph" w:customStyle="1" w:styleId="23">
    <w:name w:val="Other|1"/>
    <w:basedOn w:val="1"/>
    <w:qFormat/>
    <w:uiPriority w:val="0"/>
    <w:pPr>
      <w:spacing w:after="160" w:line="346" w:lineRule="auto"/>
      <w:ind w:firstLine="400"/>
    </w:pPr>
    <w:rPr>
      <w:rFonts w:ascii="宋体" w:hAnsi="宋体" w:cs="宋体"/>
      <w:sz w:val="20"/>
      <w:szCs w:val="20"/>
    </w:rPr>
  </w:style>
  <w:style w:type="paragraph" w:styleId="24">
    <w:name w:val="List Paragraph"/>
    <w:basedOn w:val="1"/>
    <w:qFormat/>
    <w:uiPriority w:val="34"/>
    <w:pPr>
      <w:ind w:firstLine="420" w:firstLineChars="200"/>
    </w:pPr>
    <w:rPr>
      <w:szCs w:val="20"/>
    </w:rPr>
  </w:style>
  <w:style w:type="character" w:customStyle="1" w:styleId="25">
    <w:name w:val="批注文字 字符"/>
    <w:basedOn w:val="17"/>
    <w:link w:val="6"/>
    <w:qFormat/>
    <w:uiPriority w:val="0"/>
    <w:rPr>
      <w:kern w:val="2"/>
      <w:sz w:val="21"/>
      <w:szCs w:val="21"/>
    </w:rPr>
  </w:style>
  <w:style w:type="character" w:customStyle="1" w:styleId="26">
    <w:name w:val="批注主题 字符"/>
    <w:basedOn w:val="25"/>
    <w:link w:val="14"/>
    <w:qFormat/>
    <w:uiPriority w:val="0"/>
    <w:rPr>
      <w:b/>
      <w:bCs/>
      <w:kern w:val="2"/>
      <w:sz w:val="21"/>
      <w:szCs w:val="21"/>
    </w:rPr>
  </w:style>
  <w:style w:type="character" w:customStyle="1" w:styleId="27">
    <w:name w:val="批注框文本 字符"/>
    <w:basedOn w:val="17"/>
    <w:link w:val="7"/>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70</Pages>
  <Words>977</Words>
  <Characters>2338</Characters>
  <Lines>124</Lines>
  <Paragraphs>35</Paragraphs>
  <TotalTime>0</TotalTime>
  <ScaleCrop>false</ScaleCrop>
  <LinksUpToDate>false</LinksUpToDate>
  <CharactersWithSpaces>2922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2025-05-06T19:02:00Z</dcterms:created>
  <dc:creator>57610</dc:creator>
  <cp:lastModifiedBy>王喵喵</cp:lastModifiedBy>
  <dcterms:modified xsi:type="dcterms:W3CDTF">2026-09-21T02:58:55Z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eyJoZGlkIjoiZTBkODljMjVjZWRmMjUyYzM1YmMxYjc1YjAzZjFlZjgiLCJ1c2VySWQiOiIzMzc3NzAyMzcifQ==</vt:lpwstr>
  </property>
  <property fmtid="{D5CDD505-2E9C-101B-9397-08002B2CF9AE}" pid="4" name="ICV">
    <vt:lpwstr>E7C64DC8641C61C1A3791D68A8426DD5_43</vt:lpwstr>
  </property>
</Properties>
</file>