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4844F5">
      <w:pPr>
        <w:pStyle w:val="3"/>
        <w:spacing w:line="276" w:lineRule="auto"/>
      </w:pPr>
    </w:p>
    <w:p w14:paraId="6D4536C0">
      <w:pPr>
        <w:pStyle w:val="3"/>
        <w:spacing w:line="276" w:lineRule="auto"/>
      </w:pPr>
    </w:p>
    <w:p w14:paraId="10C4633D">
      <w:pPr>
        <w:pStyle w:val="3"/>
        <w:spacing w:line="276" w:lineRule="auto"/>
      </w:pPr>
    </w:p>
    <w:p w14:paraId="31EA62CE">
      <w:pPr>
        <w:pStyle w:val="3"/>
        <w:spacing w:line="276" w:lineRule="auto"/>
      </w:pPr>
    </w:p>
    <w:p w14:paraId="2FDAFCE2">
      <w:pPr>
        <w:pStyle w:val="3"/>
        <w:spacing w:line="276" w:lineRule="auto"/>
      </w:pPr>
    </w:p>
    <w:p w14:paraId="70B971AD">
      <w:pPr>
        <w:spacing w:before="169" w:line="276" w:lineRule="auto"/>
        <w:ind w:left="1454" w:right="642" w:hanging="475"/>
        <w:rPr>
          <w:rFonts w:ascii="黑体" w:hAnsi="黑体" w:eastAsia="黑体" w:cs="黑体"/>
          <w:sz w:val="52"/>
          <w:szCs w:val="52"/>
        </w:rPr>
      </w:pPr>
      <w:r>
        <w:rPr>
          <w:rFonts w:ascii="黑体" w:hAnsi="黑体" w:eastAsia="黑体" w:cs="黑体"/>
          <w:color w:val="0C1F0E"/>
          <w:spacing w:val="-4"/>
          <w:sz w:val="52"/>
          <w:szCs w:val="52"/>
        </w:rPr>
        <w:t>国际中医技术操作规范  儿科</w:t>
      </w:r>
      <w:r>
        <w:rPr>
          <w:rFonts w:ascii="黑体" w:hAnsi="黑体" w:eastAsia="黑体" w:cs="黑体"/>
          <w:color w:val="0C1F0E"/>
          <w:spacing w:val="-10"/>
          <w:sz w:val="52"/>
          <w:szCs w:val="52"/>
        </w:rPr>
        <w:t>第</w:t>
      </w:r>
      <w:r>
        <w:rPr>
          <w:rFonts w:ascii="黑体" w:hAnsi="黑体" w:eastAsia="黑体" w:cs="黑体"/>
          <w:color w:val="0C1F0E"/>
          <w:spacing w:val="-86"/>
          <w:sz w:val="52"/>
          <w:szCs w:val="52"/>
        </w:rPr>
        <w:t xml:space="preserve"> </w:t>
      </w:r>
      <w:r>
        <w:rPr>
          <w:rFonts w:ascii="Cambria" w:hAnsi="Cambria" w:eastAsia="Cambria" w:cs="Cambria"/>
          <w:color w:val="0C1F0E"/>
          <w:spacing w:val="-10"/>
          <w:sz w:val="61"/>
          <w:szCs w:val="61"/>
        </w:rPr>
        <w:t xml:space="preserve">5 </w:t>
      </w:r>
      <w:r>
        <w:rPr>
          <w:rFonts w:ascii="黑体" w:hAnsi="黑体" w:eastAsia="黑体" w:cs="黑体"/>
          <w:color w:val="0C1F0E"/>
          <w:spacing w:val="-10"/>
          <w:sz w:val="52"/>
          <w:szCs w:val="52"/>
        </w:rPr>
        <w:t>部分：小儿拔罐疗法</w:t>
      </w:r>
    </w:p>
    <w:p w14:paraId="67FF4C37">
      <w:pPr>
        <w:spacing w:before="284" w:line="276" w:lineRule="auto"/>
        <w:ind w:left="1124"/>
        <w:rPr>
          <w:rFonts w:ascii="Cambria" w:hAnsi="Cambria" w:eastAsia="Cambria" w:cs="Cambria"/>
          <w:sz w:val="42"/>
          <w:szCs w:val="42"/>
        </w:rPr>
      </w:pPr>
      <w:r>
        <w:rPr>
          <w:rFonts w:ascii="Cambria" w:hAnsi="Cambria" w:eastAsia="Cambria" w:cs="Cambria"/>
          <w:color w:val="0C1F0E"/>
          <w:spacing w:val="-27"/>
          <w:sz w:val="42"/>
          <w:szCs w:val="42"/>
        </w:rPr>
        <w:t>International standardized manipulations</w:t>
      </w:r>
    </w:p>
    <w:p w14:paraId="6AEC6BA2">
      <w:pPr>
        <w:spacing w:before="287" w:line="276" w:lineRule="auto"/>
        <w:ind w:left="1981"/>
        <w:rPr>
          <w:rFonts w:ascii="Cambria" w:hAnsi="Cambria" w:eastAsia="Cambria" w:cs="Cambria"/>
          <w:sz w:val="42"/>
          <w:szCs w:val="42"/>
        </w:rPr>
      </w:pPr>
      <w:r>
        <w:rPr>
          <w:rFonts w:ascii="Cambria" w:hAnsi="Cambria" w:eastAsia="Cambria" w:cs="Cambria"/>
          <w:color w:val="0C1F0E"/>
          <w:spacing w:val="-27"/>
          <w:sz w:val="42"/>
          <w:szCs w:val="42"/>
        </w:rPr>
        <w:t>of</w:t>
      </w:r>
      <w:r>
        <w:rPr>
          <w:rFonts w:ascii="Cambria" w:hAnsi="Cambria" w:eastAsia="Cambria" w:cs="Cambria"/>
          <w:color w:val="0C1F0E"/>
          <w:spacing w:val="1"/>
          <w:sz w:val="42"/>
          <w:szCs w:val="42"/>
        </w:rPr>
        <w:t xml:space="preserve"> </w:t>
      </w:r>
      <w:r>
        <w:rPr>
          <w:rFonts w:ascii="Cambria" w:hAnsi="Cambria" w:eastAsia="Cambria" w:cs="Cambria"/>
          <w:color w:val="0C1F0E"/>
          <w:spacing w:val="-27"/>
          <w:sz w:val="42"/>
          <w:szCs w:val="42"/>
        </w:rPr>
        <w:t>Chinese medicine Pediatrics</w:t>
      </w:r>
    </w:p>
    <w:p w14:paraId="384C9163">
      <w:pPr>
        <w:spacing w:before="219" w:line="276" w:lineRule="auto"/>
        <w:ind w:left="2368"/>
        <w:rPr>
          <w:rFonts w:ascii="Cambria" w:hAnsi="Cambria" w:eastAsia="Cambria" w:cs="Cambria"/>
          <w:sz w:val="42"/>
          <w:szCs w:val="42"/>
        </w:rPr>
      </w:pPr>
      <w:r>
        <w:rPr>
          <w:rFonts w:ascii="Cambria" w:hAnsi="Cambria" w:eastAsia="Cambria" w:cs="Cambria"/>
          <w:color w:val="0C1F0E"/>
          <w:spacing w:val="-29"/>
          <w:sz w:val="42"/>
          <w:szCs w:val="42"/>
        </w:rPr>
        <w:t>Part</w:t>
      </w:r>
      <w:r>
        <w:rPr>
          <w:rFonts w:ascii="Cambria" w:hAnsi="Cambria" w:eastAsia="Cambria" w:cs="Cambria"/>
          <w:color w:val="0C1F0E"/>
          <w:spacing w:val="17"/>
          <w:sz w:val="42"/>
          <w:szCs w:val="42"/>
        </w:rPr>
        <w:t xml:space="preserve"> </w:t>
      </w:r>
      <w:r>
        <w:rPr>
          <w:rFonts w:ascii="Cambria" w:hAnsi="Cambria" w:eastAsia="Cambria" w:cs="Cambria"/>
          <w:color w:val="0C1F0E"/>
          <w:spacing w:val="-29"/>
          <w:sz w:val="42"/>
          <w:szCs w:val="42"/>
        </w:rPr>
        <w:t>1</w:t>
      </w:r>
      <w:r>
        <w:rPr>
          <w:rFonts w:ascii="黑体" w:hAnsi="黑体" w:eastAsia="黑体" w:cs="黑体"/>
          <w:color w:val="0C1F0E"/>
          <w:spacing w:val="-29"/>
          <w:sz w:val="35"/>
          <w:szCs w:val="35"/>
        </w:rPr>
        <w:t>：</w:t>
      </w:r>
      <w:r>
        <w:rPr>
          <w:rFonts w:ascii="Cambria" w:hAnsi="Cambria" w:eastAsia="Cambria" w:cs="Cambria"/>
          <w:color w:val="0C1F0E"/>
          <w:spacing w:val="-29"/>
          <w:sz w:val="42"/>
          <w:szCs w:val="42"/>
        </w:rPr>
        <w:t>Cupping Thera</w:t>
      </w:r>
      <w:r>
        <w:rPr>
          <w:rFonts w:ascii="Cambria" w:hAnsi="Cambria" w:eastAsia="Cambria" w:cs="Cambria"/>
          <w:color w:val="0C1F0E"/>
          <w:spacing w:val="-30"/>
          <w:sz w:val="42"/>
          <w:szCs w:val="42"/>
        </w:rPr>
        <w:t>py</w:t>
      </w:r>
    </w:p>
    <w:p w14:paraId="01FA8064">
      <w:pPr>
        <w:pStyle w:val="3"/>
        <w:spacing w:line="276" w:lineRule="auto"/>
      </w:pPr>
    </w:p>
    <w:p w14:paraId="43DF448B">
      <w:pPr>
        <w:pStyle w:val="3"/>
        <w:spacing w:line="276" w:lineRule="auto"/>
      </w:pPr>
    </w:p>
    <w:p w14:paraId="43884633">
      <w:pPr>
        <w:pStyle w:val="3"/>
        <w:spacing w:line="276" w:lineRule="auto"/>
      </w:pPr>
    </w:p>
    <w:p w14:paraId="0591E9C3">
      <w:pPr>
        <w:pStyle w:val="3"/>
        <w:spacing w:line="276" w:lineRule="auto"/>
      </w:pPr>
    </w:p>
    <w:p w14:paraId="6717D213">
      <w:pPr>
        <w:pStyle w:val="3"/>
        <w:spacing w:line="276" w:lineRule="auto"/>
      </w:pPr>
    </w:p>
    <w:p w14:paraId="4905C3F7">
      <w:pPr>
        <w:spacing w:before="153" w:line="276" w:lineRule="auto"/>
        <w:ind w:left="3367"/>
        <w:rPr>
          <w:rFonts w:ascii="宋体" w:hAnsi="宋体" w:eastAsia="宋体" w:cs="宋体"/>
          <w:sz w:val="47"/>
          <w:szCs w:val="47"/>
        </w:rPr>
      </w:pPr>
      <w:r>
        <w:rPr>
          <w:rFonts w:ascii="宋体" w:hAnsi="宋体" w:eastAsia="宋体" w:cs="宋体"/>
          <w:b/>
          <w:bCs/>
          <w:sz w:val="47"/>
          <w:szCs w:val="47"/>
        </w:rPr>
        <w:t>编制说明</w:t>
      </w:r>
    </w:p>
    <w:p w14:paraId="14E50EDE">
      <w:pPr>
        <w:spacing w:before="171" w:line="276" w:lineRule="auto"/>
        <w:ind w:left="2339"/>
        <w:rPr>
          <w:rFonts w:ascii="Cambria" w:hAnsi="Cambria" w:eastAsia="Cambria" w:cs="Cambria"/>
          <w:sz w:val="42"/>
          <w:szCs w:val="42"/>
        </w:rPr>
      </w:pPr>
      <w:r>
        <w:rPr>
          <w:rFonts w:ascii="Cambria" w:hAnsi="Cambria" w:eastAsia="Cambria" w:cs="Cambria"/>
          <w:spacing w:val="-28"/>
          <w:sz w:val="42"/>
          <w:szCs w:val="42"/>
        </w:rPr>
        <w:t>Formulation Explana</w:t>
      </w:r>
      <w:r>
        <w:rPr>
          <w:rFonts w:ascii="Cambria" w:hAnsi="Cambria" w:eastAsia="Cambria" w:cs="Cambria"/>
          <w:spacing w:val="-29"/>
          <w:sz w:val="42"/>
          <w:szCs w:val="42"/>
        </w:rPr>
        <w:t>tions</w:t>
      </w:r>
    </w:p>
    <w:p w14:paraId="669D6381">
      <w:pPr>
        <w:pStyle w:val="3"/>
        <w:spacing w:line="276" w:lineRule="auto"/>
      </w:pPr>
    </w:p>
    <w:p w14:paraId="18FA37F6">
      <w:pPr>
        <w:pStyle w:val="3"/>
        <w:spacing w:line="276" w:lineRule="auto"/>
      </w:pPr>
    </w:p>
    <w:p w14:paraId="285D079B">
      <w:pPr>
        <w:pStyle w:val="3"/>
        <w:spacing w:line="276" w:lineRule="auto"/>
      </w:pPr>
    </w:p>
    <w:p w14:paraId="41DFE113">
      <w:pPr>
        <w:pStyle w:val="3"/>
        <w:spacing w:line="276" w:lineRule="auto"/>
      </w:pPr>
    </w:p>
    <w:p w14:paraId="3EEB1FCF">
      <w:pPr>
        <w:pStyle w:val="3"/>
        <w:spacing w:line="276" w:lineRule="auto"/>
      </w:pPr>
    </w:p>
    <w:p w14:paraId="2378C39F">
      <w:pPr>
        <w:pStyle w:val="3"/>
        <w:spacing w:line="276" w:lineRule="auto"/>
      </w:pPr>
    </w:p>
    <w:p w14:paraId="10FD8B26">
      <w:pPr>
        <w:pStyle w:val="3"/>
        <w:spacing w:line="276" w:lineRule="auto"/>
      </w:pPr>
    </w:p>
    <w:p w14:paraId="0C2227D9">
      <w:pPr>
        <w:pStyle w:val="3"/>
        <w:spacing w:line="276" w:lineRule="auto"/>
      </w:pPr>
    </w:p>
    <w:p w14:paraId="00DD1C45">
      <w:pPr>
        <w:pStyle w:val="3"/>
        <w:spacing w:line="276" w:lineRule="auto"/>
      </w:pPr>
    </w:p>
    <w:p w14:paraId="2EAC84F7">
      <w:pPr>
        <w:pStyle w:val="3"/>
        <w:spacing w:line="276" w:lineRule="auto"/>
      </w:pPr>
    </w:p>
    <w:p w14:paraId="6526223A">
      <w:pPr>
        <w:pStyle w:val="3"/>
        <w:spacing w:line="276" w:lineRule="auto"/>
      </w:pPr>
    </w:p>
    <w:p w14:paraId="1070E803">
      <w:pPr>
        <w:pStyle w:val="3"/>
        <w:spacing w:line="276" w:lineRule="auto"/>
      </w:pPr>
    </w:p>
    <w:p w14:paraId="1A81131B">
      <w:pPr>
        <w:pStyle w:val="3"/>
        <w:spacing w:line="276" w:lineRule="auto"/>
      </w:pPr>
    </w:p>
    <w:p w14:paraId="27D3CB40">
      <w:pPr>
        <w:pStyle w:val="3"/>
        <w:spacing w:line="276" w:lineRule="auto"/>
      </w:pPr>
    </w:p>
    <w:p w14:paraId="1B55BBD9">
      <w:pPr>
        <w:pStyle w:val="3"/>
        <w:spacing w:line="276" w:lineRule="auto"/>
      </w:pPr>
    </w:p>
    <w:p w14:paraId="6ECBA419">
      <w:pPr>
        <w:pStyle w:val="3"/>
        <w:spacing w:line="276" w:lineRule="auto"/>
      </w:pPr>
    </w:p>
    <w:p w14:paraId="3DB143C7">
      <w:pPr>
        <w:pStyle w:val="3"/>
        <w:spacing w:line="276" w:lineRule="auto"/>
      </w:pPr>
    </w:p>
    <w:p w14:paraId="50DF5FA1">
      <w:pPr>
        <w:pStyle w:val="3"/>
        <w:spacing w:line="276" w:lineRule="auto"/>
      </w:pPr>
    </w:p>
    <w:p w14:paraId="7317E119">
      <w:pPr>
        <w:pStyle w:val="3"/>
        <w:spacing w:line="276" w:lineRule="auto"/>
      </w:pPr>
    </w:p>
    <w:p w14:paraId="04119191">
      <w:pPr>
        <w:pStyle w:val="3"/>
        <w:spacing w:line="276" w:lineRule="auto"/>
      </w:pPr>
    </w:p>
    <w:p w14:paraId="7FB318FD">
      <w:pPr>
        <w:pStyle w:val="3"/>
        <w:spacing w:line="276" w:lineRule="auto"/>
      </w:pPr>
    </w:p>
    <w:p w14:paraId="1EC92A7F">
      <w:pPr>
        <w:pStyle w:val="3"/>
        <w:spacing w:line="276" w:lineRule="auto"/>
      </w:pPr>
    </w:p>
    <w:p w14:paraId="15898FCD">
      <w:pPr>
        <w:pStyle w:val="3"/>
        <w:spacing w:line="276" w:lineRule="auto"/>
      </w:pPr>
    </w:p>
    <w:p w14:paraId="7E860629">
      <w:pPr>
        <w:spacing w:before="101" w:line="276" w:lineRule="auto"/>
        <w:ind w:left="3059"/>
        <w:rPr>
          <w:rFonts w:ascii="仿宋" w:hAnsi="仿宋" w:eastAsia="仿宋" w:cs="仿宋"/>
          <w:sz w:val="31"/>
          <w:szCs w:val="31"/>
        </w:rPr>
      </w:pPr>
      <w:r>
        <w:rPr>
          <w:rFonts w:ascii="仿宋" w:hAnsi="仿宋" w:eastAsia="仿宋" w:cs="仿宋"/>
          <w:spacing w:val="9"/>
          <w:sz w:val="31"/>
          <w:szCs w:val="31"/>
        </w:rPr>
        <w:t>二〇二五年十二月</w:t>
      </w:r>
    </w:p>
    <w:p w14:paraId="3032EE71">
      <w:pPr>
        <w:spacing w:line="276" w:lineRule="auto"/>
        <w:rPr>
          <w:rFonts w:ascii="仿宋" w:hAnsi="仿宋" w:eastAsia="仿宋" w:cs="仿宋"/>
          <w:sz w:val="31"/>
          <w:szCs w:val="31"/>
        </w:rPr>
        <w:sectPr>
          <w:pgSz w:w="11906" w:h="16839"/>
          <w:pgMar w:top="1431" w:right="1785" w:bottom="0" w:left="1785" w:header="0" w:footer="0" w:gutter="0"/>
          <w:cols w:space="720" w:num="1"/>
        </w:sectPr>
      </w:pPr>
    </w:p>
    <w:p w14:paraId="1FD03A3E">
      <w:pPr>
        <w:pStyle w:val="3"/>
        <w:spacing w:line="276" w:lineRule="auto"/>
      </w:pPr>
    </w:p>
    <w:p w14:paraId="31CE2BCB">
      <w:pPr>
        <w:pStyle w:val="3"/>
        <w:spacing w:line="276" w:lineRule="auto"/>
      </w:pPr>
    </w:p>
    <w:sdt>
      <w:sdtPr>
        <w:rPr>
          <w:rFonts w:ascii="宋体" w:hAnsi="宋体" w:eastAsia="宋体" w:cs="宋体"/>
          <w:sz w:val="35"/>
          <w:szCs w:val="35"/>
        </w:rPr>
        <w:id w:val="147462202"/>
        <w:docPartObj>
          <w:docPartGallery w:val="Table of Contents"/>
          <w:docPartUnique/>
        </w:docPartObj>
      </w:sdtPr>
      <w:sdtEndPr>
        <w:rPr>
          <w:rFonts w:ascii="宋体" w:hAnsi="宋体" w:eastAsia="宋体" w:cs="宋体"/>
          <w:sz w:val="24"/>
          <w:szCs w:val="24"/>
        </w:rPr>
      </w:sdtEndPr>
      <w:sdtContent>
        <w:p w14:paraId="194ECF61">
          <w:pPr>
            <w:spacing w:before="114" w:line="276" w:lineRule="auto"/>
            <w:ind w:left="3668"/>
            <w:rPr>
              <w:rFonts w:ascii="宋体" w:hAnsi="宋体" w:eastAsia="宋体" w:cs="宋体"/>
              <w:sz w:val="35"/>
              <w:szCs w:val="35"/>
            </w:rPr>
          </w:pPr>
          <w:r>
            <w:rPr>
              <w:rFonts w:ascii="宋体" w:hAnsi="宋体" w:eastAsia="宋体" w:cs="宋体"/>
              <w:b/>
              <w:bCs/>
              <w:spacing w:val="-41"/>
              <w:sz w:val="35"/>
              <w:szCs w:val="35"/>
            </w:rPr>
            <w:t>目</w:t>
          </w:r>
          <w:r>
            <w:rPr>
              <w:rFonts w:ascii="宋体" w:hAnsi="宋体" w:eastAsia="宋体" w:cs="宋体"/>
              <w:spacing w:val="10"/>
              <w:sz w:val="35"/>
              <w:szCs w:val="35"/>
            </w:rPr>
            <w:t xml:space="preserve">    </w:t>
          </w:r>
          <w:r>
            <w:rPr>
              <w:rFonts w:ascii="宋体" w:hAnsi="宋体" w:eastAsia="宋体" w:cs="宋体"/>
              <w:b/>
              <w:bCs/>
              <w:spacing w:val="-41"/>
              <w:sz w:val="35"/>
              <w:szCs w:val="35"/>
            </w:rPr>
            <w:t>录</w:t>
          </w:r>
        </w:p>
        <w:p w14:paraId="7F63CB98">
          <w:pPr>
            <w:pStyle w:val="3"/>
            <w:spacing w:line="276" w:lineRule="auto"/>
          </w:pPr>
        </w:p>
        <w:p w14:paraId="3E81B38F">
          <w:pPr>
            <w:pStyle w:val="3"/>
            <w:spacing w:line="276" w:lineRule="auto"/>
          </w:pPr>
        </w:p>
        <w:p w14:paraId="149EB77B">
          <w:pPr>
            <w:tabs>
              <w:tab w:val="right" w:leader="dot" w:pos="8975"/>
            </w:tabs>
            <w:spacing w:before="78" w:line="276" w:lineRule="auto"/>
            <w:ind w:left="65"/>
            <w:rPr>
              <w:rFonts w:ascii="宋体" w:hAnsi="宋体" w:eastAsia="宋体" w:cs="宋体"/>
              <w:sz w:val="24"/>
              <w:szCs w:val="24"/>
            </w:rPr>
          </w:pPr>
          <w:r>
            <w:fldChar w:fldCharType="begin"/>
          </w:r>
          <w:r>
            <w:instrText xml:space="preserve"> HYPERLINK \l "bookmark1" </w:instrText>
          </w:r>
          <w:r>
            <w:fldChar w:fldCharType="separate"/>
          </w:r>
          <w:r>
            <w:rPr>
              <w:rFonts w:ascii="宋体" w:hAnsi="宋体" w:eastAsia="宋体" w:cs="宋体"/>
              <w:spacing w:val="-3"/>
              <w:sz w:val="24"/>
              <w:szCs w:val="24"/>
            </w:rPr>
            <w:t>一、工作简况</w:t>
          </w:r>
          <w:r>
            <w:rPr>
              <w:rFonts w:ascii="宋体" w:hAnsi="宋体" w:eastAsia="宋体" w:cs="宋体"/>
              <w:spacing w:val="79"/>
              <w:sz w:val="24"/>
              <w:szCs w:val="24"/>
            </w:rPr>
            <w:t xml:space="preserve"> </w:t>
          </w:r>
          <w:r>
            <w:rPr>
              <w:rFonts w:ascii="宋体" w:hAnsi="宋体" w:eastAsia="宋体" w:cs="宋体"/>
              <w:sz w:val="24"/>
              <w:szCs w:val="24"/>
            </w:rPr>
            <w:tab/>
          </w:r>
          <w:r>
            <w:rPr>
              <w:rFonts w:ascii="宋体" w:hAnsi="宋体" w:eastAsia="宋体" w:cs="宋体"/>
              <w:spacing w:val="10"/>
              <w:sz w:val="24"/>
              <w:szCs w:val="24"/>
            </w:rPr>
            <w:t xml:space="preserve"> </w:t>
          </w:r>
          <w:r>
            <w:rPr>
              <w:rFonts w:ascii="宋体" w:hAnsi="宋体" w:eastAsia="宋体" w:cs="宋体"/>
              <w:spacing w:val="-28"/>
              <w:sz w:val="24"/>
              <w:szCs w:val="24"/>
            </w:rPr>
            <w:t>1</w:t>
          </w:r>
          <w:r>
            <w:rPr>
              <w:rFonts w:ascii="宋体" w:hAnsi="宋体" w:eastAsia="宋体" w:cs="宋体"/>
              <w:spacing w:val="-28"/>
              <w:sz w:val="24"/>
              <w:szCs w:val="24"/>
            </w:rPr>
            <w:fldChar w:fldCharType="end"/>
          </w:r>
        </w:p>
        <w:p w14:paraId="11A91AF1">
          <w:pPr>
            <w:tabs>
              <w:tab w:val="right" w:leader="dot" w:pos="8975"/>
            </w:tabs>
            <w:spacing w:before="159" w:line="276" w:lineRule="auto"/>
            <w:ind w:left="65"/>
            <w:rPr>
              <w:rFonts w:ascii="宋体" w:hAnsi="宋体" w:eastAsia="宋体" w:cs="宋体"/>
              <w:sz w:val="24"/>
              <w:szCs w:val="24"/>
            </w:rPr>
          </w:pPr>
          <w:r>
            <w:fldChar w:fldCharType="begin"/>
          </w:r>
          <w:r>
            <w:instrText xml:space="preserve"> HYPERLINK \l "bookmark2" </w:instrText>
          </w:r>
          <w:r>
            <w:fldChar w:fldCharType="separate"/>
          </w:r>
          <w:r>
            <w:rPr>
              <w:rFonts w:ascii="宋体" w:hAnsi="宋体" w:eastAsia="宋体" w:cs="宋体"/>
              <w:spacing w:val="-1"/>
              <w:sz w:val="24"/>
              <w:szCs w:val="24"/>
            </w:rPr>
            <w:t>二、标准编制原则和确定标准主要内容的论据</w:t>
          </w:r>
          <w:r>
            <w:rPr>
              <w:rFonts w:ascii="宋体" w:hAnsi="宋体" w:eastAsia="宋体" w:cs="宋体"/>
              <w:spacing w:val="81"/>
              <w:sz w:val="24"/>
              <w:szCs w:val="24"/>
            </w:rPr>
            <w:t xml:space="preserve"> </w:t>
          </w:r>
          <w:r>
            <w:rPr>
              <w:rFonts w:ascii="宋体" w:hAnsi="宋体" w:eastAsia="宋体" w:cs="宋体"/>
              <w:sz w:val="24"/>
              <w:szCs w:val="24"/>
            </w:rPr>
            <w:tab/>
          </w:r>
          <w:r>
            <w:rPr>
              <w:rFonts w:ascii="宋体" w:hAnsi="宋体" w:eastAsia="宋体" w:cs="宋体"/>
              <w:spacing w:val="-2"/>
              <w:sz w:val="24"/>
              <w:szCs w:val="24"/>
            </w:rPr>
            <w:t xml:space="preserve"> </w:t>
          </w:r>
          <w:r>
            <w:rPr>
              <w:rFonts w:ascii="宋体" w:hAnsi="宋体" w:eastAsia="宋体" w:cs="宋体"/>
              <w:spacing w:val="-16"/>
              <w:sz w:val="24"/>
              <w:szCs w:val="24"/>
            </w:rPr>
            <w:t>7</w:t>
          </w:r>
          <w:r>
            <w:rPr>
              <w:rFonts w:ascii="宋体" w:hAnsi="宋体" w:eastAsia="宋体" w:cs="宋体"/>
              <w:spacing w:val="-16"/>
              <w:sz w:val="24"/>
              <w:szCs w:val="24"/>
            </w:rPr>
            <w:fldChar w:fldCharType="end"/>
          </w:r>
        </w:p>
        <w:p w14:paraId="0EE406CD">
          <w:pPr>
            <w:tabs>
              <w:tab w:val="right" w:leader="dot" w:pos="8975"/>
            </w:tabs>
            <w:spacing w:before="161" w:line="276" w:lineRule="auto"/>
            <w:ind w:left="61"/>
            <w:rPr>
              <w:rFonts w:ascii="宋体" w:hAnsi="宋体" w:eastAsia="宋体" w:cs="宋体"/>
              <w:sz w:val="24"/>
              <w:szCs w:val="24"/>
            </w:rPr>
          </w:pPr>
          <w:r>
            <w:fldChar w:fldCharType="begin"/>
          </w:r>
          <w:r>
            <w:instrText xml:space="preserve"> HYPERLINK \l "bookmark3" </w:instrText>
          </w:r>
          <w:r>
            <w:fldChar w:fldCharType="separate"/>
          </w:r>
          <w:r>
            <w:rPr>
              <w:rFonts w:ascii="宋体" w:hAnsi="宋体" w:eastAsia="宋体" w:cs="宋体"/>
              <w:spacing w:val="-1"/>
              <w:sz w:val="24"/>
              <w:szCs w:val="24"/>
            </w:rPr>
            <w:t>三、与相关法律、法规和标准的关系</w:t>
          </w:r>
          <w:r>
            <w:rPr>
              <w:rFonts w:ascii="宋体" w:hAnsi="宋体" w:eastAsia="宋体" w:cs="宋体"/>
              <w:spacing w:val="81"/>
              <w:sz w:val="24"/>
              <w:szCs w:val="24"/>
            </w:rPr>
            <w:t xml:space="preserve"> </w:t>
          </w:r>
          <w:r>
            <w:rPr>
              <w:rFonts w:ascii="宋体" w:hAnsi="宋体" w:eastAsia="宋体" w:cs="宋体"/>
              <w:sz w:val="24"/>
              <w:szCs w:val="24"/>
            </w:rPr>
            <w:tab/>
          </w:r>
          <w:r>
            <w:rPr>
              <w:rFonts w:ascii="宋体" w:hAnsi="宋体" w:eastAsia="宋体" w:cs="宋体"/>
              <w:spacing w:val="10"/>
              <w:sz w:val="24"/>
              <w:szCs w:val="24"/>
            </w:rPr>
            <w:t xml:space="preserve"> </w:t>
          </w:r>
          <w:r>
            <w:rPr>
              <w:rFonts w:ascii="宋体" w:hAnsi="宋体" w:eastAsia="宋体" w:cs="宋体"/>
              <w:spacing w:val="-14"/>
              <w:sz w:val="24"/>
              <w:szCs w:val="24"/>
            </w:rPr>
            <w:t>11</w:t>
          </w:r>
          <w:r>
            <w:rPr>
              <w:rFonts w:ascii="宋体" w:hAnsi="宋体" w:eastAsia="宋体" w:cs="宋体"/>
              <w:spacing w:val="-14"/>
              <w:sz w:val="24"/>
              <w:szCs w:val="24"/>
            </w:rPr>
            <w:fldChar w:fldCharType="end"/>
          </w:r>
        </w:p>
        <w:p w14:paraId="4E0BDE71">
          <w:pPr>
            <w:tabs>
              <w:tab w:val="right" w:leader="dot" w:pos="8975"/>
            </w:tabs>
            <w:spacing w:before="161" w:line="276" w:lineRule="auto"/>
            <w:ind w:left="84"/>
            <w:rPr>
              <w:rFonts w:ascii="宋体" w:hAnsi="宋体" w:eastAsia="宋体" w:cs="宋体"/>
              <w:sz w:val="24"/>
              <w:szCs w:val="24"/>
            </w:rPr>
          </w:pPr>
          <w:r>
            <w:fldChar w:fldCharType="begin"/>
          </w:r>
          <w:r>
            <w:instrText xml:space="preserve"> HYPERLINK \l "bookmark4" </w:instrText>
          </w:r>
          <w:r>
            <w:fldChar w:fldCharType="separate"/>
          </w:r>
          <w:r>
            <w:rPr>
              <w:rFonts w:ascii="宋体" w:hAnsi="宋体" w:eastAsia="宋体" w:cs="宋体"/>
              <w:spacing w:val="-2"/>
              <w:sz w:val="24"/>
              <w:szCs w:val="24"/>
            </w:rPr>
            <w:t>四、重大分析意见的处理经过和依据</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10"/>
              <w:sz w:val="24"/>
              <w:szCs w:val="24"/>
            </w:rPr>
            <w:t xml:space="preserve"> </w:t>
          </w:r>
          <w:r>
            <w:rPr>
              <w:rFonts w:ascii="宋体" w:hAnsi="宋体" w:eastAsia="宋体" w:cs="宋体"/>
              <w:spacing w:val="-14"/>
              <w:sz w:val="24"/>
              <w:szCs w:val="24"/>
            </w:rPr>
            <w:t>12</w:t>
          </w:r>
          <w:r>
            <w:rPr>
              <w:rFonts w:ascii="宋体" w:hAnsi="宋体" w:eastAsia="宋体" w:cs="宋体"/>
              <w:spacing w:val="-14"/>
              <w:sz w:val="24"/>
              <w:szCs w:val="24"/>
            </w:rPr>
            <w:fldChar w:fldCharType="end"/>
          </w:r>
        </w:p>
        <w:p w14:paraId="120BF2CC">
          <w:pPr>
            <w:tabs>
              <w:tab w:val="right" w:leader="dot" w:pos="8975"/>
            </w:tabs>
            <w:spacing w:before="159" w:line="276" w:lineRule="auto"/>
            <w:ind w:left="65"/>
            <w:rPr>
              <w:rFonts w:ascii="宋体" w:hAnsi="宋体" w:eastAsia="宋体" w:cs="宋体"/>
              <w:sz w:val="24"/>
              <w:szCs w:val="24"/>
            </w:rPr>
          </w:pPr>
          <w:r>
            <w:fldChar w:fldCharType="begin"/>
          </w:r>
          <w:r>
            <w:instrText xml:space="preserve"> HYPERLINK \l "bookmark5" </w:instrText>
          </w:r>
          <w:r>
            <w:fldChar w:fldCharType="separate"/>
          </w:r>
          <w:r>
            <w:rPr>
              <w:rFonts w:ascii="宋体" w:hAnsi="宋体" w:eastAsia="宋体" w:cs="宋体"/>
              <w:spacing w:val="-2"/>
              <w:sz w:val="24"/>
              <w:szCs w:val="24"/>
            </w:rPr>
            <w:t>五、作为国际组织标准的建议</w:t>
          </w:r>
          <w:r>
            <w:rPr>
              <w:rFonts w:ascii="宋体" w:hAnsi="宋体" w:eastAsia="宋体" w:cs="宋体"/>
              <w:spacing w:val="87"/>
              <w:sz w:val="24"/>
              <w:szCs w:val="24"/>
            </w:rPr>
            <w:t xml:space="preserve"> </w:t>
          </w:r>
          <w:r>
            <w:rPr>
              <w:rFonts w:ascii="宋体" w:hAnsi="宋体" w:eastAsia="宋体" w:cs="宋体"/>
              <w:sz w:val="24"/>
              <w:szCs w:val="24"/>
            </w:rPr>
            <w:tab/>
          </w:r>
          <w:r>
            <w:rPr>
              <w:rFonts w:ascii="宋体" w:hAnsi="宋体" w:eastAsia="宋体" w:cs="宋体"/>
              <w:spacing w:val="10"/>
              <w:sz w:val="24"/>
              <w:szCs w:val="24"/>
            </w:rPr>
            <w:t xml:space="preserve"> </w:t>
          </w:r>
          <w:r>
            <w:rPr>
              <w:rFonts w:ascii="宋体" w:hAnsi="宋体" w:eastAsia="宋体" w:cs="宋体"/>
              <w:spacing w:val="-19"/>
              <w:sz w:val="24"/>
              <w:szCs w:val="24"/>
            </w:rPr>
            <w:t>1</w:t>
          </w:r>
          <w:r>
            <w:rPr>
              <w:rFonts w:ascii="宋体" w:hAnsi="宋体" w:eastAsia="宋体" w:cs="宋体"/>
              <w:spacing w:val="-9"/>
              <w:sz w:val="24"/>
              <w:szCs w:val="24"/>
            </w:rPr>
            <w:t>4</w:t>
          </w:r>
          <w:r>
            <w:rPr>
              <w:rFonts w:ascii="宋体" w:hAnsi="宋体" w:eastAsia="宋体" w:cs="宋体"/>
              <w:spacing w:val="-9"/>
              <w:sz w:val="24"/>
              <w:szCs w:val="24"/>
            </w:rPr>
            <w:fldChar w:fldCharType="end"/>
          </w:r>
        </w:p>
        <w:p w14:paraId="1237C36E">
          <w:pPr>
            <w:tabs>
              <w:tab w:val="right" w:leader="dot" w:pos="8975"/>
            </w:tabs>
            <w:spacing w:before="162" w:line="276" w:lineRule="auto"/>
            <w:ind w:left="63"/>
            <w:rPr>
              <w:rFonts w:ascii="宋体" w:hAnsi="宋体" w:eastAsia="宋体" w:cs="宋体"/>
              <w:sz w:val="24"/>
              <w:szCs w:val="24"/>
            </w:rPr>
          </w:pPr>
          <w:r>
            <w:fldChar w:fldCharType="begin"/>
          </w:r>
          <w:r>
            <w:instrText xml:space="preserve"> HYPERLINK \l "bookmark6" </w:instrText>
          </w:r>
          <w:r>
            <w:fldChar w:fldCharType="separate"/>
          </w:r>
          <w:r>
            <w:rPr>
              <w:rFonts w:ascii="宋体" w:hAnsi="宋体" w:eastAsia="宋体" w:cs="宋体"/>
              <w:spacing w:val="-1"/>
              <w:sz w:val="24"/>
              <w:szCs w:val="24"/>
            </w:rPr>
            <w:t>六、贯彻标准的要求和措施建议</w:t>
          </w:r>
          <w:r>
            <w:rPr>
              <w:rFonts w:ascii="宋体" w:hAnsi="宋体" w:eastAsia="宋体" w:cs="宋体"/>
              <w:spacing w:val="77"/>
              <w:sz w:val="24"/>
              <w:szCs w:val="24"/>
            </w:rPr>
            <w:t xml:space="preserve"> </w:t>
          </w:r>
          <w:r>
            <w:rPr>
              <w:rFonts w:ascii="宋体" w:hAnsi="宋体" w:eastAsia="宋体" w:cs="宋体"/>
              <w:sz w:val="24"/>
              <w:szCs w:val="24"/>
            </w:rPr>
            <w:tab/>
          </w:r>
          <w:r>
            <w:rPr>
              <w:rFonts w:ascii="宋体" w:hAnsi="宋体" w:eastAsia="宋体" w:cs="宋体"/>
              <w:spacing w:val="10"/>
              <w:sz w:val="24"/>
              <w:szCs w:val="24"/>
            </w:rPr>
            <w:t xml:space="preserve"> </w:t>
          </w:r>
          <w:r>
            <w:rPr>
              <w:rFonts w:ascii="宋体" w:hAnsi="宋体" w:eastAsia="宋体" w:cs="宋体"/>
              <w:spacing w:val="-14"/>
              <w:sz w:val="24"/>
              <w:szCs w:val="24"/>
            </w:rPr>
            <w:t>15</w:t>
          </w:r>
          <w:r>
            <w:rPr>
              <w:rFonts w:ascii="宋体" w:hAnsi="宋体" w:eastAsia="宋体" w:cs="宋体"/>
              <w:spacing w:val="-14"/>
              <w:sz w:val="24"/>
              <w:szCs w:val="24"/>
            </w:rPr>
            <w:fldChar w:fldCharType="end"/>
          </w:r>
        </w:p>
        <w:p w14:paraId="4EEC511A">
          <w:pPr>
            <w:tabs>
              <w:tab w:val="right" w:leader="dot" w:pos="8975"/>
            </w:tabs>
            <w:spacing w:before="162" w:line="276" w:lineRule="auto"/>
            <w:ind w:left="60"/>
            <w:rPr>
              <w:rFonts w:ascii="宋体" w:hAnsi="宋体" w:eastAsia="宋体" w:cs="宋体"/>
              <w:sz w:val="24"/>
              <w:szCs w:val="24"/>
            </w:rPr>
          </w:pPr>
          <w:r>
            <w:fldChar w:fldCharType="begin"/>
          </w:r>
          <w:r>
            <w:instrText xml:space="preserve"> HYPERLINK \l "bookmark7" </w:instrText>
          </w:r>
          <w:r>
            <w:fldChar w:fldCharType="separate"/>
          </w:r>
          <w:r>
            <w:rPr>
              <w:rFonts w:ascii="宋体" w:hAnsi="宋体" w:eastAsia="宋体" w:cs="宋体"/>
              <w:spacing w:val="-1"/>
              <w:sz w:val="24"/>
              <w:szCs w:val="24"/>
            </w:rPr>
            <w:t>七、应用时的促进和阻碍因素</w:t>
          </w:r>
          <w:r>
            <w:rPr>
              <w:rFonts w:ascii="宋体" w:hAnsi="宋体" w:eastAsia="宋体" w:cs="宋体"/>
              <w:spacing w:val="79"/>
              <w:sz w:val="24"/>
              <w:szCs w:val="24"/>
            </w:rPr>
            <w:t xml:space="preserve"> </w:t>
          </w:r>
          <w:r>
            <w:rPr>
              <w:rFonts w:ascii="宋体" w:hAnsi="宋体" w:eastAsia="宋体" w:cs="宋体"/>
              <w:sz w:val="24"/>
              <w:szCs w:val="24"/>
            </w:rPr>
            <w:tab/>
          </w:r>
          <w:r>
            <w:rPr>
              <w:rFonts w:ascii="宋体" w:hAnsi="宋体" w:eastAsia="宋体" w:cs="宋体"/>
              <w:spacing w:val="10"/>
              <w:sz w:val="24"/>
              <w:szCs w:val="24"/>
            </w:rPr>
            <w:t xml:space="preserve"> </w:t>
          </w:r>
          <w:r>
            <w:rPr>
              <w:rFonts w:ascii="宋体" w:hAnsi="宋体" w:eastAsia="宋体" w:cs="宋体"/>
              <w:spacing w:val="-14"/>
              <w:sz w:val="24"/>
              <w:szCs w:val="24"/>
            </w:rPr>
            <w:t>15</w:t>
          </w:r>
          <w:r>
            <w:rPr>
              <w:rFonts w:ascii="宋体" w:hAnsi="宋体" w:eastAsia="宋体" w:cs="宋体"/>
              <w:spacing w:val="-14"/>
              <w:sz w:val="24"/>
              <w:szCs w:val="24"/>
            </w:rPr>
            <w:fldChar w:fldCharType="end"/>
          </w:r>
        </w:p>
        <w:p w14:paraId="6F25EC27">
          <w:pPr>
            <w:tabs>
              <w:tab w:val="right" w:leader="dot" w:pos="8975"/>
            </w:tabs>
            <w:spacing w:before="159" w:line="276" w:lineRule="auto"/>
            <w:ind w:left="65"/>
            <w:rPr>
              <w:rFonts w:ascii="宋体" w:hAnsi="宋体" w:eastAsia="宋体" w:cs="宋体"/>
              <w:sz w:val="24"/>
              <w:szCs w:val="24"/>
            </w:rPr>
          </w:pPr>
          <w:r>
            <w:fldChar w:fldCharType="begin"/>
          </w:r>
          <w:r>
            <w:instrText xml:space="preserve"> HYPERLINK \l "bookmark8" </w:instrText>
          </w:r>
          <w:r>
            <w:fldChar w:fldCharType="separate"/>
          </w:r>
          <w:r>
            <w:rPr>
              <w:rFonts w:ascii="宋体" w:hAnsi="宋体" w:eastAsia="宋体" w:cs="宋体"/>
              <w:spacing w:val="-2"/>
              <w:sz w:val="24"/>
              <w:szCs w:val="24"/>
            </w:rPr>
            <w:t>八、应当说明的其他事项</w:t>
          </w:r>
          <w:r>
            <w:rPr>
              <w:rFonts w:ascii="宋体" w:hAnsi="宋体" w:eastAsia="宋体" w:cs="宋体"/>
              <w:spacing w:val="83"/>
              <w:sz w:val="24"/>
              <w:szCs w:val="24"/>
            </w:rPr>
            <w:t xml:space="preserve"> </w:t>
          </w:r>
          <w:r>
            <w:rPr>
              <w:rFonts w:ascii="宋体" w:hAnsi="宋体" w:eastAsia="宋体" w:cs="宋体"/>
              <w:sz w:val="24"/>
              <w:szCs w:val="24"/>
            </w:rPr>
            <w:tab/>
          </w:r>
          <w:r>
            <w:rPr>
              <w:rFonts w:ascii="宋体" w:hAnsi="宋体" w:eastAsia="宋体" w:cs="宋体"/>
              <w:spacing w:val="10"/>
              <w:sz w:val="24"/>
              <w:szCs w:val="24"/>
            </w:rPr>
            <w:t xml:space="preserve"> </w:t>
          </w:r>
          <w:r>
            <w:rPr>
              <w:rFonts w:ascii="宋体" w:hAnsi="宋体" w:eastAsia="宋体" w:cs="宋体"/>
              <w:spacing w:val="-14"/>
              <w:sz w:val="24"/>
              <w:szCs w:val="24"/>
            </w:rPr>
            <w:t>15</w:t>
          </w:r>
          <w:r>
            <w:rPr>
              <w:rFonts w:ascii="宋体" w:hAnsi="宋体" w:eastAsia="宋体" w:cs="宋体"/>
              <w:spacing w:val="-14"/>
              <w:sz w:val="24"/>
              <w:szCs w:val="24"/>
            </w:rPr>
            <w:fldChar w:fldCharType="end"/>
          </w:r>
        </w:p>
        <w:p w14:paraId="20B379A7">
          <w:pPr>
            <w:tabs>
              <w:tab w:val="right" w:leader="dot" w:pos="8975"/>
            </w:tabs>
            <w:spacing w:before="161" w:line="276" w:lineRule="auto"/>
            <w:ind w:left="62"/>
            <w:rPr>
              <w:rFonts w:ascii="宋体" w:hAnsi="宋体" w:eastAsia="宋体" w:cs="宋体"/>
              <w:sz w:val="24"/>
              <w:szCs w:val="24"/>
            </w:rPr>
          </w:pPr>
          <w:r>
            <w:rPr>
              <w:rFonts w:hint="eastAsia" w:eastAsia="宋体"/>
              <w:lang w:val="en-US" w:eastAsia="zh-CN"/>
            </w:rPr>
            <w:t xml:space="preserve">附件1 </w:t>
          </w:r>
          <w:r>
            <w:fldChar w:fldCharType="begin"/>
          </w:r>
          <w:r>
            <w:instrText xml:space="preserve"> HYPERLINK \l "bookmark9" </w:instrText>
          </w:r>
          <w:r>
            <w:fldChar w:fldCharType="separate"/>
          </w:r>
          <w:r>
            <w:rPr>
              <w:rFonts w:ascii="宋体" w:hAnsi="宋体" w:eastAsia="宋体" w:cs="宋体"/>
              <w:spacing w:val="-2"/>
              <w:sz w:val="24"/>
              <w:szCs w:val="24"/>
            </w:rPr>
            <w:t>专家调查问卷报告</w:t>
          </w:r>
          <w:r>
            <w:rPr>
              <w:rFonts w:ascii="宋体" w:hAnsi="宋体" w:eastAsia="宋体" w:cs="宋体"/>
              <w:spacing w:val="80"/>
              <w:sz w:val="24"/>
              <w:szCs w:val="24"/>
            </w:rPr>
            <w:t xml:space="preserve"> </w:t>
          </w:r>
          <w:r>
            <w:rPr>
              <w:rFonts w:ascii="宋体" w:hAnsi="宋体" w:eastAsia="宋体" w:cs="宋体"/>
              <w:sz w:val="24"/>
              <w:szCs w:val="24"/>
            </w:rPr>
            <w:tab/>
          </w:r>
          <w:r>
            <w:rPr>
              <w:rFonts w:ascii="宋体" w:hAnsi="宋体" w:eastAsia="宋体" w:cs="宋体"/>
              <w:spacing w:val="10"/>
              <w:sz w:val="24"/>
              <w:szCs w:val="24"/>
            </w:rPr>
            <w:t xml:space="preserve"> </w:t>
          </w:r>
          <w:r>
            <w:rPr>
              <w:rFonts w:ascii="宋体" w:hAnsi="宋体" w:eastAsia="宋体" w:cs="宋体"/>
              <w:spacing w:val="-15"/>
              <w:sz w:val="24"/>
              <w:szCs w:val="24"/>
            </w:rPr>
            <w:t>1</w:t>
          </w:r>
          <w:r>
            <w:rPr>
              <w:rFonts w:ascii="宋体" w:hAnsi="宋体" w:eastAsia="宋体" w:cs="宋体"/>
              <w:spacing w:val="-13"/>
              <w:sz w:val="24"/>
              <w:szCs w:val="24"/>
            </w:rPr>
            <w:t>6</w:t>
          </w:r>
          <w:r>
            <w:rPr>
              <w:rFonts w:ascii="宋体" w:hAnsi="宋体" w:eastAsia="宋体" w:cs="宋体"/>
              <w:spacing w:val="-13"/>
              <w:sz w:val="24"/>
              <w:szCs w:val="24"/>
            </w:rPr>
            <w:fldChar w:fldCharType="end"/>
          </w:r>
        </w:p>
        <w:p w14:paraId="5EBAD58E">
          <w:pPr>
            <w:tabs>
              <w:tab w:val="right" w:leader="dot" w:pos="8975"/>
            </w:tabs>
            <w:spacing w:before="162" w:line="276" w:lineRule="auto"/>
            <w:ind w:left="62"/>
            <w:rPr>
              <w:rFonts w:ascii="宋体" w:hAnsi="宋体" w:eastAsia="宋体" w:cs="宋体"/>
              <w:sz w:val="24"/>
              <w:szCs w:val="24"/>
            </w:rPr>
          </w:pPr>
          <w:r>
            <w:rPr>
              <w:rFonts w:hint="eastAsia" w:eastAsia="宋体"/>
              <w:lang w:val="en-US" w:eastAsia="zh-CN"/>
            </w:rPr>
            <w:t xml:space="preserve">附件2 </w:t>
          </w:r>
          <w:r>
            <w:fldChar w:fldCharType="begin"/>
          </w:r>
          <w:r>
            <w:instrText xml:space="preserve"> HYPERLINK \l "bookmark10" </w:instrText>
          </w:r>
          <w:r>
            <w:fldChar w:fldCharType="separate"/>
          </w:r>
          <w:r>
            <w:rPr>
              <w:rFonts w:ascii="宋体" w:hAnsi="宋体" w:eastAsia="宋体" w:cs="宋体"/>
              <w:spacing w:val="-2"/>
              <w:sz w:val="24"/>
              <w:szCs w:val="24"/>
            </w:rPr>
            <w:t>专家论证会会议纪要</w:t>
          </w:r>
          <w:r>
            <w:rPr>
              <w:rFonts w:ascii="宋体" w:hAnsi="宋体" w:eastAsia="宋体" w:cs="宋体"/>
              <w:spacing w:val="82"/>
              <w:sz w:val="24"/>
              <w:szCs w:val="24"/>
            </w:rPr>
            <w:t xml:space="preserve"> </w:t>
          </w:r>
          <w:r>
            <w:rPr>
              <w:rFonts w:ascii="宋体" w:hAnsi="宋体" w:eastAsia="宋体" w:cs="宋体"/>
              <w:sz w:val="24"/>
              <w:szCs w:val="24"/>
            </w:rPr>
            <w:tab/>
          </w:r>
          <w:r>
            <w:rPr>
              <w:rFonts w:ascii="宋体" w:hAnsi="宋体" w:eastAsia="宋体" w:cs="宋体"/>
              <w:spacing w:val="-4"/>
              <w:sz w:val="24"/>
              <w:szCs w:val="24"/>
            </w:rPr>
            <w:t xml:space="preserve"> </w:t>
          </w:r>
          <w:r>
            <w:rPr>
              <w:rFonts w:ascii="宋体" w:hAnsi="宋体" w:eastAsia="宋体" w:cs="宋体"/>
              <w:spacing w:val="-7"/>
              <w:sz w:val="24"/>
              <w:szCs w:val="24"/>
            </w:rPr>
            <w:t>28</w:t>
          </w:r>
          <w:r>
            <w:rPr>
              <w:rFonts w:ascii="宋体" w:hAnsi="宋体" w:eastAsia="宋体" w:cs="宋体"/>
              <w:spacing w:val="-7"/>
              <w:sz w:val="24"/>
              <w:szCs w:val="24"/>
            </w:rPr>
            <w:fldChar w:fldCharType="end"/>
          </w:r>
        </w:p>
        <w:p w14:paraId="4679C153">
          <w:pPr>
            <w:tabs>
              <w:tab w:val="right" w:leader="dot" w:pos="8975"/>
            </w:tabs>
            <w:spacing w:before="159" w:line="276" w:lineRule="auto"/>
            <w:ind w:left="62"/>
            <w:rPr>
              <w:rFonts w:ascii="宋体" w:hAnsi="宋体" w:eastAsia="宋体" w:cs="宋体"/>
              <w:sz w:val="24"/>
              <w:szCs w:val="24"/>
            </w:rPr>
          </w:pPr>
          <w:r>
            <w:rPr>
              <w:rFonts w:hint="eastAsia" w:eastAsia="宋体"/>
              <w:lang w:val="en-US" w:eastAsia="zh-CN"/>
            </w:rPr>
            <w:t xml:space="preserve">附件3 </w:t>
          </w:r>
          <w:r>
            <w:fldChar w:fldCharType="begin"/>
          </w:r>
          <w:r>
            <w:instrText xml:space="preserve"> HYPERLINK \l "bookmark11" </w:instrText>
          </w:r>
          <w:r>
            <w:fldChar w:fldCharType="separate"/>
          </w:r>
          <w:r>
            <w:rPr>
              <w:rFonts w:ascii="宋体" w:hAnsi="宋体" w:eastAsia="宋体" w:cs="宋体"/>
              <w:spacing w:val="-2"/>
              <w:sz w:val="24"/>
              <w:szCs w:val="24"/>
            </w:rPr>
            <w:t>专家指导组审核总结</w:t>
          </w:r>
          <w:r>
            <w:rPr>
              <w:rFonts w:ascii="宋体" w:hAnsi="宋体" w:eastAsia="宋体" w:cs="宋体"/>
              <w:spacing w:val="82"/>
              <w:sz w:val="24"/>
              <w:szCs w:val="24"/>
            </w:rPr>
            <w:t xml:space="preserve"> </w:t>
          </w:r>
          <w:r>
            <w:rPr>
              <w:rFonts w:ascii="宋体" w:hAnsi="宋体" w:eastAsia="宋体" w:cs="宋体"/>
              <w:sz w:val="24"/>
              <w:szCs w:val="24"/>
            </w:rPr>
            <w:tab/>
          </w:r>
          <w:r>
            <w:rPr>
              <w:rFonts w:ascii="宋体" w:hAnsi="宋体" w:eastAsia="宋体" w:cs="宋体"/>
              <w:spacing w:val="-2"/>
              <w:sz w:val="24"/>
              <w:szCs w:val="24"/>
            </w:rPr>
            <w:t xml:space="preserve"> </w:t>
          </w:r>
          <w:r>
            <w:rPr>
              <w:rFonts w:ascii="宋体" w:hAnsi="宋体" w:eastAsia="宋体" w:cs="宋体"/>
              <w:spacing w:val="-8"/>
              <w:sz w:val="24"/>
              <w:szCs w:val="24"/>
            </w:rPr>
            <w:t>35</w:t>
          </w:r>
          <w:r>
            <w:rPr>
              <w:rFonts w:ascii="宋体" w:hAnsi="宋体" w:eastAsia="宋体" w:cs="宋体"/>
              <w:spacing w:val="-8"/>
              <w:sz w:val="24"/>
              <w:szCs w:val="24"/>
            </w:rPr>
            <w:fldChar w:fldCharType="end"/>
          </w:r>
        </w:p>
      </w:sdtContent>
    </w:sdt>
    <w:p w14:paraId="4C096B73">
      <w:pPr>
        <w:spacing w:line="276" w:lineRule="auto"/>
        <w:rPr>
          <w:rFonts w:ascii="宋体" w:hAnsi="宋体" w:eastAsia="宋体" w:cs="宋体"/>
          <w:sz w:val="24"/>
          <w:szCs w:val="24"/>
        </w:rPr>
        <w:sectPr>
          <w:pgSz w:w="11906" w:h="16839"/>
          <w:pgMar w:top="1431" w:right="1144" w:bottom="0" w:left="1785" w:header="0" w:footer="0" w:gutter="0"/>
          <w:cols w:space="720" w:num="1"/>
        </w:sectPr>
      </w:pPr>
    </w:p>
    <w:p w14:paraId="70FCEB04">
      <w:pPr>
        <w:widowControl w:val="0"/>
        <w:kinsoku/>
        <w:autoSpaceDE/>
        <w:autoSpaceDN/>
        <w:adjustRightInd/>
        <w:snapToGrid/>
        <w:spacing w:before="313" w:beforeLines="100" w:after="313" w:afterLines="100" w:line="276" w:lineRule="auto"/>
        <w:ind w:left="0"/>
        <w:jc w:val="center"/>
        <w:textAlignment w:val="auto"/>
        <w:rPr>
          <w:rFonts w:hint="eastAsia" w:ascii="Cambria" w:hAnsi="Cambria" w:eastAsia="黑体" w:cs="Cambria"/>
          <w:snapToGrid/>
          <w:kern w:val="2"/>
          <w:sz w:val="32"/>
          <w:szCs w:val="32"/>
          <w:lang w:eastAsia="zh-CN"/>
        </w:rPr>
      </w:pPr>
      <w:r>
        <w:rPr>
          <w:rFonts w:hint="eastAsia" w:ascii="Cambria" w:hAnsi="Cambria" w:eastAsia="黑体" w:cs="Cambria"/>
          <w:b w:val="0"/>
          <w:bCs w:val="0"/>
          <w:snapToGrid/>
          <w:spacing w:val="0"/>
          <w:kern w:val="2"/>
          <w:sz w:val="32"/>
          <w:szCs w:val="32"/>
          <w:lang w:eastAsia="zh-CN"/>
        </w:rPr>
        <w:t>国际中医技术操作规范</w:t>
      </w:r>
      <w:r>
        <w:rPr>
          <w:rFonts w:hint="default" w:ascii="Cambria" w:hAnsi="Cambria" w:eastAsia="黑体" w:cs="Cambria"/>
          <w:snapToGrid/>
          <w:spacing w:val="0"/>
          <w:kern w:val="2"/>
          <w:sz w:val="32"/>
          <w:szCs w:val="32"/>
          <w:lang w:val="en-US" w:eastAsia="zh-CN"/>
        </w:rPr>
        <w:t xml:space="preserve"> </w:t>
      </w:r>
      <w:r>
        <w:rPr>
          <w:rFonts w:hint="eastAsia" w:ascii="Cambria" w:hAnsi="Cambria" w:eastAsia="黑体" w:cs="Cambria"/>
          <w:b w:val="0"/>
          <w:bCs w:val="0"/>
          <w:snapToGrid/>
          <w:spacing w:val="0"/>
          <w:kern w:val="2"/>
          <w:sz w:val="32"/>
          <w:szCs w:val="32"/>
          <w:lang w:eastAsia="zh-CN"/>
        </w:rPr>
        <w:t>儿科第</w:t>
      </w:r>
      <w:r>
        <w:rPr>
          <w:rFonts w:hint="eastAsia" w:ascii="Cambria" w:hAnsi="Cambria" w:eastAsia="黑体" w:cs="Cambria"/>
          <w:snapToGrid/>
          <w:spacing w:val="0"/>
          <w:kern w:val="2"/>
          <w:sz w:val="32"/>
          <w:szCs w:val="32"/>
          <w:lang w:eastAsia="zh-CN"/>
        </w:rPr>
        <w:t xml:space="preserve"> </w:t>
      </w:r>
      <w:r>
        <w:rPr>
          <w:rFonts w:hint="eastAsia" w:ascii="Cambria" w:hAnsi="Cambria" w:eastAsia="黑体" w:cs="Cambria"/>
          <w:b w:val="0"/>
          <w:bCs w:val="0"/>
          <w:snapToGrid/>
          <w:spacing w:val="0"/>
          <w:kern w:val="2"/>
          <w:sz w:val="32"/>
          <w:szCs w:val="32"/>
          <w:lang w:eastAsia="zh-CN"/>
        </w:rPr>
        <w:t>5</w:t>
      </w:r>
      <w:r>
        <w:rPr>
          <w:rFonts w:hint="eastAsia" w:ascii="Cambria" w:hAnsi="Cambria" w:eastAsia="黑体" w:cs="Cambria"/>
          <w:snapToGrid/>
          <w:spacing w:val="0"/>
          <w:kern w:val="2"/>
          <w:sz w:val="32"/>
          <w:szCs w:val="32"/>
          <w:lang w:eastAsia="zh-CN"/>
        </w:rPr>
        <w:t xml:space="preserve"> </w:t>
      </w:r>
      <w:r>
        <w:rPr>
          <w:rFonts w:hint="eastAsia" w:ascii="Cambria" w:hAnsi="Cambria" w:eastAsia="黑体" w:cs="Cambria"/>
          <w:b w:val="0"/>
          <w:bCs w:val="0"/>
          <w:snapToGrid/>
          <w:spacing w:val="0"/>
          <w:kern w:val="2"/>
          <w:sz w:val="32"/>
          <w:szCs w:val="32"/>
          <w:lang w:eastAsia="zh-CN"/>
        </w:rPr>
        <w:t>部分：小儿拔罐疗法</w:t>
      </w:r>
    </w:p>
    <w:p w14:paraId="3EC1BB9C">
      <w:pPr>
        <w:pStyle w:val="3"/>
        <w:spacing w:line="276" w:lineRule="auto"/>
      </w:pPr>
    </w:p>
    <w:p w14:paraId="1E2636C6">
      <w:pPr>
        <w:spacing w:before="78" w:line="276" w:lineRule="auto"/>
        <w:ind w:right="93" w:firstLine="479"/>
        <w:rPr>
          <w:rFonts w:ascii="仿宋" w:hAnsi="仿宋" w:eastAsia="仿宋" w:cs="仿宋"/>
          <w:sz w:val="24"/>
          <w:szCs w:val="24"/>
        </w:rPr>
      </w:pPr>
      <w:r>
        <w:rPr>
          <w:rFonts w:ascii="仿宋" w:hAnsi="仿宋" w:eastAsia="仿宋" w:cs="仿宋"/>
          <w:spacing w:val="-3"/>
          <w:sz w:val="24"/>
          <w:szCs w:val="24"/>
        </w:rPr>
        <w:t>《国际中医技术操作规范 儿科</w:t>
      </w:r>
      <w:r>
        <w:rPr>
          <w:rFonts w:ascii="仿宋" w:hAnsi="仿宋" w:eastAsia="仿宋" w:cs="仿宋"/>
          <w:spacing w:val="43"/>
          <w:sz w:val="24"/>
          <w:szCs w:val="24"/>
        </w:rPr>
        <w:t xml:space="preserve"> </w:t>
      </w:r>
      <w:r>
        <w:rPr>
          <w:rFonts w:ascii="仿宋" w:hAnsi="仿宋" w:eastAsia="仿宋" w:cs="仿宋"/>
          <w:spacing w:val="-3"/>
          <w:sz w:val="24"/>
          <w:szCs w:val="24"/>
        </w:rPr>
        <w:t>第</w:t>
      </w:r>
      <w:r>
        <w:rPr>
          <w:rFonts w:ascii="仿宋" w:hAnsi="仿宋" w:eastAsia="仿宋" w:cs="仿宋"/>
          <w:spacing w:val="-44"/>
          <w:sz w:val="24"/>
          <w:szCs w:val="24"/>
        </w:rPr>
        <w:t xml:space="preserve"> </w:t>
      </w:r>
      <w:r>
        <w:rPr>
          <w:rFonts w:ascii="仿宋" w:hAnsi="仿宋" w:eastAsia="仿宋" w:cs="仿宋"/>
          <w:spacing w:val="-3"/>
          <w:sz w:val="24"/>
          <w:szCs w:val="24"/>
        </w:rPr>
        <w:t>5</w:t>
      </w:r>
      <w:r>
        <w:rPr>
          <w:rFonts w:ascii="仿宋" w:hAnsi="仿宋" w:eastAsia="仿宋" w:cs="仿宋"/>
          <w:spacing w:val="-39"/>
          <w:sz w:val="24"/>
          <w:szCs w:val="24"/>
        </w:rPr>
        <w:t xml:space="preserve"> </w:t>
      </w:r>
      <w:r>
        <w:rPr>
          <w:rFonts w:ascii="仿宋" w:hAnsi="仿宋" w:eastAsia="仿宋" w:cs="仿宋"/>
          <w:spacing w:val="-3"/>
          <w:sz w:val="24"/>
          <w:szCs w:val="24"/>
        </w:rPr>
        <w:t>部分：小儿拔罐疗法》项目于</w:t>
      </w:r>
      <w:r>
        <w:rPr>
          <w:rFonts w:ascii="仿宋" w:hAnsi="仿宋" w:eastAsia="仿宋" w:cs="仿宋"/>
          <w:spacing w:val="-46"/>
          <w:sz w:val="24"/>
          <w:szCs w:val="24"/>
        </w:rPr>
        <w:t xml:space="preserve"> </w:t>
      </w:r>
      <w:r>
        <w:rPr>
          <w:rFonts w:ascii="仿宋" w:hAnsi="仿宋" w:eastAsia="仿宋" w:cs="仿宋"/>
          <w:spacing w:val="-3"/>
          <w:sz w:val="24"/>
          <w:szCs w:val="24"/>
        </w:rPr>
        <w:t>2025</w:t>
      </w:r>
      <w:r>
        <w:rPr>
          <w:rFonts w:ascii="仿宋" w:hAnsi="仿宋" w:eastAsia="仿宋" w:cs="仿宋"/>
          <w:spacing w:val="-37"/>
          <w:sz w:val="24"/>
          <w:szCs w:val="24"/>
        </w:rPr>
        <w:t xml:space="preserve"> </w:t>
      </w:r>
      <w:r>
        <w:rPr>
          <w:rFonts w:ascii="仿宋" w:hAnsi="仿宋" w:eastAsia="仿宋" w:cs="仿宋"/>
          <w:spacing w:val="-3"/>
          <w:sz w:val="24"/>
          <w:szCs w:val="24"/>
        </w:rPr>
        <w:t>年</w:t>
      </w:r>
      <w:r>
        <w:rPr>
          <w:rFonts w:ascii="仿宋" w:hAnsi="仿宋" w:eastAsia="仿宋" w:cs="仿宋"/>
          <w:spacing w:val="-46"/>
          <w:sz w:val="24"/>
          <w:szCs w:val="24"/>
        </w:rPr>
        <w:t xml:space="preserve"> </w:t>
      </w:r>
      <w:r>
        <w:rPr>
          <w:rFonts w:ascii="仿宋" w:hAnsi="仿宋" w:eastAsia="仿宋" w:cs="仿宋"/>
          <w:spacing w:val="-3"/>
          <w:sz w:val="24"/>
          <w:szCs w:val="24"/>
        </w:rPr>
        <w:t>9</w:t>
      </w:r>
      <w:r>
        <w:rPr>
          <w:rFonts w:ascii="仿宋" w:hAnsi="仿宋" w:eastAsia="仿宋" w:cs="仿宋"/>
          <w:spacing w:val="-30"/>
          <w:sz w:val="24"/>
          <w:szCs w:val="24"/>
        </w:rPr>
        <w:t xml:space="preserve"> </w:t>
      </w:r>
      <w:r>
        <w:rPr>
          <w:rFonts w:ascii="仿宋" w:hAnsi="仿宋" w:eastAsia="仿宋" w:cs="仿宋"/>
          <w:spacing w:val="-3"/>
          <w:sz w:val="24"/>
          <w:szCs w:val="24"/>
        </w:rPr>
        <w:t>月</w:t>
      </w:r>
      <w:r>
        <w:rPr>
          <w:rFonts w:ascii="仿宋" w:hAnsi="仿宋" w:eastAsia="仿宋" w:cs="仿宋"/>
          <w:spacing w:val="-71"/>
          <w:sz w:val="24"/>
          <w:szCs w:val="24"/>
        </w:rPr>
        <w:t xml:space="preserve"> </w:t>
      </w:r>
      <w:r>
        <w:rPr>
          <w:rFonts w:ascii="仿宋" w:hAnsi="仿宋" w:eastAsia="仿宋" w:cs="仿宋"/>
          <w:spacing w:val="-3"/>
          <w:sz w:val="24"/>
          <w:szCs w:val="24"/>
        </w:rPr>
        <w:t>由世界中医药学会联合会国际标准制修订项目正式立项，南京中医药大学承担。2025</w:t>
      </w:r>
      <w:r>
        <w:rPr>
          <w:rFonts w:ascii="仿宋" w:hAnsi="仿宋" w:eastAsia="仿宋" w:cs="仿宋"/>
          <w:spacing w:val="-40"/>
          <w:sz w:val="24"/>
          <w:szCs w:val="24"/>
        </w:rPr>
        <w:t xml:space="preserve"> </w:t>
      </w:r>
      <w:r>
        <w:rPr>
          <w:rFonts w:ascii="仿宋" w:hAnsi="仿宋" w:eastAsia="仿宋" w:cs="仿宋"/>
          <w:spacing w:val="-4"/>
          <w:sz w:val="24"/>
          <w:szCs w:val="24"/>
        </w:rPr>
        <w:t>年</w:t>
      </w:r>
      <w:r>
        <w:rPr>
          <w:rFonts w:ascii="仿宋" w:hAnsi="仿宋" w:eastAsia="仿宋" w:cs="仿宋"/>
          <w:spacing w:val="-52"/>
          <w:sz w:val="24"/>
          <w:szCs w:val="24"/>
        </w:rPr>
        <w:t xml:space="preserve"> </w:t>
      </w:r>
      <w:r>
        <w:rPr>
          <w:rFonts w:ascii="仿宋" w:hAnsi="仿宋" w:eastAsia="仿宋" w:cs="仿宋"/>
          <w:spacing w:val="-4"/>
          <w:sz w:val="24"/>
          <w:szCs w:val="24"/>
        </w:rPr>
        <w:t>4</w:t>
      </w:r>
      <w:r>
        <w:rPr>
          <w:rFonts w:ascii="仿宋" w:hAnsi="仿宋" w:eastAsia="仿宋" w:cs="仿宋"/>
          <w:spacing w:val="-33"/>
          <w:sz w:val="24"/>
          <w:szCs w:val="24"/>
        </w:rPr>
        <w:t xml:space="preserve"> </w:t>
      </w:r>
      <w:r>
        <w:rPr>
          <w:rFonts w:ascii="仿宋" w:hAnsi="仿宋" w:eastAsia="仿宋" w:cs="仿宋"/>
          <w:spacing w:val="-4"/>
          <w:sz w:val="24"/>
          <w:szCs w:val="24"/>
        </w:rPr>
        <w:t>月，</w:t>
      </w:r>
      <w:r>
        <w:rPr>
          <w:rFonts w:ascii="仿宋" w:hAnsi="仿宋" w:eastAsia="仿宋" w:cs="仿宋"/>
          <w:spacing w:val="-1"/>
          <w:sz w:val="24"/>
          <w:szCs w:val="24"/>
        </w:rPr>
        <w:t>世界中医药学会联合会（世界中联）启动将《国际中医技</w:t>
      </w:r>
      <w:r>
        <w:rPr>
          <w:rFonts w:ascii="仿宋" w:hAnsi="仿宋" w:eastAsia="仿宋" w:cs="仿宋"/>
          <w:spacing w:val="-2"/>
          <w:sz w:val="24"/>
          <w:szCs w:val="24"/>
        </w:rPr>
        <w:t>术操作规范 儿科 第</w:t>
      </w:r>
      <w:r>
        <w:rPr>
          <w:rFonts w:ascii="仿宋" w:hAnsi="仿宋" w:eastAsia="仿宋" w:cs="仿宋"/>
          <w:spacing w:val="-46"/>
          <w:sz w:val="24"/>
          <w:szCs w:val="24"/>
        </w:rPr>
        <w:t xml:space="preserve"> </w:t>
      </w:r>
      <w:r>
        <w:rPr>
          <w:rFonts w:ascii="仿宋" w:hAnsi="仿宋" w:eastAsia="仿宋" w:cs="仿宋"/>
          <w:spacing w:val="-2"/>
          <w:sz w:val="24"/>
          <w:szCs w:val="24"/>
        </w:rPr>
        <w:t>5</w:t>
      </w:r>
      <w:r>
        <w:rPr>
          <w:rFonts w:ascii="仿宋" w:hAnsi="仿宋" w:eastAsia="仿宋" w:cs="仿宋"/>
          <w:spacing w:val="-44"/>
          <w:sz w:val="24"/>
          <w:szCs w:val="24"/>
        </w:rPr>
        <w:t xml:space="preserve"> </w:t>
      </w:r>
      <w:r>
        <w:rPr>
          <w:rFonts w:ascii="仿宋" w:hAnsi="仿宋" w:eastAsia="仿宋" w:cs="仿宋"/>
          <w:spacing w:val="-2"/>
          <w:sz w:val="24"/>
          <w:szCs w:val="24"/>
        </w:rPr>
        <w:t>部分：小</w:t>
      </w:r>
      <w:r>
        <w:rPr>
          <w:rFonts w:ascii="仿宋" w:hAnsi="仿宋" w:eastAsia="仿宋" w:cs="仿宋"/>
          <w:spacing w:val="-1"/>
          <w:sz w:val="24"/>
          <w:szCs w:val="24"/>
        </w:rPr>
        <w:t>儿拔罐疗法》</w:t>
      </w:r>
      <w:r>
        <w:rPr>
          <w:rFonts w:ascii="仿宋" w:hAnsi="仿宋" w:eastAsia="仿宋" w:cs="仿宋"/>
          <w:spacing w:val="-63"/>
          <w:sz w:val="24"/>
          <w:szCs w:val="24"/>
        </w:rPr>
        <w:t xml:space="preserve"> </w:t>
      </w:r>
      <w:r>
        <w:rPr>
          <w:rFonts w:ascii="仿宋" w:hAnsi="仿宋" w:eastAsia="仿宋" w:cs="仿宋"/>
          <w:spacing w:val="-1"/>
          <w:sz w:val="24"/>
          <w:szCs w:val="24"/>
        </w:rPr>
        <w:t>国家标准转化为国际组织标准的工作，于</w:t>
      </w:r>
      <w:r>
        <w:rPr>
          <w:rFonts w:ascii="仿宋" w:hAnsi="仿宋" w:eastAsia="仿宋" w:cs="仿宋"/>
          <w:spacing w:val="-46"/>
          <w:sz w:val="24"/>
          <w:szCs w:val="24"/>
        </w:rPr>
        <w:t xml:space="preserve"> </w:t>
      </w:r>
      <w:r>
        <w:rPr>
          <w:rFonts w:ascii="仿宋" w:hAnsi="仿宋" w:eastAsia="仿宋" w:cs="仿宋"/>
          <w:spacing w:val="-1"/>
          <w:sz w:val="24"/>
          <w:szCs w:val="24"/>
        </w:rPr>
        <w:t>2025</w:t>
      </w:r>
      <w:r>
        <w:rPr>
          <w:rFonts w:ascii="仿宋" w:hAnsi="仿宋" w:eastAsia="仿宋" w:cs="仿宋"/>
          <w:spacing w:val="-35"/>
          <w:sz w:val="24"/>
          <w:szCs w:val="24"/>
        </w:rPr>
        <w:t xml:space="preserve"> </w:t>
      </w:r>
      <w:r>
        <w:rPr>
          <w:rFonts w:ascii="仿宋" w:hAnsi="仿宋" w:eastAsia="仿宋" w:cs="仿宋"/>
          <w:spacing w:val="-1"/>
          <w:sz w:val="24"/>
          <w:szCs w:val="24"/>
        </w:rPr>
        <w:t>年</w:t>
      </w:r>
      <w:r>
        <w:rPr>
          <w:rFonts w:ascii="仿宋" w:hAnsi="仿宋" w:eastAsia="仿宋" w:cs="仿宋"/>
          <w:spacing w:val="-50"/>
          <w:sz w:val="24"/>
          <w:szCs w:val="24"/>
        </w:rPr>
        <w:t xml:space="preserve"> </w:t>
      </w:r>
      <w:r>
        <w:rPr>
          <w:rFonts w:ascii="仿宋" w:hAnsi="仿宋" w:eastAsia="仿宋" w:cs="仿宋"/>
          <w:spacing w:val="-1"/>
          <w:sz w:val="24"/>
          <w:szCs w:val="24"/>
        </w:rPr>
        <w:t>4</w:t>
      </w:r>
      <w:r>
        <w:rPr>
          <w:rFonts w:ascii="仿宋" w:hAnsi="仿宋" w:eastAsia="仿宋" w:cs="仿宋"/>
          <w:spacing w:val="-31"/>
          <w:sz w:val="24"/>
          <w:szCs w:val="24"/>
        </w:rPr>
        <w:t xml:space="preserve"> </w:t>
      </w:r>
      <w:r>
        <w:rPr>
          <w:rFonts w:ascii="仿宋" w:hAnsi="仿宋" w:eastAsia="仿宋" w:cs="仿宋"/>
          <w:spacing w:val="-1"/>
          <w:sz w:val="24"/>
          <w:szCs w:val="24"/>
        </w:rPr>
        <w:t>月底成立了小儿拔罐疗</w:t>
      </w:r>
      <w:r>
        <w:rPr>
          <w:rFonts w:ascii="仿宋" w:hAnsi="仿宋" w:eastAsia="仿宋" w:cs="仿宋"/>
          <w:sz w:val="24"/>
          <w:szCs w:val="24"/>
        </w:rPr>
        <w:t>法项目工作组，成员来自中国、加拿大、新加坡、马来西亚、</w:t>
      </w:r>
      <w:r>
        <w:rPr>
          <w:rFonts w:ascii="仿宋" w:hAnsi="仿宋" w:eastAsia="仿宋" w:cs="仿宋"/>
          <w:spacing w:val="-1"/>
          <w:sz w:val="24"/>
          <w:szCs w:val="24"/>
        </w:rPr>
        <w:t xml:space="preserve">泰国、越南等国家和地区。项目工作组按照统一要求，开展了文献研究、专家问卷调查、专家论证会等工作，并在多次系统分析研究的基础上，按照世界中医药学会联合会国际标准化文件编写规则，完成了起草阶段工作，形成了《国际中医技术操作规范 儿科 </w:t>
      </w:r>
      <w:r>
        <w:rPr>
          <w:rFonts w:ascii="仿宋" w:hAnsi="仿宋" w:eastAsia="仿宋" w:cs="仿宋"/>
          <w:spacing w:val="-2"/>
          <w:sz w:val="24"/>
          <w:szCs w:val="24"/>
        </w:rPr>
        <w:t>第</w:t>
      </w:r>
      <w:r>
        <w:rPr>
          <w:rFonts w:ascii="仿宋" w:hAnsi="仿宋" w:eastAsia="仿宋" w:cs="仿宋"/>
          <w:spacing w:val="-46"/>
          <w:sz w:val="24"/>
          <w:szCs w:val="24"/>
        </w:rPr>
        <w:t xml:space="preserve"> </w:t>
      </w:r>
      <w:r>
        <w:rPr>
          <w:rFonts w:ascii="仿宋" w:hAnsi="仿宋" w:eastAsia="仿宋" w:cs="仿宋"/>
          <w:spacing w:val="-2"/>
          <w:sz w:val="24"/>
          <w:szCs w:val="24"/>
        </w:rPr>
        <w:t>5</w:t>
      </w:r>
      <w:r>
        <w:rPr>
          <w:rFonts w:ascii="仿宋" w:hAnsi="仿宋" w:eastAsia="仿宋" w:cs="仿宋"/>
          <w:spacing w:val="-44"/>
          <w:sz w:val="24"/>
          <w:szCs w:val="24"/>
        </w:rPr>
        <w:t xml:space="preserve"> </w:t>
      </w:r>
      <w:r>
        <w:rPr>
          <w:rFonts w:ascii="仿宋" w:hAnsi="仿宋" w:eastAsia="仿宋" w:cs="仿宋"/>
          <w:spacing w:val="-2"/>
          <w:sz w:val="24"/>
          <w:szCs w:val="24"/>
        </w:rPr>
        <w:t>部分：小儿拔罐疗法》的专家</w:t>
      </w:r>
      <w:r>
        <w:rPr>
          <w:rFonts w:ascii="仿宋" w:hAnsi="仿宋" w:eastAsia="仿宋" w:cs="仿宋"/>
          <w:spacing w:val="-1"/>
          <w:sz w:val="24"/>
          <w:szCs w:val="24"/>
        </w:rPr>
        <w:t>指导组审核稿，包括：前言、引言、范围、规范性引用文件、术语和定义、小儿拔罐操作步骤与要求、注意事项和禁忌、附录及参考文献等部分。经专家指导组审核通过后，形成</w:t>
      </w:r>
      <w:r>
        <w:rPr>
          <w:rFonts w:ascii="仿宋" w:hAnsi="仿宋" w:eastAsia="仿宋" w:cs="仿宋"/>
          <w:spacing w:val="-3"/>
          <w:sz w:val="24"/>
          <w:szCs w:val="24"/>
        </w:rPr>
        <w:t>送审稿，于</w:t>
      </w:r>
      <w:r>
        <w:rPr>
          <w:rFonts w:ascii="仿宋" w:hAnsi="仿宋" w:eastAsia="仿宋" w:cs="仿宋"/>
          <w:spacing w:val="-46"/>
          <w:sz w:val="24"/>
          <w:szCs w:val="24"/>
        </w:rPr>
        <w:t xml:space="preserve"> </w:t>
      </w:r>
      <w:r>
        <w:rPr>
          <w:rFonts w:ascii="仿宋" w:hAnsi="仿宋" w:eastAsia="仿宋" w:cs="仿宋"/>
          <w:spacing w:val="-3"/>
          <w:sz w:val="24"/>
          <w:szCs w:val="24"/>
        </w:rPr>
        <w:t>2025</w:t>
      </w:r>
      <w:r>
        <w:rPr>
          <w:rFonts w:ascii="仿宋" w:hAnsi="仿宋" w:eastAsia="仿宋" w:cs="仿宋"/>
          <w:spacing w:val="-40"/>
          <w:sz w:val="24"/>
          <w:szCs w:val="24"/>
        </w:rPr>
        <w:t xml:space="preserve"> </w:t>
      </w:r>
      <w:r>
        <w:rPr>
          <w:rFonts w:ascii="仿宋" w:hAnsi="仿宋" w:eastAsia="仿宋" w:cs="仿宋"/>
          <w:spacing w:val="-3"/>
          <w:sz w:val="24"/>
          <w:szCs w:val="24"/>
        </w:rPr>
        <w:t>年</w:t>
      </w:r>
      <w:r>
        <w:rPr>
          <w:rFonts w:ascii="仿宋" w:hAnsi="仿宋" w:eastAsia="仿宋" w:cs="仿宋"/>
          <w:spacing w:val="-33"/>
          <w:sz w:val="24"/>
          <w:szCs w:val="24"/>
        </w:rPr>
        <w:t xml:space="preserve"> </w:t>
      </w:r>
      <w:r>
        <w:rPr>
          <w:rFonts w:ascii="仿宋" w:hAnsi="仿宋" w:eastAsia="仿宋" w:cs="仿宋"/>
          <w:spacing w:val="-3"/>
          <w:sz w:val="24"/>
          <w:szCs w:val="24"/>
        </w:rPr>
        <w:t>12</w:t>
      </w:r>
      <w:r>
        <w:rPr>
          <w:rFonts w:ascii="仿宋" w:hAnsi="仿宋" w:eastAsia="仿宋" w:cs="仿宋"/>
          <w:spacing w:val="-33"/>
          <w:sz w:val="24"/>
          <w:szCs w:val="24"/>
        </w:rPr>
        <w:t xml:space="preserve"> </w:t>
      </w:r>
      <w:r>
        <w:rPr>
          <w:rFonts w:ascii="仿宋" w:hAnsi="仿宋" w:eastAsia="仿宋" w:cs="仿宋"/>
          <w:spacing w:val="-3"/>
          <w:sz w:val="24"/>
          <w:szCs w:val="24"/>
        </w:rPr>
        <w:t>月提交世界中医药学会联合会国际标准部组织审查。</w:t>
      </w:r>
    </w:p>
    <w:p w14:paraId="3465E236">
      <w:pPr>
        <w:spacing w:line="276" w:lineRule="auto"/>
        <w:jc w:val="right"/>
        <w:rPr>
          <w:rFonts w:ascii="仿宋" w:hAnsi="仿宋" w:eastAsia="仿宋" w:cs="仿宋"/>
          <w:sz w:val="24"/>
          <w:szCs w:val="24"/>
        </w:rPr>
      </w:pPr>
      <w:r>
        <w:rPr>
          <w:rFonts w:ascii="仿宋" w:hAnsi="仿宋" w:eastAsia="仿宋" w:cs="仿宋"/>
          <w:spacing w:val="-5"/>
          <w:sz w:val="24"/>
          <w:szCs w:val="24"/>
        </w:rPr>
        <w:t>现就《国际中医技术操作规范 儿科 第</w:t>
      </w:r>
      <w:r>
        <w:rPr>
          <w:rFonts w:ascii="仿宋" w:hAnsi="仿宋" w:eastAsia="仿宋" w:cs="仿宋"/>
          <w:spacing w:val="-47"/>
          <w:sz w:val="24"/>
          <w:szCs w:val="24"/>
        </w:rPr>
        <w:t xml:space="preserve"> </w:t>
      </w:r>
      <w:r>
        <w:rPr>
          <w:rFonts w:ascii="仿宋" w:hAnsi="仿宋" w:eastAsia="仿宋" w:cs="仿宋"/>
          <w:spacing w:val="-5"/>
          <w:sz w:val="24"/>
          <w:szCs w:val="24"/>
        </w:rPr>
        <w:t>5</w:t>
      </w:r>
      <w:r>
        <w:rPr>
          <w:rFonts w:ascii="仿宋" w:hAnsi="仿宋" w:eastAsia="仿宋" w:cs="仿宋"/>
          <w:spacing w:val="-43"/>
          <w:sz w:val="24"/>
          <w:szCs w:val="24"/>
        </w:rPr>
        <w:t xml:space="preserve"> </w:t>
      </w:r>
      <w:r>
        <w:rPr>
          <w:rFonts w:ascii="仿宋" w:hAnsi="仿宋" w:eastAsia="仿宋" w:cs="仿宋"/>
          <w:spacing w:val="-5"/>
          <w:sz w:val="24"/>
          <w:szCs w:val="24"/>
        </w:rPr>
        <w:t>部分：小</w:t>
      </w:r>
      <w:r>
        <w:rPr>
          <w:rFonts w:ascii="仿宋" w:hAnsi="仿宋" w:eastAsia="仿宋" w:cs="仿宋"/>
          <w:spacing w:val="-6"/>
          <w:sz w:val="24"/>
          <w:szCs w:val="24"/>
        </w:rPr>
        <w:t>儿拔罐疗法》编制情况作如下说明。</w:t>
      </w:r>
    </w:p>
    <w:p w14:paraId="0A2E5773">
      <w:pPr>
        <w:spacing w:before="0" w:beforeLines="100" w:afterLines="100" w:line="276" w:lineRule="auto"/>
        <w:ind w:left="476"/>
        <w:outlineLvl w:val="0"/>
        <w:rPr>
          <w:rFonts w:ascii="黑体" w:hAnsi="黑体" w:eastAsia="黑体" w:cs="黑体"/>
          <w:sz w:val="24"/>
          <w:szCs w:val="24"/>
        </w:rPr>
      </w:pPr>
      <w:bookmarkStart w:id="0" w:name="bookmark1"/>
      <w:bookmarkEnd w:id="0"/>
      <w:r>
        <w:rPr>
          <w:rFonts w:ascii="黑体" w:hAnsi="黑体" w:eastAsia="黑体" w:cs="黑体"/>
          <w:b/>
          <w:bCs/>
          <w:spacing w:val="-4"/>
          <w:sz w:val="24"/>
          <w:szCs w:val="24"/>
        </w:rPr>
        <w:t>一、工作简况</w:t>
      </w:r>
    </w:p>
    <w:p w14:paraId="2215D8FE">
      <w:pPr>
        <w:spacing w:before="112" w:line="276" w:lineRule="auto"/>
        <w:ind w:left="485"/>
        <w:rPr>
          <w:rFonts w:ascii="仿宋" w:hAnsi="仿宋" w:eastAsia="仿宋" w:cs="仿宋"/>
          <w:sz w:val="24"/>
          <w:szCs w:val="24"/>
        </w:rPr>
      </w:pPr>
      <w:r>
        <w:rPr>
          <w:rFonts w:ascii="仿宋" w:hAnsi="仿宋" w:eastAsia="仿宋" w:cs="仿宋"/>
          <w:b/>
          <w:bCs/>
          <w:spacing w:val="-5"/>
          <w:sz w:val="24"/>
          <w:szCs w:val="24"/>
        </w:rPr>
        <w:t>（一）任务来源</w:t>
      </w:r>
    </w:p>
    <w:p w14:paraId="06FB9304">
      <w:pPr>
        <w:spacing w:before="109" w:line="276" w:lineRule="auto"/>
        <w:ind w:firstLine="476"/>
        <w:jc w:val="both"/>
        <w:rPr>
          <w:rFonts w:ascii="仿宋" w:hAnsi="仿宋" w:eastAsia="仿宋" w:cs="仿宋"/>
          <w:sz w:val="24"/>
          <w:szCs w:val="24"/>
        </w:rPr>
      </w:pPr>
      <w:r>
        <w:rPr>
          <w:rFonts w:ascii="仿宋" w:hAnsi="仿宋" w:eastAsia="仿宋" w:cs="仿宋"/>
          <w:spacing w:val="-2"/>
          <w:sz w:val="24"/>
          <w:szCs w:val="24"/>
        </w:rPr>
        <w:t>2021</w:t>
      </w:r>
      <w:r>
        <w:rPr>
          <w:rFonts w:ascii="仿宋" w:hAnsi="仿宋" w:eastAsia="仿宋" w:cs="仿宋"/>
          <w:spacing w:val="-28"/>
          <w:sz w:val="24"/>
          <w:szCs w:val="24"/>
        </w:rPr>
        <w:t xml:space="preserve"> </w:t>
      </w:r>
      <w:r>
        <w:rPr>
          <w:rFonts w:ascii="仿宋" w:hAnsi="仿宋" w:eastAsia="仿宋" w:cs="仿宋"/>
          <w:spacing w:val="-2"/>
          <w:sz w:val="24"/>
          <w:szCs w:val="24"/>
        </w:rPr>
        <w:t>年</w:t>
      </w:r>
      <w:r>
        <w:rPr>
          <w:rFonts w:ascii="仿宋" w:hAnsi="仿宋" w:eastAsia="仿宋" w:cs="仿宋"/>
          <w:spacing w:val="-32"/>
          <w:sz w:val="24"/>
          <w:szCs w:val="24"/>
        </w:rPr>
        <w:t xml:space="preserve"> </w:t>
      </w:r>
      <w:r>
        <w:rPr>
          <w:rFonts w:ascii="仿宋" w:hAnsi="仿宋" w:eastAsia="仿宋" w:cs="仿宋"/>
          <w:spacing w:val="-2"/>
          <w:sz w:val="24"/>
          <w:szCs w:val="24"/>
        </w:rPr>
        <w:t>11</w:t>
      </w:r>
      <w:r>
        <w:rPr>
          <w:rFonts w:ascii="仿宋" w:hAnsi="仿宋" w:eastAsia="仿宋" w:cs="仿宋"/>
          <w:spacing w:val="-32"/>
          <w:sz w:val="24"/>
          <w:szCs w:val="24"/>
        </w:rPr>
        <w:t xml:space="preserve"> </w:t>
      </w:r>
      <w:r>
        <w:rPr>
          <w:rFonts w:ascii="仿宋" w:hAnsi="仿宋" w:eastAsia="仿宋" w:cs="仿宋"/>
          <w:spacing w:val="-2"/>
          <w:sz w:val="24"/>
          <w:szCs w:val="24"/>
        </w:rPr>
        <w:t>月国家标准化管理委员会发布《中医技术操作规范 儿科 第</w:t>
      </w:r>
      <w:r>
        <w:rPr>
          <w:rFonts w:ascii="仿宋" w:hAnsi="仿宋" w:eastAsia="仿宋" w:cs="仿宋"/>
          <w:spacing w:val="-45"/>
          <w:sz w:val="24"/>
          <w:szCs w:val="24"/>
        </w:rPr>
        <w:t xml:space="preserve"> </w:t>
      </w:r>
      <w:r>
        <w:rPr>
          <w:rFonts w:ascii="仿宋" w:hAnsi="仿宋" w:eastAsia="仿宋" w:cs="仿宋"/>
          <w:spacing w:val="-2"/>
          <w:sz w:val="24"/>
          <w:szCs w:val="24"/>
        </w:rPr>
        <w:t>5</w:t>
      </w:r>
      <w:r>
        <w:rPr>
          <w:rFonts w:ascii="仿宋" w:hAnsi="仿宋" w:eastAsia="仿宋" w:cs="仿宋"/>
          <w:spacing w:val="-43"/>
          <w:sz w:val="24"/>
          <w:szCs w:val="24"/>
        </w:rPr>
        <w:t xml:space="preserve"> </w:t>
      </w:r>
      <w:r>
        <w:rPr>
          <w:rFonts w:ascii="仿宋" w:hAnsi="仿宋" w:eastAsia="仿宋" w:cs="仿宋"/>
          <w:spacing w:val="-2"/>
          <w:sz w:val="24"/>
          <w:szCs w:val="24"/>
        </w:rPr>
        <w:t>部分：小儿</w:t>
      </w:r>
      <w:r>
        <w:rPr>
          <w:rFonts w:ascii="仿宋" w:hAnsi="仿宋" w:eastAsia="仿宋" w:cs="仿宋"/>
          <w:spacing w:val="2"/>
          <w:sz w:val="24"/>
          <w:szCs w:val="24"/>
        </w:rPr>
        <w:t>拔罐疗法》（</w:t>
      </w:r>
      <w:r>
        <w:rPr>
          <w:rFonts w:ascii="仿宋" w:hAnsi="仿宋" w:eastAsia="仿宋" w:cs="仿宋"/>
          <w:sz w:val="24"/>
          <w:szCs w:val="24"/>
        </w:rPr>
        <w:t>GB</w:t>
      </w:r>
      <w:r>
        <w:rPr>
          <w:rFonts w:ascii="仿宋" w:hAnsi="仿宋" w:eastAsia="仿宋" w:cs="仿宋"/>
          <w:spacing w:val="2"/>
          <w:sz w:val="24"/>
          <w:szCs w:val="24"/>
        </w:rPr>
        <w:t>/Z 40893.5-2021</w:t>
      </w:r>
      <w:r>
        <w:rPr>
          <w:rFonts w:ascii="仿宋" w:hAnsi="仿宋" w:eastAsia="仿宋" w:cs="仿宋"/>
          <w:spacing w:val="15"/>
          <w:sz w:val="24"/>
          <w:szCs w:val="24"/>
        </w:rPr>
        <w:t>），</w:t>
      </w:r>
      <w:r>
        <w:rPr>
          <w:rFonts w:ascii="仿宋" w:hAnsi="仿宋" w:eastAsia="仿宋" w:cs="仿宋"/>
          <w:spacing w:val="2"/>
          <w:sz w:val="24"/>
          <w:szCs w:val="24"/>
        </w:rPr>
        <w:t>作</w:t>
      </w:r>
      <w:r>
        <w:rPr>
          <w:rFonts w:ascii="仿宋" w:hAnsi="仿宋" w:eastAsia="仿宋" w:cs="仿宋"/>
          <w:spacing w:val="1"/>
          <w:sz w:val="24"/>
          <w:szCs w:val="24"/>
        </w:rPr>
        <w:t>为指导性技术文件。该标准旨在规范儿科拔罐疗</w:t>
      </w:r>
      <w:r>
        <w:rPr>
          <w:rFonts w:ascii="仿宋" w:hAnsi="仿宋" w:eastAsia="仿宋" w:cs="仿宋"/>
          <w:spacing w:val="-3"/>
          <w:sz w:val="24"/>
          <w:szCs w:val="24"/>
        </w:rPr>
        <w:t>法的操作步骤与要求，并明确注意事项与禁忌。2025</w:t>
      </w:r>
      <w:r>
        <w:rPr>
          <w:rFonts w:ascii="仿宋" w:hAnsi="仿宋" w:eastAsia="仿宋" w:cs="仿宋"/>
          <w:spacing w:val="-39"/>
          <w:sz w:val="24"/>
          <w:szCs w:val="24"/>
        </w:rPr>
        <w:t xml:space="preserve"> </w:t>
      </w:r>
      <w:r>
        <w:rPr>
          <w:rFonts w:ascii="仿宋" w:hAnsi="仿宋" w:eastAsia="仿宋" w:cs="仿宋"/>
          <w:spacing w:val="-4"/>
          <w:sz w:val="24"/>
          <w:szCs w:val="24"/>
        </w:rPr>
        <w:t>年</w:t>
      </w:r>
      <w:r>
        <w:rPr>
          <w:rFonts w:ascii="仿宋" w:hAnsi="仿宋" w:eastAsia="仿宋" w:cs="仿宋"/>
          <w:spacing w:val="-53"/>
          <w:sz w:val="24"/>
          <w:szCs w:val="24"/>
        </w:rPr>
        <w:t xml:space="preserve"> </w:t>
      </w:r>
      <w:r>
        <w:rPr>
          <w:rFonts w:ascii="仿宋" w:hAnsi="仿宋" w:eastAsia="仿宋" w:cs="仿宋"/>
          <w:spacing w:val="-4"/>
          <w:sz w:val="24"/>
          <w:szCs w:val="24"/>
        </w:rPr>
        <w:t>4</w:t>
      </w:r>
      <w:r>
        <w:rPr>
          <w:rFonts w:ascii="仿宋" w:hAnsi="仿宋" w:eastAsia="仿宋" w:cs="仿宋"/>
          <w:spacing w:val="-33"/>
          <w:sz w:val="24"/>
          <w:szCs w:val="24"/>
        </w:rPr>
        <w:t xml:space="preserve"> </w:t>
      </w:r>
      <w:r>
        <w:rPr>
          <w:rFonts w:ascii="仿宋" w:hAnsi="仿宋" w:eastAsia="仿宋" w:cs="仿宋"/>
          <w:spacing w:val="-4"/>
          <w:sz w:val="24"/>
          <w:szCs w:val="24"/>
        </w:rPr>
        <w:t>月，世界中联计划将该国家标准</w:t>
      </w:r>
      <w:r>
        <w:rPr>
          <w:rFonts w:ascii="仿宋" w:hAnsi="仿宋" w:eastAsia="仿宋" w:cs="仿宋"/>
          <w:spacing w:val="-5"/>
          <w:sz w:val="24"/>
          <w:szCs w:val="24"/>
        </w:rPr>
        <w:t>转化为国际组织标准。</w:t>
      </w:r>
      <w:r>
        <w:rPr>
          <w:rFonts w:hint="eastAsia" w:ascii="仿宋" w:hAnsi="仿宋" w:eastAsia="仿宋" w:cs="仿宋"/>
          <w:spacing w:val="-5"/>
          <w:sz w:val="24"/>
          <w:szCs w:val="24"/>
          <w:lang w:val="en-US" w:eastAsia="zh-CN"/>
        </w:rPr>
        <w:t>按</w:t>
      </w:r>
      <w:r>
        <w:rPr>
          <w:rFonts w:ascii="仿宋" w:hAnsi="仿宋" w:eastAsia="仿宋" w:cs="仿宋"/>
          <w:spacing w:val="-5"/>
          <w:sz w:val="24"/>
          <w:szCs w:val="24"/>
        </w:rPr>
        <w:t>照</w:t>
      </w:r>
      <w:r>
        <w:rPr>
          <w:rFonts w:ascii="仿宋" w:hAnsi="仿宋" w:eastAsia="仿宋" w:cs="仿宋"/>
          <w:spacing w:val="-50"/>
          <w:sz w:val="24"/>
          <w:szCs w:val="24"/>
        </w:rPr>
        <w:t xml:space="preserve"> </w:t>
      </w:r>
      <w:r>
        <w:rPr>
          <w:rFonts w:ascii="仿宋" w:hAnsi="仿宋" w:eastAsia="仿宋" w:cs="仿宋"/>
          <w:spacing w:val="-5"/>
          <w:sz w:val="24"/>
          <w:szCs w:val="24"/>
        </w:rPr>
        <w:t>SCM</w:t>
      </w:r>
      <w:r>
        <w:rPr>
          <w:rFonts w:ascii="仿宋" w:hAnsi="仿宋" w:eastAsia="仿宋" w:cs="仿宋"/>
          <w:spacing w:val="-34"/>
          <w:sz w:val="24"/>
          <w:szCs w:val="24"/>
        </w:rPr>
        <w:t xml:space="preserve"> </w:t>
      </w:r>
      <w:r>
        <w:rPr>
          <w:rFonts w:ascii="仿宋" w:hAnsi="仿宋" w:eastAsia="仿宋" w:cs="仿宋"/>
          <w:spacing w:val="-5"/>
          <w:sz w:val="24"/>
          <w:szCs w:val="24"/>
        </w:rPr>
        <w:t>1.1-2021《标准化工作导则  第</w:t>
      </w:r>
      <w:r>
        <w:rPr>
          <w:rFonts w:ascii="仿宋" w:hAnsi="仿宋" w:eastAsia="仿宋" w:cs="仿宋"/>
          <w:spacing w:val="-34"/>
          <w:sz w:val="24"/>
          <w:szCs w:val="24"/>
        </w:rPr>
        <w:t xml:space="preserve"> </w:t>
      </w:r>
      <w:r>
        <w:rPr>
          <w:rFonts w:ascii="仿宋" w:hAnsi="仿宋" w:eastAsia="仿宋" w:cs="仿宋"/>
          <w:spacing w:val="-5"/>
          <w:sz w:val="24"/>
          <w:szCs w:val="24"/>
        </w:rPr>
        <w:t>1</w:t>
      </w:r>
      <w:r>
        <w:rPr>
          <w:rFonts w:ascii="仿宋" w:hAnsi="仿宋" w:eastAsia="仿宋" w:cs="仿宋"/>
          <w:spacing w:val="-43"/>
          <w:sz w:val="24"/>
          <w:szCs w:val="24"/>
        </w:rPr>
        <w:t xml:space="preserve"> </w:t>
      </w:r>
      <w:r>
        <w:rPr>
          <w:rFonts w:ascii="仿宋" w:hAnsi="仿宋" w:eastAsia="仿宋" w:cs="仿宋"/>
          <w:spacing w:val="-5"/>
          <w:sz w:val="24"/>
          <w:szCs w:val="24"/>
        </w:rPr>
        <w:t>部分：标准</w:t>
      </w:r>
      <w:r>
        <w:rPr>
          <w:rFonts w:ascii="仿宋" w:hAnsi="仿宋" w:eastAsia="仿宋" w:cs="仿宋"/>
          <w:spacing w:val="-6"/>
          <w:sz w:val="24"/>
          <w:szCs w:val="24"/>
        </w:rPr>
        <w:t>制修订与发布》</w:t>
      </w:r>
      <w:r>
        <w:rPr>
          <w:rFonts w:ascii="仿宋" w:hAnsi="仿宋" w:eastAsia="仿宋" w:cs="仿宋"/>
          <w:sz w:val="24"/>
          <w:szCs w:val="24"/>
        </w:rPr>
        <w:t>要求，在世界中医药学会联合会国际标准部及专家指导组指导下，于</w:t>
      </w:r>
      <w:r>
        <w:rPr>
          <w:rFonts w:ascii="仿宋" w:hAnsi="仿宋" w:eastAsia="仿宋" w:cs="仿宋"/>
          <w:spacing w:val="-29"/>
          <w:sz w:val="24"/>
          <w:szCs w:val="24"/>
        </w:rPr>
        <w:t xml:space="preserve"> </w:t>
      </w:r>
      <w:r>
        <w:rPr>
          <w:rFonts w:ascii="仿宋" w:hAnsi="仿宋" w:eastAsia="仿宋" w:cs="仿宋"/>
          <w:sz w:val="24"/>
          <w:szCs w:val="24"/>
        </w:rPr>
        <w:t>2025</w:t>
      </w:r>
      <w:r>
        <w:rPr>
          <w:rFonts w:ascii="仿宋" w:hAnsi="仿宋" w:eastAsia="仿宋" w:cs="仿宋"/>
          <w:spacing w:val="-34"/>
          <w:sz w:val="24"/>
          <w:szCs w:val="24"/>
        </w:rPr>
        <w:t xml:space="preserve"> </w:t>
      </w:r>
      <w:r>
        <w:rPr>
          <w:rFonts w:ascii="仿宋" w:hAnsi="仿宋" w:eastAsia="仿宋" w:cs="仿宋"/>
          <w:sz w:val="24"/>
          <w:szCs w:val="24"/>
        </w:rPr>
        <w:t>年</w:t>
      </w:r>
      <w:r>
        <w:rPr>
          <w:rFonts w:ascii="仿宋" w:hAnsi="仿宋" w:eastAsia="仿宋" w:cs="仿宋"/>
          <w:spacing w:val="-50"/>
          <w:sz w:val="24"/>
          <w:szCs w:val="24"/>
        </w:rPr>
        <w:t xml:space="preserve"> </w:t>
      </w:r>
      <w:r>
        <w:rPr>
          <w:rFonts w:ascii="仿宋" w:hAnsi="仿宋" w:eastAsia="仿宋" w:cs="仿宋"/>
          <w:sz w:val="24"/>
          <w:szCs w:val="24"/>
        </w:rPr>
        <w:t>4</w:t>
      </w:r>
      <w:r>
        <w:rPr>
          <w:rFonts w:ascii="仿宋" w:hAnsi="仿宋" w:eastAsia="仿宋" w:cs="仿宋"/>
          <w:spacing w:val="-31"/>
          <w:sz w:val="24"/>
          <w:szCs w:val="24"/>
        </w:rPr>
        <w:t xml:space="preserve"> </w:t>
      </w:r>
      <w:r>
        <w:rPr>
          <w:rFonts w:ascii="仿宋" w:hAnsi="仿宋" w:eastAsia="仿宋" w:cs="仿宋"/>
          <w:sz w:val="24"/>
          <w:szCs w:val="24"/>
        </w:rPr>
        <w:t>月底成立</w:t>
      </w:r>
      <w:r>
        <w:rPr>
          <w:rFonts w:ascii="仿宋" w:hAnsi="仿宋" w:eastAsia="仿宋" w:cs="仿宋"/>
          <w:spacing w:val="-5"/>
          <w:sz w:val="24"/>
          <w:szCs w:val="24"/>
        </w:rPr>
        <w:t>了《国际中医技术操作规范 儿科 第</w:t>
      </w:r>
      <w:r>
        <w:rPr>
          <w:rFonts w:ascii="仿宋" w:hAnsi="仿宋" w:eastAsia="仿宋" w:cs="仿宋"/>
          <w:spacing w:val="-30"/>
          <w:sz w:val="24"/>
          <w:szCs w:val="24"/>
        </w:rPr>
        <w:t xml:space="preserve"> </w:t>
      </w:r>
      <w:r>
        <w:rPr>
          <w:rFonts w:ascii="仿宋" w:hAnsi="仿宋" w:eastAsia="仿宋" w:cs="仿宋"/>
          <w:spacing w:val="-5"/>
          <w:sz w:val="24"/>
          <w:szCs w:val="24"/>
        </w:rPr>
        <w:t>5</w:t>
      </w:r>
      <w:r>
        <w:rPr>
          <w:rFonts w:ascii="仿宋" w:hAnsi="仿宋" w:eastAsia="仿宋" w:cs="仿宋"/>
          <w:spacing w:val="-43"/>
          <w:sz w:val="24"/>
          <w:szCs w:val="24"/>
        </w:rPr>
        <w:t xml:space="preserve"> </w:t>
      </w:r>
      <w:r>
        <w:rPr>
          <w:rFonts w:ascii="仿宋" w:hAnsi="仿宋" w:eastAsia="仿宋" w:cs="仿宋"/>
          <w:spacing w:val="-5"/>
          <w:sz w:val="24"/>
          <w:szCs w:val="24"/>
        </w:rPr>
        <w:t>部分：小儿拔罐疗法》项目工作组，成员来自中国、</w:t>
      </w:r>
      <w:r>
        <w:rPr>
          <w:rFonts w:ascii="仿宋" w:hAnsi="仿宋" w:eastAsia="仿宋" w:cs="仿宋"/>
          <w:spacing w:val="-2"/>
          <w:sz w:val="24"/>
          <w:szCs w:val="24"/>
        </w:rPr>
        <w:t>加拿大、新加坡、马来西亚、泰国、越南6</w:t>
      </w:r>
      <w:r>
        <w:rPr>
          <w:rFonts w:ascii="仿宋" w:hAnsi="仿宋" w:eastAsia="仿宋" w:cs="仿宋"/>
          <w:spacing w:val="-43"/>
          <w:sz w:val="24"/>
          <w:szCs w:val="24"/>
        </w:rPr>
        <w:t xml:space="preserve"> </w:t>
      </w:r>
      <w:r>
        <w:rPr>
          <w:rFonts w:ascii="仿宋" w:hAnsi="仿宋" w:eastAsia="仿宋" w:cs="仿宋"/>
          <w:spacing w:val="-2"/>
          <w:sz w:val="24"/>
          <w:szCs w:val="24"/>
        </w:rPr>
        <w:t>个国家。20</w:t>
      </w:r>
      <w:r>
        <w:rPr>
          <w:rFonts w:ascii="仿宋" w:hAnsi="仿宋" w:eastAsia="仿宋" w:cs="仿宋"/>
          <w:spacing w:val="-3"/>
          <w:sz w:val="24"/>
          <w:szCs w:val="24"/>
        </w:rPr>
        <w:t>25</w:t>
      </w:r>
      <w:r>
        <w:rPr>
          <w:rFonts w:ascii="仿宋" w:hAnsi="仿宋" w:eastAsia="仿宋" w:cs="仿宋"/>
          <w:spacing w:val="-39"/>
          <w:sz w:val="24"/>
          <w:szCs w:val="24"/>
        </w:rPr>
        <w:t xml:space="preserve"> </w:t>
      </w:r>
      <w:r>
        <w:rPr>
          <w:rFonts w:ascii="仿宋" w:hAnsi="仿宋" w:eastAsia="仿宋" w:cs="仿宋"/>
          <w:spacing w:val="-3"/>
          <w:sz w:val="24"/>
          <w:szCs w:val="24"/>
        </w:rPr>
        <w:t>年</w:t>
      </w:r>
      <w:r>
        <w:rPr>
          <w:rFonts w:ascii="仿宋" w:hAnsi="仿宋" w:eastAsia="仿宋" w:cs="仿宋"/>
          <w:spacing w:val="-51"/>
          <w:sz w:val="24"/>
          <w:szCs w:val="24"/>
        </w:rPr>
        <w:t xml:space="preserve"> </w:t>
      </w:r>
      <w:r>
        <w:rPr>
          <w:rFonts w:ascii="仿宋" w:hAnsi="仿宋" w:eastAsia="仿宋" w:cs="仿宋"/>
          <w:spacing w:val="-3"/>
          <w:sz w:val="24"/>
          <w:szCs w:val="24"/>
        </w:rPr>
        <w:t>9</w:t>
      </w:r>
      <w:r>
        <w:rPr>
          <w:rFonts w:ascii="仿宋" w:hAnsi="仿宋" w:eastAsia="仿宋" w:cs="仿宋"/>
          <w:spacing w:val="-33"/>
          <w:sz w:val="24"/>
          <w:szCs w:val="24"/>
        </w:rPr>
        <w:t xml:space="preserve"> </w:t>
      </w:r>
      <w:r>
        <w:rPr>
          <w:rFonts w:ascii="仿宋" w:hAnsi="仿宋" w:eastAsia="仿宋" w:cs="仿宋"/>
          <w:spacing w:val="-3"/>
          <w:sz w:val="24"/>
          <w:szCs w:val="24"/>
        </w:rPr>
        <w:t>月，本项目作为世界中联国</w:t>
      </w:r>
      <w:r>
        <w:rPr>
          <w:rFonts w:ascii="仿宋" w:hAnsi="仿宋" w:eastAsia="仿宋" w:cs="仿宋"/>
          <w:spacing w:val="-4"/>
          <w:sz w:val="24"/>
          <w:szCs w:val="24"/>
        </w:rPr>
        <w:t>际标准制修订项目正式立项，项目承担及起草单位为南京中医药大学，项目负责人韩新民，项目计划</w:t>
      </w:r>
      <w:r>
        <w:rPr>
          <w:rFonts w:ascii="仿宋" w:hAnsi="仿宋" w:eastAsia="仿宋" w:cs="仿宋"/>
          <w:spacing w:val="-41"/>
          <w:sz w:val="24"/>
          <w:szCs w:val="24"/>
        </w:rPr>
        <w:t xml:space="preserve"> </w:t>
      </w:r>
      <w:r>
        <w:rPr>
          <w:rFonts w:ascii="仿宋" w:hAnsi="仿宋" w:eastAsia="仿宋" w:cs="仿宋"/>
          <w:spacing w:val="-4"/>
          <w:sz w:val="24"/>
          <w:szCs w:val="24"/>
        </w:rPr>
        <w:t>2025</w:t>
      </w:r>
      <w:r>
        <w:rPr>
          <w:rFonts w:ascii="仿宋" w:hAnsi="仿宋" w:eastAsia="仿宋" w:cs="仿宋"/>
          <w:spacing w:val="-40"/>
          <w:sz w:val="24"/>
          <w:szCs w:val="24"/>
        </w:rPr>
        <w:t xml:space="preserve"> </w:t>
      </w:r>
      <w:r>
        <w:rPr>
          <w:rFonts w:ascii="仿宋" w:hAnsi="仿宋" w:eastAsia="仿宋" w:cs="仿宋"/>
          <w:spacing w:val="-4"/>
          <w:sz w:val="24"/>
          <w:szCs w:val="24"/>
        </w:rPr>
        <w:t>年年底完成。</w:t>
      </w:r>
    </w:p>
    <w:p w14:paraId="6D62720F">
      <w:pPr>
        <w:spacing w:before="3" w:line="276" w:lineRule="auto"/>
        <w:ind w:left="1" w:right="29" w:firstLine="420"/>
        <w:jc w:val="both"/>
        <w:rPr>
          <w:rFonts w:ascii="仿宋" w:hAnsi="仿宋" w:eastAsia="仿宋" w:cs="仿宋"/>
          <w:sz w:val="24"/>
          <w:szCs w:val="24"/>
        </w:rPr>
      </w:pPr>
      <w:r>
        <w:rPr>
          <w:rFonts w:ascii="仿宋" w:hAnsi="仿宋" w:eastAsia="仿宋" w:cs="仿宋"/>
          <w:spacing w:val="-3"/>
          <w:sz w:val="24"/>
          <w:szCs w:val="24"/>
        </w:rPr>
        <w:t>本标准的转化工作由世界中医药学会联合会统一指导</w:t>
      </w:r>
      <w:r>
        <w:rPr>
          <w:rFonts w:ascii="仿宋" w:hAnsi="仿宋" w:eastAsia="仿宋" w:cs="仿宋"/>
          <w:spacing w:val="-4"/>
          <w:sz w:val="24"/>
          <w:szCs w:val="24"/>
        </w:rPr>
        <w:t>、管理和监督，由国内多名中医、</w:t>
      </w:r>
      <w:r>
        <w:rPr>
          <w:rFonts w:ascii="仿宋" w:hAnsi="仿宋" w:eastAsia="仿宋" w:cs="仿宋"/>
          <w:spacing w:val="-1"/>
          <w:sz w:val="24"/>
          <w:szCs w:val="24"/>
        </w:rPr>
        <w:t>中西医结合儿科专家提供技术指导，世界中联国际标准部负责项目执行督导，确保标准研制符合世界中医药学会联合会国际标准制修订管理办法等相关规范。</w:t>
      </w:r>
    </w:p>
    <w:p w14:paraId="7F6503FF">
      <w:pPr>
        <w:spacing w:line="276" w:lineRule="auto"/>
        <w:ind w:left="485"/>
        <w:rPr>
          <w:rFonts w:ascii="仿宋" w:hAnsi="仿宋" w:eastAsia="仿宋" w:cs="仿宋"/>
          <w:sz w:val="24"/>
          <w:szCs w:val="24"/>
        </w:rPr>
      </w:pPr>
      <w:r>
        <w:rPr>
          <w:rFonts w:ascii="仿宋" w:hAnsi="仿宋" w:eastAsia="仿宋" w:cs="仿宋"/>
          <w:b/>
          <w:bCs/>
          <w:spacing w:val="-5"/>
          <w:sz w:val="24"/>
          <w:szCs w:val="24"/>
        </w:rPr>
        <w:t>（二）起草单位</w:t>
      </w:r>
    </w:p>
    <w:p w14:paraId="38AE5C57">
      <w:pPr>
        <w:spacing w:before="111" w:line="276" w:lineRule="auto"/>
        <w:ind w:left="487"/>
        <w:rPr>
          <w:rFonts w:ascii="仿宋" w:hAnsi="仿宋" w:eastAsia="仿宋" w:cs="仿宋"/>
          <w:sz w:val="24"/>
          <w:szCs w:val="24"/>
        </w:rPr>
      </w:pPr>
      <w:r>
        <w:rPr>
          <w:rFonts w:ascii="仿宋" w:hAnsi="仿宋" w:eastAsia="仿宋" w:cs="仿宋"/>
          <w:spacing w:val="-2"/>
          <w:sz w:val="24"/>
          <w:szCs w:val="24"/>
        </w:rPr>
        <w:t>主要起草单位：南京中医药大学。</w:t>
      </w:r>
    </w:p>
    <w:p w14:paraId="272D8B03">
      <w:pPr>
        <w:spacing w:line="276" w:lineRule="auto"/>
        <w:rPr>
          <w:rFonts w:ascii="仿宋" w:hAnsi="仿宋" w:eastAsia="仿宋" w:cs="仿宋"/>
          <w:sz w:val="24"/>
          <w:szCs w:val="24"/>
        </w:rPr>
        <w:sectPr>
          <w:footerReference r:id="rId5" w:type="default"/>
          <w:pgSz w:w="11906" w:h="16839"/>
          <w:pgMar w:top="1431" w:right="1029" w:bottom="1362" w:left="1433" w:header="0" w:footer="1200" w:gutter="0"/>
          <w:cols w:space="720" w:num="1"/>
        </w:sectPr>
      </w:pPr>
    </w:p>
    <w:p w14:paraId="0D4386AC">
      <w:pPr>
        <w:spacing w:before="100" w:line="276" w:lineRule="auto"/>
        <w:ind w:left="1" w:firstLine="478"/>
        <w:jc w:val="both"/>
        <w:rPr>
          <w:rFonts w:ascii="仿宋" w:hAnsi="仿宋" w:eastAsia="仿宋" w:cs="仿宋"/>
          <w:sz w:val="24"/>
          <w:szCs w:val="24"/>
        </w:rPr>
      </w:pPr>
      <w:r>
        <w:rPr>
          <w:rFonts w:ascii="仿宋" w:hAnsi="仿宋" w:eastAsia="仿宋" w:cs="仿宋"/>
          <w:spacing w:val="-1"/>
          <w:sz w:val="24"/>
          <w:szCs w:val="24"/>
        </w:rPr>
        <w:t>参与起草单位：南京中医药大学附属医院，加拿大安大略省中医药管理局，泰国马希隆大学国家儿童与家庭发展研究院，越南中央儿童医院，马来西亚拉曼大学，马来西亚日光中医，新加坡穴道点</w:t>
      </w:r>
      <w:r>
        <w:rPr>
          <w:rFonts w:ascii="仿宋" w:hAnsi="仿宋" w:eastAsia="仿宋" w:cs="仿宋"/>
          <w:spacing w:val="-55"/>
          <w:sz w:val="24"/>
          <w:szCs w:val="24"/>
        </w:rPr>
        <w:t xml:space="preserve"> </w:t>
      </w:r>
      <w:r>
        <w:rPr>
          <w:rFonts w:ascii="仿宋" w:hAnsi="仿宋" w:eastAsia="仿宋" w:cs="仿宋"/>
          <w:spacing w:val="-1"/>
          <w:sz w:val="24"/>
          <w:szCs w:val="24"/>
        </w:rPr>
        <w:t>Acu Point Pte Ltd。</w:t>
      </w:r>
    </w:p>
    <w:p w14:paraId="5CB36D19">
      <w:pPr>
        <w:spacing w:line="276" w:lineRule="auto"/>
        <w:ind w:left="481"/>
        <w:rPr>
          <w:rFonts w:ascii="仿宋" w:hAnsi="仿宋" w:eastAsia="仿宋" w:cs="仿宋"/>
          <w:sz w:val="24"/>
          <w:szCs w:val="24"/>
        </w:rPr>
      </w:pPr>
      <w:r>
        <w:rPr>
          <w:rFonts w:ascii="仿宋" w:hAnsi="仿宋" w:eastAsia="仿宋" w:cs="仿宋"/>
          <w:b/>
          <w:bCs/>
          <w:spacing w:val="-4"/>
          <w:sz w:val="24"/>
          <w:szCs w:val="24"/>
        </w:rPr>
        <w:t>（三）标准起草相关专家</w:t>
      </w:r>
    </w:p>
    <w:p w14:paraId="4CBEE833">
      <w:pPr>
        <w:spacing w:before="113" w:line="276" w:lineRule="auto"/>
        <w:ind w:right="29" w:firstLine="477"/>
        <w:rPr>
          <w:rFonts w:ascii="仿宋" w:hAnsi="仿宋" w:eastAsia="仿宋" w:cs="仿宋"/>
          <w:sz w:val="24"/>
          <w:szCs w:val="24"/>
        </w:rPr>
      </w:pPr>
      <w:r>
        <w:rPr>
          <w:rFonts w:ascii="仿宋" w:hAnsi="仿宋" w:eastAsia="仿宋" w:cs="仿宋"/>
          <w:spacing w:val="-1"/>
          <w:sz w:val="24"/>
          <w:szCs w:val="24"/>
        </w:rPr>
        <w:t>本指南在儿科专家指导组的指导下编制。起</w:t>
      </w:r>
      <w:r>
        <w:rPr>
          <w:rFonts w:ascii="仿宋" w:hAnsi="仿宋" w:eastAsia="仿宋" w:cs="仿宋"/>
          <w:spacing w:val="-2"/>
          <w:sz w:val="24"/>
          <w:szCs w:val="24"/>
        </w:rPr>
        <w:t>草人员根据参与情况，分为主要起草人、</w:t>
      </w:r>
      <w:r>
        <w:rPr>
          <w:rFonts w:ascii="仿宋" w:hAnsi="仿宋" w:eastAsia="仿宋" w:cs="仿宋"/>
          <w:spacing w:val="-1"/>
          <w:sz w:val="24"/>
          <w:szCs w:val="24"/>
        </w:rPr>
        <w:t>参加起草人（以上为项目工作组成员）和咨询</w:t>
      </w:r>
      <w:r>
        <w:rPr>
          <w:rFonts w:ascii="仿宋" w:hAnsi="仿宋" w:eastAsia="仿宋" w:cs="仿宋"/>
          <w:spacing w:val="-2"/>
          <w:sz w:val="24"/>
          <w:szCs w:val="24"/>
        </w:rPr>
        <w:t>认证专家。相关人员信息及所做工作如下。</w:t>
      </w:r>
    </w:p>
    <w:p w14:paraId="3D9E04B5">
      <w:pPr>
        <w:spacing w:before="2" w:line="276" w:lineRule="auto"/>
        <w:ind w:left="486"/>
        <w:rPr>
          <w:rFonts w:ascii="仿宋" w:hAnsi="仿宋" w:eastAsia="仿宋" w:cs="仿宋"/>
          <w:sz w:val="24"/>
          <w:szCs w:val="24"/>
        </w:rPr>
      </w:pPr>
      <w:r>
        <w:rPr>
          <w:rFonts w:ascii="仿宋" w:hAnsi="仿宋" w:eastAsia="仿宋" w:cs="仿宋"/>
          <w:b/>
          <w:bCs/>
          <w:spacing w:val="-10"/>
          <w:sz w:val="24"/>
          <w:szCs w:val="24"/>
        </w:rPr>
        <w:t>1</w:t>
      </w:r>
      <w:r>
        <w:rPr>
          <w:rFonts w:ascii="仿宋" w:hAnsi="仿宋" w:eastAsia="仿宋" w:cs="仿宋"/>
          <w:spacing w:val="22"/>
          <w:sz w:val="24"/>
          <w:szCs w:val="24"/>
        </w:rPr>
        <w:t xml:space="preserve"> </w:t>
      </w:r>
      <w:r>
        <w:rPr>
          <w:rFonts w:ascii="仿宋" w:hAnsi="仿宋" w:eastAsia="仿宋" w:cs="仿宋"/>
          <w:b/>
          <w:bCs/>
          <w:spacing w:val="-10"/>
          <w:sz w:val="24"/>
          <w:szCs w:val="24"/>
        </w:rPr>
        <w:t>主要起草人</w:t>
      </w:r>
    </w:p>
    <w:tbl>
      <w:tblPr>
        <w:tblStyle w:val="9"/>
        <w:tblW w:w="9253" w:type="dxa"/>
        <w:tblInd w:w="2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8"/>
        <w:gridCol w:w="850"/>
        <w:gridCol w:w="1274"/>
        <w:gridCol w:w="2155"/>
        <w:gridCol w:w="3986"/>
      </w:tblGrid>
      <w:tr w14:paraId="494CBD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988" w:type="dxa"/>
            <w:vAlign w:val="top"/>
          </w:tcPr>
          <w:p w14:paraId="26947B59">
            <w:pPr>
              <w:pStyle w:val="10"/>
              <w:spacing w:before="216" w:line="276" w:lineRule="auto"/>
              <w:ind w:left="189"/>
            </w:pPr>
            <w:r>
              <w:rPr>
                <w:spacing w:val="-3"/>
              </w:rPr>
              <w:t>姓</w:t>
            </w:r>
            <w:r>
              <w:rPr>
                <w:spacing w:val="12"/>
              </w:rPr>
              <w:t xml:space="preserve">  </w:t>
            </w:r>
            <w:r>
              <w:rPr>
                <w:spacing w:val="-3"/>
              </w:rPr>
              <w:t>名</w:t>
            </w:r>
          </w:p>
        </w:tc>
        <w:tc>
          <w:tcPr>
            <w:tcW w:w="850" w:type="dxa"/>
            <w:vAlign w:val="top"/>
          </w:tcPr>
          <w:p w14:paraId="3403ACBB">
            <w:pPr>
              <w:pStyle w:val="10"/>
              <w:spacing w:before="216" w:line="276" w:lineRule="auto"/>
              <w:ind w:left="233"/>
            </w:pPr>
            <w:r>
              <w:rPr>
                <w:spacing w:val="-3"/>
              </w:rPr>
              <w:t>学位</w:t>
            </w:r>
          </w:p>
        </w:tc>
        <w:tc>
          <w:tcPr>
            <w:tcW w:w="1274" w:type="dxa"/>
            <w:vAlign w:val="top"/>
          </w:tcPr>
          <w:p w14:paraId="7DF51D13">
            <w:pPr>
              <w:pStyle w:val="10"/>
              <w:spacing w:before="216" w:line="276" w:lineRule="auto"/>
              <w:ind w:left="331"/>
            </w:pPr>
            <w:r>
              <w:rPr>
                <w:spacing w:val="-3"/>
              </w:rPr>
              <w:t>职</w:t>
            </w:r>
            <w:r>
              <w:rPr>
                <w:spacing w:val="12"/>
              </w:rPr>
              <w:t xml:space="preserve">  </w:t>
            </w:r>
            <w:r>
              <w:rPr>
                <w:spacing w:val="-3"/>
              </w:rPr>
              <w:t>称</w:t>
            </w:r>
          </w:p>
        </w:tc>
        <w:tc>
          <w:tcPr>
            <w:tcW w:w="2155" w:type="dxa"/>
            <w:vAlign w:val="top"/>
          </w:tcPr>
          <w:p w14:paraId="0F2C3C5D">
            <w:pPr>
              <w:pStyle w:val="10"/>
              <w:spacing w:before="216" w:line="276" w:lineRule="auto"/>
              <w:ind w:left="778"/>
            </w:pPr>
            <w:r>
              <w:rPr>
                <w:spacing w:val="-5"/>
              </w:rPr>
              <w:t>单</w:t>
            </w:r>
            <w:r>
              <w:rPr>
                <w:spacing w:val="12"/>
              </w:rPr>
              <w:t xml:space="preserve">  </w:t>
            </w:r>
            <w:r>
              <w:rPr>
                <w:spacing w:val="-5"/>
              </w:rPr>
              <w:t>位</w:t>
            </w:r>
          </w:p>
        </w:tc>
        <w:tc>
          <w:tcPr>
            <w:tcW w:w="3986" w:type="dxa"/>
            <w:vAlign w:val="top"/>
          </w:tcPr>
          <w:p w14:paraId="290A8A9A">
            <w:pPr>
              <w:pStyle w:val="10"/>
              <w:spacing w:before="215" w:line="276" w:lineRule="auto"/>
              <w:ind w:left="1650"/>
            </w:pPr>
            <w:r>
              <w:rPr>
                <w:spacing w:val="5"/>
              </w:rPr>
              <w:t>承担工作</w:t>
            </w:r>
          </w:p>
        </w:tc>
      </w:tr>
      <w:tr w14:paraId="1E7837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988" w:type="dxa"/>
            <w:vAlign w:val="top"/>
          </w:tcPr>
          <w:p w14:paraId="470E1072">
            <w:pPr>
              <w:spacing w:line="276" w:lineRule="auto"/>
              <w:rPr>
                <w:rFonts w:ascii="Arial"/>
                <w:sz w:val="21"/>
              </w:rPr>
            </w:pPr>
          </w:p>
          <w:p w14:paraId="327D7B6F">
            <w:pPr>
              <w:pStyle w:val="10"/>
              <w:spacing w:before="65" w:line="276" w:lineRule="auto"/>
              <w:ind w:left="191"/>
            </w:pPr>
            <w:r>
              <w:rPr>
                <w:spacing w:val="4"/>
              </w:rPr>
              <w:t>韩新民</w:t>
            </w:r>
          </w:p>
        </w:tc>
        <w:tc>
          <w:tcPr>
            <w:tcW w:w="850" w:type="dxa"/>
            <w:vAlign w:val="top"/>
          </w:tcPr>
          <w:p w14:paraId="2E93641B">
            <w:pPr>
              <w:spacing w:line="276" w:lineRule="auto"/>
              <w:rPr>
                <w:rFonts w:ascii="Arial"/>
                <w:sz w:val="21"/>
              </w:rPr>
            </w:pPr>
          </w:p>
          <w:p w14:paraId="1ABC07F6">
            <w:pPr>
              <w:pStyle w:val="10"/>
              <w:spacing w:before="65" w:line="276" w:lineRule="auto"/>
              <w:ind w:left="226"/>
            </w:pPr>
            <w:r>
              <w:rPr>
                <w:spacing w:val="1"/>
              </w:rPr>
              <w:t>博士</w:t>
            </w:r>
          </w:p>
        </w:tc>
        <w:tc>
          <w:tcPr>
            <w:tcW w:w="1274" w:type="dxa"/>
            <w:vAlign w:val="top"/>
          </w:tcPr>
          <w:p w14:paraId="3CCA9EBF">
            <w:pPr>
              <w:pStyle w:val="10"/>
              <w:spacing w:before="208" w:line="276" w:lineRule="auto"/>
              <w:ind w:left="135" w:right="115" w:hanging="18"/>
            </w:pPr>
            <w:r>
              <w:rPr>
                <w:spacing w:val="7"/>
              </w:rPr>
              <w:t>教授、主任</w:t>
            </w:r>
            <w:r>
              <w:rPr>
                <w:spacing w:val="3"/>
              </w:rPr>
              <w:t>医师，博导</w:t>
            </w:r>
          </w:p>
        </w:tc>
        <w:tc>
          <w:tcPr>
            <w:tcW w:w="2155" w:type="dxa"/>
            <w:vAlign w:val="top"/>
          </w:tcPr>
          <w:p w14:paraId="7C535DB6">
            <w:pPr>
              <w:spacing w:line="276" w:lineRule="auto"/>
              <w:rPr>
                <w:rFonts w:ascii="Arial"/>
                <w:sz w:val="21"/>
              </w:rPr>
            </w:pPr>
          </w:p>
          <w:p w14:paraId="28A690D8">
            <w:pPr>
              <w:pStyle w:val="10"/>
              <w:spacing w:before="65" w:line="276" w:lineRule="auto"/>
              <w:ind w:left="363"/>
            </w:pPr>
            <w:r>
              <w:rPr>
                <w:spacing w:val="6"/>
              </w:rPr>
              <w:t>南京中医药大学</w:t>
            </w:r>
          </w:p>
        </w:tc>
        <w:tc>
          <w:tcPr>
            <w:tcW w:w="3986" w:type="dxa"/>
            <w:vAlign w:val="top"/>
          </w:tcPr>
          <w:p w14:paraId="344FE593">
            <w:pPr>
              <w:pStyle w:val="10"/>
              <w:spacing w:before="50" w:line="276" w:lineRule="auto"/>
              <w:ind w:left="123" w:right="107" w:hanging="2"/>
              <w:jc w:val="both"/>
            </w:pPr>
            <w:r>
              <w:rPr>
                <w:spacing w:val="5"/>
              </w:rPr>
              <w:t>《国际中医技术操作规范  儿科</w:t>
            </w:r>
            <w:r>
              <w:rPr>
                <w:spacing w:val="16"/>
              </w:rPr>
              <w:t xml:space="preserve">  </w:t>
            </w:r>
            <w:r>
              <w:rPr>
                <w:spacing w:val="5"/>
              </w:rPr>
              <w:t>第</w:t>
            </w:r>
            <w:r>
              <w:rPr>
                <w:spacing w:val="-44"/>
              </w:rPr>
              <w:t xml:space="preserve"> </w:t>
            </w:r>
            <w:r>
              <w:rPr>
                <w:rFonts w:ascii="Courier New" w:hAnsi="Courier New" w:eastAsia="Courier New" w:cs="Courier New"/>
                <w:spacing w:val="5"/>
              </w:rPr>
              <w:t>5</w:t>
            </w:r>
            <w:r>
              <w:rPr>
                <w:rFonts w:ascii="Courier New" w:hAnsi="Courier New" w:eastAsia="Courier New" w:cs="Courier New"/>
                <w:spacing w:val="-67"/>
              </w:rPr>
              <w:t xml:space="preserve"> </w:t>
            </w:r>
            <w:r>
              <w:rPr>
                <w:spacing w:val="5"/>
              </w:rPr>
              <w:t>部</w:t>
            </w:r>
            <w:r>
              <w:rPr>
                <w:spacing w:val="8"/>
              </w:rPr>
              <w:t>分：小儿拔罐疗法》编制负责人，参与起</w:t>
            </w:r>
            <w:r>
              <w:rPr>
                <w:spacing w:val="7"/>
              </w:rPr>
              <w:t>草、修改草案，组织申报、实施、总结。</w:t>
            </w:r>
          </w:p>
        </w:tc>
      </w:tr>
      <w:tr w14:paraId="362545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988" w:type="dxa"/>
            <w:vAlign w:val="top"/>
          </w:tcPr>
          <w:p w14:paraId="64221744">
            <w:pPr>
              <w:spacing w:line="276" w:lineRule="auto"/>
              <w:rPr>
                <w:rFonts w:ascii="Arial"/>
                <w:sz w:val="21"/>
              </w:rPr>
            </w:pPr>
          </w:p>
          <w:p w14:paraId="296F74A4">
            <w:pPr>
              <w:pStyle w:val="10"/>
              <w:spacing w:before="65" w:line="276" w:lineRule="auto"/>
              <w:ind w:left="191"/>
            </w:pPr>
            <w:r>
              <w:rPr>
                <w:spacing w:val="-4"/>
              </w:rPr>
              <w:t>杨</w:t>
            </w:r>
            <w:r>
              <w:rPr>
                <w:spacing w:val="15"/>
              </w:rPr>
              <w:t xml:space="preserve">  </w:t>
            </w:r>
            <w:r>
              <w:rPr>
                <w:spacing w:val="-4"/>
              </w:rPr>
              <w:t>萌</w:t>
            </w:r>
          </w:p>
        </w:tc>
        <w:tc>
          <w:tcPr>
            <w:tcW w:w="850" w:type="dxa"/>
            <w:vAlign w:val="top"/>
          </w:tcPr>
          <w:p w14:paraId="53D1C945">
            <w:pPr>
              <w:spacing w:line="276" w:lineRule="auto"/>
              <w:rPr>
                <w:rFonts w:ascii="Arial"/>
                <w:sz w:val="21"/>
              </w:rPr>
            </w:pPr>
          </w:p>
          <w:p w14:paraId="2C7B8C49">
            <w:pPr>
              <w:pStyle w:val="10"/>
              <w:spacing w:before="65" w:line="276" w:lineRule="auto"/>
              <w:ind w:left="226"/>
            </w:pPr>
            <w:r>
              <w:rPr>
                <w:spacing w:val="1"/>
              </w:rPr>
              <w:t>博士</w:t>
            </w:r>
          </w:p>
        </w:tc>
        <w:tc>
          <w:tcPr>
            <w:tcW w:w="1274" w:type="dxa"/>
            <w:vAlign w:val="top"/>
          </w:tcPr>
          <w:p w14:paraId="31A6BCF3">
            <w:pPr>
              <w:pStyle w:val="10"/>
              <w:spacing w:before="209" w:line="276" w:lineRule="auto"/>
              <w:ind w:left="144" w:right="115" w:hanging="27"/>
            </w:pPr>
            <w:r>
              <w:rPr>
                <w:spacing w:val="7"/>
              </w:rPr>
              <w:t>讲师、主治</w:t>
            </w:r>
            <w:r>
              <w:rPr>
                <w:spacing w:val="-4"/>
              </w:rPr>
              <w:t>中医师</w:t>
            </w:r>
          </w:p>
        </w:tc>
        <w:tc>
          <w:tcPr>
            <w:tcW w:w="2155" w:type="dxa"/>
            <w:vAlign w:val="top"/>
          </w:tcPr>
          <w:p w14:paraId="3378054C">
            <w:pPr>
              <w:pStyle w:val="10"/>
              <w:keepNext w:val="0"/>
              <w:keepLines w:val="0"/>
              <w:pageBreakBefore w:val="0"/>
              <w:widowControl/>
              <w:kinsoku w:val="0"/>
              <w:wordWrap/>
              <w:overflowPunct/>
              <w:topLinePunct w:val="0"/>
              <w:autoSpaceDE w:val="0"/>
              <w:autoSpaceDN w:val="0"/>
              <w:bidi w:val="0"/>
              <w:adjustRightInd w:val="0"/>
              <w:snapToGrid w:val="0"/>
              <w:spacing w:before="209" w:line="276" w:lineRule="auto"/>
              <w:ind w:left="462" w:right="129" w:hanging="307"/>
              <w:jc w:val="center"/>
              <w:textAlignment w:val="baseline"/>
              <w:rPr>
                <w:spacing w:val="7"/>
              </w:rPr>
            </w:pPr>
            <w:r>
              <w:rPr>
                <w:spacing w:val="7"/>
              </w:rPr>
              <w:t>南京中医药大学</w:t>
            </w:r>
          </w:p>
          <w:p w14:paraId="3F8BBE41">
            <w:pPr>
              <w:pStyle w:val="10"/>
              <w:keepNext w:val="0"/>
              <w:keepLines w:val="0"/>
              <w:pageBreakBefore w:val="0"/>
              <w:widowControl/>
              <w:kinsoku w:val="0"/>
              <w:wordWrap/>
              <w:overflowPunct/>
              <w:topLinePunct w:val="0"/>
              <w:autoSpaceDE w:val="0"/>
              <w:autoSpaceDN w:val="0"/>
              <w:bidi w:val="0"/>
              <w:adjustRightInd w:val="0"/>
              <w:snapToGrid w:val="0"/>
              <w:spacing w:before="89" w:line="276" w:lineRule="auto"/>
              <w:ind w:left="459" w:right="130" w:hanging="306"/>
              <w:jc w:val="center"/>
              <w:textAlignment w:val="baseline"/>
            </w:pPr>
            <w:r>
              <w:rPr>
                <w:spacing w:val="7"/>
              </w:rPr>
              <w:t>中医</w:t>
            </w:r>
            <w:r>
              <w:rPr>
                <w:spacing w:val="6"/>
              </w:rPr>
              <w:t>药文献研究院</w:t>
            </w:r>
          </w:p>
        </w:tc>
        <w:tc>
          <w:tcPr>
            <w:tcW w:w="3986" w:type="dxa"/>
            <w:vAlign w:val="top"/>
          </w:tcPr>
          <w:p w14:paraId="2C95EB26">
            <w:pPr>
              <w:pStyle w:val="10"/>
              <w:spacing w:before="53" w:line="276" w:lineRule="auto"/>
              <w:ind w:left="120" w:right="86" w:firstLine="3"/>
              <w:jc w:val="both"/>
            </w:pPr>
            <w:r>
              <w:rPr>
                <w:spacing w:val="8"/>
              </w:rPr>
              <w:t>参与文献研究。参加《国际中医技术操作</w:t>
            </w:r>
            <w:r>
              <w:rPr>
                <w:spacing w:val="4"/>
              </w:rPr>
              <w:t>规范  儿科</w:t>
            </w:r>
            <w:r>
              <w:rPr>
                <w:spacing w:val="20"/>
              </w:rPr>
              <w:t xml:space="preserve">  </w:t>
            </w:r>
            <w:r>
              <w:rPr>
                <w:spacing w:val="4"/>
              </w:rPr>
              <w:t>第</w:t>
            </w:r>
            <w:r>
              <w:rPr>
                <w:spacing w:val="-27"/>
              </w:rPr>
              <w:t xml:space="preserve"> </w:t>
            </w:r>
            <w:r>
              <w:rPr>
                <w:rFonts w:ascii="Courier New" w:hAnsi="Courier New" w:eastAsia="Courier New" w:cs="Courier New"/>
                <w:spacing w:val="4"/>
              </w:rPr>
              <w:t>5</w:t>
            </w:r>
            <w:r>
              <w:rPr>
                <w:rFonts w:ascii="Courier New" w:hAnsi="Courier New" w:eastAsia="Courier New" w:cs="Courier New"/>
                <w:spacing w:val="-53"/>
              </w:rPr>
              <w:t xml:space="preserve"> </w:t>
            </w:r>
            <w:r>
              <w:rPr>
                <w:spacing w:val="4"/>
              </w:rPr>
              <w:t>部分：小儿拔罐疗法》</w:t>
            </w:r>
            <w:r>
              <w:rPr>
                <w:spacing w:val="7"/>
              </w:rPr>
              <w:t>起草，参与工作讨论等。</w:t>
            </w:r>
          </w:p>
        </w:tc>
      </w:tr>
      <w:tr w14:paraId="3E9C80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988" w:type="dxa"/>
            <w:vAlign w:val="top"/>
          </w:tcPr>
          <w:p w14:paraId="1F0A176D">
            <w:pPr>
              <w:spacing w:line="276" w:lineRule="auto"/>
              <w:rPr>
                <w:rFonts w:ascii="Arial"/>
                <w:sz w:val="21"/>
              </w:rPr>
            </w:pPr>
          </w:p>
          <w:p w14:paraId="0BE9ECB3">
            <w:pPr>
              <w:pStyle w:val="10"/>
              <w:spacing w:before="65" w:line="276" w:lineRule="auto"/>
              <w:ind w:left="193"/>
            </w:pPr>
            <w:r>
              <w:rPr>
                <w:spacing w:val="3"/>
              </w:rPr>
              <w:t>尹东奇</w:t>
            </w:r>
          </w:p>
        </w:tc>
        <w:tc>
          <w:tcPr>
            <w:tcW w:w="850" w:type="dxa"/>
            <w:vAlign w:val="top"/>
          </w:tcPr>
          <w:p w14:paraId="4E8A0F26">
            <w:pPr>
              <w:spacing w:line="276" w:lineRule="auto"/>
              <w:rPr>
                <w:rFonts w:ascii="Arial"/>
                <w:sz w:val="21"/>
              </w:rPr>
            </w:pPr>
          </w:p>
          <w:p w14:paraId="25EB0CD1">
            <w:pPr>
              <w:pStyle w:val="10"/>
              <w:spacing w:before="65" w:line="276" w:lineRule="auto"/>
              <w:ind w:left="222"/>
            </w:pPr>
            <w:r>
              <w:rPr>
                <w:spacing w:val="2"/>
              </w:rPr>
              <w:t>硕士</w:t>
            </w:r>
          </w:p>
        </w:tc>
        <w:tc>
          <w:tcPr>
            <w:tcW w:w="1274" w:type="dxa"/>
            <w:vAlign w:val="top"/>
          </w:tcPr>
          <w:p w14:paraId="7026364A">
            <w:pPr>
              <w:pStyle w:val="10"/>
              <w:spacing w:before="209" w:line="276" w:lineRule="auto"/>
              <w:ind w:left="135" w:right="115" w:hanging="18"/>
            </w:pPr>
            <w:r>
              <w:rPr>
                <w:spacing w:val="7"/>
              </w:rPr>
              <w:t>讲师、主治</w:t>
            </w:r>
            <w:r>
              <w:rPr>
                <w:spacing w:val="-7"/>
              </w:rPr>
              <w:t>医师</w:t>
            </w:r>
          </w:p>
        </w:tc>
        <w:tc>
          <w:tcPr>
            <w:tcW w:w="2155" w:type="dxa"/>
            <w:vAlign w:val="top"/>
          </w:tcPr>
          <w:p w14:paraId="0E7ED967">
            <w:pPr>
              <w:spacing w:line="276" w:lineRule="auto"/>
              <w:rPr>
                <w:rFonts w:ascii="Arial"/>
                <w:sz w:val="21"/>
              </w:rPr>
            </w:pPr>
          </w:p>
          <w:p w14:paraId="75C948DB">
            <w:pPr>
              <w:pStyle w:val="10"/>
              <w:spacing w:before="65" w:line="276" w:lineRule="auto"/>
              <w:ind w:left="363"/>
            </w:pPr>
            <w:r>
              <w:rPr>
                <w:spacing w:val="6"/>
              </w:rPr>
              <w:t>南京中医药大学</w:t>
            </w:r>
          </w:p>
        </w:tc>
        <w:tc>
          <w:tcPr>
            <w:tcW w:w="3986" w:type="dxa"/>
            <w:vAlign w:val="top"/>
          </w:tcPr>
          <w:p w14:paraId="06213FA2">
            <w:pPr>
              <w:pStyle w:val="10"/>
              <w:spacing w:before="53" w:line="276" w:lineRule="auto"/>
              <w:ind w:left="126" w:right="107" w:hanging="2"/>
              <w:jc w:val="both"/>
            </w:pPr>
            <w:r>
              <w:rPr>
                <w:spacing w:val="6"/>
              </w:rPr>
              <w:t>参加《国际中医技术操作规范  儿科</w:t>
            </w:r>
            <w:r>
              <w:rPr>
                <w:spacing w:val="19"/>
              </w:rPr>
              <w:t xml:space="preserve">  </w:t>
            </w:r>
            <w:r>
              <w:rPr>
                <w:spacing w:val="6"/>
              </w:rPr>
              <w:t>第</w:t>
            </w:r>
            <w:r>
              <w:rPr>
                <w:rFonts w:ascii="Courier New" w:hAnsi="Courier New" w:eastAsia="Courier New" w:cs="Courier New"/>
                <w:spacing w:val="7"/>
              </w:rPr>
              <w:t>5</w:t>
            </w:r>
            <w:r>
              <w:rPr>
                <w:rFonts w:ascii="Courier New" w:hAnsi="Courier New" w:eastAsia="Courier New" w:cs="Courier New"/>
                <w:spacing w:val="-43"/>
              </w:rPr>
              <w:t xml:space="preserve"> </w:t>
            </w:r>
            <w:r>
              <w:rPr>
                <w:spacing w:val="7"/>
              </w:rPr>
              <w:t>部分：小儿拔罐疗法》起草、修改，参</w:t>
            </w:r>
            <w:r>
              <w:rPr>
                <w:spacing w:val="5"/>
              </w:rPr>
              <w:t>与工作讨论等。</w:t>
            </w:r>
          </w:p>
        </w:tc>
      </w:tr>
      <w:tr w14:paraId="1621D9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988" w:type="dxa"/>
            <w:vAlign w:val="top"/>
          </w:tcPr>
          <w:p w14:paraId="4F330A7F">
            <w:pPr>
              <w:spacing w:line="276" w:lineRule="auto"/>
              <w:rPr>
                <w:rFonts w:ascii="Arial"/>
                <w:sz w:val="21"/>
              </w:rPr>
            </w:pPr>
          </w:p>
          <w:p w14:paraId="253F708B">
            <w:pPr>
              <w:pStyle w:val="10"/>
              <w:spacing w:before="65" w:line="276" w:lineRule="auto"/>
              <w:ind w:left="198"/>
            </w:pPr>
            <w:r>
              <w:rPr>
                <w:spacing w:val="2"/>
              </w:rPr>
              <w:t>汪受传</w:t>
            </w:r>
          </w:p>
        </w:tc>
        <w:tc>
          <w:tcPr>
            <w:tcW w:w="850" w:type="dxa"/>
            <w:vAlign w:val="top"/>
          </w:tcPr>
          <w:p w14:paraId="3122F47F">
            <w:pPr>
              <w:spacing w:line="276" w:lineRule="auto"/>
              <w:rPr>
                <w:rFonts w:ascii="Arial"/>
                <w:sz w:val="21"/>
              </w:rPr>
            </w:pPr>
          </w:p>
          <w:p w14:paraId="11786A76">
            <w:pPr>
              <w:pStyle w:val="10"/>
              <w:spacing w:before="65" w:line="276" w:lineRule="auto"/>
              <w:ind w:left="222"/>
            </w:pPr>
            <w:r>
              <w:rPr>
                <w:spacing w:val="2"/>
              </w:rPr>
              <w:t>硕士</w:t>
            </w:r>
          </w:p>
        </w:tc>
        <w:tc>
          <w:tcPr>
            <w:tcW w:w="1274" w:type="dxa"/>
            <w:vAlign w:val="top"/>
          </w:tcPr>
          <w:p w14:paraId="1C0FA9DB">
            <w:pPr>
              <w:pStyle w:val="10"/>
              <w:spacing w:before="212" w:line="276" w:lineRule="auto"/>
              <w:ind w:left="135" w:right="115" w:hanging="18"/>
            </w:pPr>
            <w:r>
              <w:rPr>
                <w:spacing w:val="7"/>
              </w:rPr>
              <w:t>教授、主任</w:t>
            </w:r>
            <w:r>
              <w:rPr>
                <w:spacing w:val="3"/>
              </w:rPr>
              <w:t>医师，博导</w:t>
            </w:r>
          </w:p>
        </w:tc>
        <w:tc>
          <w:tcPr>
            <w:tcW w:w="2155" w:type="dxa"/>
            <w:vAlign w:val="top"/>
          </w:tcPr>
          <w:p w14:paraId="10A8F280">
            <w:pPr>
              <w:spacing w:line="276" w:lineRule="auto"/>
              <w:rPr>
                <w:rFonts w:ascii="Arial"/>
                <w:sz w:val="21"/>
              </w:rPr>
            </w:pPr>
          </w:p>
          <w:p w14:paraId="001C581A">
            <w:pPr>
              <w:pStyle w:val="10"/>
              <w:spacing w:before="65" w:line="276" w:lineRule="auto"/>
              <w:ind w:left="128"/>
              <w:jc w:val="center"/>
            </w:pPr>
            <w:r>
              <w:rPr>
                <w:spacing w:val="6"/>
              </w:rPr>
              <w:t>南京中医药大学</w:t>
            </w:r>
          </w:p>
        </w:tc>
        <w:tc>
          <w:tcPr>
            <w:tcW w:w="3986" w:type="dxa"/>
            <w:vAlign w:val="top"/>
          </w:tcPr>
          <w:p w14:paraId="00E2A2A1">
            <w:pPr>
              <w:pStyle w:val="10"/>
              <w:spacing w:before="57" w:line="276" w:lineRule="auto"/>
              <w:ind w:left="126" w:right="107" w:hanging="2"/>
              <w:jc w:val="both"/>
            </w:pPr>
            <w:r>
              <w:rPr>
                <w:spacing w:val="6"/>
              </w:rPr>
              <w:t>参加《国际中医技术操作规范  儿科</w:t>
            </w:r>
            <w:r>
              <w:rPr>
                <w:spacing w:val="19"/>
              </w:rPr>
              <w:t xml:space="preserve">  </w:t>
            </w:r>
            <w:r>
              <w:rPr>
                <w:spacing w:val="6"/>
              </w:rPr>
              <w:t>第</w:t>
            </w:r>
            <w:r>
              <w:rPr>
                <w:rFonts w:ascii="Courier New" w:hAnsi="Courier New" w:eastAsia="Courier New" w:cs="Courier New"/>
                <w:spacing w:val="7"/>
              </w:rPr>
              <w:t>5</w:t>
            </w:r>
            <w:r>
              <w:rPr>
                <w:rFonts w:ascii="Courier New" w:hAnsi="Courier New" w:eastAsia="Courier New" w:cs="Courier New"/>
                <w:spacing w:val="-43"/>
              </w:rPr>
              <w:t xml:space="preserve"> </w:t>
            </w:r>
            <w:r>
              <w:rPr>
                <w:spacing w:val="7"/>
              </w:rPr>
              <w:t>部分：小儿拔罐疗法》起草、修改，参</w:t>
            </w:r>
            <w:r>
              <w:rPr>
                <w:spacing w:val="5"/>
              </w:rPr>
              <w:t>与工作讨论等。</w:t>
            </w:r>
          </w:p>
        </w:tc>
      </w:tr>
      <w:tr w14:paraId="2978F4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988" w:type="dxa"/>
            <w:vAlign w:val="top"/>
          </w:tcPr>
          <w:p w14:paraId="5FBAA751">
            <w:pPr>
              <w:spacing w:line="276" w:lineRule="auto"/>
              <w:rPr>
                <w:rFonts w:ascii="Arial"/>
                <w:sz w:val="21"/>
              </w:rPr>
            </w:pPr>
          </w:p>
          <w:p w14:paraId="4C8F4D82">
            <w:pPr>
              <w:pStyle w:val="10"/>
              <w:spacing w:before="65" w:line="276" w:lineRule="auto"/>
              <w:ind w:left="191"/>
            </w:pPr>
            <w:r>
              <w:rPr>
                <w:spacing w:val="-4"/>
              </w:rPr>
              <w:t>杨</w:t>
            </w:r>
            <w:r>
              <w:rPr>
                <w:spacing w:val="15"/>
              </w:rPr>
              <w:t xml:space="preserve">  </w:t>
            </w:r>
            <w:r>
              <w:rPr>
                <w:spacing w:val="-4"/>
              </w:rPr>
              <w:t>江</w:t>
            </w:r>
          </w:p>
        </w:tc>
        <w:tc>
          <w:tcPr>
            <w:tcW w:w="850" w:type="dxa"/>
            <w:vAlign w:val="top"/>
          </w:tcPr>
          <w:p w14:paraId="77D5D14B">
            <w:pPr>
              <w:spacing w:line="276" w:lineRule="auto"/>
              <w:rPr>
                <w:rFonts w:ascii="Arial"/>
                <w:sz w:val="21"/>
              </w:rPr>
            </w:pPr>
          </w:p>
          <w:p w14:paraId="6E477EE8">
            <w:pPr>
              <w:pStyle w:val="10"/>
              <w:spacing w:before="65" w:line="276" w:lineRule="auto"/>
              <w:ind w:left="222"/>
            </w:pPr>
            <w:r>
              <w:rPr>
                <w:spacing w:val="2"/>
              </w:rPr>
              <w:t>硕士</w:t>
            </w:r>
          </w:p>
        </w:tc>
        <w:tc>
          <w:tcPr>
            <w:tcW w:w="1274" w:type="dxa"/>
            <w:vAlign w:val="top"/>
          </w:tcPr>
          <w:p w14:paraId="5D4AD9DE">
            <w:pPr>
              <w:spacing w:line="276" w:lineRule="auto"/>
              <w:rPr>
                <w:rFonts w:ascii="Arial"/>
                <w:sz w:val="21"/>
              </w:rPr>
            </w:pPr>
          </w:p>
          <w:p w14:paraId="69FA88DF">
            <w:pPr>
              <w:pStyle w:val="10"/>
              <w:spacing w:before="65" w:line="276" w:lineRule="auto"/>
              <w:ind w:left="124"/>
            </w:pPr>
            <w:r>
              <w:rPr>
                <w:spacing w:val="4"/>
              </w:rPr>
              <w:t>主任医师</w:t>
            </w:r>
          </w:p>
        </w:tc>
        <w:tc>
          <w:tcPr>
            <w:tcW w:w="2155" w:type="dxa"/>
            <w:vAlign w:val="top"/>
          </w:tcPr>
          <w:p w14:paraId="3F15670E">
            <w:pPr>
              <w:pStyle w:val="10"/>
              <w:keepNext w:val="0"/>
              <w:keepLines w:val="0"/>
              <w:pageBreakBefore w:val="0"/>
              <w:widowControl/>
              <w:kinsoku w:val="0"/>
              <w:wordWrap/>
              <w:overflowPunct/>
              <w:topLinePunct w:val="0"/>
              <w:autoSpaceDE w:val="0"/>
              <w:autoSpaceDN w:val="0"/>
              <w:bidi w:val="0"/>
              <w:adjustRightInd w:val="0"/>
              <w:snapToGrid w:val="0"/>
              <w:spacing w:before="213" w:line="276" w:lineRule="auto"/>
              <w:ind w:left="896" w:right="130" w:hanging="743"/>
              <w:jc w:val="center"/>
              <w:textAlignment w:val="baseline"/>
              <w:rPr>
                <w:spacing w:val="7"/>
              </w:rPr>
            </w:pPr>
            <w:r>
              <w:rPr>
                <w:spacing w:val="7"/>
              </w:rPr>
              <w:t>南京中医药大学</w:t>
            </w:r>
          </w:p>
          <w:p w14:paraId="7C81D05F">
            <w:pPr>
              <w:pStyle w:val="10"/>
              <w:keepNext w:val="0"/>
              <w:keepLines w:val="0"/>
              <w:pageBreakBefore w:val="0"/>
              <w:widowControl/>
              <w:kinsoku w:val="0"/>
              <w:wordWrap/>
              <w:overflowPunct/>
              <w:topLinePunct w:val="0"/>
              <w:autoSpaceDE w:val="0"/>
              <w:autoSpaceDN w:val="0"/>
              <w:bidi w:val="0"/>
              <w:adjustRightInd w:val="0"/>
              <w:snapToGrid w:val="0"/>
              <w:spacing w:before="93" w:line="276" w:lineRule="auto"/>
              <w:ind w:left="896" w:right="130" w:hanging="743"/>
              <w:jc w:val="center"/>
              <w:textAlignment w:val="baseline"/>
            </w:pPr>
            <w:r>
              <w:rPr>
                <w:spacing w:val="7"/>
              </w:rPr>
              <w:t>附属</w:t>
            </w:r>
            <w:r>
              <w:rPr>
                <w:spacing w:val="-7"/>
              </w:rPr>
              <w:t>医院</w:t>
            </w:r>
          </w:p>
        </w:tc>
        <w:tc>
          <w:tcPr>
            <w:tcW w:w="3986" w:type="dxa"/>
            <w:vAlign w:val="top"/>
          </w:tcPr>
          <w:p w14:paraId="2B76D543">
            <w:pPr>
              <w:pStyle w:val="10"/>
              <w:spacing w:before="55" w:line="276" w:lineRule="auto"/>
              <w:ind w:left="120" w:right="110" w:firstLine="3"/>
              <w:jc w:val="both"/>
            </w:pPr>
            <w:r>
              <w:rPr>
                <w:spacing w:val="8"/>
              </w:rPr>
              <w:t>参与文献研究。参加《国际中医技术操作</w:t>
            </w:r>
            <w:r>
              <w:rPr>
                <w:spacing w:val="2"/>
              </w:rPr>
              <w:t>规范  儿科</w:t>
            </w:r>
            <w:r>
              <w:rPr>
                <w:spacing w:val="25"/>
              </w:rPr>
              <w:t xml:space="preserve">  </w:t>
            </w:r>
            <w:r>
              <w:rPr>
                <w:spacing w:val="2"/>
              </w:rPr>
              <w:t>第</w:t>
            </w:r>
            <w:r>
              <w:rPr>
                <w:spacing w:val="-24"/>
              </w:rPr>
              <w:t xml:space="preserve"> </w:t>
            </w:r>
            <w:r>
              <w:rPr>
                <w:rFonts w:ascii="Courier New" w:hAnsi="Courier New" w:eastAsia="Courier New" w:cs="Courier New"/>
                <w:spacing w:val="2"/>
              </w:rPr>
              <w:t>1</w:t>
            </w:r>
            <w:r>
              <w:rPr>
                <w:rFonts w:ascii="Courier New" w:hAnsi="Courier New" w:eastAsia="Courier New" w:cs="Courier New"/>
                <w:spacing w:val="-53"/>
              </w:rPr>
              <w:t xml:space="preserve"> </w:t>
            </w:r>
            <w:r>
              <w:rPr>
                <w:spacing w:val="2"/>
              </w:rPr>
              <w:t>部分：》起草、修改，</w:t>
            </w:r>
            <w:r>
              <w:rPr>
                <w:spacing w:val="8"/>
              </w:rPr>
              <w:t>起草编制说明，参与工作讨论等。</w:t>
            </w:r>
          </w:p>
        </w:tc>
      </w:tr>
    </w:tbl>
    <w:p w14:paraId="0B625324">
      <w:pPr>
        <w:spacing w:before="114" w:line="276" w:lineRule="auto"/>
        <w:ind w:left="471"/>
        <w:rPr>
          <w:rFonts w:ascii="仿宋" w:hAnsi="仿宋" w:eastAsia="仿宋" w:cs="仿宋"/>
          <w:sz w:val="24"/>
          <w:szCs w:val="24"/>
        </w:rPr>
      </w:pPr>
      <w:r>
        <w:rPr>
          <w:rFonts w:ascii="仿宋" w:hAnsi="仿宋" w:eastAsia="仿宋" w:cs="仿宋"/>
          <w:b/>
          <w:bCs/>
          <w:spacing w:val="-7"/>
          <w:sz w:val="24"/>
          <w:szCs w:val="24"/>
        </w:rPr>
        <w:t>2</w:t>
      </w:r>
      <w:r>
        <w:rPr>
          <w:rFonts w:ascii="仿宋" w:hAnsi="仿宋" w:eastAsia="仿宋" w:cs="仿宋"/>
          <w:spacing w:val="19"/>
          <w:sz w:val="24"/>
          <w:szCs w:val="24"/>
        </w:rPr>
        <w:t xml:space="preserve"> </w:t>
      </w:r>
      <w:r>
        <w:rPr>
          <w:rFonts w:ascii="仿宋" w:hAnsi="仿宋" w:eastAsia="仿宋" w:cs="仿宋"/>
          <w:b/>
          <w:bCs/>
          <w:spacing w:val="-7"/>
          <w:sz w:val="24"/>
          <w:szCs w:val="24"/>
        </w:rPr>
        <w:t>参加起草人</w:t>
      </w:r>
    </w:p>
    <w:p w14:paraId="6E5414D6">
      <w:pPr>
        <w:spacing w:line="276" w:lineRule="auto"/>
      </w:pPr>
    </w:p>
    <w:tbl>
      <w:tblPr>
        <w:tblStyle w:val="9"/>
        <w:tblW w:w="9235" w:type="dxa"/>
        <w:tblInd w:w="3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12"/>
        <w:gridCol w:w="814"/>
        <w:gridCol w:w="1262"/>
        <w:gridCol w:w="2159"/>
        <w:gridCol w:w="3988"/>
      </w:tblGrid>
      <w:tr w14:paraId="53AA67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012" w:type="dxa"/>
            <w:vAlign w:val="top"/>
          </w:tcPr>
          <w:p w14:paraId="01102A92">
            <w:pPr>
              <w:pStyle w:val="10"/>
              <w:spacing w:before="298" w:line="276" w:lineRule="auto"/>
              <w:ind w:left="202"/>
            </w:pPr>
            <w:r>
              <w:rPr>
                <w:spacing w:val="-3"/>
              </w:rPr>
              <w:t>姓</w:t>
            </w:r>
            <w:r>
              <w:rPr>
                <w:spacing w:val="12"/>
              </w:rPr>
              <w:t xml:space="preserve">  </w:t>
            </w:r>
            <w:r>
              <w:rPr>
                <w:spacing w:val="-3"/>
              </w:rPr>
              <w:t>名</w:t>
            </w:r>
          </w:p>
        </w:tc>
        <w:tc>
          <w:tcPr>
            <w:tcW w:w="814" w:type="dxa"/>
            <w:vAlign w:val="top"/>
          </w:tcPr>
          <w:p w14:paraId="5E65FFD2">
            <w:pPr>
              <w:pStyle w:val="10"/>
              <w:spacing w:before="298" w:line="276" w:lineRule="auto"/>
              <w:ind w:left="214"/>
            </w:pPr>
            <w:r>
              <w:rPr>
                <w:spacing w:val="-3"/>
              </w:rPr>
              <w:t>学位</w:t>
            </w:r>
          </w:p>
        </w:tc>
        <w:tc>
          <w:tcPr>
            <w:tcW w:w="1262" w:type="dxa"/>
            <w:vAlign w:val="top"/>
          </w:tcPr>
          <w:p w14:paraId="16161D11">
            <w:pPr>
              <w:pStyle w:val="10"/>
              <w:spacing w:before="298" w:line="276" w:lineRule="auto"/>
              <w:ind w:left="324"/>
            </w:pPr>
            <w:r>
              <w:rPr>
                <w:spacing w:val="-3"/>
              </w:rPr>
              <w:t>职</w:t>
            </w:r>
            <w:r>
              <w:rPr>
                <w:spacing w:val="12"/>
              </w:rPr>
              <w:t xml:space="preserve">  </w:t>
            </w:r>
            <w:r>
              <w:rPr>
                <w:spacing w:val="-3"/>
              </w:rPr>
              <w:t>称</w:t>
            </w:r>
          </w:p>
        </w:tc>
        <w:tc>
          <w:tcPr>
            <w:tcW w:w="2159" w:type="dxa"/>
            <w:vAlign w:val="top"/>
          </w:tcPr>
          <w:p w14:paraId="1873CC0E">
            <w:pPr>
              <w:pStyle w:val="10"/>
              <w:spacing w:before="298" w:line="276" w:lineRule="auto"/>
              <w:ind w:left="781"/>
            </w:pPr>
            <w:r>
              <w:rPr>
                <w:spacing w:val="-5"/>
              </w:rPr>
              <w:t>单</w:t>
            </w:r>
            <w:r>
              <w:rPr>
                <w:spacing w:val="12"/>
              </w:rPr>
              <w:t xml:space="preserve">  </w:t>
            </w:r>
            <w:r>
              <w:rPr>
                <w:spacing w:val="-5"/>
              </w:rPr>
              <w:t>位</w:t>
            </w:r>
          </w:p>
        </w:tc>
        <w:tc>
          <w:tcPr>
            <w:tcW w:w="3988" w:type="dxa"/>
            <w:vAlign w:val="top"/>
          </w:tcPr>
          <w:p w14:paraId="1130DF4D">
            <w:pPr>
              <w:pStyle w:val="10"/>
              <w:spacing w:before="298" w:line="276" w:lineRule="auto"/>
              <w:ind w:left="1584"/>
            </w:pPr>
            <w:r>
              <w:rPr>
                <w:spacing w:val="5"/>
              </w:rPr>
              <w:t>承担工作</w:t>
            </w:r>
          </w:p>
        </w:tc>
      </w:tr>
      <w:tr w14:paraId="6F2B6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1012" w:type="dxa"/>
            <w:vAlign w:val="top"/>
          </w:tcPr>
          <w:p w14:paraId="4282F531">
            <w:pPr>
              <w:spacing w:before="293" w:line="276" w:lineRule="auto"/>
              <w:ind w:left="197"/>
              <w:rPr>
                <w:rFonts w:ascii="宋体" w:hAnsi="宋体" w:eastAsia="宋体" w:cs="宋体"/>
                <w:sz w:val="20"/>
                <w:szCs w:val="20"/>
              </w:rPr>
            </w:pPr>
            <w:r>
              <w:rPr>
                <w:rFonts w:ascii="宋体" w:hAnsi="宋体" w:eastAsia="宋体" w:cs="宋体"/>
                <w:spacing w:val="6"/>
                <w:sz w:val="20"/>
                <w:szCs w:val="20"/>
              </w:rPr>
              <w:t>许砚之</w:t>
            </w:r>
          </w:p>
        </w:tc>
        <w:tc>
          <w:tcPr>
            <w:tcW w:w="814" w:type="dxa"/>
            <w:vAlign w:val="top"/>
          </w:tcPr>
          <w:p w14:paraId="212DACF9">
            <w:pPr>
              <w:pStyle w:val="10"/>
              <w:spacing w:before="293" w:line="276" w:lineRule="auto"/>
              <w:ind w:left="206"/>
            </w:pPr>
            <w:r>
              <w:rPr>
                <w:spacing w:val="1"/>
              </w:rPr>
              <w:t>本科</w:t>
            </w:r>
          </w:p>
        </w:tc>
        <w:tc>
          <w:tcPr>
            <w:tcW w:w="1262" w:type="dxa"/>
            <w:vAlign w:val="top"/>
          </w:tcPr>
          <w:p w14:paraId="57A64F7E">
            <w:pPr>
              <w:pStyle w:val="10"/>
              <w:spacing w:before="293" w:line="276" w:lineRule="auto"/>
              <w:ind w:left="145"/>
            </w:pPr>
            <w:r>
              <w:rPr>
                <w:spacing w:val="-4"/>
              </w:rPr>
              <w:t>中医师</w:t>
            </w:r>
          </w:p>
        </w:tc>
        <w:tc>
          <w:tcPr>
            <w:tcW w:w="2159" w:type="dxa"/>
            <w:vAlign w:val="top"/>
          </w:tcPr>
          <w:p w14:paraId="5E5F6D65">
            <w:pPr>
              <w:pStyle w:val="10"/>
              <w:spacing w:before="136" w:line="276" w:lineRule="auto"/>
              <w:ind w:left="121" w:right="159" w:hanging="3"/>
            </w:pPr>
            <w:r>
              <w:rPr>
                <w:spacing w:val="8"/>
              </w:rPr>
              <w:t>加拿大安大略省中医</w:t>
            </w:r>
            <w:r>
              <w:rPr>
                <w:spacing w:val="5"/>
              </w:rPr>
              <w:t>药管理局</w:t>
            </w:r>
          </w:p>
        </w:tc>
        <w:tc>
          <w:tcPr>
            <w:tcW w:w="3988" w:type="dxa"/>
            <w:vAlign w:val="top"/>
          </w:tcPr>
          <w:p w14:paraId="5A4E1121">
            <w:pPr>
              <w:pStyle w:val="10"/>
              <w:spacing w:before="293" w:line="276" w:lineRule="auto"/>
              <w:ind w:left="121"/>
            </w:pPr>
            <w:r>
              <w:rPr>
                <w:spacing w:val="8"/>
              </w:rPr>
              <w:t>接受专家问卷调查，参与工作讨论。</w:t>
            </w:r>
          </w:p>
        </w:tc>
      </w:tr>
      <w:tr w14:paraId="1D520A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1012" w:type="dxa"/>
            <w:vAlign w:val="top"/>
          </w:tcPr>
          <w:p w14:paraId="73C09BB2">
            <w:pPr>
              <w:spacing w:before="293" w:line="276" w:lineRule="auto"/>
              <w:ind w:left="202"/>
              <w:rPr>
                <w:rFonts w:ascii="宋体" w:hAnsi="宋体" w:eastAsia="宋体" w:cs="宋体"/>
                <w:sz w:val="20"/>
                <w:szCs w:val="20"/>
              </w:rPr>
            </w:pPr>
            <w:r>
              <w:rPr>
                <w:rFonts w:ascii="宋体" w:hAnsi="宋体" w:eastAsia="宋体" w:cs="宋体"/>
                <w:spacing w:val="5"/>
                <w:sz w:val="20"/>
                <w:szCs w:val="20"/>
              </w:rPr>
              <w:t>高秀芳</w:t>
            </w:r>
          </w:p>
        </w:tc>
        <w:tc>
          <w:tcPr>
            <w:tcW w:w="814" w:type="dxa"/>
            <w:vAlign w:val="top"/>
          </w:tcPr>
          <w:p w14:paraId="61D97E21">
            <w:pPr>
              <w:pStyle w:val="10"/>
              <w:spacing w:before="293" w:line="276" w:lineRule="auto"/>
              <w:ind w:left="204"/>
            </w:pPr>
            <w:r>
              <w:rPr>
                <w:spacing w:val="2"/>
              </w:rPr>
              <w:t>硕士</w:t>
            </w:r>
          </w:p>
        </w:tc>
        <w:tc>
          <w:tcPr>
            <w:tcW w:w="1262" w:type="dxa"/>
            <w:vAlign w:val="top"/>
          </w:tcPr>
          <w:p w14:paraId="7473C974">
            <w:pPr>
              <w:pStyle w:val="10"/>
              <w:spacing w:before="293" w:line="276" w:lineRule="auto"/>
              <w:ind w:left="145"/>
            </w:pPr>
            <w:r>
              <w:rPr>
                <w:spacing w:val="-4"/>
              </w:rPr>
              <w:t>中医师</w:t>
            </w:r>
          </w:p>
        </w:tc>
        <w:tc>
          <w:tcPr>
            <w:tcW w:w="2159" w:type="dxa"/>
            <w:vAlign w:val="top"/>
          </w:tcPr>
          <w:p w14:paraId="278C5ADD">
            <w:pPr>
              <w:pStyle w:val="10"/>
              <w:spacing w:before="138" w:line="276" w:lineRule="auto"/>
              <w:ind w:left="121" w:right="159"/>
            </w:pPr>
            <w:r>
              <w:rPr>
                <w:spacing w:val="8"/>
              </w:rPr>
              <w:t>玛希隆大学儿童与家</w:t>
            </w:r>
            <w:r>
              <w:rPr>
                <w:spacing w:val="7"/>
              </w:rPr>
              <w:t>庭发展研究院</w:t>
            </w:r>
          </w:p>
        </w:tc>
        <w:tc>
          <w:tcPr>
            <w:tcW w:w="3988" w:type="dxa"/>
            <w:vAlign w:val="top"/>
          </w:tcPr>
          <w:p w14:paraId="3CCD1E39">
            <w:pPr>
              <w:pStyle w:val="10"/>
              <w:spacing w:before="293" w:line="276" w:lineRule="auto"/>
              <w:ind w:left="121"/>
            </w:pPr>
            <w:r>
              <w:rPr>
                <w:spacing w:val="8"/>
              </w:rPr>
              <w:t>接受专家问卷调查，参与工作讨论。</w:t>
            </w:r>
          </w:p>
        </w:tc>
      </w:tr>
      <w:tr w14:paraId="201F51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99" w:hRule="atLeast"/>
        </w:trPr>
        <w:tc>
          <w:tcPr>
            <w:tcW w:w="1012" w:type="dxa"/>
            <w:vAlign w:val="top"/>
          </w:tcPr>
          <w:p w14:paraId="60E209B4">
            <w:pPr>
              <w:spacing w:before="295" w:line="276" w:lineRule="auto"/>
              <w:ind w:left="212"/>
              <w:rPr>
                <w:rFonts w:ascii="宋体" w:hAnsi="宋体" w:eastAsia="宋体" w:cs="宋体"/>
                <w:sz w:val="20"/>
                <w:szCs w:val="20"/>
              </w:rPr>
            </w:pPr>
            <w:r>
              <w:rPr>
                <w:rFonts w:ascii="宋体" w:hAnsi="宋体" w:eastAsia="宋体" w:cs="宋体"/>
                <w:spacing w:val="1"/>
                <w:sz w:val="20"/>
                <w:szCs w:val="20"/>
              </w:rPr>
              <w:t>阮红明</w:t>
            </w:r>
          </w:p>
        </w:tc>
        <w:tc>
          <w:tcPr>
            <w:tcW w:w="814" w:type="dxa"/>
            <w:vAlign w:val="top"/>
          </w:tcPr>
          <w:p w14:paraId="33BC48A4">
            <w:pPr>
              <w:pStyle w:val="10"/>
              <w:spacing w:before="295" w:line="276" w:lineRule="auto"/>
              <w:ind w:left="207"/>
            </w:pPr>
            <w:r>
              <w:rPr>
                <w:spacing w:val="1"/>
              </w:rPr>
              <w:t>博士</w:t>
            </w:r>
          </w:p>
        </w:tc>
        <w:tc>
          <w:tcPr>
            <w:tcW w:w="1262" w:type="dxa"/>
            <w:vAlign w:val="top"/>
          </w:tcPr>
          <w:p w14:paraId="6E6BCB4B">
            <w:pPr>
              <w:pStyle w:val="10"/>
              <w:spacing w:before="295" w:line="276" w:lineRule="auto"/>
              <w:ind w:left="124"/>
            </w:pPr>
            <w:r>
              <w:rPr>
                <w:spacing w:val="4"/>
              </w:rPr>
              <w:t>主任医师</w:t>
            </w:r>
          </w:p>
        </w:tc>
        <w:tc>
          <w:tcPr>
            <w:tcW w:w="2159" w:type="dxa"/>
            <w:vAlign w:val="top"/>
          </w:tcPr>
          <w:p w14:paraId="355AF447">
            <w:pPr>
              <w:pStyle w:val="10"/>
              <w:spacing w:before="295" w:line="276" w:lineRule="auto"/>
              <w:ind w:left="118"/>
            </w:pPr>
            <w:r>
              <w:rPr>
                <w:spacing w:val="8"/>
              </w:rPr>
              <w:t>越南中央儿童医院</w:t>
            </w:r>
          </w:p>
        </w:tc>
        <w:tc>
          <w:tcPr>
            <w:tcW w:w="3988" w:type="dxa"/>
            <w:vAlign w:val="top"/>
          </w:tcPr>
          <w:p w14:paraId="3BB4DD8A">
            <w:pPr>
              <w:pStyle w:val="10"/>
              <w:spacing w:before="295" w:line="276" w:lineRule="auto"/>
              <w:ind w:left="121"/>
            </w:pPr>
            <w:r>
              <w:rPr>
                <w:spacing w:val="8"/>
              </w:rPr>
              <w:t>接受专家问卷调查，参与工作讨论。</w:t>
            </w:r>
          </w:p>
        </w:tc>
      </w:tr>
      <w:tr w14:paraId="5E9EEB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1012" w:type="dxa"/>
            <w:vAlign w:val="top"/>
          </w:tcPr>
          <w:p w14:paraId="6FAA923C">
            <w:pPr>
              <w:spacing w:before="295" w:line="276" w:lineRule="auto"/>
              <w:ind w:left="201"/>
              <w:rPr>
                <w:rFonts w:ascii="宋体" w:hAnsi="宋体" w:eastAsia="宋体" w:cs="宋体"/>
                <w:sz w:val="20"/>
                <w:szCs w:val="20"/>
              </w:rPr>
            </w:pPr>
            <w:r>
              <w:rPr>
                <w:rFonts w:ascii="宋体" w:hAnsi="宋体" w:eastAsia="宋体" w:cs="宋体"/>
                <w:spacing w:val="5"/>
                <w:sz w:val="20"/>
                <w:szCs w:val="20"/>
              </w:rPr>
              <w:t>范秋婷</w:t>
            </w:r>
          </w:p>
        </w:tc>
        <w:tc>
          <w:tcPr>
            <w:tcW w:w="814" w:type="dxa"/>
            <w:vAlign w:val="top"/>
          </w:tcPr>
          <w:p w14:paraId="545CEEB5">
            <w:pPr>
              <w:pStyle w:val="10"/>
              <w:spacing w:before="296" w:line="276" w:lineRule="auto"/>
              <w:ind w:left="204"/>
            </w:pPr>
            <w:r>
              <w:rPr>
                <w:spacing w:val="2"/>
              </w:rPr>
              <w:t>硕士</w:t>
            </w:r>
          </w:p>
        </w:tc>
        <w:tc>
          <w:tcPr>
            <w:tcW w:w="1262" w:type="dxa"/>
            <w:vAlign w:val="top"/>
          </w:tcPr>
          <w:p w14:paraId="0CC1E234">
            <w:pPr>
              <w:pStyle w:val="10"/>
              <w:spacing w:before="295" w:line="276" w:lineRule="auto"/>
              <w:ind w:left="145"/>
            </w:pPr>
            <w:r>
              <w:rPr>
                <w:spacing w:val="-4"/>
              </w:rPr>
              <w:t>中医师</w:t>
            </w:r>
          </w:p>
        </w:tc>
        <w:tc>
          <w:tcPr>
            <w:tcW w:w="2159" w:type="dxa"/>
            <w:vAlign w:val="top"/>
          </w:tcPr>
          <w:p w14:paraId="48E2A252">
            <w:pPr>
              <w:pStyle w:val="10"/>
              <w:spacing w:before="295" w:line="276" w:lineRule="auto"/>
              <w:ind w:left="123"/>
            </w:pPr>
            <w:r>
              <w:rPr>
                <w:spacing w:val="7"/>
              </w:rPr>
              <w:t>马来西亚阳光中医</w:t>
            </w:r>
          </w:p>
        </w:tc>
        <w:tc>
          <w:tcPr>
            <w:tcW w:w="3988" w:type="dxa"/>
            <w:vAlign w:val="top"/>
          </w:tcPr>
          <w:p w14:paraId="18DA482E">
            <w:pPr>
              <w:pStyle w:val="10"/>
              <w:spacing w:before="295" w:line="276" w:lineRule="auto"/>
              <w:ind w:left="121"/>
            </w:pPr>
            <w:r>
              <w:rPr>
                <w:spacing w:val="8"/>
              </w:rPr>
              <w:t>接受专家问卷调查，参与工作讨论。</w:t>
            </w:r>
          </w:p>
        </w:tc>
      </w:tr>
      <w:tr w14:paraId="219E48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012" w:type="dxa"/>
            <w:vAlign w:val="top"/>
          </w:tcPr>
          <w:p w14:paraId="355BDF27">
            <w:pPr>
              <w:spacing w:before="297" w:line="276" w:lineRule="auto"/>
              <w:ind w:left="210"/>
              <w:rPr>
                <w:rFonts w:ascii="宋体" w:hAnsi="宋体" w:eastAsia="宋体" w:cs="宋体"/>
                <w:sz w:val="20"/>
                <w:szCs w:val="20"/>
              </w:rPr>
            </w:pPr>
            <w:r>
              <w:rPr>
                <w:rFonts w:ascii="宋体" w:hAnsi="宋体" w:eastAsia="宋体" w:cs="宋体"/>
                <w:spacing w:val="2"/>
                <w:sz w:val="20"/>
                <w:szCs w:val="20"/>
              </w:rPr>
              <w:t>叶燕虹</w:t>
            </w:r>
          </w:p>
        </w:tc>
        <w:tc>
          <w:tcPr>
            <w:tcW w:w="814" w:type="dxa"/>
            <w:vAlign w:val="top"/>
          </w:tcPr>
          <w:p w14:paraId="4DE0ADA7">
            <w:pPr>
              <w:pStyle w:val="10"/>
              <w:spacing w:before="298" w:line="276" w:lineRule="auto"/>
              <w:ind w:left="207"/>
            </w:pPr>
            <w:r>
              <w:rPr>
                <w:spacing w:val="1"/>
              </w:rPr>
              <w:t>博士</w:t>
            </w:r>
          </w:p>
        </w:tc>
        <w:tc>
          <w:tcPr>
            <w:tcW w:w="1262" w:type="dxa"/>
            <w:vAlign w:val="top"/>
          </w:tcPr>
          <w:p w14:paraId="58BBC1C1">
            <w:pPr>
              <w:pStyle w:val="10"/>
              <w:spacing w:before="298" w:line="276" w:lineRule="auto"/>
              <w:ind w:left="145"/>
            </w:pPr>
            <w:r>
              <w:rPr>
                <w:spacing w:val="-4"/>
              </w:rPr>
              <w:t>中医师</w:t>
            </w:r>
          </w:p>
        </w:tc>
        <w:tc>
          <w:tcPr>
            <w:tcW w:w="2159" w:type="dxa"/>
            <w:vAlign w:val="top"/>
          </w:tcPr>
          <w:p w14:paraId="49422671">
            <w:pPr>
              <w:pStyle w:val="10"/>
              <w:spacing w:before="142" w:line="276" w:lineRule="auto"/>
              <w:ind w:left="119" w:right="104" w:hanging="13"/>
            </w:pPr>
            <w:r>
              <w:t>Acu</w:t>
            </w:r>
            <w:r>
              <w:rPr>
                <w:spacing w:val="-45"/>
              </w:rPr>
              <w:t xml:space="preserve"> </w:t>
            </w:r>
            <w:r>
              <w:t>Point</w:t>
            </w:r>
            <w:r>
              <w:rPr>
                <w:spacing w:val="-42"/>
              </w:rPr>
              <w:t xml:space="preserve"> </w:t>
            </w:r>
            <w:r>
              <w:t>Pte</w:t>
            </w:r>
            <w:r>
              <w:rPr>
                <w:spacing w:val="-41"/>
              </w:rPr>
              <w:t xml:space="preserve"> </w:t>
            </w:r>
            <w:r>
              <w:t>Ltd</w:t>
            </w:r>
            <w:r>
              <w:rPr>
                <w:spacing w:val="21"/>
              </w:rPr>
              <w:t xml:space="preserve"> </w:t>
            </w:r>
            <w:r>
              <w:rPr>
                <w:spacing w:val="49"/>
              </w:rPr>
              <w:t>穴</w:t>
            </w:r>
            <w:r>
              <w:rPr>
                <w:spacing w:val="1"/>
              </w:rPr>
              <w:t>道点</w:t>
            </w:r>
          </w:p>
        </w:tc>
        <w:tc>
          <w:tcPr>
            <w:tcW w:w="3988" w:type="dxa"/>
            <w:vAlign w:val="top"/>
          </w:tcPr>
          <w:p w14:paraId="55001B5D">
            <w:pPr>
              <w:pStyle w:val="10"/>
              <w:spacing w:before="297" w:line="276" w:lineRule="auto"/>
              <w:ind w:left="121"/>
            </w:pPr>
            <w:r>
              <w:rPr>
                <w:spacing w:val="8"/>
              </w:rPr>
              <w:t>接受专家问卷调查，参与工作讨论。</w:t>
            </w:r>
          </w:p>
        </w:tc>
      </w:tr>
    </w:tbl>
    <w:p w14:paraId="5DB61A57">
      <w:pPr>
        <w:spacing w:before="115" w:line="276" w:lineRule="auto"/>
        <w:ind w:left="473"/>
        <w:rPr>
          <w:rFonts w:ascii="仿宋" w:hAnsi="仿宋" w:eastAsia="仿宋" w:cs="仿宋"/>
          <w:sz w:val="24"/>
          <w:szCs w:val="24"/>
        </w:rPr>
      </w:pPr>
      <w:r>
        <w:rPr>
          <w:rFonts w:ascii="仿宋" w:hAnsi="仿宋" w:eastAsia="仿宋" w:cs="仿宋"/>
          <w:b/>
          <w:bCs/>
          <w:spacing w:val="-8"/>
          <w:sz w:val="24"/>
          <w:szCs w:val="24"/>
        </w:rPr>
        <w:t>3</w:t>
      </w:r>
      <w:r>
        <w:rPr>
          <w:rFonts w:ascii="仿宋" w:hAnsi="仿宋" w:eastAsia="仿宋" w:cs="仿宋"/>
          <w:spacing w:val="29"/>
          <w:sz w:val="24"/>
          <w:szCs w:val="24"/>
        </w:rPr>
        <w:t xml:space="preserve"> </w:t>
      </w:r>
      <w:r>
        <w:rPr>
          <w:rFonts w:ascii="仿宋" w:hAnsi="仿宋" w:eastAsia="仿宋" w:cs="仿宋"/>
          <w:b/>
          <w:bCs/>
          <w:spacing w:val="-8"/>
          <w:sz w:val="24"/>
          <w:szCs w:val="24"/>
        </w:rPr>
        <w:t>咨询认证专家</w:t>
      </w:r>
    </w:p>
    <w:tbl>
      <w:tblPr>
        <w:tblStyle w:val="9"/>
        <w:tblW w:w="92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26"/>
        <w:gridCol w:w="863"/>
        <w:gridCol w:w="1203"/>
        <w:gridCol w:w="3947"/>
        <w:gridCol w:w="2229"/>
      </w:tblGrid>
      <w:tr w14:paraId="5AB8A8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1026" w:type="dxa"/>
            <w:vAlign w:val="top"/>
          </w:tcPr>
          <w:p w14:paraId="4D31CFF3">
            <w:pPr>
              <w:pStyle w:val="10"/>
              <w:spacing w:before="215" w:line="276" w:lineRule="auto"/>
              <w:ind w:left="208"/>
              <w:rPr>
                <w:b/>
                <w:bCs/>
              </w:rPr>
            </w:pPr>
            <w:r>
              <w:rPr>
                <w:b/>
                <w:bCs/>
                <w:spacing w:val="-3"/>
              </w:rPr>
              <w:t>姓</w:t>
            </w:r>
            <w:r>
              <w:rPr>
                <w:b/>
                <w:bCs/>
                <w:spacing w:val="12"/>
              </w:rPr>
              <w:t xml:space="preserve">  </w:t>
            </w:r>
            <w:r>
              <w:rPr>
                <w:b/>
                <w:bCs/>
                <w:spacing w:val="-3"/>
              </w:rPr>
              <w:t>名</w:t>
            </w:r>
          </w:p>
        </w:tc>
        <w:tc>
          <w:tcPr>
            <w:tcW w:w="863" w:type="dxa"/>
            <w:vAlign w:val="top"/>
          </w:tcPr>
          <w:p w14:paraId="08488146">
            <w:pPr>
              <w:pStyle w:val="10"/>
              <w:spacing w:before="215" w:line="276" w:lineRule="auto"/>
              <w:ind w:left="240"/>
              <w:rPr>
                <w:b/>
                <w:bCs/>
              </w:rPr>
            </w:pPr>
            <w:r>
              <w:rPr>
                <w:b/>
                <w:bCs/>
                <w:spacing w:val="-3"/>
              </w:rPr>
              <w:t>学位</w:t>
            </w:r>
          </w:p>
        </w:tc>
        <w:tc>
          <w:tcPr>
            <w:tcW w:w="1203" w:type="dxa"/>
            <w:vAlign w:val="top"/>
          </w:tcPr>
          <w:p w14:paraId="49CD9D83">
            <w:pPr>
              <w:pStyle w:val="10"/>
              <w:spacing w:before="215" w:line="276" w:lineRule="auto"/>
              <w:ind w:left="296"/>
              <w:rPr>
                <w:b/>
                <w:bCs/>
              </w:rPr>
            </w:pPr>
            <w:r>
              <w:rPr>
                <w:b/>
                <w:bCs/>
                <w:spacing w:val="-3"/>
              </w:rPr>
              <w:t>职</w:t>
            </w:r>
            <w:r>
              <w:rPr>
                <w:b/>
                <w:bCs/>
                <w:spacing w:val="12"/>
              </w:rPr>
              <w:t xml:space="preserve">  </w:t>
            </w:r>
            <w:r>
              <w:rPr>
                <w:b/>
                <w:bCs/>
                <w:spacing w:val="-3"/>
              </w:rPr>
              <w:t>称</w:t>
            </w:r>
          </w:p>
        </w:tc>
        <w:tc>
          <w:tcPr>
            <w:tcW w:w="3947" w:type="dxa"/>
            <w:vAlign w:val="top"/>
          </w:tcPr>
          <w:p w14:paraId="1984501F">
            <w:pPr>
              <w:pStyle w:val="10"/>
              <w:spacing w:before="215" w:line="276" w:lineRule="auto"/>
              <w:ind w:left="1673"/>
              <w:rPr>
                <w:b/>
                <w:bCs/>
              </w:rPr>
            </w:pPr>
            <w:r>
              <w:rPr>
                <w:b/>
                <w:bCs/>
                <w:spacing w:val="-5"/>
              </w:rPr>
              <w:t>单</w:t>
            </w:r>
            <w:r>
              <w:rPr>
                <w:b/>
                <w:bCs/>
                <w:spacing w:val="12"/>
              </w:rPr>
              <w:t xml:space="preserve">  </w:t>
            </w:r>
            <w:r>
              <w:rPr>
                <w:b/>
                <w:bCs/>
                <w:spacing w:val="-5"/>
              </w:rPr>
              <w:t>位</w:t>
            </w:r>
          </w:p>
        </w:tc>
        <w:tc>
          <w:tcPr>
            <w:tcW w:w="2229" w:type="dxa"/>
            <w:vAlign w:val="top"/>
          </w:tcPr>
          <w:p w14:paraId="5EBBE6E5">
            <w:pPr>
              <w:pStyle w:val="10"/>
              <w:spacing w:before="214" w:line="276" w:lineRule="auto"/>
              <w:ind w:left="705"/>
              <w:rPr>
                <w:b/>
                <w:bCs/>
              </w:rPr>
            </w:pPr>
            <w:r>
              <w:rPr>
                <w:b/>
                <w:bCs/>
                <w:spacing w:val="5"/>
              </w:rPr>
              <w:t>承担工作</w:t>
            </w:r>
          </w:p>
        </w:tc>
      </w:tr>
      <w:tr w14:paraId="35D4B9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026" w:type="dxa"/>
            <w:vAlign w:val="top"/>
          </w:tcPr>
          <w:p w14:paraId="376947F1">
            <w:pPr>
              <w:pStyle w:val="10"/>
              <w:spacing w:before="211" w:line="276" w:lineRule="auto"/>
              <w:ind w:left="208"/>
            </w:pPr>
            <w:r>
              <w:rPr>
                <w:spacing w:val="-3"/>
              </w:rPr>
              <w:t>姚</w:t>
            </w:r>
            <w:r>
              <w:rPr>
                <w:spacing w:val="13"/>
              </w:rPr>
              <w:t xml:space="preserve">  </w:t>
            </w:r>
            <w:r>
              <w:rPr>
                <w:spacing w:val="-3"/>
              </w:rPr>
              <w:t>笑</w:t>
            </w:r>
          </w:p>
        </w:tc>
        <w:tc>
          <w:tcPr>
            <w:tcW w:w="863" w:type="dxa"/>
            <w:vAlign w:val="top"/>
          </w:tcPr>
          <w:p w14:paraId="3B9E4872">
            <w:pPr>
              <w:pStyle w:val="10"/>
              <w:spacing w:before="211" w:line="276" w:lineRule="auto"/>
              <w:ind w:left="233"/>
            </w:pPr>
            <w:r>
              <w:rPr>
                <w:spacing w:val="1"/>
              </w:rPr>
              <w:t>博士</w:t>
            </w:r>
          </w:p>
        </w:tc>
        <w:tc>
          <w:tcPr>
            <w:tcW w:w="1203" w:type="dxa"/>
            <w:vAlign w:val="top"/>
          </w:tcPr>
          <w:p w14:paraId="06DA9885">
            <w:pPr>
              <w:pStyle w:val="10"/>
              <w:spacing w:before="55" w:line="276" w:lineRule="auto"/>
              <w:ind w:left="116"/>
            </w:pPr>
            <w:r>
              <w:rPr>
                <w:spacing w:val="-6"/>
              </w:rPr>
              <w:t>教授、主任</w:t>
            </w:r>
          </w:p>
          <w:p w14:paraId="430EF360">
            <w:pPr>
              <w:pStyle w:val="10"/>
              <w:spacing w:before="60" w:line="276" w:lineRule="auto"/>
              <w:ind w:left="135"/>
            </w:pPr>
            <w:r>
              <w:rPr>
                <w:spacing w:val="-10"/>
              </w:rPr>
              <w:t>医师，博导</w:t>
            </w:r>
          </w:p>
        </w:tc>
        <w:tc>
          <w:tcPr>
            <w:tcW w:w="3947" w:type="dxa"/>
            <w:vAlign w:val="top"/>
          </w:tcPr>
          <w:p w14:paraId="6BE1F4BF">
            <w:pPr>
              <w:pStyle w:val="10"/>
              <w:spacing w:before="211" w:line="276" w:lineRule="auto"/>
              <w:ind w:left="848"/>
            </w:pPr>
            <w:r>
              <w:rPr>
                <w:spacing w:val="6"/>
              </w:rPr>
              <w:t>山东中医药大学附属医院</w:t>
            </w:r>
          </w:p>
        </w:tc>
        <w:tc>
          <w:tcPr>
            <w:tcW w:w="2229" w:type="dxa"/>
            <w:vAlign w:val="top"/>
          </w:tcPr>
          <w:p w14:paraId="53256897">
            <w:pPr>
              <w:pStyle w:val="10"/>
              <w:spacing w:before="211" w:line="276" w:lineRule="auto"/>
              <w:ind w:left="181"/>
            </w:pPr>
            <w:r>
              <w:rPr>
                <w:spacing w:val="7"/>
              </w:rPr>
              <w:t>接受专家问卷调查。</w:t>
            </w:r>
          </w:p>
        </w:tc>
      </w:tr>
      <w:tr w14:paraId="6F382E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026" w:type="dxa"/>
            <w:vAlign w:val="top"/>
          </w:tcPr>
          <w:p w14:paraId="34D21A0D">
            <w:pPr>
              <w:pStyle w:val="10"/>
              <w:spacing w:before="211" w:line="276" w:lineRule="auto"/>
              <w:ind w:left="211"/>
            </w:pPr>
            <w:r>
              <w:rPr>
                <w:spacing w:val="-4"/>
              </w:rPr>
              <w:t>崔</w:t>
            </w:r>
            <w:r>
              <w:rPr>
                <w:spacing w:val="17"/>
              </w:rPr>
              <w:t xml:space="preserve">  </w:t>
            </w:r>
            <w:r>
              <w:rPr>
                <w:spacing w:val="-4"/>
              </w:rPr>
              <w:t>霞</w:t>
            </w:r>
          </w:p>
        </w:tc>
        <w:tc>
          <w:tcPr>
            <w:tcW w:w="863" w:type="dxa"/>
            <w:vAlign w:val="top"/>
          </w:tcPr>
          <w:p w14:paraId="01B59CC4">
            <w:pPr>
              <w:pStyle w:val="10"/>
              <w:spacing w:before="211" w:line="276" w:lineRule="auto"/>
              <w:ind w:left="233"/>
            </w:pPr>
            <w:r>
              <w:rPr>
                <w:spacing w:val="1"/>
              </w:rPr>
              <w:t>博士</w:t>
            </w:r>
          </w:p>
        </w:tc>
        <w:tc>
          <w:tcPr>
            <w:tcW w:w="1203" w:type="dxa"/>
            <w:vAlign w:val="top"/>
          </w:tcPr>
          <w:p w14:paraId="4E665E1F">
            <w:pPr>
              <w:pStyle w:val="10"/>
              <w:spacing w:before="54" w:line="276" w:lineRule="auto"/>
              <w:ind w:left="116"/>
            </w:pPr>
            <w:r>
              <w:rPr>
                <w:spacing w:val="-6"/>
              </w:rPr>
              <w:t>教授、主任</w:t>
            </w:r>
          </w:p>
          <w:p w14:paraId="2A488165">
            <w:pPr>
              <w:pStyle w:val="10"/>
              <w:spacing w:before="60" w:line="276" w:lineRule="auto"/>
              <w:ind w:left="135"/>
            </w:pPr>
            <w:r>
              <w:rPr>
                <w:spacing w:val="-10"/>
              </w:rPr>
              <w:t>医师，博导</w:t>
            </w:r>
          </w:p>
        </w:tc>
        <w:tc>
          <w:tcPr>
            <w:tcW w:w="3947" w:type="dxa"/>
            <w:vAlign w:val="top"/>
          </w:tcPr>
          <w:p w14:paraId="449D47AF">
            <w:pPr>
              <w:pStyle w:val="10"/>
              <w:spacing w:before="211" w:line="276" w:lineRule="auto"/>
              <w:ind w:left="626"/>
            </w:pPr>
            <w:r>
              <w:rPr>
                <w:spacing w:val="8"/>
              </w:rPr>
              <w:t>北京中医药大学第三附属医院</w:t>
            </w:r>
          </w:p>
        </w:tc>
        <w:tc>
          <w:tcPr>
            <w:tcW w:w="2229" w:type="dxa"/>
            <w:vAlign w:val="top"/>
          </w:tcPr>
          <w:p w14:paraId="06853449">
            <w:pPr>
              <w:pStyle w:val="10"/>
              <w:spacing w:before="211" w:line="276" w:lineRule="auto"/>
              <w:ind w:left="181"/>
            </w:pPr>
            <w:r>
              <w:rPr>
                <w:spacing w:val="7"/>
              </w:rPr>
              <w:t>接受专家问卷调查。</w:t>
            </w:r>
          </w:p>
        </w:tc>
      </w:tr>
      <w:tr w14:paraId="15F2B6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026" w:type="dxa"/>
            <w:vAlign w:val="top"/>
          </w:tcPr>
          <w:p w14:paraId="072D8666">
            <w:pPr>
              <w:pStyle w:val="10"/>
              <w:spacing w:before="212" w:line="276" w:lineRule="auto"/>
              <w:ind w:left="214"/>
            </w:pPr>
            <w:r>
              <w:rPr>
                <w:spacing w:val="-5"/>
              </w:rPr>
              <w:t>李</w:t>
            </w:r>
            <w:r>
              <w:rPr>
                <w:spacing w:val="12"/>
              </w:rPr>
              <w:t xml:space="preserve">  </w:t>
            </w:r>
            <w:r>
              <w:rPr>
                <w:spacing w:val="-5"/>
              </w:rPr>
              <w:t>敏</w:t>
            </w:r>
          </w:p>
        </w:tc>
        <w:tc>
          <w:tcPr>
            <w:tcW w:w="863" w:type="dxa"/>
            <w:vAlign w:val="top"/>
          </w:tcPr>
          <w:p w14:paraId="4CEB1417">
            <w:pPr>
              <w:pStyle w:val="10"/>
              <w:spacing w:before="213" w:line="276" w:lineRule="auto"/>
              <w:ind w:left="233"/>
            </w:pPr>
            <w:r>
              <w:rPr>
                <w:spacing w:val="1"/>
              </w:rPr>
              <w:t>博士</w:t>
            </w:r>
          </w:p>
        </w:tc>
        <w:tc>
          <w:tcPr>
            <w:tcW w:w="1203" w:type="dxa"/>
            <w:vAlign w:val="top"/>
          </w:tcPr>
          <w:p w14:paraId="79F0CE5E">
            <w:pPr>
              <w:pStyle w:val="10"/>
              <w:spacing w:before="56" w:line="276" w:lineRule="auto"/>
              <w:ind w:left="404" w:right="92" w:hanging="281"/>
            </w:pPr>
            <w:r>
              <w:rPr>
                <w:spacing w:val="-4"/>
              </w:rPr>
              <w:t>主任医师，</w:t>
            </w:r>
            <w:r>
              <w:rPr>
                <w:spacing w:val="1"/>
              </w:rPr>
              <w:t>博导</w:t>
            </w:r>
          </w:p>
        </w:tc>
        <w:tc>
          <w:tcPr>
            <w:tcW w:w="3947" w:type="dxa"/>
            <w:vAlign w:val="top"/>
          </w:tcPr>
          <w:p w14:paraId="2AC7ACE7">
            <w:pPr>
              <w:pStyle w:val="10"/>
              <w:spacing w:before="213" w:line="276" w:lineRule="auto"/>
              <w:ind w:left="522"/>
            </w:pPr>
            <w:r>
              <w:rPr>
                <w:spacing w:val="8"/>
              </w:rPr>
              <w:t>首都医科大学附属北京中医医院</w:t>
            </w:r>
          </w:p>
        </w:tc>
        <w:tc>
          <w:tcPr>
            <w:tcW w:w="2229" w:type="dxa"/>
            <w:vAlign w:val="top"/>
          </w:tcPr>
          <w:p w14:paraId="4026842A">
            <w:pPr>
              <w:pStyle w:val="10"/>
              <w:spacing w:before="213" w:line="276" w:lineRule="auto"/>
              <w:ind w:left="181"/>
            </w:pPr>
            <w:r>
              <w:rPr>
                <w:spacing w:val="7"/>
              </w:rPr>
              <w:t>接受专家问卷调查。</w:t>
            </w:r>
          </w:p>
        </w:tc>
      </w:tr>
      <w:tr w14:paraId="78EF67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026" w:type="dxa"/>
            <w:vAlign w:val="top"/>
          </w:tcPr>
          <w:p w14:paraId="349841B3">
            <w:pPr>
              <w:pStyle w:val="10"/>
              <w:spacing w:before="214" w:line="276" w:lineRule="auto"/>
              <w:ind w:left="210"/>
            </w:pPr>
            <w:r>
              <w:rPr>
                <w:spacing w:val="4"/>
              </w:rPr>
              <w:t>邱丽漪</w:t>
            </w:r>
          </w:p>
        </w:tc>
        <w:tc>
          <w:tcPr>
            <w:tcW w:w="863" w:type="dxa"/>
            <w:vAlign w:val="top"/>
          </w:tcPr>
          <w:p w14:paraId="3FE88D79">
            <w:pPr>
              <w:pStyle w:val="10"/>
              <w:spacing w:before="214" w:line="276" w:lineRule="auto"/>
              <w:ind w:left="232"/>
            </w:pPr>
            <w:r>
              <w:rPr>
                <w:spacing w:val="1"/>
              </w:rPr>
              <w:t>本科</w:t>
            </w:r>
          </w:p>
        </w:tc>
        <w:tc>
          <w:tcPr>
            <w:tcW w:w="1203" w:type="dxa"/>
            <w:vAlign w:val="top"/>
          </w:tcPr>
          <w:p w14:paraId="57DA3D5B">
            <w:pPr>
              <w:pStyle w:val="10"/>
              <w:spacing w:before="59" w:line="276" w:lineRule="auto"/>
              <w:ind w:left="400" w:right="229" w:hanging="203"/>
            </w:pPr>
            <w:r>
              <w:rPr>
                <w:spacing w:val="-8"/>
              </w:rPr>
              <w:t>副教授，</w:t>
            </w:r>
            <w:r>
              <w:rPr>
                <w:spacing w:val="2"/>
              </w:rPr>
              <w:t>硕导</w:t>
            </w:r>
          </w:p>
        </w:tc>
        <w:tc>
          <w:tcPr>
            <w:tcW w:w="3947" w:type="dxa"/>
            <w:vAlign w:val="top"/>
          </w:tcPr>
          <w:p w14:paraId="5A5F8F47">
            <w:pPr>
              <w:pStyle w:val="10"/>
              <w:spacing w:before="214" w:line="276" w:lineRule="auto"/>
              <w:ind w:left="1361"/>
            </w:pPr>
            <w:r>
              <w:rPr>
                <w:spacing w:val="6"/>
              </w:rPr>
              <w:t>北京按摩医院</w:t>
            </w:r>
          </w:p>
        </w:tc>
        <w:tc>
          <w:tcPr>
            <w:tcW w:w="2229" w:type="dxa"/>
            <w:vAlign w:val="top"/>
          </w:tcPr>
          <w:p w14:paraId="0BE18D19">
            <w:pPr>
              <w:pStyle w:val="10"/>
              <w:spacing w:before="214" w:line="276" w:lineRule="auto"/>
              <w:ind w:left="181"/>
            </w:pPr>
            <w:r>
              <w:rPr>
                <w:spacing w:val="7"/>
              </w:rPr>
              <w:t>接受专家问卷调查。</w:t>
            </w:r>
          </w:p>
        </w:tc>
      </w:tr>
      <w:tr w14:paraId="4652D1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026" w:type="dxa"/>
            <w:vAlign w:val="top"/>
          </w:tcPr>
          <w:p w14:paraId="07B020AC">
            <w:pPr>
              <w:pStyle w:val="10"/>
              <w:spacing w:before="213" w:line="276" w:lineRule="auto"/>
              <w:ind w:left="211"/>
            </w:pPr>
            <w:r>
              <w:rPr>
                <w:spacing w:val="4"/>
              </w:rPr>
              <w:t>王雪峰</w:t>
            </w:r>
          </w:p>
        </w:tc>
        <w:tc>
          <w:tcPr>
            <w:tcW w:w="863" w:type="dxa"/>
            <w:vAlign w:val="top"/>
          </w:tcPr>
          <w:p w14:paraId="71BA1DDF">
            <w:pPr>
              <w:pStyle w:val="10"/>
              <w:spacing w:before="213" w:line="276" w:lineRule="auto"/>
              <w:ind w:left="233"/>
            </w:pPr>
            <w:r>
              <w:rPr>
                <w:spacing w:val="1"/>
              </w:rPr>
              <w:t>博士</w:t>
            </w:r>
          </w:p>
        </w:tc>
        <w:tc>
          <w:tcPr>
            <w:tcW w:w="1203" w:type="dxa"/>
            <w:vAlign w:val="top"/>
          </w:tcPr>
          <w:p w14:paraId="3EF73938">
            <w:pPr>
              <w:pStyle w:val="10"/>
              <w:spacing w:before="213" w:line="276" w:lineRule="auto"/>
              <w:ind w:left="116"/>
            </w:pPr>
            <w:r>
              <w:rPr>
                <w:spacing w:val="-6"/>
              </w:rPr>
              <w:t>教授，博导</w:t>
            </w:r>
          </w:p>
        </w:tc>
        <w:tc>
          <w:tcPr>
            <w:tcW w:w="3947" w:type="dxa"/>
            <w:vAlign w:val="top"/>
          </w:tcPr>
          <w:p w14:paraId="6869B186">
            <w:pPr>
              <w:pStyle w:val="10"/>
              <w:spacing w:before="213" w:line="276" w:lineRule="auto"/>
              <w:ind w:left="833"/>
            </w:pPr>
            <w:r>
              <w:rPr>
                <w:spacing w:val="8"/>
              </w:rPr>
              <w:t>辽宁中医药大学附属医院</w:t>
            </w:r>
          </w:p>
        </w:tc>
        <w:tc>
          <w:tcPr>
            <w:tcW w:w="2229" w:type="dxa"/>
            <w:vAlign w:val="top"/>
          </w:tcPr>
          <w:p w14:paraId="491DC437">
            <w:pPr>
              <w:pStyle w:val="10"/>
              <w:spacing w:before="213" w:line="276" w:lineRule="auto"/>
              <w:ind w:left="181"/>
            </w:pPr>
            <w:r>
              <w:rPr>
                <w:spacing w:val="7"/>
              </w:rPr>
              <w:t>接受专家问卷调查。</w:t>
            </w:r>
          </w:p>
        </w:tc>
      </w:tr>
      <w:tr w14:paraId="070B57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026" w:type="dxa"/>
            <w:vAlign w:val="top"/>
          </w:tcPr>
          <w:p w14:paraId="19A3FA0B">
            <w:pPr>
              <w:pStyle w:val="10"/>
              <w:spacing w:before="214" w:line="276" w:lineRule="auto"/>
              <w:ind w:left="211"/>
            </w:pPr>
            <w:r>
              <w:rPr>
                <w:spacing w:val="4"/>
              </w:rPr>
              <w:t>王权午</w:t>
            </w:r>
          </w:p>
        </w:tc>
        <w:tc>
          <w:tcPr>
            <w:tcW w:w="863" w:type="dxa"/>
            <w:vAlign w:val="top"/>
          </w:tcPr>
          <w:p w14:paraId="4B41AFDD">
            <w:pPr>
              <w:pStyle w:val="10"/>
              <w:spacing w:before="214" w:line="276" w:lineRule="auto"/>
              <w:ind w:left="230"/>
            </w:pPr>
            <w:r>
              <w:rPr>
                <w:spacing w:val="2"/>
              </w:rPr>
              <w:t>硕士</w:t>
            </w:r>
          </w:p>
        </w:tc>
        <w:tc>
          <w:tcPr>
            <w:tcW w:w="1203" w:type="dxa"/>
            <w:vAlign w:val="top"/>
          </w:tcPr>
          <w:p w14:paraId="37612420">
            <w:pPr>
              <w:pStyle w:val="10"/>
              <w:spacing w:before="57" w:line="276" w:lineRule="auto"/>
              <w:ind w:left="197" w:right="105" w:hanging="74"/>
            </w:pPr>
            <w:r>
              <w:rPr>
                <w:spacing w:val="-7"/>
              </w:rPr>
              <w:t>副教授、副</w:t>
            </w:r>
            <w:r>
              <w:rPr>
                <w:spacing w:val="4"/>
              </w:rPr>
              <w:t>主任医师</w:t>
            </w:r>
          </w:p>
        </w:tc>
        <w:tc>
          <w:tcPr>
            <w:tcW w:w="3947" w:type="dxa"/>
            <w:vAlign w:val="top"/>
          </w:tcPr>
          <w:p w14:paraId="23ACDA57">
            <w:pPr>
              <w:pStyle w:val="10"/>
              <w:spacing w:before="214" w:line="276" w:lineRule="auto"/>
              <w:ind w:left="829"/>
            </w:pPr>
            <w:r>
              <w:rPr>
                <w:spacing w:val="8"/>
              </w:rPr>
              <w:t>长春中医药大学附属医院</w:t>
            </w:r>
          </w:p>
        </w:tc>
        <w:tc>
          <w:tcPr>
            <w:tcW w:w="2229" w:type="dxa"/>
            <w:vAlign w:val="top"/>
          </w:tcPr>
          <w:p w14:paraId="645D5F03">
            <w:pPr>
              <w:pStyle w:val="10"/>
              <w:spacing w:before="214" w:line="276" w:lineRule="auto"/>
              <w:ind w:left="181"/>
            </w:pPr>
            <w:r>
              <w:rPr>
                <w:spacing w:val="7"/>
              </w:rPr>
              <w:t>接受专家问卷调查。</w:t>
            </w:r>
          </w:p>
        </w:tc>
      </w:tr>
      <w:tr w14:paraId="2B254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026" w:type="dxa"/>
            <w:vAlign w:val="top"/>
          </w:tcPr>
          <w:p w14:paraId="0D5ACAA1">
            <w:pPr>
              <w:pStyle w:val="10"/>
              <w:spacing w:before="214" w:line="276" w:lineRule="auto"/>
              <w:ind w:left="211"/>
            </w:pPr>
            <w:r>
              <w:rPr>
                <w:spacing w:val="4"/>
              </w:rPr>
              <w:t>王建红</w:t>
            </w:r>
          </w:p>
        </w:tc>
        <w:tc>
          <w:tcPr>
            <w:tcW w:w="863" w:type="dxa"/>
            <w:vAlign w:val="top"/>
          </w:tcPr>
          <w:p w14:paraId="6ABEAF60">
            <w:pPr>
              <w:pStyle w:val="10"/>
              <w:spacing w:before="214" w:line="276" w:lineRule="auto"/>
              <w:ind w:left="232"/>
            </w:pPr>
            <w:r>
              <w:rPr>
                <w:spacing w:val="1"/>
              </w:rPr>
              <w:t>本科</w:t>
            </w:r>
          </w:p>
        </w:tc>
        <w:tc>
          <w:tcPr>
            <w:tcW w:w="1203" w:type="dxa"/>
            <w:vAlign w:val="top"/>
          </w:tcPr>
          <w:p w14:paraId="65C2293C">
            <w:pPr>
              <w:pStyle w:val="10"/>
              <w:spacing w:before="214" w:line="276" w:lineRule="auto"/>
              <w:ind w:left="197"/>
            </w:pPr>
            <w:r>
              <w:rPr>
                <w:spacing w:val="4"/>
              </w:rPr>
              <w:t>主任医师</w:t>
            </w:r>
          </w:p>
        </w:tc>
        <w:tc>
          <w:tcPr>
            <w:tcW w:w="3947" w:type="dxa"/>
            <w:vAlign w:val="top"/>
          </w:tcPr>
          <w:p w14:paraId="04AE7AD7">
            <w:pPr>
              <w:pStyle w:val="10"/>
              <w:spacing w:before="215" w:line="276" w:lineRule="auto"/>
              <w:ind w:left="639"/>
            </w:pPr>
            <w:r>
              <w:rPr>
                <w:spacing w:val="7"/>
              </w:rPr>
              <w:t>山西省河东中医少儿推拿学校</w:t>
            </w:r>
          </w:p>
        </w:tc>
        <w:tc>
          <w:tcPr>
            <w:tcW w:w="2229" w:type="dxa"/>
            <w:vAlign w:val="top"/>
          </w:tcPr>
          <w:p w14:paraId="673706C2">
            <w:pPr>
              <w:pStyle w:val="10"/>
              <w:spacing w:before="214" w:line="276" w:lineRule="auto"/>
              <w:ind w:left="181"/>
            </w:pPr>
            <w:r>
              <w:rPr>
                <w:spacing w:val="7"/>
              </w:rPr>
              <w:t>接受专家问卷调查。</w:t>
            </w:r>
          </w:p>
        </w:tc>
      </w:tr>
      <w:tr w14:paraId="1696C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026" w:type="dxa"/>
            <w:vAlign w:val="top"/>
          </w:tcPr>
          <w:p w14:paraId="383E1C33">
            <w:pPr>
              <w:pStyle w:val="10"/>
              <w:spacing w:before="213" w:line="276" w:lineRule="auto"/>
              <w:ind w:left="211"/>
            </w:pPr>
            <w:r>
              <w:rPr>
                <w:spacing w:val="-4"/>
              </w:rPr>
              <w:t>许</w:t>
            </w:r>
            <w:r>
              <w:rPr>
                <w:spacing w:val="15"/>
              </w:rPr>
              <w:t xml:space="preserve">  </w:t>
            </w:r>
            <w:r>
              <w:rPr>
                <w:spacing w:val="-4"/>
              </w:rPr>
              <w:t>丽</w:t>
            </w:r>
          </w:p>
        </w:tc>
        <w:tc>
          <w:tcPr>
            <w:tcW w:w="863" w:type="dxa"/>
            <w:vAlign w:val="top"/>
          </w:tcPr>
          <w:p w14:paraId="52F3B6AC">
            <w:pPr>
              <w:pStyle w:val="10"/>
              <w:spacing w:before="213" w:line="276" w:lineRule="auto"/>
              <w:ind w:left="230"/>
            </w:pPr>
            <w:r>
              <w:rPr>
                <w:spacing w:val="2"/>
              </w:rPr>
              <w:t>硕士</w:t>
            </w:r>
          </w:p>
        </w:tc>
        <w:tc>
          <w:tcPr>
            <w:tcW w:w="1203" w:type="dxa"/>
            <w:vAlign w:val="top"/>
          </w:tcPr>
          <w:p w14:paraId="52B3DD64">
            <w:pPr>
              <w:pStyle w:val="10"/>
              <w:spacing w:before="57" w:line="276" w:lineRule="auto"/>
              <w:ind w:left="296" w:right="107" w:hanging="180"/>
            </w:pPr>
            <w:r>
              <w:rPr>
                <w:spacing w:val="-6"/>
              </w:rPr>
              <w:t>教授、副主</w:t>
            </w:r>
            <w:r>
              <w:rPr>
                <w:spacing w:val="5"/>
              </w:rPr>
              <w:t>任医师</w:t>
            </w:r>
          </w:p>
        </w:tc>
        <w:tc>
          <w:tcPr>
            <w:tcW w:w="3947" w:type="dxa"/>
            <w:vAlign w:val="top"/>
          </w:tcPr>
          <w:p w14:paraId="77670586">
            <w:pPr>
              <w:pStyle w:val="10"/>
              <w:spacing w:before="213" w:line="276" w:lineRule="auto"/>
              <w:ind w:left="1251"/>
            </w:pPr>
            <w:r>
              <w:rPr>
                <w:spacing w:val="7"/>
              </w:rPr>
              <w:t>浙江中医药大学</w:t>
            </w:r>
          </w:p>
        </w:tc>
        <w:tc>
          <w:tcPr>
            <w:tcW w:w="2229" w:type="dxa"/>
            <w:vAlign w:val="top"/>
          </w:tcPr>
          <w:p w14:paraId="01EE9394">
            <w:pPr>
              <w:pStyle w:val="10"/>
              <w:spacing w:before="213" w:line="276" w:lineRule="auto"/>
              <w:ind w:left="181"/>
            </w:pPr>
            <w:r>
              <w:rPr>
                <w:spacing w:val="7"/>
              </w:rPr>
              <w:t>接受专家问卷调查。</w:t>
            </w:r>
          </w:p>
        </w:tc>
      </w:tr>
      <w:tr w14:paraId="1DF99E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026" w:type="dxa"/>
            <w:vAlign w:val="top"/>
          </w:tcPr>
          <w:p w14:paraId="6EEBDE27">
            <w:pPr>
              <w:pStyle w:val="10"/>
              <w:spacing w:before="214" w:line="276" w:lineRule="auto"/>
              <w:ind w:left="213"/>
            </w:pPr>
            <w:r>
              <w:rPr>
                <w:spacing w:val="3"/>
              </w:rPr>
              <w:t>姜永红</w:t>
            </w:r>
          </w:p>
        </w:tc>
        <w:tc>
          <w:tcPr>
            <w:tcW w:w="863" w:type="dxa"/>
            <w:vAlign w:val="top"/>
          </w:tcPr>
          <w:p w14:paraId="5F9D8E32">
            <w:pPr>
              <w:pStyle w:val="10"/>
              <w:spacing w:before="214" w:line="276" w:lineRule="auto"/>
              <w:ind w:left="233"/>
            </w:pPr>
            <w:r>
              <w:rPr>
                <w:spacing w:val="1"/>
              </w:rPr>
              <w:t>博士</w:t>
            </w:r>
          </w:p>
        </w:tc>
        <w:tc>
          <w:tcPr>
            <w:tcW w:w="1203" w:type="dxa"/>
            <w:vAlign w:val="top"/>
          </w:tcPr>
          <w:p w14:paraId="3E00F9B3">
            <w:pPr>
              <w:pStyle w:val="10"/>
              <w:spacing w:before="57" w:line="276" w:lineRule="auto"/>
              <w:ind w:left="116"/>
            </w:pPr>
            <w:r>
              <w:rPr>
                <w:spacing w:val="-6"/>
              </w:rPr>
              <w:t>教授、主任</w:t>
            </w:r>
          </w:p>
          <w:p w14:paraId="64474279">
            <w:pPr>
              <w:pStyle w:val="10"/>
              <w:spacing w:before="60" w:line="276" w:lineRule="auto"/>
              <w:ind w:left="135"/>
            </w:pPr>
            <w:r>
              <w:rPr>
                <w:spacing w:val="-10"/>
              </w:rPr>
              <w:t>医师，博导</w:t>
            </w:r>
          </w:p>
        </w:tc>
        <w:tc>
          <w:tcPr>
            <w:tcW w:w="3947" w:type="dxa"/>
            <w:vAlign w:val="top"/>
          </w:tcPr>
          <w:p w14:paraId="544C5E32">
            <w:pPr>
              <w:pStyle w:val="10"/>
              <w:spacing w:before="214" w:line="276" w:lineRule="auto"/>
              <w:ind w:left="622"/>
            </w:pPr>
            <w:r>
              <w:rPr>
                <w:spacing w:val="8"/>
              </w:rPr>
              <w:t>上海中医药大学附属龙华医院</w:t>
            </w:r>
          </w:p>
        </w:tc>
        <w:tc>
          <w:tcPr>
            <w:tcW w:w="2229" w:type="dxa"/>
            <w:vAlign w:val="top"/>
          </w:tcPr>
          <w:p w14:paraId="2001D215">
            <w:pPr>
              <w:pStyle w:val="10"/>
              <w:spacing w:before="214" w:line="276" w:lineRule="auto"/>
              <w:ind w:left="181"/>
            </w:pPr>
            <w:r>
              <w:rPr>
                <w:spacing w:val="7"/>
              </w:rPr>
              <w:t>接受专家问卷调查。</w:t>
            </w:r>
          </w:p>
        </w:tc>
      </w:tr>
      <w:tr w14:paraId="00AD62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026" w:type="dxa"/>
            <w:vAlign w:val="top"/>
          </w:tcPr>
          <w:p w14:paraId="1B5C02E5">
            <w:pPr>
              <w:pStyle w:val="10"/>
              <w:spacing w:before="214" w:line="276" w:lineRule="auto"/>
              <w:ind w:left="210"/>
            </w:pPr>
            <w:r>
              <w:rPr>
                <w:spacing w:val="4"/>
              </w:rPr>
              <w:t>倪新强</w:t>
            </w:r>
          </w:p>
        </w:tc>
        <w:tc>
          <w:tcPr>
            <w:tcW w:w="863" w:type="dxa"/>
            <w:vAlign w:val="top"/>
          </w:tcPr>
          <w:p w14:paraId="513A6903">
            <w:pPr>
              <w:pStyle w:val="10"/>
              <w:spacing w:before="214" w:line="276" w:lineRule="auto"/>
              <w:ind w:left="233"/>
            </w:pPr>
            <w:r>
              <w:rPr>
                <w:spacing w:val="1"/>
              </w:rPr>
              <w:t>博士</w:t>
            </w:r>
          </w:p>
        </w:tc>
        <w:tc>
          <w:tcPr>
            <w:tcW w:w="1203" w:type="dxa"/>
            <w:vAlign w:val="top"/>
          </w:tcPr>
          <w:p w14:paraId="057DC30B">
            <w:pPr>
              <w:pStyle w:val="10"/>
              <w:spacing w:before="59" w:line="276" w:lineRule="auto"/>
              <w:ind w:left="404" w:right="92" w:hanging="281"/>
            </w:pPr>
            <w:r>
              <w:rPr>
                <w:spacing w:val="-4"/>
              </w:rPr>
              <w:t>主任医师，</w:t>
            </w:r>
            <w:r>
              <w:rPr>
                <w:spacing w:val="1"/>
              </w:rPr>
              <w:t>博导</w:t>
            </w:r>
          </w:p>
        </w:tc>
        <w:tc>
          <w:tcPr>
            <w:tcW w:w="3947" w:type="dxa"/>
            <w:vAlign w:val="top"/>
          </w:tcPr>
          <w:p w14:paraId="16AA99B1">
            <w:pPr>
              <w:pStyle w:val="10"/>
              <w:spacing w:before="214" w:line="276" w:lineRule="auto"/>
              <w:ind w:left="514"/>
            </w:pPr>
            <w:r>
              <w:rPr>
                <w:spacing w:val="8"/>
              </w:rPr>
              <w:t>广州中医药大学第四临床医学院</w:t>
            </w:r>
          </w:p>
        </w:tc>
        <w:tc>
          <w:tcPr>
            <w:tcW w:w="2229" w:type="dxa"/>
            <w:vAlign w:val="top"/>
          </w:tcPr>
          <w:p w14:paraId="181B6DEC">
            <w:pPr>
              <w:pStyle w:val="10"/>
              <w:spacing w:before="214" w:line="276" w:lineRule="auto"/>
              <w:ind w:left="181"/>
            </w:pPr>
            <w:r>
              <w:rPr>
                <w:spacing w:val="7"/>
              </w:rPr>
              <w:t>接受专家问卷调查。</w:t>
            </w:r>
          </w:p>
        </w:tc>
      </w:tr>
      <w:tr w14:paraId="70A03F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5" w:hRule="atLeast"/>
        </w:trPr>
        <w:tc>
          <w:tcPr>
            <w:tcW w:w="1026" w:type="dxa"/>
            <w:vAlign w:val="top"/>
          </w:tcPr>
          <w:p w14:paraId="0E34B4F4">
            <w:pPr>
              <w:pStyle w:val="10"/>
              <w:spacing w:before="213" w:line="276" w:lineRule="auto"/>
              <w:ind w:left="208"/>
            </w:pPr>
            <w:r>
              <w:rPr>
                <w:spacing w:val="5"/>
              </w:rPr>
              <w:t>杜春雁</w:t>
            </w:r>
          </w:p>
        </w:tc>
        <w:tc>
          <w:tcPr>
            <w:tcW w:w="863" w:type="dxa"/>
            <w:vAlign w:val="top"/>
          </w:tcPr>
          <w:p w14:paraId="16EEE583">
            <w:pPr>
              <w:pStyle w:val="10"/>
              <w:spacing w:before="213" w:line="276" w:lineRule="auto"/>
              <w:ind w:left="230"/>
            </w:pPr>
            <w:r>
              <w:rPr>
                <w:spacing w:val="2"/>
              </w:rPr>
              <w:t>硕士</w:t>
            </w:r>
          </w:p>
        </w:tc>
        <w:tc>
          <w:tcPr>
            <w:tcW w:w="1203" w:type="dxa"/>
            <w:vAlign w:val="top"/>
          </w:tcPr>
          <w:p w14:paraId="1FAC450F">
            <w:pPr>
              <w:pStyle w:val="10"/>
              <w:spacing w:before="57" w:line="276" w:lineRule="auto"/>
              <w:ind w:left="401" w:right="92" w:hanging="278"/>
            </w:pPr>
            <w:r>
              <w:rPr>
                <w:spacing w:val="-4"/>
              </w:rPr>
              <w:t>主任医师，</w:t>
            </w:r>
            <w:r>
              <w:rPr>
                <w:spacing w:val="2"/>
              </w:rPr>
              <w:t>硕导</w:t>
            </w:r>
          </w:p>
        </w:tc>
        <w:tc>
          <w:tcPr>
            <w:tcW w:w="3947" w:type="dxa"/>
            <w:vAlign w:val="top"/>
          </w:tcPr>
          <w:p w14:paraId="169CBABF">
            <w:pPr>
              <w:pStyle w:val="10"/>
              <w:spacing w:before="213" w:line="276" w:lineRule="auto"/>
              <w:ind w:left="621"/>
            </w:pPr>
            <w:r>
              <w:rPr>
                <w:spacing w:val="8"/>
              </w:rPr>
              <w:t>天津中医药大学第一附属医院</w:t>
            </w:r>
          </w:p>
        </w:tc>
        <w:tc>
          <w:tcPr>
            <w:tcW w:w="2229" w:type="dxa"/>
            <w:vAlign w:val="top"/>
          </w:tcPr>
          <w:p w14:paraId="1BA6EA29">
            <w:pPr>
              <w:pStyle w:val="10"/>
              <w:spacing w:before="213" w:line="276" w:lineRule="auto"/>
              <w:ind w:left="181"/>
            </w:pPr>
            <w:r>
              <w:rPr>
                <w:spacing w:val="7"/>
              </w:rPr>
              <w:t>接受专家问卷调查。</w:t>
            </w:r>
          </w:p>
        </w:tc>
      </w:tr>
      <w:tr w14:paraId="3CAF58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026" w:type="dxa"/>
            <w:vAlign w:val="top"/>
          </w:tcPr>
          <w:p w14:paraId="5A46895B">
            <w:pPr>
              <w:pStyle w:val="10"/>
              <w:spacing w:before="214" w:line="276" w:lineRule="auto"/>
              <w:ind w:left="209"/>
            </w:pPr>
            <w:r>
              <w:rPr>
                <w:spacing w:val="4"/>
              </w:rPr>
              <w:t>刘德华</w:t>
            </w:r>
          </w:p>
        </w:tc>
        <w:tc>
          <w:tcPr>
            <w:tcW w:w="863" w:type="dxa"/>
            <w:vAlign w:val="top"/>
          </w:tcPr>
          <w:p w14:paraId="6178A239">
            <w:pPr>
              <w:pStyle w:val="10"/>
              <w:spacing w:before="214" w:line="276" w:lineRule="auto"/>
              <w:ind w:left="232"/>
            </w:pPr>
            <w:r>
              <w:rPr>
                <w:spacing w:val="1"/>
              </w:rPr>
              <w:t>本科</w:t>
            </w:r>
          </w:p>
        </w:tc>
        <w:tc>
          <w:tcPr>
            <w:tcW w:w="1203" w:type="dxa"/>
            <w:vAlign w:val="top"/>
          </w:tcPr>
          <w:p w14:paraId="2201392B">
            <w:pPr>
              <w:pStyle w:val="10"/>
              <w:spacing w:before="214" w:line="276" w:lineRule="auto"/>
              <w:ind w:left="197"/>
            </w:pPr>
            <w:r>
              <w:rPr>
                <w:spacing w:val="4"/>
              </w:rPr>
              <w:t>主任医师</w:t>
            </w:r>
          </w:p>
        </w:tc>
        <w:tc>
          <w:tcPr>
            <w:tcW w:w="3947" w:type="dxa"/>
            <w:vAlign w:val="top"/>
          </w:tcPr>
          <w:p w14:paraId="21D2950E">
            <w:pPr>
              <w:pStyle w:val="10"/>
              <w:spacing w:before="214" w:line="276" w:lineRule="auto"/>
              <w:ind w:left="1360"/>
            </w:pPr>
            <w:r>
              <w:rPr>
                <w:spacing w:val="6"/>
              </w:rPr>
              <w:t>江苏省中医院</w:t>
            </w:r>
          </w:p>
        </w:tc>
        <w:tc>
          <w:tcPr>
            <w:tcW w:w="2229" w:type="dxa"/>
            <w:vAlign w:val="top"/>
          </w:tcPr>
          <w:p w14:paraId="2EC3FB47">
            <w:pPr>
              <w:pStyle w:val="10"/>
              <w:spacing w:before="214" w:line="276" w:lineRule="auto"/>
              <w:ind w:left="181"/>
            </w:pPr>
            <w:r>
              <w:rPr>
                <w:spacing w:val="7"/>
              </w:rPr>
              <w:t>接受专家问卷调查。</w:t>
            </w:r>
          </w:p>
        </w:tc>
      </w:tr>
      <w:tr w14:paraId="4B26F6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026" w:type="dxa"/>
            <w:vAlign w:val="top"/>
          </w:tcPr>
          <w:p w14:paraId="586A4935">
            <w:pPr>
              <w:pStyle w:val="10"/>
              <w:spacing w:before="214" w:line="276" w:lineRule="auto"/>
              <w:ind w:left="220"/>
            </w:pPr>
            <w:r>
              <w:rPr>
                <w:spacing w:val="1"/>
              </w:rPr>
              <w:t>陈秀珍</w:t>
            </w:r>
          </w:p>
        </w:tc>
        <w:tc>
          <w:tcPr>
            <w:tcW w:w="863" w:type="dxa"/>
            <w:vAlign w:val="top"/>
          </w:tcPr>
          <w:p w14:paraId="29C5D3A2">
            <w:pPr>
              <w:pStyle w:val="10"/>
              <w:spacing w:before="215" w:line="276" w:lineRule="auto"/>
              <w:ind w:left="230"/>
            </w:pPr>
            <w:r>
              <w:rPr>
                <w:spacing w:val="2"/>
              </w:rPr>
              <w:t>硕士</w:t>
            </w:r>
          </w:p>
        </w:tc>
        <w:tc>
          <w:tcPr>
            <w:tcW w:w="1203" w:type="dxa"/>
            <w:vAlign w:val="top"/>
          </w:tcPr>
          <w:p w14:paraId="6C2BD275">
            <w:pPr>
              <w:pStyle w:val="10"/>
              <w:spacing w:before="58" w:line="276" w:lineRule="auto"/>
              <w:ind w:left="519" w:right="182" w:hanging="322"/>
            </w:pPr>
            <w:r>
              <w:rPr>
                <w:spacing w:val="4"/>
              </w:rPr>
              <w:t>主任中医</w:t>
            </w:r>
            <w:r>
              <w:t>师</w:t>
            </w:r>
          </w:p>
        </w:tc>
        <w:tc>
          <w:tcPr>
            <w:tcW w:w="3947" w:type="dxa"/>
            <w:vAlign w:val="top"/>
          </w:tcPr>
          <w:p w14:paraId="31A6F7BF">
            <w:pPr>
              <w:pStyle w:val="10"/>
              <w:spacing w:before="214" w:line="276" w:lineRule="auto"/>
              <w:ind w:left="1360"/>
            </w:pPr>
            <w:r>
              <w:rPr>
                <w:spacing w:val="6"/>
              </w:rPr>
              <w:t>江苏省中医院</w:t>
            </w:r>
          </w:p>
        </w:tc>
        <w:tc>
          <w:tcPr>
            <w:tcW w:w="2229" w:type="dxa"/>
            <w:vAlign w:val="top"/>
          </w:tcPr>
          <w:p w14:paraId="74EF536E">
            <w:pPr>
              <w:pStyle w:val="10"/>
              <w:spacing w:before="214" w:line="276" w:lineRule="auto"/>
              <w:ind w:left="181"/>
            </w:pPr>
            <w:r>
              <w:rPr>
                <w:spacing w:val="7"/>
              </w:rPr>
              <w:t>接受专家问卷调查。</w:t>
            </w:r>
          </w:p>
        </w:tc>
      </w:tr>
      <w:tr w14:paraId="629E32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026" w:type="dxa"/>
            <w:vAlign w:val="top"/>
          </w:tcPr>
          <w:p w14:paraId="7F5F4686">
            <w:pPr>
              <w:pStyle w:val="10"/>
              <w:spacing w:before="213" w:line="276" w:lineRule="auto"/>
              <w:ind w:left="218"/>
            </w:pPr>
            <w:r>
              <w:rPr>
                <w:spacing w:val="-8"/>
              </w:rPr>
              <w:t>熊</w:t>
            </w:r>
            <w:r>
              <w:rPr>
                <w:spacing w:val="13"/>
              </w:rPr>
              <w:t xml:space="preserve">  </w:t>
            </w:r>
            <w:r>
              <w:rPr>
                <w:spacing w:val="-8"/>
              </w:rPr>
              <w:t>磊</w:t>
            </w:r>
          </w:p>
        </w:tc>
        <w:tc>
          <w:tcPr>
            <w:tcW w:w="863" w:type="dxa"/>
            <w:vAlign w:val="top"/>
          </w:tcPr>
          <w:p w14:paraId="6F095B0E">
            <w:pPr>
              <w:pStyle w:val="10"/>
              <w:spacing w:before="214" w:line="276" w:lineRule="auto"/>
              <w:ind w:left="230"/>
            </w:pPr>
            <w:r>
              <w:rPr>
                <w:spacing w:val="2"/>
              </w:rPr>
              <w:t>硕士</w:t>
            </w:r>
          </w:p>
        </w:tc>
        <w:tc>
          <w:tcPr>
            <w:tcW w:w="1203" w:type="dxa"/>
            <w:vAlign w:val="top"/>
          </w:tcPr>
          <w:p w14:paraId="372BCEF4">
            <w:pPr>
              <w:pStyle w:val="10"/>
              <w:spacing w:before="214" w:line="276" w:lineRule="auto"/>
              <w:ind w:left="116"/>
            </w:pPr>
            <w:r>
              <w:rPr>
                <w:spacing w:val="-6"/>
              </w:rPr>
              <w:t>教授，博导</w:t>
            </w:r>
          </w:p>
        </w:tc>
        <w:tc>
          <w:tcPr>
            <w:tcW w:w="3947" w:type="dxa"/>
            <w:vAlign w:val="top"/>
          </w:tcPr>
          <w:p w14:paraId="522F23A5">
            <w:pPr>
              <w:pStyle w:val="10"/>
              <w:spacing w:before="214" w:line="276" w:lineRule="auto"/>
              <w:ind w:left="621"/>
            </w:pPr>
            <w:r>
              <w:rPr>
                <w:spacing w:val="8"/>
              </w:rPr>
              <w:t>云南中医药大学第一附属医院</w:t>
            </w:r>
          </w:p>
        </w:tc>
        <w:tc>
          <w:tcPr>
            <w:tcW w:w="2229" w:type="dxa"/>
            <w:vAlign w:val="top"/>
          </w:tcPr>
          <w:p w14:paraId="65630EE6">
            <w:pPr>
              <w:pStyle w:val="10"/>
              <w:spacing w:before="214" w:line="276" w:lineRule="auto"/>
              <w:ind w:left="181"/>
            </w:pPr>
            <w:r>
              <w:rPr>
                <w:spacing w:val="7"/>
              </w:rPr>
              <w:t>接受专家问卷调查。</w:t>
            </w:r>
          </w:p>
        </w:tc>
      </w:tr>
      <w:tr w14:paraId="00FAB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026" w:type="dxa"/>
            <w:vAlign w:val="top"/>
          </w:tcPr>
          <w:p w14:paraId="2B634894">
            <w:pPr>
              <w:pStyle w:val="10"/>
              <w:spacing w:before="215" w:line="276" w:lineRule="auto"/>
              <w:ind w:left="211"/>
            </w:pPr>
            <w:r>
              <w:rPr>
                <w:spacing w:val="4"/>
              </w:rPr>
              <w:t>吴云川</w:t>
            </w:r>
          </w:p>
        </w:tc>
        <w:tc>
          <w:tcPr>
            <w:tcW w:w="863" w:type="dxa"/>
            <w:vAlign w:val="top"/>
          </w:tcPr>
          <w:p w14:paraId="7949AF3E">
            <w:pPr>
              <w:pStyle w:val="10"/>
              <w:spacing w:before="215" w:line="276" w:lineRule="auto"/>
              <w:ind w:left="233"/>
            </w:pPr>
            <w:r>
              <w:rPr>
                <w:spacing w:val="1"/>
              </w:rPr>
              <w:t>博士</w:t>
            </w:r>
          </w:p>
        </w:tc>
        <w:tc>
          <w:tcPr>
            <w:tcW w:w="1203" w:type="dxa"/>
            <w:vAlign w:val="top"/>
          </w:tcPr>
          <w:p w14:paraId="540BC502">
            <w:pPr>
              <w:pStyle w:val="10"/>
              <w:spacing w:before="214" w:line="276" w:lineRule="auto"/>
              <w:ind w:left="116"/>
            </w:pPr>
            <w:r>
              <w:rPr>
                <w:spacing w:val="-6"/>
              </w:rPr>
              <w:t>教授，硕导</w:t>
            </w:r>
          </w:p>
        </w:tc>
        <w:tc>
          <w:tcPr>
            <w:tcW w:w="3947" w:type="dxa"/>
            <w:vAlign w:val="top"/>
          </w:tcPr>
          <w:p w14:paraId="4A1FBA3E">
            <w:pPr>
              <w:pStyle w:val="10"/>
              <w:spacing w:before="215" w:line="276" w:lineRule="auto"/>
              <w:ind w:left="1259"/>
            </w:pPr>
            <w:r>
              <w:rPr>
                <w:spacing w:val="6"/>
              </w:rPr>
              <w:t>南京中医药大学</w:t>
            </w:r>
          </w:p>
        </w:tc>
        <w:tc>
          <w:tcPr>
            <w:tcW w:w="2229" w:type="dxa"/>
            <w:vAlign w:val="top"/>
          </w:tcPr>
          <w:p w14:paraId="451576B4">
            <w:pPr>
              <w:pStyle w:val="10"/>
              <w:spacing w:before="215" w:line="276" w:lineRule="auto"/>
              <w:ind w:left="181"/>
            </w:pPr>
            <w:r>
              <w:rPr>
                <w:spacing w:val="7"/>
              </w:rPr>
              <w:t>接受专家问卷调查。</w:t>
            </w:r>
          </w:p>
        </w:tc>
      </w:tr>
      <w:tr w14:paraId="2A6934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026" w:type="dxa"/>
            <w:vAlign w:val="top"/>
          </w:tcPr>
          <w:p w14:paraId="0EB28746">
            <w:pPr>
              <w:pStyle w:val="10"/>
              <w:spacing w:before="216" w:line="276" w:lineRule="auto"/>
              <w:ind w:left="211"/>
            </w:pPr>
            <w:r>
              <w:rPr>
                <w:spacing w:val="4"/>
              </w:rPr>
              <w:t>王明明</w:t>
            </w:r>
          </w:p>
        </w:tc>
        <w:tc>
          <w:tcPr>
            <w:tcW w:w="863" w:type="dxa"/>
            <w:vAlign w:val="top"/>
          </w:tcPr>
          <w:p w14:paraId="5C2EC2B0">
            <w:pPr>
              <w:pStyle w:val="10"/>
              <w:spacing w:before="215" w:line="276" w:lineRule="auto"/>
              <w:ind w:left="233"/>
            </w:pPr>
            <w:r>
              <w:rPr>
                <w:spacing w:val="1"/>
              </w:rPr>
              <w:t>博士</w:t>
            </w:r>
          </w:p>
        </w:tc>
        <w:tc>
          <w:tcPr>
            <w:tcW w:w="1203" w:type="dxa"/>
            <w:vAlign w:val="top"/>
          </w:tcPr>
          <w:p w14:paraId="6757593D">
            <w:pPr>
              <w:pStyle w:val="10"/>
              <w:spacing w:before="215" w:line="276" w:lineRule="auto"/>
              <w:ind w:left="116"/>
            </w:pPr>
            <w:r>
              <w:rPr>
                <w:spacing w:val="-6"/>
              </w:rPr>
              <w:t>教授，硕导</w:t>
            </w:r>
          </w:p>
        </w:tc>
        <w:tc>
          <w:tcPr>
            <w:tcW w:w="3947" w:type="dxa"/>
            <w:vAlign w:val="top"/>
          </w:tcPr>
          <w:p w14:paraId="4C7E0E91">
            <w:pPr>
              <w:pStyle w:val="10"/>
              <w:spacing w:before="215" w:line="276" w:lineRule="auto"/>
              <w:ind w:left="1259"/>
            </w:pPr>
            <w:r>
              <w:rPr>
                <w:spacing w:val="6"/>
              </w:rPr>
              <w:t>南京中医药大学</w:t>
            </w:r>
          </w:p>
        </w:tc>
        <w:tc>
          <w:tcPr>
            <w:tcW w:w="2229" w:type="dxa"/>
            <w:vAlign w:val="top"/>
          </w:tcPr>
          <w:p w14:paraId="52F4DAE7">
            <w:pPr>
              <w:pStyle w:val="10"/>
              <w:spacing w:before="215" w:line="276" w:lineRule="auto"/>
              <w:ind w:left="181"/>
            </w:pPr>
            <w:r>
              <w:rPr>
                <w:spacing w:val="7"/>
              </w:rPr>
              <w:t>接受专家问卷调查。</w:t>
            </w:r>
          </w:p>
        </w:tc>
      </w:tr>
      <w:tr w14:paraId="7E1672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026" w:type="dxa"/>
            <w:vAlign w:val="top"/>
          </w:tcPr>
          <w:p w14:paraId="5F3F34D5">
            <w:pPr>
              <w:pStyle w:val="10"/>
              <w:spacing w:before="214" w:line="276" w:lineRule="auto"/>
              <w:ind w:left="212"/>
            </w:pPr>
            <w:r>
              <w:rPr>
                <w:spacing w:val="-5"/>
              </w:rPr>
              <w:t>赵</w:t>
            </w:r>
            <w:r>
              <w:rPr>
                <w:spacing w:val="17"/>
              </w:rPr>
              <w:t xml:space="preserve">  </w:t>
            </w:r>
            <w:r>
              <w:rPr>
                <w:spacing w:val="-5"/>
              </w:rPr>
              <w:t>霞</w:t>
            </w:r>
          </w:p>
        </w:tc>
        <w:tc>
          <w:tcPr>
            <w:tcW w:w="863" w:type="dxa"/>
            <w:vAlign w:val="top"/>
          </w:tcPr>
          <w:p w14:paraId="0175CE5E">
            <w:pPr>
              <w:pStyle w:val="10"/>
              <w:spacing w:before="214" w:line="276" w:lineRule="auto"/>
              <w:ind w:left="233"/>
            </w:pPr>
            <w:r>
              <w:rPr>
                <w:spacing w:val="1"/>
              </w:rPr>
              <w:t>博士</w:t>
            </w:r>
          </w:p>
        </w:tc>
        <w:tc>
          <w:tcPr>
            <w:tcW w:w="1203" w:type="dxa"/>
            <w:vAlign w:val="top"/>
          </w:tcPr>
          <w:p w14:paraId="4EE31808">
            <w:pPr>
              <w:pStyle w:val="10"/>
              <w:spacing w:before="57" w:line="276" w:lineRule="auto"/>
              <w:ind w:left="116"/>
            </w:pPr>
            <w:r>
              <w:rPr>
                <w:spacing w:val="-6"/>
              </w:rPr>
              <w:t>教授、主任</w:t>
            </w:r>
          </w:p>
          <w:p w14:paraId="55FDC35A">
            <w:pPr>
              <w:pStyle w:val="10"/>
              <w:spacing w:before="60" w:line="276" w:lineRule="auto"/>
              <w:ind w:left="135"/>
            </w:pPr>
            <w:r>
              <w:rPr>
                <w:spacing w:val="-10"/>
              </w:rPr>
              <w:t>医师，博导</w:t>
            </w:r>
          </w:p>
        </w:tc>
        <w:tc>
          <w:tcPr>
            <w:tcW w:w="3947" w:type="dxa"/>
            <w:vAlign w:val="top"/>
          </w:tcPr>
          <w:p w14:paraId="68731AE2">
            <w:pPr>
              <w:pStyle w:val="10"/>
              <w:spacing w:before="214" w:line="276" w:lineRule="auto"/>
              <w:ind w:left="1259"/>
            </w:pPr>
            <w:r>
              <w:rPr>
                <w:spacing w:val="6"/>
              </w:rPr>
              <w:t>南京中医药大学</w:t>
            </w:r>
          </w:p>
        </w:tc>
        <w:tc>
          <w:tcPr>
            <w:tcW w:w="2229" w:type="dxa"/>
            <w:vAlign w:val="top"/>
          </w:tcPr>
          <w:p w14:paraId="1991CD26">
            <w:pPr>
              <w:pStyle w:val="10"/>
              <w:spacing w:before="214" w:line="276" w:lineRule="auto"/>
              <w:ind w:left="181"/>
            </w:pPr>
            <w:r>
              <w:rPr>
                <w:spacing w:val="7"/>
              </w:rPr>
              <w:t>接受专家问卷调查。</w:t>
            </w:r>
          </w:p>
        </w:tc>
      </w:tr>
      <w:tr w14:paraId="75998E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026" w:type="dxa"/>
            <w:vAlign w:val="top"/>
          </w:tcPr>
          <w:p w14:paraId="0D71A3A5">
            <w:pPr>
              <w:pStyle w:val="10"/>
              <w:spacing w:before="214" w:line="276" w:lineRule="auto"/>
              <w:ind w:left="214"/>
            </w:pPr>
            <w:r>
              <w:rPr>
                <w:spacing w:val="3"/>
              </w:rPr>
              <w:t>李江全</w:t>
            </w:r>
          </w:p>
        </w:tc>
        <w:tc>
          <w:tcPr>
            <w:tcW w:w="863" w:type="dxa"/>
            <w:vAlign w:val="top"/>
          </w:tcPr>
          <w:p w14:paraId="4B04317C">
            <w:pPr>
              <w:pStyle w:val="10"/>
              <w:spacing w:before="215" w:line="276" w:lineRule="auto"/>
              <w:ind w:left="233"/>
            </w:pPr>
            <w:r>
              <w:rPr>
                <w:spacing w:val="1"/>
              </w:rPr>
              <w:t>博士</w:t>
            </w:r>
          </w:p>
        </w:tc>
        <w:tc>
          <w:tcPr>
            <w:tcW w:w="1203" w:type="dxa"/>
            <w:vAlign w:val="top"/>
          </w:tcPr>
          <w:p w14:paraId="465C362E">
            <w:pPr>
              <w:pStyle w:val="10"/>
              <w:spacing w:before="59" w:line="276" w:lineRule="auto"/>
              <w:ind w:left="401" w:right="92" w:hanging="278"/>
            </w:pPr>
            <w:r>
              <w:rPr>
                <w:spacing w:val="-4"/>
              </w:rPr>
              <w:t>主任医师，</w:t>
            </w:r>
            <w:r>
              <w:rPr>
                <w:spacing w:val="2"/>
              </w:rPr>
              <w:t>硕导</w:t>
            </w:r>
          </w:p>
        </w:tc>
        <w:tc>
          <w:tcPr>
            <w:tcW w:w="3947" w:type="dxa"/>
            <w:vAlign w:val="top"/>
          </w:tcPr>
          <w:p w14:paraId="39DD0DE6">
            <w:pPr>
              <w:pStyle w:val="10"/>
              <w:spacing w:before="215" w:line="276" w:lineRule="auto"/>
              <w:ind w:left="1259"/>
            </w:pPr>
            <w:r>
              <w:rPr>
                <w:spacing w:val="6"/>
              </w:rPr>
              <w:t>南京中医药大学</w:t>
            </w:r>
          </w:p>
        </w:tc>
        <w:tc>
          <w:tcPr>
            <w:tcW w:w="2229" w:type="dxa"/>
            <w:vAlign w:val="top"/>
          </w:tcPr>
          <w:p w14:paraId="06772EFA">
            <w:pPr>
              <w:pStyle w:val="10"/>
              <w:spacing w:before="215" w:line="276" w:lineRule="auto"/>
              <w:ind w:left="181"/>
            </w:pPr>
            <w:r>
              <w:rPr>
                <w:spacing w:val="7"/>
              </w:rPr>
              <w:t>接受专家问卷调查。</w:t>
            </w:r>
          </w:p>
        </w:tc>
      </w:tr>
      <w:tr w14:paraId="7A1306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026" w:type="dxa"/>
            <w:vAlign w:val="top"/>
          </w:tcPr>
          <w:p w14:paraId="612A80DD">
            <w:pPr>
              <w:pStyle w:val="10"/>
              <w:spacing w:before="215" w:line="276" w:lineRule="auto"/>
              <w:ind w:left="217"/>
            </w:pPr>
            <w:r>
              <w:rPr>
                <w:spacing w:val="2"/>
              </w:rPr>
              <w:t>汪受传</w:t>
            </w:r>
          </w:p>
        </w:tc>
        <w:tc>
          <w:tcPr>
            <w:tcW w:w="863" w:type="dxa"/>
            <w:vAlign w:val="top"/>
          </w:tcPr>
          <w:p w14:paraId="4F8BCAFF">
            <w:pPr>
              <w:pStyle w:val="10"/>
              <w:spacing w:before="216" w:line="276" w:lineRule="auto"/>
              <w:ind w:left="230"/>
            </w:pPr>
            <w:r>
              <w:rPr>
                <w:spacing w:val="2"/>
              </w:rPr>
              <w:t>硕士</w:t>
            </w:r>
          </w:p>
        </w:tc>
        <w:tc>
          <w:tcPr>
            <w:tcW w:w="1203" w:type="dxa"/>
            <w:vAlign w:val="top"/>
          </w:tcPr>
          <w:p w14:paraId="3419D58D">
            <w:pPr>
              <w:pStyle w:val="10"/>
              <w:spacing w:before="215" w:line="276" w:lineRule="auto"/>
              <w:ind w:left="116"/>
            </w:pPr>
            <w:r>
              <w:rPr>
                <w:spacing w:val="-6"/>
              </w:rPr>
              <w:t>教授，博导</w:t>
            </w:r>
          </w:p>
        </w:tc>
        <w:tc>
          <w:tcPr>
            <w:tcW w:w="3947" w:type="dxa"/>
            <w:vAlign w:val="top"/>
          </w:tcPr>
          <w:p w14:paraId="6BAF22F1">
            <w:pPr>
              <w:pStyle w:val="10"/>
              <w:spacing w:before="215" w:line="276" w:lineRule="auto"/>
              <w:ind w:left="1259"/>
            </w:pPr>
            <w:r>
              <w:rPr>
                <w:spacing w:val="6"/>
              </w:rPr>
              <w:t>南京中医药大学</w:t>
            </w:r>
          </w:p>
        </w:tc>
        <w:tc>
          <w:tcPr>
            <w:tcW w:w="2229" w:type="dxa"/>
            <w:vAlign w:val="top"/>
          </w:tcPr>
          <w:p w14:paraId="1E4FECAD">
            <w:pPr>
              <w:pStyle w:val="10"/>
              <w:spacing w:before="215" w:line="276" w:lineRule="auto"/>
              <w:ind w:left="181"/>
            </w:pPr>
            <w:r>
              <w:rPr>
                <w:spacing w:val="7"/>
              </w:rPr>
              <w:t>接受专家问卷调查。</w:t>
            </w:r>
          </w:p>
        </w:tc>
      </w:tr>
      <w:tr w14:paraId="38F719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7" w:hRule="atLeast"/>
        </w:trPr>
        <w:tc>
          <w:tcPr>
            <w:tcW w:w="1026" w:type="dxa"/>
            <w:vAlign w:val="top"/>
          </w:tcPr>
          <w:p w14:paraId="686B88D1">
            <w:pPr>
              <w:pStyle w:val="10"/>
              <w:spacing w:before="213" w:line="276" w:lineRule="auto"/>
              <w:ind w:left="209"/>
            </w:pPr>
            <w:r>
              <w:rPr>
                <w:spacing w:val="-3"/>
              </w:rPr>
              <w:t>虞</w:t>
            </w:r>
            <w:r>
              <w:rPr>
                <w:spacing w:val="13"/>
              </w:rPr>
              <w:t xml:space="preserve">  </w:t>
            </w:r>
            <w:r>
              <w:rPr>
                <w:spacing w:val="-3"/>
              </w:rPr>
              <w:t>舜</w:t>
            </w:r>
          </w:p>
        </w:tc>
        <w:tc>
          <w:tcPr>
            <w:tcW w:w="863" w:type="dxa"/>
            <w:vAlign w:val="top"/>
          </w:tcPr>
          <w:p w14:paraId="2EDB3939">
            <w:pPr>
              <w:pStyle w:val="10"/>
              <w:spacing w:before="214" w:line="276" w:lineRule="auto"/>
              <w:ind w:left="233"/>
            </w:pPr>
            <w:r>
              <w:rPr>
                <w:spacing w:val="1"/>
              </w:rPr>
              <w:t>博士</w:t>
            </w:r>
          </w:p>
        </w:tc>
        <w:tc>
          <w:tcPr>
            <w:tcW w:w="1203" w:type="dxa"/>
            <w:vAlign w:val="top"/>
          </w:tcPr>
          <w:p w14:paraId="7C27EEFC">
            <w:pPr>
              <w:pStyle w:val="10"/>
              <w:spacing w:before="59" w:line="276" w:lineRule="auto"/>
              <w:ind w:left="401" w:right="229" w:hanging="210"/>
            </w:pPr>
            <w:r>
              <w:rPr>
                <w:spacing w:val="-6"/>
              </w:rPr>
              <w:t>研究员，</w:t>
            </w:r>
            <w:r>
              <w:rPr>
                <w:spacing w:val="2"/>
              </w:rPr>
              <w:t>硕导</w:t>
            </w:r>
          </w:p>
        </w:tc>
        <w:tc>
          <w:tcPr>
            <w:tcW w:w="3947" w:type="dxa"/>
            <w:vAlign w:val="top"/>
          </w:tcPr>
          <w:p w14:paraId="4B465040">
            <w:pPr>
              <w:pStyle w:val="10"/>
              <w:spacing w:before="214" w:line="276" w:lineRule="auto"/>
              <w:ind w:left="1259"/>
            </w:pPr>
            <w:r>
              <w:rPr>
                <w:spacing w:val="6"/>
              </w:rPr>
              <w:t>南京中医药大学</w:t>
            </w:r>
          </w:p>
        </w:tc>
        <w:tc>
          <w:tcPr>
            <w:tcW w:w="2229" w:type="dxa"/>
            <w:vAlign w:val="top"/>
          </w:tcPr>
          <w:p w14:paraId="3478BCCF">
            <w:pPr>
              <w:pStyle w:val="10"/>
              <w:spacing w:before="214" w:line="276" w:lineRule="auto"/>
              <w:ind w:left="181"/>
            </w:pPr>
            <w:r>
              <w:rPr>
                <w:spacing w:val="7"/>
              </w:rPr>
              <w:t>接受专家问卷调查。</w:t>
            </w:r>
          </w:p>
        </w:tc>
      </w:tr>
      <w:tr w14:paraId="3E545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1026" w:type="dxa"/>
            <w:vAlign w:val="top"/>
          </w:tcPr>
          <w:p w14:paraId="0E9B16C0">
            <w:pPr>
              <w:pStyle w:val="10"/>
              <w:spacing w:before="215" w:line="276" w:lineRule="auto"/>
              <w:ind w:left="211"/>
            </w:pPr>
            <w:r>
              <w:rPr>
                <w:spacing w:val="4"/>
              </w:rPr>
              <w:t>许珍育</w:t>
            </w:r>
          </w:p>
        </w:tc>
        <w:tc>
          <w:tcPr>
            <w:tcW w:w="863" w:type="dxa"/>
            <w:vAlign w:val="top"/>
          </w:tcPr>
          <w:p w14:paraId="25EDB07B">
            <w:pPr>
              <w:pStyle w:val="10"/>
              <w:spacing w:before="215" w:line="276" w:lineRule="auto"/>
              <w:ind w:left="230"/>
            </w:pPr>
            <w:r>
              <w:rPr>
                <w:spacing w:val="2"/>
              </w:rPr>
              <w:t>硕士</w:t>
            </w:r>
          </w:p>
        </w:tc>
        <w:tc>
          <w:tcPr>
            <w:tcW w:w="1203" w:type="dxa"/>
            <w:vAlign w:val="top"/>
          </w:tcPr>
          <w:p w14:paraId="3DF93472">
            <w:pPr>
              <w:pStyle w:val="10"/>
              <w:spacing w:before="215" w:line="276" w:lineRule="auto"/>
              <w:ind w:left="324"/>
            </w:pPr>
            <w:r>
              <w:rPr>
                <w:spacing w:val="-4"/>
              </w:rPr>
              <w:t>中医师</w:t>
            </w:r>
          </w:p>
        </w:tc>
        <w:tc>
          <w:tcPr>
            <w:tcW w:w="3947" w:type="dxa"/>
            <w:vAlign w:val="top"/>
          </w:tcPr>
          <w:p w14:paraId="3279A726">
            <w:pPr>
              <w:pStyle w:val="10"/>
              <w:spacing w:before="215" w:line="276" w:lineRule="auto"/>
              <w:ind w:left="934"/>
            </w:pPr>
            <w:r>
              <w:rPr>
                <w:spacing w:val="8"/>
              </w:rPr>
              <w:t>新加坡育国中医诊疗所</w:t>
            </w:r>
          </w:p>
        </w:tc>
        <w:tc>
          <w:tcPr>
            <w:tcW w:w="2229" w:type="dxa"/>
            <w:vAlign w:val="top"/>
          </w:tcPr>
          <w:p w14:paraId="62BF1B74">
            <w:pPr>
              <w:pStyle w:val="10"/>
              <w:spacing w:before="215" w:line="276" w:lineRule="auto"/>
              <w:ind w:left="181"/>
            </w:pPr>
            <w:r>
              <w:rPr>
                <w:spacing w:val="7"/>
              </w:rPr>
              <w:t>接受专家问卷调查。</w:t>
            </w:r>
          </w:p>
        </w:tc>
      </w:tr>
      <w:tr w14:paraId="428873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026" w:type="dxa"/>
            <w:vAlign w:val="top"/>
          </w:tcPr>
          <w:p w14:paraId="780496E7">
            <w:pPr>
              <w:pStyle w:val="10"/>
              <w:spacing w:before="211" w:line="276" w:lineRule="auto"/>
              <w:ind w:left="220"/>
            </w:pPr>
            <w:r>
              <w:rPr>
                <w:spacing w:val="1"/>
              </w:rPr>
              <w:t>叶燕红</w:t>
            </w:r>
          </w:p>
        </w:tc>
        <w:tc>
          <w:tcPr>
            <w:tcW w:w="863" w:type="dxa"/>
            <w:vAlign w:val="top"/>
          </w:tcPr>
          <w:p w14:paraId="52CE4ACF">
            <w:pPr>
              <w:pStyle w:val="10"/>
              <w:spacing w:before="212" w:line="276" w:lineRule="auto"/>
              <w:ind w:left="230"/>
            </w:pPr>
            <w:r>
              <w:rPr>
                <w:spacing w:val="2"/>
              </w:rPr>
              <w:t>硕士</w:t>
            </w:r>
          </w:p>
        </w:tc>
        <w:tc>
          <w:tcPr>
            <w:tcW w:w="1203" w:type="dxa"/>
            <w:vAlign w:val="top"/>
          </w:tcPr>
          <w:p w14:paraId="00CD993D">
            <w:pPr>
              <w:pStyle w:val="10"/>
              <w:spacing w:before="211" w:line="276" w:lineRule="auto"/>
              <w:ind w:left="324"/>
            </w:pPr>
            <w:r>
              <w:rPr>
                <w:spacing w:val="-4"/>
              </w:rPr>
              <w:t>中医师</w:t>
            </w:r>
          </w:p>
        </w:tc>
        <w:tc>
          <w:tcPr>
            <w:tcW w:w="3947" w:type="dxa"/>
            <w:vAlign w:val="top"/>
          </w:tcPr>
          <w:p w14:paraId="2A3F0F11">
            <w:pPr>
              <w:pStyle w:val="10"/>
              <w:spacing w:before="211" w:line="276" w:lineRule="auto"/>
              <w:ind w:left="382"/>
            </w:pPr>
            <w:r>
              <w:rPr>
                <w:spacing w:val="12"/>
              </w:rPr>
              <w:t>新加坡</w:t>
            </w:r>
            <w:r>
              <w:rPr>
                <w:spacing w:val="-41"/>
              </w:rPr>
              <w:t xml:space="preserve"> </w:t>
            </w:r>
            <w:r>
              <w:t>Acu</w:t>
            </w:r>
            <w:r>
              <w:rPr>
                <w:spacing w:val="12"/>
              </w:rPr>
              <w:t xml:space="preserve"> </w:t>
            </w:r>
            <w:r>
              <w:t>Point</w:t>
            </w:r>
            <w:r>
              <w:rPr>
                <w:spacing w:val="12"/>
              </w:rPr>
              <w:t xml:space="preserve"> </w:t>
            </w:r>
            <w:r>
              <w:t>Pte</w:t>
            </w:r>
            <w:r>
              <w:rPr>
                <w:spacing w:val="12"/>
              </w:rPr>
              <w:t xml:space="preserve"> </w:t>
            </w:r>
            <w:r>
              <w:t>Ltd</w:t>
            </w:r>
            <w:r>
              <w:rPr>
                <w:spacing w:val="20"/>
              </w:rPr>
              <w:t xml:space="preserve"> </w:t>
            </w:r>
            <w:r>
              <w:rPr>
                <w:spacing w:val="12"/>
              </w:rPr>
              <w:t>穴道点</w:t>
            </w:r>
          </w:p>
        </w:tc>
        <w:tc>
          <w:tcPr>
            <w:tcW w:w="2229" w:type="dxa"/>
            <w:vAlign w:val="top"/>
          </w:tcPr>
          <w:p w14:paraId="5EB561DF">
            <w:pPr>
              <w:pStyle w:val="10"/>
              <w:spacing w:before="211" w:line="276" w:lineRule="auto"/>
              <w:ind w:left="181"/>
            </w:pPr>
            <w:r>
              <w:rPr>
                <w:spacing w:val="7"/>
              </w:rPr>
              <w:t>接受专家问卷调查。</w:t>
            </w:r>
          </w:p>
        </w:tc>
      </w:tr>
      <w:tr w14:paraId="0E3583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026" w:type="dxa"/>
            <w:vAlign w:val="top"/>
          </w:tcPr>
          <w:p w14:paraId="22759E3A">
            <w:pPr>
              <w:pStyle w:val="10"/>
              <w:spacing w:before="211" w:line="276" w:lineRule="auto"/>
              <w:ind w:left="211"/>
            </w:pPr>
            <w:r>
              <w:rPr>
                <w:spacing w:val="4"/>
              </w:rPr>
              <w:t>许砚之</w:t>
            </w:r>
          </w:p>
        </w:tc>
        <w:tc>
          <w:tcPr>
            <w:tcW w:w="863" w:type="dxa"/>
            <w:vAlign w:val="top"/>
          </w:tcPr>
          <w:p w14:paraId="47056590">
            <w:pPr>
              <w:pStyle w:val="10"/>
              <w:spacing w:before="211" w:line="276" w:lineRule="auto"/>
              <w:ind w:left="232"/>
            </w:pPr>
            <w:r>
              <w:rPr>
                <w:spacing w:val="1"/>
              </w:rPr>
              <w:t>本科</w:t>
            </w:r>
          </w:p>
        </w:tc>
        <w:tc>
          <w:tcPr>
            <w:tcW w:w="1203" w:type="dxa"/>
            <w:vAlign w:val="top"/>
          </w:tcPr>
          <w:p w14:paraId="3F72B014">
            <w:pPr>
              <w:pStyle w:val="10"/>
              <w:spacing w:before="211" w:line="276" w:lineRule="auto"/>
              <w:ind w:left="324"/>
            </w:pPr>
            <w:r>
              <w:rPr>
                <w:spacing w:val="-4"/>
              </w:rPr>
              <w:t>中医师</w:t>
            </w:r>
          </w:p>
        </w:tc>
        <w:tc>
          <w:tcPr>
            <w:tcW w:w="3947" w:type="dxa"/>
            <w:vAlign w:val="top"/>
          </w:tcPr>
          <w:p w14:paraId="30D9569D">
            <w:pPr>
              <w:pStyle w:val="10"/>
              <w:spacing w:before="211" w:line="276" w:lineRule="auto"/>
              <w:ind w:left="620"/>
            </w:pPr>
            <w:r>
              <w:rPr>
                <w:spacing w:val="8"/>
              </w:rPr>
              <w:t>加拿大安大略省中医药管理局</w:t>
            </w:r>
          </w:p>
        </w:tc>
        <w:tc>
          <w:tcPr>
            <w:tcW w:w="2229" w:type="dxa"/>
            <w:vAlign w:val="top"/>
          </w:tcPr>
          <w:p w14:paraId="768A95D5">
            <w:pPr>
              <w:pStyle w:val="10"/>
              <w:spacing w:before="211" w:line="276" w:lineRule="auto"/>
              <w:ind w:left="181"/>
            </w:pPr>
            <w:r>
              <w:rPr>
                <w:spacing w:val="7"/>
              </w:rPr>
              <w:t>接受专家问卷调查。</w:t>
            </w:r>
          </w:p>
        </w:tc>
      </w:tr>
      <w:tr w14:paraId="1F8F5A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026" w:type="dxa"/>
            <w:vAlign w:val="top"/>
          </w:tcPr>
          <w:p w14:paraId="268268BD">
            <w:pPr>
              <w:pStyle w:val="10"/>
              <w:spacing w:before="213" w:line="276" w:lineRule="auto"/>
              <w:ind w:left="211"/>
            </w:pPr>
            <w:r>
              <w:rPr>
                <w:spacing w:val="4"/>
              </w:rPr>
              <w:t>张君年</w:t>
            </w:r>
          </w:p>
        </w:tc>
        <w:tc>
          <w:tcPr>
            <w:tcW w:w="863" w:type="dxa"/>
            <w:vAlign w:val="top"/>
          </w:tcPr>
          <w:p w14:paraId="7FAD39D5">
            <w:pPr>
              <w:pStyle w:val="10"/>
              <w:spacing w:before="213" w:line="276" w:lineRule="auto"/>
              <w:ind w:left="230"/>
            </w:pPr>
            <w:r>
              <w:rPr>
                <w:spacing w:val="2"/>
              </w:rPr>
              <w:t>硕士</w:t>
            </w:r>
          </w:p>
        </w:tc>
        <w:tc>
          <w:tcPr>
            <w:tcW w:w="1203" w:type="dxa"/>
            <w:vAlign w:val="top"/>
          </w:tcPr>
          <w:p w14:paraId="1450CB21">
            <w:pPr>
              <w:pStyle w:val="10"/>
              <w:spacing w:before="213" w:line="276" w:lineRule="auto"/>
              <w:ind w:left="324"/>
            </w:pPr>
            <w:r>
              <w:rPr>
                <w:spacing w:val="-4"/>
              </w:rPr>
              <w:t>中医师</w:t>
            </w:r>
          </w:p>
        </w:tc>
        <w:tc>
          <w:tcPr>
            <w:tcW w:w="3947" w:type="dxa"/>
            <w:vAlign w:val="top"/>
          </w:tcPr>
          <w:p w14:paraId="48065552">
            <w:pPr>
              <w:pStyle w:val="10"/>
              <w:spacing w:before="57" w:line="276" w:lineRule="auto"/>
              <w:ind w:left="329"/>
            </w:pPr>
            <w:r>
              <w:rPr>
                <w:spacing w:val="27"/>
              </w:rPr>
              <w:t>加拿大</w:t>
            </w:r>
            <w:r>
              <w:rPr>
                <w:spacing w:val="-41"/>
              </w:rPr>
              <w:t xml:space="preserve"> </w:t>
            </w:r>
            <w:r>
              <w:t>Homeland</w:t>
            </w:r>
            <w:r>
              <w:rPr>
                <w:spacing w:val="27"/>
              </w:rPr>
              <w:t xml:space="preserve"> </w:t>
            </w:r>
            <w:r>
              <w:t>Acupuncture</w:t>
            </w:r>
            <w:r>
              <w:rPr>
                <w:spacing w:val="27"/>
              </w:rPr>
              <w:t xml:space="preserve"> </w:t>
            </w:r>
            <w:r>
              <w:t>Herb</w:t>
            </w:r>
          </w:p>
          <w:p w14:paraId="6F5DF43A">
            <w:pPr>
              <w:pStyle w:val="10"/>
              <w:spacing w:before="69" w:line="276" w:lineRule="auto"/>
              <w:ind w:left="1661"/>
            </w:pPr>
            <w:r>
              <w:rPr>
                <w:spacing w:val="4"/>
              </w:rPr>
              <w:t>Clinic</w:t>
            </w:r>
          </w:p>
        </w:tc>
        <w:tc>
          <w:tcPr>
            <w:tcW w:w="2229" w:type="dxa"/>
            <w:vAlign w:val="top"/>
          </w:tcPr>
          <w:p w14:paraId="440A4950">
            <w:pPr>
              <w:pStyle w:val="10"/>
              <w:spacing w:before="213" w:line="276" w:lineRule="auto"/>
              <w:ind w:left="181"/>
            </w:pPr>
            <w:r>
              <w:rPr>
                <w:spacing w:val="7"/>
              </w:rPr>
              <w:t>接受专家问卷调查。</w:t>
            </w:r>
          </w:p>
        </w:tc>
      </w:tr>
      <w:tr w14:paraId="25BDE2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026" w:type="dxa"/>
            <w:vAlign w:val="top"/>
          </w:tcPr>
          <w:p w14:paraId="6DCC11CD">
            <w:pPr>
              <w:pStyle w:val="10"/>
              <w:spacing w:before="214" w:line="276" w:lineRule="auto"/>
              <w:ind w:left="220"/>
            </w:pPr>
            <w:r>
              <w:rPr>
                <w:spacing w:val="1"/>
              </w:rPr>
              <w:t>范秋婷</w:t>
            </w:r>
          </w:p>
        </w:tc>
        <w:tc>
          <w:tcPr>
            <w:tcW w:w="863" w:type="dxa"/>
            <w:vAlign w:val="top"/>
          </w:tcPr>
          <w:p w14:paraId="74E4C2E9">
            <w:pPr>
              <w:pStyle w:val="10"/>
              <w:spacing w:before="215" w:line="276" w:lineRule="auto"/>
              <w:ind w:left="230"/>
            </w:pPr>
            <w:r>
              <w:rPr>
                <w:spacing w:val="2"/>
              </w:rPr>
              <w:t>硕士</w:t>
            </w:r>
          </w:p>
        </w:tc>
        <w:tc>
          <w:tcPr>
            <w:tcW w:w="1203" w:type="dxa"/>
            <w:vAlign w:val="top"/>
          </w:tcPr>
          <w:p w14:paraId="43A7FD3B">
            <w:pPr>
              <w:pStyle w:val="10"/>
              <w:spacing w:before="214" w:line="276" w:lineRule="auto"/>
              <w:ind w:left="324"/>
            </w:pPr>
            <w:r>
              <w:rPr>
                <w:spacing w:val="-4"/>
              </w:rPr>
              <w:t>中医师</w:t>
            </w:r>
          </w:p>
        </w:tc>
        <w:tc>
          <w:tcPr>
            <w:tcW w:w="3947" w:type="dxa"/>
            <w:vAlign w:val="top"/>
          </w:tcPr>
          <w:p w14:paraId="3E31E1C2">
            <w:pPr>
              <w:pStyle w:val="10"/>
              <w:spacing w:before="215" w:line="276" w:lineRule="auto"/>
              <w:ind w:left="1150"/>
            </w:pPr>
            <w:r>
              <w:rPr>
                <w:spacing w:val="7"/>
              </w:rPr>
              <w:t>马来西亚阳光中医</w:t>
            </w:r>
          </w:p>
        </w:tc>
        <w:tc>
          <w:tcPr>
            <w:tcW w:w="2229" w:type="dxa"/>
            <w:vAlign w:val="top"/>
          </w:tcPr>
          <w:p w14:paraId="1B904F73">
            <w:pPr>
              <w:pStyle w:val="10"/>
              <w:spacing w:before="214" w:line="276" w:lineRule="auto"/>
              <w:ind w:left="181"/>
            </w:pPr>
            <w:r>
              <w:rPr>
                <w:spacing w:val="7"/>
              </w:rPr>
              <w:t>接受专家问卷调查。</w:t>
            </w:r>
          </w:p>
        </w:tc>
      </w:tr>
      <w:tr w14:paraId="1BAA5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026" w:type="dxa"/>
            <w:vAlign w:val="top"/>
          </w:tcPr>
          <w:p w14:paraId="27025029">
            <w:pPr>
              <w:pStyle w:val="10"/>
              <w:spacing w:before="214" w:line="276" w:lineRule="auto"/>
              <w:ind w:left="208"/>
            </w:pPr>
            <w:r>
              <w:rPr>
                <w:spacing w:val="5"/>
              </w:rPr>
              <w:t>林芷雯</w:t>
            </w:r>
          </w:p>
        </w:tc>
        <w:tc>
          <w:tcPr>
            <w:tcW w:w="863" w:type="dxa"/>
            <w:vAlign w:val="top"/>
          </w:tcPr>
          <w:p w14:paraId="563D6AA5">
            <w:pPr>
              <w:pStyle w:val="10"/>
              <w:spacing w:before="214" w:line="276" w:lineRule="auto"/>
              <w:ind w:left="230"/>
            </w:pPr>
            <w:r>
              <w:rPr>
                <w:spacing w:val="2"/>
              </w:rPr>
              <w:t>硕士</w:t>
            </w:r>
          </w:p>
        </w:tc>
        <w:tc>
          <w:tcPr>
            <w:tcW w:w="1203" w:type="dxa"/>
            <w:vAlign w:val="top"/>
          </w:tcPr>
          <w:p w14:paraId="355B3DFF">
            <w:pPr>
              <w:pStyle w:val="10"/>
              <w:spacing w:before="59" w:line="276" w:lineRule="auto"/>
              <w:ind w:left="519" w:right="105" w:hanging="375"/>
            </w:pPr>
            <w:r>
              <w:rPr>
                <w:spacing w:val="-11"/>
              </w:rPr>
              <w:t>中医师，讲</w:t>
            </w:r>
            <w:r>
              <w:t>师</w:t>
            </w:r>
          </w:p>
        </w:tc>
        <w:tc>
          <w:tcPr>
            <w:tcW w:w="3947" w:type="dxa"/>
            <w:vAlign w:val="top"/>
          </w:tcPr>
          <w:p w14:paraId="0B7CBA55">
            <w:pPr>
              <w:pStyle w:val="10"/>
              <w:spacing w:before="214" w:line="276" w:lineRule="auto"/>
              <w:ind w:left="1150"/>
            </w:pPr>
            <w:r>
              <w:rPr>
                <w:spacing w:val="7"/>
              </w:rPr>
              <w:t>马来西亚拉曼大学</w:t>
            </w:r>
          </w:p>
        </w:tc>
        <w:tc>
          <w:tcPr>
            <w:tcW w:w="2229" w:type="dxa"/>
            <w:vAlign w:val="top"/>
          </w:tcPr>
          <w:p w14:paraId="55D81368">
            <w:pPr>
              <w:pStyle w:val="10"/>
              <w:spacing w:before="214" w:line="276" w:lineRule="auto"/>
              <w:ind w:left="181"/>
            </w:pPr>
            <w:r>
              <w:rPr>
                <w:spacing w:val="7"/>
              </w:rPr>
              <w:t>接受专家问卷调查。</w:t>
            </w:r>
          </w:p>
        </w:tc>
      </w:tr>
      <w:tr w14:paraId="355776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026" w:type="dxa"/>
            <w:vAlign w:val="top"/>
          </w:tcPr>
          <w:p w14:paraId="5B139A79">
            <w:pPr>
              <w:pStyle w:val="10"/>
              <w:spacing w:before="214" w:line="276" w:lineRule="auto"/>
              <w:ind w:left="215"/>
            </w:pPr>
            <w:r>
              <w:rPr>
                <w:spacing w:val="2"/>
              </w:rPr>
              <w:t>高秀芳</w:t>
            </w:r>
          </w:p>
        </w:tc>
        <w:tc>
          <w:tcPr>
            <w:tcW w:w="863" w:type="dxa"/>
            <w:vAlign w:val="top"/>
          </w:tcPr>
          <w:p w14:paraId="178D711A">
            <w:pPr>
              <w:pStyle w:val="10"/>
              <w:spacing w:before="215" w:line="276" w:lineRule="auto"/>
              <w:ind w:left="230"/>
            </w:pPr>
            <w:r>
              <w:rPr>
                <w:spacing w:val="2"/>
              </w:rPr>
              <w:t>硕士</w:t>
            </w:r>
          </w:p>
        </w:tc>
        <w:tc>
          <w:tcPr>
            <w:tcW w:w="1203" w:type="dxa"/>
            <w:vAlign w:val="top"/>
          </w:tcPr>
          <w:p w14:paraId="5AF90D4B">
            <w:pPr>
              <w:pStyle w:val="10"/>
              <w:spacing w:before="59" w:line="276" w:lineRule="auto"/>
              <w:ind w:left="323" w:right="92" w:hanging="207"/>
            </w:pPr>
            <w:r>
              <w:rPr>
                <w:spacing w:val="-3"/>
              </w:rPr>
              <w:t>助理教师，</w:t>
            </w:r>
            <w:r>
              <w:rPr>
                <w:spacing w:val="-4"/>
              </w:rPr>
              <w:t>中医师</w:t>
            </w:r>
          </w:p>
        </w:tc>
        <w:tc>
          <w:tcPr>
            <w:tcW w:w="3947" w:type="dxa"/>
            <w:vAlign w:val="top"/>
          </w:tcPr>
          <w:p w14:paraId="57B56C74">
            <w:pPr>
              <w:pStyle w:val="10"/>
              <w:spacing w:before="59" w:line="276" w:lineRule="auto"/>
              <w:ind w:left="1250"/>
            </w:pPr>
            <w:r>
              <w:rPr>
                <w:spacing w:val="7"/>
              </w:rPr>
              <w:t>泰国玛希隆大学</w:t>
            </w:r>
          </w:p>
          <w:p w14:paraId="31212D42">
            <w:pPr>
              <w:pStyle w:val="10"/>
              <w:spacing w:before="61" w:line="276" w:lineRule="auto"/>
              <w:ind w:left="937"/>
            </w:pPr>
            <w:r>
              <w:rPr>
                <w:spacing w:val="8"/>
              </w:rPr>
              <w:t>儿童与家庭发展研究院</w:t>
            </w:r>
          </w:p>
        </w:tc>
        <w:tc>
          <w:tcPr>
            <w:tcW w:w="2229" w:type="dxa"/>
            <w:vAlign w:val="top"/>
          </w:tcPr>
          <w:p w14:paraId="72DB59B8">
            <w:pPr>
              <w:pStyle w:val="10"/>
              <w:spacing w:before="215" w:line="276" w:lineRule="auto"/>
              <w:ind w:left="181"/>
            </w:pPr>
            <w:r>
              <w:rPr>
                <w:spacing w:val="7"/>
              </w:rPr>
              <w:t>接受专家问卷调查。</w:t>
            </w:r>
          </w:p>
        </w:tc>
      </w:tr>
      <w:tr w14:paraId="68FE55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026" w:type="dxa"/>
            <w:vAlign w:val="top"/>
          </w:tcPr>
          <w:p w14:paraId="385ED76A">
            <w:pPr>
              <w:pStyle w:val="10"/>
              <w:spacing w:before="216" w:line="276" w:lineRule="auto"/>
              <w:ind w:left="208"/>
            </w:pPr>
            <w:r>
              <w:rPr>
                <w:spacing w:val="5"/>
              </w:rPr>
              <w:t>徐雅芝</w:t>
            </w:r>
          </w:p>
        </w:tc>
        <w:tc>
          <w:tcPr>
            <w:tcW w:w="863" w:type="dxa"/>
            <w:vAlign w:val="top"/>
          </w:tcPr>
          <w:p w14:paraId="0BCAD9BA">
            <w:pPr>
              <w:pStyle w:val="10"/>
              <w:spacing w:before="216" w:line="276" w:lineRule="auto"/>
              <w:ind w:left="234"/>
            </w:pPr>
            <w:r>
              <w:t>大专</w:t>
            </w:r>
          </w:p>
        </w:tc>
        <w:tc>
          <w:tcPr>
            <w:tcW w:w="1203" w:type="dxa"/>
            <w:vAlign w:val="top"/>
          </w:tcPr>
          <w:p w14:paraId="0F961954">
            <w:pPr>
              <w:pStyle w:val="10"/>
              <w:spacing w:before="215" w:line="276" w:lineRule="auto"/>
              <w:ind w:left="324"/>
            </w:pPr>
            <w:r>
              <w:rPr>
                <w:spacing w:val="-4"/>
              </w:rPr>
              <w:t>中医师</w:t>
            </w:r>
          </w:p>
        </w:tc>
        <w:tc>
          <w:tcPr>
            <w:tcW w:w="3947" w:type="dxa"/>
            <w:vAlign w:val="top"/>
          </w:tcPr>
          <w:p w14:paraId="73DEAC03">
            <w:pPr>
              <w:pStyle w:val="10"/>
              <w:spacing w:before="60" w:line="276" w:lineRule="auto"/>
              <w:ind w:left="729"/>
            </w:pPr>
            <w:r>
              <w:rPr>
                <w:spacing w:val="7"/>
              </w:rPr>
              <w:t>玛希隆大学</w:t>
            </w:r>
            <w:r>
              <w:rPr>
                <w:spacing w:val="-39"/>
              </w:rPr>
              <w:t xml:space="preserve"> </w:t>
            </w:r>
            <w:r>
              <w:t>Siriraj</w:t>
            </w:r>
            <w:r>
              <w:rPr>
                <w:spacing w:val="-17"/>
              </w:rPr>
              <w:t xml:space="preserve"> </w:t>
            </w:r>
            <w:r>
              <w:rPr>
                <w:spacing w:val="7"/>
              </w:rPr>
              <w:t>医学院</w:t>
            </w:r>
          </w:p>
          <w:p w14:paraId="7032B288">
            <w:pPr>
              <w:pStyle w:val="10"/>
              <w:spacing w:before="69" w:line="276" w:lineRule="auto"/>
              <w:ind w:left="157"/>
            </w:pPr>
            <w:r>
              <w:rPr>
                <w:spacing w:val="9"/>
              </w:rPr>
              <w:t>附属</w:t>
            </w:r>
            <w:r>
              <w:rPr>
                <w:spacing w:val="-34"/>
              </w:rPr>
              <w:t xml:space="preserve"> </w:t>
            </w:r>
            <w:r>
              <w:t>Golden</w:t>
            </w:r>
            <w:r>
              <w:rPr>
                <w:spacing w:val="9"/>
              </w:rPr>
              <w:t xml:space="preserve"> </w:t>
            </w:r>
            <w:r>
              <w:t>Jubilee</w:t>
            </w:r>
            <w:r>
              <w:rPr>
                <w:spacing w:val="-17"/>
              </w:rPr>
              <w:t xml:space="preserve"> </w:t>
            </w:r>
            <w:r>
              <w:rPr>
                <w:spacing w:val="9"/>
              </w:rPr>
              <w:t>医学中心中医门诊</w:t>
            </w:r>
          </w:p>
        </w:tc>
        <w:tc>
          <w:tcPr>
            <w:tcW w:w="2229" w:type="dxa"/>
            <w:vAlign w:val="top"/>
          </w:tcPr>
          <w:p w14:paraId="36FD2207">
            <w:pPr>
              <w:pStyle w:val="10"/>
              <w:spacing w:before="215" w:line="276" w:lineRule="auto"/>
              <w:ind w:left="181"/>
            </w:pPr>
            <w:r>
              <w:rPr>
                <w:spacing w:val="7"/>
              </w:rPr>
              <w:t>接受专家问卷调查。</w:t>
            </w:r>
          </w:p>
        </w:tc>
      </w:tr>
      <w:tr w14:paraId="6B1D7D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026" w:type="dxa"/>
            <w:vAlign w:val="top"/>
          </w:tcPr>
          <w:p w14:paraId="60B16C2A">
            <w:pPr>
              <w:pStyle w:val="10"/>
              <w:spacing w:before="213" w:line="276" w:lineRule="auto"/>
              <w:ind w:left="220"/>
            </w:pPr>
            <w:r>
              <w:rPr>
                <w:spacing w:val="1"/>
              </w:rPr>
              <w:t>阮红明</w:t>
            </w:r>
          </w:p>
        </w:tc>
        <w:tc>
          <w:tcPr>
            <w:tcW w:w="863" w:type="dxa"/>
            <w:vAlign w:val="top"/>
          </w:tcPr>
          <w:p w14:paraId="18090FD6">
            <w:pPr>
              <w:pStyle w:val="10"/>
              <w:spacing w:before="214" w:line="276" w:lineRule="auto"/>
              <w:ind w:left="233"/>
            </w:pPr>
            <w:r>
              <w:rPr>
                <w:spacing w:val="1"/>
              </w:rPr>
              <w:t>博士</w:t>
            </w:r>
          </w:p>
        </w:tc>
        <w:tc>
          <w:tcPr>
            <w:tcW w:w="1203" w:type="dxa"/>
            <w:vAlign w:val="top"/>
          </w:tcPr>
          <w:p w14:paraId="1716AC86">
            <w:pPr>
              <w:pStyle w:val="10"/>
              <w:spacing w:before="59" w:line="276" w:lineRule="auto"/>
              <w:ind w:left="401" w:right="83" w:hanging="278"/>
            </w:pPr>
            <w:r>
              <w:rPr>
                <w:spacing w:val="-2"/>
              </w:rPr>
              <w:t>主任医师、</w:t>
            </w:r>
            <w:r>
              <w:rPr>
                <w:spacing w:val="2"/>
              </w:rPr>
              <w:t>硕导</w:t>
            </w:r>
          </w:p>
        </w:tc>
        <w:tc>
          <w:tcPr>
            <w:tcW w:w="3947" w:type="dxa"/>
            <w:vAlign w:val="top"/>
          </w:tcPr>
          <w:p w14:paraId="156E0CF2">
            <w:pPr>
              <w:pStyle w:val="10"/>
              <w:spacing w:before="214" w:line="276" w:lineRule="auto"/>
              <w:ind w:left="1145"/>
            </w:pPr>
            <w:r>
              <w:rPr>
                <w:spacing w:val="8"/>
              </w:rPr>
              <w:t>越南中央儿童医院</w:t>
            </w:r>
          </w:p>
        </w:tc>
        <w:tc>
          <w:tcPr>
            <w:tcW w:w="2229" w:type="dxa"/>
            <w:vAlign w:val="top"/>
          </w:tcPr>
          <w:p w14:paraId="385CE0D3">
            <w:pPr>
              <w:pStyle w:val="10"/>
              <w:spacing w:before="214" w:line="276" w:lineRule="auto"/>
              <w:ind w:left="181"/>
            </w:pPr>
            <w:r>
              <w:rPr>
                <w:spacing w:val="7"/>
              </w:rPr>
              <w:t>接受专家问卷调查。</w:t>
            </w:r>
          </w:p>
        </w:tc>
      </w:tr>
      <w:tr w14:paraId="04E2FA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1026" w:type="dxa"/>
            <w:vAlign w:val="top"/>
          </w:tcPr>
          <w:p w14:paraId="6521E9A1">
            <w:pPr>
              <w:pStyle w:val="10"/>
              <w:spacing w:before="214" w:line="276" w:lineRule="auto"/>
              <w:ind w:left="220"/>
            </w:pPr>
            <w:r>
              <w:rPr>
                <w:spacing w:val="1"/>
              </w:rPr>
              <w:t>阮德明</w:t>
            </w:r>
          </w:p>
        </w:tc>
        <w:tc>
          <w:tcPr>
            <w:tcW w:w="863" w:type="dxa"/>
            <w:vAlign w:val="top"/>
          </w:tcPr>
          <w:p w14:paraId="0F36548F">
            <w:pPr>
              <w:pStyle w:val="10"/>
              <w:spacing w:before="215" w:line="276" w:lineRule="auto"/>
              <w:ind w:left="233"/>
            </w:pPr>
            <w:r>
              <w:rPr>
                <w:spacing w:val="1"/>
              </w:rPr>
              <w:t>博士</w:t>
            </w:r>
          </w:p>
        </w:tc>
        <w:tc>
          <w:tcPr>
            <w:tcW w:w="1203" w:type="dxa"/>
            <w:vAlign w:val="top"/>
          </w:tcPr>
          <w:p w14:paraId="14E47F41">
            <w:pPr>
              <w:pStyle w:val="10"/>
              <w:spacing w:before="59" w:line="276" w:lineRule="auto"/>
              <w:ind w:left="507" w:right="105" w:hanging="384"/>
            </w:pPr>
            <w:r>
              <w:rPr>
                <w:spacing w:val="-7"/>
              </w:rPr>
              <w:t>副教授，博</w:t>
            </w:r>
            <w:r>
              <w:t>导</w:t>
            </w:r>
          </w:p>
        </w:tc>
        <w:tc>
          <w:tcPr>
            <w:tcW w:w="3947" w:type="dxa"/>
            <w:vAlign w:val="top"/>
          </w:tcPr>
          <w:p w14:paraId="413EECC2">
            <w:pPr>
              <w:pStyle w:val="10"/>
              <w:spacing w:before="215" w:line="276" w:lineRule="auto"/>
              <w:ind w:left="934"/>
            </w:pPr>
            <w:r>
              <w:rPr>
                <w:spacing w:val="8"/>
              </w:rPr>
              <w:t>越南河东传统医学医院</w:t>
            </w:r>
          </w:p>
        </w:tc>
        <w:tc>
          <w:tcPr>
            <w:tcW w:w="2229" w:type="dxa"/>
            <w:vAlign w:val="top"/>
          </w:tcPr>
          <w:p w14:paraId="26718E33">
            <w:pPr>
              <w:pStyle w:val="10"/>
              <w:spacing w:before="215" w:line="276" w:lineRule="auto"/>
              <w:ind w:left="181"/>
            </w:pPr>
            <w:r>
              <w:rPr>
                <w:spacing w:val="7"/>
              </w:rPr>
              <w:t>接受专家问卷调查。</w:t>
            </w:r>
          </w:p>
        </w:tc>
      </w:tr>
    </w:tbl>
    <w:p w14:paraId="53C08979">
      <w:pPr>
        <w:spacing w:before="115" w:line="276" w:lineRule="auto"/>
        <w:ind w:left="447"/>
        <w:rPr>
          <w:rFonts w:ascii="仿宋" w:hAnsi="仿宋" w:eastAsia="仿宋" w:cs="仿宋"/>
          <w:sz w:val="24"/>
          <w:szCs w:val="24"/>
        </w:rPr>
      </w:pPr>
      <w:r>
        <w:rPr>
          <w:rFonts w:ascii="仿宋" w:hAnsi="仿宋" w:eastAsia="仿宋" w:cs="仿宋"/>
          <w:b/>
          <w:bCs/>
          <w:spacing w:val="-6"/>
          <w:sz w:val="24"/>
          <w:szCs w:val="24"/>
        </w:rPr>
        <w:t>4</w:t>
      </w:r>
      <w:r>
        <w:rPr>
          <w:rFonts w:ascii="仿宋" w:hAnsi="仿宋" w:eastAsia="仿宋" w:cs="仿宋"/>
          <w:spacing w:val="24"/>
          <w:sz w:val="24"/>
          <w:szCs w:val="24"/>
        </w:rPr>
        <w:t xml:space="preserve"> </w:t>
      </w:r>
      <w:r>
        <w:rPr>
          <w:rFonts w:ascii="仿宋" w:hAnsi="仿宋" w:eastAsia="仿宋" w:cs="仿宋"/>
          <w:b/>
          <w:bCs/>
          <w:spacing w:val="-6"/>
          <w:sz w:val="24"/>
          <w:szCs w:val="24"/>
        </w:rPr>
        <w:t>专家指导组专家</w:t>
      </w:r>
    </w:p>
    <w:p w14:paraId="73477BAC">
      <w:pPr>
        <w:spacing w:line="276" w:lineRule="auto"/>
      </w:pPr>
    </w:p>
    <w:tbl>
      <w:tblPr>
        <w:tblStyle w:val="9"/>
        <w:tblW w:w="926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7"/>
        <w:gridCol w:w="703"/>
        <w:gridCol w:w="1353"/>
        <w:gridCol w:w="2992"/>
        <w:gridCol w:w="3263"/>
      </w:tblGrid>
      <w:tr w14:paraId="21A5BA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jc w:val="center"/>
        </w:trPr>
        <w:tc>
          <w:tcPr>
            <w:tcW w:w="957" w:type="dxa"/>
            <w:vAlign w:val="top"/>
          </w:tcPr>
          <w:p w14:paraId="5078D1C5">
            <w:pPr>
              <w:pStyle w:val="10"/>
              <w:spacing w:before="215" w:line="276" w:lineRule="auto"/>
              <w:ind w:left="175"/>
            </w:pPr>
            <w:r>
              <w:rPr>
                <w:spacing w:val="-3"/>
              </w:rPr>
              <w:t>姓</w:t>
            </w:r>
            <w:r>
              <w:rPr>
                <w:spacing w:val="12"/>
              </w:rPr>
              <w:t xml:space="preserve">  </w:t>
            </w:r>
            <w:r>
              <w:rPr>
                <w:spacing w:val="-3"/>
              </w:rPr>
              <w:t>名</w:t>
            </w:r>
          </w:p>
        </w:tc>
        <w:tc>
          <w:tcPr>
            <w:tcW w:w="703" w:type="dxa"/>
            <w:vAlign w:val="top"/>
          </w:tcPr>
          <w:p w14:paraId="724BC6E8">
            <w:pPr>
              <w:pStyle w:val="10"/>
              <w:spacing w:before="215" w:line="276" w:lineRule="auto"/>
              <w:ind w:left="158"/>
            </w:pPr>
            <w:r>
              <w:rPr>
                <w:spacing w:val="-3"/>
              </w:rPr>
              <w:t>学位</w:t>
            </w:r>
          </w:p>
        </w:tc>
        <w:tc>
          <w:tcPr>
            <w:tcW w:w="1353" w:type="dxa"/>
            <w:vAlign w:val="top"/>
          </w:tcPr>
          <w:p w14:paraId="5B259F86">
            <w:pPr>
              <w:pStyle w:val="10"/>
              <w:spacing w:before="216" w:line="276" w:lineRule="auto"/>
              <w:ind w:left="369"/>
            </w:pPr>
            <w:r>
              <w:rPr>
                <w:spacing w:val="-3"/>
              </w:rPr>
              <w:t>职</w:t>
            </w:r>
            <w:r>
              <w:rPr>
                <w:spacing w:val="12"/>
              </w:rPr>
              <w:t xml:space="preserve">  </w:t>
            </w:r>
            <w:r>
              <w:rPr>
                <w:spacing w:val="-3"/>
              </w:rPr>
              <w:t>称</w:t>
            </w:r>
          </w:p>
        </w:tc>
        <w:tc>
          <w:tcPr>
            <w:tcW w:w="2992" w:type="dxa"/>
            <w:vAlign w:val="top"/>
          </w:tcPr>
          <w:p w14:paraId="2568C11A">
            <w:pPr>
              <w:pStyle w:val="10"/>
              <w:spacing w:before="216" w:line="276" w:lineRule="auto"/>
              <w:ind w:left="1196"/>
            </w:pPr>
            <w:r>
              <w:rPr>
                <w:spacing w:val="-5"/>
              </w:rPr>
              <w:t>单</w:t>
            </w:r>
            <w:r>
              <w:rPr>
                <w:spacing w:val="12"/>
              </w:rPr>
              <w:t xml:space="preserve">  </w:t>
            </w:r>
            <w:r>
              <w:rPr>
                <w:spacing w:val="-5"/>
              </w:rPr>
              <w:t>位</w:t>
            </w:r>
          </w:p>
        </w:tc>
        <w:tc>
          <w:tcPr>
            <w:tcW w:w="3263" w:type="dxa"/>
            <w:vAlign w:val="top"/>
          </w:tcPr>
          <w:p w14:paraId="43EDDC2D">
            <w:pPr>
              <w:pStyle w:val="10"/>
              <w:spacing w:before="215" w:line="276" w:lineRule="auto"/>
              <w:ind w:left="1221"/>
            </w:pPr>
            <w:r>
              <w:rPr>
                <w:spacing w:val="5"/>
              </w:rPr>
              <w:t>承担工作</w:t>
            </w:r>
          </w:p>
        </w:tc>
      </w:tr>
      <w:tr w14:paraId="3128AF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jc w:val="center"/>
        </w:trPr>
        <w:tc>
          <w:tcPr>
            <w:tcW w:w="957" w:type="dxa"/>
            <w:vAlign w:val="top"/>
          </w:tcPr>
          <w:p w14:paraId="001562E7">
            <w:pPr>
              <w:pStyle w:val="10"/>
              <w:spacing w:before="212" w:line="276" w:lineRule="auto"/>
              <w:ind w:left="182"/>
            </w:pPr>
            <w:r>
              <w:rPr>
                <w:spacing w:val="-7"/>
              </w:rPr>
              <w:t>丁</w:t>
            </w:r>
            <w:r>
              <w:rPr>
                <w:spacing w:val="12"/>
              </w:rPr>
              <w:t xml:space="preserve">  </w:t>
            </w:r>
            <w:r>
              <w:rPr>
                <w:spacing w:val="-7"/>
              </w:rPr>
              <w:t>樱</w:t>
            </w:r>
          </w:p>
        </w:tc>
        <w:tc>
          <w:tcPr>
            <w:tcW w:w="703" w:type="dxa"/>
            <w:vAlign w:val="top"/>
          </w:tcPr>
          <w:p w14:paraId="2049F9FA">
            <w:pPr>
              <w:pStyle w:val="10"/>
              <w:spacing w:before="211" w:line="276" w:lineRule="auto"/>
              <w:ind w:left="158"/>
            </w:pPr>
            <w:r>
              <w:rPr>
                <w:spacing w:val="-3"/>
              </w:rPr>
              <w:t>学士</w:t>
            </w:r>
          </w:p>
        </w:tc>
        <w:tc>
          <w:tcPr>
            <w:tcW w:w="1353" w:type="dxa"/>
            <w:vAlign w:val="top"/>
          </w:tcPr>
          <w:p w14:paraId="41346246">
            <w:pPr>
              <w:pStyle w:val="10"/>
              <w:spacing w:before="55" w:line="276" w:lineRule="auto"/>
              <w:ind w:left="161"/>
            </w:pPr>
            <w:r>
              <w:rPr>
                <w:spacing w:val="7"/>
              </w:rPr>
              <w:t>教授、主任</w:t>
            </w:r>
          </w:p>
          <w:p w14:paraId="04C69745">
            <w:pPr>
              <w:pStyle w:val="10"/>
              <w:spacing w:before="60" w:line="276" w:lineRule="auto"/>
              <w:ind w:left="179"/>
            </w:pPr>
            <w:r>
              <w:rPr>
                <w:spacing w:val="3"/>
              </w:rPr>
              <w:t>医师，博导</w:t>
            </w:r>
          </w:p>
        </w:tc>
        <w:tc>
          <w:tcPr>
            <w:tcW w:w="2992" w:type="dxa"/>
            <w:vAlign w:val="top"/>
          </w:tcPr>
          <w:p w14:paraId="07C4F09B">
            <w:pPr>
              <w:pStyle w:val="10"/>
              <w:spacing w:before="56" w:line="276" w:lineRule="auto"/>
              <w:ind w:left="777"/>
            </w:pPr>
            <w:r>
              <w:rPr>
                <w:spacing w:val="7"/>
              </w:rPr>
              <w:t>河南中医药大学</w:t>
            </w:r>
          </w:p>
          <w:p w14:paraId="2A31812B">
            <w:pPr>
              <w:pStyle w:val="10"/>
              <w:spacing w:before="61" w:line="276" w:lineRule="auto"/>
              <w:ind w:left="466"/>
            </w:pPr>
            <w:r>
              <w:rPr>
                <w:spacing w:val="7"/>
              </w:rPr>
              <w:t>第一附属医院儿科医院</w:t>
            </w:r>
          </w:p>
        </w:tc>
        <w:tc>
          <w:tcPr>
            <w:tcW w:w="3263" w:type="dxa"/>
            <w:vAlign w:val="top"/>
          </w:tcPr>
          <w:p w14:paraId="77173B39">
            <w:pPr>
              <w:pStyle w:val="10"/>
              <w:spacing w:before="212" w:line="276" w:lineRule="auto"/>
              <w:ind w:right="14"/>
              <w:jc w:val="right"/>
            </w:pPr>
            <w:r>
              <w:rPr>
                <w:spacing w:val="8"/>
              </w:rPr>
              <w:t>指导标准制订，参加专家论证会。</w:t>
            </w:r>
          </w:p>
        </w:tc>
      </w:tr>
      <w:tr w14:paraId="77217C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jc w:val="center"/>
        </w:trPr>
        <w:tc>
          <w:tcPr>
            <w:tcW w:w="957" w:type="dxa"/>
            <w:vAlign w:val="top"/>
          </w:tcPr>
          <w:p w14:paraId="58F98946">
            <w:pPr>
              <w:pStyle w:val="10"/>
              <w:spacing w:before="212" w:line="276" w:lineRule="auto"/>
              <w:ind w:left="177"/>
            </w:pPr>
            <w:r>
              <w:rPr>
                <w:spacing w:val="4"/>
              </w:rPr>
              <w:t>万力生</w:t>
            </w:r>
          </w:p>
        </w:tc>
        <w:tc>
          <w:tcPr>
            <w:tcW w:w="703" w:type="dxa"/>
            <w:vAlign w:val="top"/>
          </w:tcPr>
          <w:p w14:paraId="4189CF66">
            <w:pPr>
              <w:pStyle w:val="10"/>
              <w:spacing w:before="211" w:line="276" w:lineRule="auto"/>
              <w:ind w:left="151"/>
            </w:pPr>
            <w:r>
              <w:rPr>
                <w:spacing w:val="1"/>
              </w:rPr>
              <w:t>博士</w:t>
            </w:r>
          </w:p>
        </w:tc>
        <w:tc>
          <w:tcPr>
            <w:tcW w:w="1353" w:type="dxa"/>
            <w:vAlign w:val="top"/>
          </w:tcPr>
          <w:p w14:paraId="18803376">
            <w:pPr>
              <w:pStyle w:val="10"/>
              <w:spacing w:before="55" w:line="276" w:lineRule="auto"/>
              <w:ind w:left="161"/>
            </w:pPr>
            <w:r>
              <w:rPr>
                <w:spacing w:val="7"/>
              </w:rPr>
              <w:t>教授、主任</w:t>
            </w:r>
          </w:p>
          <w:p w14:paraId="18E9FF9B">
            <w:pPr>
              <w:pStyle w:val="10"/>
              <w:spacing w:before="60" w:line="276" w:lineRule="auto"/>
              <w:ind w:left="179"/>
            </w:pPr>
            <w:r>
              <w:rPr>
                <w:spacing w:val="3"/>
              </w:rPr>
              <w:t>医师，博导</w:t>
            </w:r>
          </w:p>
        </w:tc>
        <w:tc>
          <w:tcPr>
            <w:tcW w:w="2992" w:type="dxa"/>
            <w:vAlign w:val="top"/>
          </w:tcPr>
          <w:p w14:paraId="6F584791">
            <w:pPr>
              <w:pStyle w:val="10"/>
              <w:spacing w:before="212" w:line="276" w:lineRule="auto"/>
              <w:ind w:left="879"/>
            </w:pPr>
            <w:r>
              <w:rPr>
                <w:spacing w:val="7"/>
              </w:rPr>
              <w:t>深圳市中医院</w:t>
            </w:r>
          </w:p>
        </w:tc>
        <w:tc>
          <w:tcPr>
            <w:tcW w:w="3263" w:type="dxa"/>
            <w:vAlign w:val="top"/>
          </w:tcPr>
          <w:p w14:paraId="76926A7B">
            <w:pPr>
              <w:pStyle w:val="10"/>
              <w:spacing w:before="211" w:line="276" w:lineRule="auto"/>
              <w:ind w:right="14"/>
              <w:jc w:val="right"/>
            </w:pPr>
            <w:r>
              <w:rPr>
                <w:spacing w:val="8"/>
              </w:rPr>
              <w:t>指导标准制订，参加专家论证会。</w:t>
            </w:r>
          </w:p>
        </w:tc>
      </w:tr>
      <w:tr w14:paraId="27D90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jc w:val="center"/>
        </w:trPr>
        <w:tc>
          <w:tcPr>
            <w:tcW w:w="957" w:type="dxa"/>
            <w:vAlign w:val="top"/>
          </w:tcPr>
          <w:p w14:paraId="76274C67">
            <w:pPr>
              <w:pStyle w:val="10"/>
              <w:spacing w:before="213" w:line="276" w:lineRule="auto"/>
              <w:ind w:left="179"/>
            </w:pPr>
            <w:r>
              <w:rPr>
                <w:spacing w:val="-5"/>
              </w:rPr>
              <w:t>马</w:t>
            </w:r>
            <w:r>
              <w:rPr>
                <w:spacing w:val="15"/>
              </w:rPr>
              <w:t xml:space="preserve">  </w:t>
            </w:r>
            <w:r>
              <w:rPr>
                <w:spacing w:val="-5"/>
              </w:rPr>
              <w:t>融</w:t>
            </w:r>
          </w:p>
        </w:tc>
        <w:tc>
          <w:tcPr>
            <w:tcW w:w="703" w:type="dxa"/>
            <w:vAlign w:val="top"/>
          </w:tcPr>
          <w:p w14:paraId="5AAACB11">
            <w:pPr>
              <w:pStyle w:val="10"/>
              <w:spacing w:before="213" w:line="276" w:lineRule="auto"/>
              <w:ind w:left="151"/>
            </w:pPr>
            <w:r>
              <w:rPr>
                <w:spacing w:val="1"/>
              </w:rPr>
              <w:t>博士</w:t>
            </w:r>
          </w:p>
        </w:tc>
        <w:tc>
          <w:tcPr>
            <w:tcW w:w="1353" w:type="dxa"/>
            <w:vAlign w:val="top"/>
          </w:tcPr>
          <w:p w14:paraId="03DA3C8C">
            <w:pPr>
              <w:pStyle w:val="10"/>
              <w:spacing w:before="57" w:line="276" w:lineRule="auto"/>
              <w:ind w:left="161"/>
            </w:pPr>
            <w:r>
              <w:rPr>
                <w:spacing w:val="7"/>
              </w:rPr>
              <w:t>教授、主任</w:t>
            </w:r>
          </w:p>
          <w:p w14:paraId="714CB204">
            <w:pPr>
              <w:pStyle w:val="10"/>
              <w:spacing w:before="60" w:line="276" w:lineRule="auto"/>
              <w:ind w:left="179"/>
            </w:pPr>
            <w:r>
              <w:rPr>
                <w:spacing w:val="3"/>
              </w:rPr>
              <w:t>医师，博导</w:t>
            </w:r>
          </w:p>
        </w:tc>
        <w:tc>
          <w:tcPr>
            <w:tcW w:w="2992" w:type="dxa"/>
            <w:vAlign w:val="top"/>
          </w:tcPr>
          <w:p w14:paraId="67A695A3">
            <w:pPr>
              <w:pStyle w:val="10"/>
              <w:spacing w:before="57" w:line="276" w:lineRule="auto"/>
              <w:ind w:left="772"/>
            </w:pPr>
            <w:r>
              <w:rPr>
                <w:spacing w:val="7"/>
              </w:rPr>
              <w:t>天津中医药大学</w:t>
            </w:r>
          </w:p>
          <w:p w14:paraId="4B131E71">
            <w:pPr>
              <w:pStyle w:val="10"/>
              <w:spacing w:before="61" w:line="276" w:lineRule="auto"/>
              <w:ind w:left="886"/>
            </w:pPr>
            <w:r>
              <w:rPr>
                <w:spacing w:val="5"/>
              </w:rPr>
              <w:t>第一附属医院</w:t>
            </w:r>
          </w:p>
        </w:tc>
        <w:tc>
          <w:tcPr>
            <w:tcW w:w="3263" w:type="dxa"/>
            <w:vAlign w:val="top"/>
          </w:tcPr>
          <w:p w14:paraId="1EF7711F">
            <w:pPr>
              <w:pStyle w:val="10"/>
              <w:spacing w:before="213" w:line="276" w:lineRule="auto"/>
              <w:ind w:right="14"/>
              <w:jc w:val="right"/>
            </w:pPr>
            <w:r>
              <w:rPr>
                <w:spacing w:val="8"/>
              </w:rPr>
              <w:t>指导标准制订，参加专家论证会。</w:t>
            </w:r>
          </w:p>
        </w:tc>
      </w:tr>
      <w:tr w14:paraId="2E85E0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jc w:val="center"/>
        </w:trPr>
        <w:tc>
          <w:tcPr>
            <w:tcW w:w="957" w:type="dxa"/>
            <w:vAlign w:val="top"/>
          </w:tcPr>
          <w:p w14:paraId="59745F98">
            <w:pPr>
              <w:pStyle w:val="10"/>
              <w:spacing w:before="215" w:line="276" w:lineRule="auto"/>
              <w:ind w:left="177"/>
            </w:pPr>
            <w:r>
              <w:rPr>
                <w:spacing w:val="4"/>
              </w:rPr>
              <w:t>王有鹏</w:t>
            </w:r>
          </w:p>
        </w:tc>
        <w:tc>
          <w:tcPr>
            <w:tcW w:w="703" w:type="dxa"/>
            <w:vAlign w:val="top"/>
          </w:tcPr>
          <w:p w14:paraId="2B4D4E18">
            <w:pPr>
              <w:pStyle w:val="10"/>
              <w:spacing w:before="215" w:line="276" w:lineRule="auto"/>
              <w:ind w:left="151"/>
            </w:pPr>
            <w:r>
              <w:rPr>
                <w:spacing w:val="1"/>
              </w:rPr>
              <w:t>博士</w:t>
            </w:r>
          </w:p>
        </w:tc>
        <w:tc>
          <w:tcPr>
            <w:tcW w:w="1353" w:type="dxa"/>
            <w:vAlign w:val="top"/>
          </w:tcPr>
          <w:p w14:paraId="2C851549">
            <w:pPr>
              <w:pStyle w:val="10"/>
              <w:spacing w:before="58" w:line="276" w:lineRule="auto"/>
              <w:ind w:left="161"/>
            </w:pPr>
            <w:r>
              <w:rPr>
                <w:spacing w:val="7"/>
              </w:rPr>
              <w:t>教授、主任</w:t>
            </w:r>
          </w:p>
          <w:p w14:paraId="1E4CA0DC">
            <w:pPr>
              <w:pStyle w:val="10"/>
              <w:spacing w:before="60" w:line="276" w:lineRule="auto"/>
              <w:ind w:left="179"/>
            </w:pPr>
            <w:r>
              <w:rPr>
                <w:spacing w:val="3"/>
              </w:rPr>
              <w:t>医师，博导</w:t>
            </w:r>
          </w:p>
        </w:tc>
        <w:tc>
          <w:tcPr>
            <w:tcW w:w="2992" w:type="dxa"/>
            <w:vAlign w:val="top"/>
          </w:tcPr>
          <w:p w14:paraId="1FAB7025">
            <w:pPr>
              <w:pStyle w:val="10"/>
              <w:spacing w:before="59" w:line="276" w:lineRule="auto"/>
              <w:ind w:left="673"/>
            </w:pPr>
            <w:r>
              <w:rPr>
                <w:spacing w:val="7"/>
              </w:rPr>
              <w:t>黑龙江中医药大学</w:t>
            </w:r>
          </w:p>
          <w:p w14:paraId="13F95ED4">
            <w:pPr>
              <w:pStyle w:val="10"/>
              <w:spacing w:before="61" w:line="276" w:lineRule="auto"/>
              <w:ind w:left="886"/>
            </w:pPr>
            <w:r>
              <w:rPr>
                <w:spacing w:val="5"/>
              </w:rPr>
              <w:t>附属第二医院</w:t>
            </w:r>
          </w:p>
        </w:tc>
        <w:tc>
          <w:tcPr>
            <w:tcW w:w="3263" w:type="dxa"/>
            <w:vAlign w:val="top"/>
          </w:tcPr>
          <w:p w14:paraId="501F9F10">
            <w:pPr>
              <w:pStyle w:val="10"/>
              <w:spacing w:before="215" w:line="276" w:lineRule="auto"/>
              <w:ind w:right="14"/>
              <w:jc w:val="right"/>
            </w:pPr>
            <w:r>
              <w:rPr>
                <w:spacing w:val="8"/>
              </w:rPr>
              <w:t>指导标准制订，参加专家论证会。</w:t>
            </w:r>
          </w:p>
        </w:tc>
      </w:tr>
      <w:tr w14:paraId="068ADF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jc w:val="center"/>
        </w:trPr>
        <w:tc>
          <w:tcPr>
            <w:tcW w:w="957" w:type="dxa"/>
            <w:vAlign w:val="top"/>
          </w:tcPr>
          <w:p w14:paraId="62CFF905">
            <w:pPr>
              <w:pStyle w:val="10"/>
              <w:spacing w:before="214" w:line="276" w:lineRule="auto"/>
              <w:ind w:left="177"/>
            </w:pPr>
            <w:r>
              <w:rPr>
                <w:spacing w:val="4"/>
              </w:rPr>
              <w:t>王丽丽</w:t>
            </w:r>
          </w:p>
        </w:tc>
        <w:tc>
          <w:tcPr>
            <w:tcW w:w="703" w:type="dxa"/>
            <w:vAlign w:val="top"/>
          </w:tcPr>
          <w:p w14:paraId="143ADFEA">
            <w:pPr>
              <w:pStyle w:val="10"/>
              <w:spacing w:before="215" w:line="276" w:lineRule="auto"/>
              <w:ind w:left="148"/>
            </w:pPr>
            <w:r>
              <w:rPr>
                <w:spacing w:val="2"/>
              </w:rPr>
              <w:t>硕士</w:t>
            </w:r>
          </w:p>
        </w:tc>
        <w:tc>
          <w:tcPr>
            <w:tcW w:w="1353" w:type="dxa"/>
            <w:vAlign w:val="top"/>
          </w:tcPr>
          <w:p w14:paraId="1C50A705">
            <w:pPr>
              <w:pStyle w:val="10"/>
              <w:spacing w:before="214" w:line="276" w:lineRule="auto"/>
              <w:ind w:left="376"/>
            </w:pPr>
            <w:r>
              <w:rPr>
                <w:spacing w:val="3"/>
              </w:rPr>
              <w:t>副编审</w:t>
            </w:r>
          </w:p>
        </w:tc>
        <w:tc>
          <w:tcPr>
            <w:tcW w:w="2992" w:type="dxa"/>
            <w:vAlign w:val="top"/>
          </w:tcPr>
          <w:p w14:paraId="0C191D62">
            <w:pPr>
              <w:pStyle w:val="10"/>
              <w:spacing w:before="59" w:line="276" w:lineRule="auto"/>
              <w:ind w:left="1006" w:right="445" w:hanging="547"/>
            </w:pPr>
            <w:r>
              <w:rPr>
                <w:spacing w:val="8"/>
              </w:rPr>
              <w:t>世界中医药学会联合会</w:t>
            </w:r>
            <w:r>
              <w:rPr>
                <w:spacing w:val="2"/>
              </w:rPr>
              <w:t>国际标准部</w:t>
            </w:r>
          </w:p>
        </w:tc>
        <w:tc>
          <w:tcPr>
            <w:tcW w:w="3263" w:type="dxa"/>
            <w:vAlign w:val="top"/>
          </w:tcPr>
          <w:p w14:paraId="627B77F5">
            <w:pPr>
              <w:pStyle w:val="10"/>
              <w:spacing w:before="214" w:line="276" w:lineRule="auto"/>
              <w:ind w:right="14"/>
              <w:jc w:val="right"/>
            </w:pPr>
            <w:r>
              <w:rPr>
                <w:spacing w:val="8"/>
              </w:rPr>
              <w:t>指导标准制订，参加专家论证会。</w:t>
            </w:r>
          </w:p>
        </w:tc>
      </w:tr>
      <w:tr w14:paraId="13E30E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jc w:val="center"/>
        </w:trPr>
        <w:tc>
          <w:tcPr>
            <w:tcW w:w="957" w:type="dxa"/>
            <w:vAlign w:val="top"/>
          </w:tcPr>
          <w:p w14:paraId="33CB6D11">
            <w:pPr>
              <w:pStyle w:val="10"/>
              <w:spacing w:before="215" w:line="276" w:lineRule="auto"/>
              <w:ind w:left="177"/>
            </w:pPr>
            <w:r>
              <w:rPr>
                <w:spacing w:val="4"/>
              </w:rPr>
              <w:t>王素梅</w:t>
            </w:r>
          </w:p>
        </w:tc>
        <w:tc>
          <w:tcPr>
            <w:tcW w:w="703" w:type="dxa"/>
            <w:vAlign w:val="top"/>
          </w:tcPr>
          <w:p w14:paraId="4BE76ABB">
            <w:pPr>
              <w:pStyle w:val="10"/>
              <w:spacing w:before="215" w:line="276" w:lineRule="auto"/>
              <w:ind w:left="158"/>
            </w:pPr>
            <w:r>
              <w:rPr>
                <w:spacing w:val="-3"/>
              </w:rPr>
              <w:t>学士</w:t>
            </w:r>
          </w:p>
        </w:tc>
        <w:tc>
          <w:tcPr>
            <w:tcW w:w="1353" w:type="dxa"/>
            <w:vAlign w:val="top"/>
          </w:tcPr>
          <w:p w14:paraId="63F1E1C4">
            <w:pPr>
              <w:pStyle w:val="10"/>
              <w:spacing w:before="59" w:line="276" w:lineRule="auto"/>
              <w:ind w:left="161"/>
            </w:pPr>
            <w:r>
              <w:rPr>
                <w:spacing w:val="7"/>
              </w:rPr>
              <w:t>教授、主任</w:t>
            </w:r>
          </w:p>
          <w:p w14:paraId="7F1FDEF5">
            <w:pPr>
              <w:pStyle w:val="10"/>
              <w:spacing w:before="60" w:line="276" w:lineRule="auto"/>
              <w:ind w:left="179"/>
            </w:pPr>
            <w:r>
              <w:rPr>
                <w:spacing w:val="3"/>
              </w:rPr>
              <w:t>医师，博导</w:t>
            </w:r>
          </w:p>
        </w:tc>
        <w:tc>
          <w:tcPr>
            <w:tcW w:w="2992" w:type="dxa"/>
            <w:vAlign w:val="top"/>
          </w:tcPr>
          <w:p w14:paraId="425E8D3A">
            <w:pPr>
              <w:pStyle w:val="10"/>
              <w:spacing w:before="215" w:line="276" w:lineRule="auto"/>
              <w:ind w:left="357"/>
            </w:pPr>
            <w:r>
              <w:rPr>
                <w:spacing w:val="8"/>
              </w:rPr>
              <w:t>北京中医药大学东方医院</w:t>
            </w:r>
          </w:p>
        </w:tc>
        <w:tc>
          <w:tcPr>
            <w:tcW w:w="3263" w:type="dxa"/>
            <w:vAlign w:val="top"/>
          </w:tcPr>
          <w:p w14:paraId="09004115">
            <w:pPr>
              <w:pStyle w:val="10"/>
              <w:spacing w:before="215" w:line="276" w:lineRule="auto"/>
              <w:ind w:right="14"/>
              <w:jc w:val="right"/>
            </w:pPr>
            <w:r>
              <w:rPr>
                <w:spacing w:val="8"/>
              </w:rPr>
              <w:t>指导标准制订，参加专家论证会。</w:t>
            </w:r>
          </w:p>
        </w:tc>
      </w:tr>
      <w:tr w14:paraId="0E76F6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jc w:val="center"/>
        </w:trPr>
        <w:tc>
          <w:tcPr>
            <w:tcW w:w="957" w:type="dxa"/>
            <w:vAlign w:val="top"/>
          </w:tcPr>
          <w:p w14:paraId="416B134D">
            <w:pPr>
              <w:pStyle w:val="10"/>
              <w:spacing w:before="215" w:line="276" w:lineRule="auto"/>
              <w:ind w:left="179"/>
            </w:pPr>
            <w:r>
              <w:rPr>
                <w:spacing w:val="3"/>
              </w:rPr>
              <w:t>史正刚</w:t>
            </w:r>
          </w:p>
        </w:tc>
        <w:tc>
          <w:tcPr>
            <w:tcW w:w="703" w:type="dxa"/>
            <w:vAlign w:val="top"/>
          </w:tcPr>
          <w:p w14:paraId="4F9A029E">
            <w:pPr>
              <w:pStyle w:val="10"/>
              <w:spacing w:before="216" w:line="276" w:lineRule="auto"/>
              <w:ind w:left="151"/>
            </w:pPr>
            <w:r>
              <w:rPr>
                <w:spacing w:val="1"/>
              </w:rPr>
              <w:t>博士</w:t>
            </w:r>
          </w:p>
        </w:tc>
        <w:tc>
          <w:tcPr>
            <w:tcW w:w="1353" w:type="dxa"/>
            <w:vAlign w:val="top"/>
          </w:tcPr>
          <w:p w14:paraId="770F9431">
            <w:pPr>
              <w:pStyle w:val="10"/>
              <w:spacing w:before="59" w:line="276" w:lineRule="auto"/>
              <w:ind w:left="161"/>
            </w:pPr>
            <w:r>
              <w:rPr>
                <w:spacing w:val="7"/>
              </w:rPr>
              <w:t>教授、主任</w:t>
            </w:r>
          </w:p>
          <w:p w14:paraId="2116A0D8">
            <w:pPr>
              <w:pStyle w:val="10"/>
              <w:spacing w:before="60" w:line="276" w:lineRule="auto"/>
              <w:ind w:left="179"/>
            </w:pPr>
            <w:r>
              <w:rPr>
                <w:spacing w:val="3"/>
              </w:rPr>
              <w:t>医师，博导</w:t>
            </w:r>
          </w:p>
        </w:tc>
        <w:tc>
          <w:tcPr>
            <w:tcW w:w="2992" w:type="dxa"/>
            <w:vAlign w:val="top"/>
          </w:tcPr>
          <w:p w14:paraId="6D39DC50">
            <w:pPr>
              <w:pStyle w:val="10"/>
              <w:spacing w:before="216" w:line="276" w:lineRule="auto"/>
              <w:ind w:left="773"/>
            </w:pPr>
            <w:r>
              <w:rPr>
                <w:spacing w:val="7"/>
              </w:rPr>
              <w:t>甘肃中医药大学</w:t>
            </w:r>
          </w:p>
        </w:tc>
        <w:tc>
          <w:tcPr>
            <w:tcW w:w="3263" w:type="dxa"/>
            <w:vAlign w:val="top"/>
          </w:tcPr>
          <w:p w14:paraId="6F4C3912">
            <w:pPr>
              <w:pStyle w:val="10"/>
              <w:spacing w:before="216" w:line="276" w:lineRule="auto"/>
              <w:ind w:right="14"/>
              <w:jc w:val="right"/>
            </w:pPr>
            <w:r>
              <w:rPr>
                <w:spacing w:val="8"/>
              </w:rPr>
              <w:t>指导标准制订，参加专家论证会。</w:t>
            </w:r>
          </w:p>
        </w:tc>
      </w:tr>
      <w:tr w14:paraId="270B92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jc w:val="center"/>
        </w:trPr>
        <w:tc>
          <w:tcPr>
            <w:tcW w:w="957" w:type="dxa"/>
            <w:vAlign w:val="top"/>
          </w:tcPr>
          <w:p w14:paraId="13F3C845">
            <w:pPr>
              <w:pStyle w:val="10"/>
              <w:spacing w:before="214" w:line="276" w:lineRule="auto"/>
              <w:ind w:left="176"/>
            </w:pPr>
            <w:r>
              <w:rPr>
                <w:spacing w:val="4"/>
              </w:rPr>
              <w:t>刘建忠</w:t>
            </w:r>
          </w:p>
        </w:tc>
        <w:tc>
          <w:tcPr>
            <w:tcW w:w="703" w:type="dxa"/>
            <w:vAlign w:val="top"/>
          </w:tcPr>
          <w:p w14:paraId="4DFCE23E">
            <w:pPr>
              <w:pStyle w:val="10"/>
              <w:spacing w:before="214" w:line="276" w:lineRule="auto"/>
              <w:ind w:left="151"/>
            </w:pPr>
            <w:r>
              <w:rPr>
                <w:spacing w:val="1"/>
              </w:rPr>
              <w:t>博士</w:t>
            </w:r>
          </w:p>
        </w:tc>
        <w:tc>
          <w:tcPr>
            <w:tcW w:w="1353" w:type="dxa"/>
            <w:vAlign w:val="top"/>
          </w:tcPr>
          <w:p w14:paraId="3958F865">
            <w:pPr>
              <w:pStyle w:val="10"/>
              <w:spacing w:before="58" w:line="276" w:lineRule="auto"/>
              <w:ind w:left="161"/>
            </w:pPr>
            <w:r>
              <w:rPr>
                <w:spacing w:val="7"/>
              </w:rPr>
              <w:t>教授、主任</w:t>
            </w:r>
          </w:p>
          <w:p w14:paraId="629BD36B">
            <w:pPr>
              <w:pStyle w:val="10"/>
              <w:spacing w:before="60" w:line="276" w:lineRule="auto"/>
              <w:ind w:left="179"/>
            </w:pPr>
            <w:r>
              <w:rPr>
                <w:spacing w:val="3"/>
              </w:rPr>
              <w:t>医师，博导</w:t>
            </w:r>
          </w:p>
        </w:tc>
        <w:tc>
          <w:tcPr>
            <w:tcW w:w="2992" w:type="dxa"/>
            <w:vAlign w:val="top"/>
          </w:tcPr>
          <w:p w14:paraId="1DDA2A2C">
            <w:pPr>
              <w:pStyle w:val="10"/>
              <w:spacing w:before="214" w:line="276" w:lineRule="auto"/>
              <w:ind w:left="777"/>
            </w:pPr>
            <w:r>
              <w:rPr>
                <w:spacing w:val="7"/>
              </w:rPr>
              <w:t>湖北中医药大学</w:t>
            </w:r>
          </w:p>
        </w:tc>
        <w:tc>
          <w:tcPr>
            <w:tcW w:w="3263" w:type="dxa"/>
            <w:vAlign w:val="top"/>
          </w:tcPr>
          <w:p w14:paraId="17B32981">
            <w:pPr>
              <w:pStyle w:val="10"/>
              <w:spacing w:before="214" w:line="276" w:lineRule="auto"/>
              <w:ind w:right="14"/>
              <w:jc w:val="right"/>
            </w:pPr>
            <w:r>
              <w:rPr>
                <w:spacing w:val="8"/>
              </w:rPr>
              <w:t>指导标准制订，参加专家论证会。</w:t>
            </w:r>
          </w:p>
        </w:tc>
      </w:tr>
      <w:tr w14:paraId="025237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jc w:val="center"/>
        </w:trPr>
        <w:tc>
          <w:tcPr>
            <w:tcW w:w="957" w:type="dxa"/>
            <w:vAlign w:val="top"/>
          </w:tcPr>
          <w:p w14:paraId="2ECC211C">
            <w:pPr>
              <w:pStyle w:val="10"/>
              <w:spacing w:before="215" w:line="276" w:lineRule="auto"/>
              <w:ind w:left="177"/>
            </w:pPr>
            <w:r>
              <w:rPr>
                <w:spacing w:val="4"/>
              </w:rPr>
              <w:t>张葆青</w:t>
            </w:r>
          </w:p>
        </w:tc>
        <w:tc>
          <w:tcPr>
            <w:tcW w:w="703" w:type="dxa"/>
            <w:vAlign w:val="top"/>
          </w:tcPr>
          <w:p w14:paraId="755FA4FD">
            <w:pPr>
              <w:pStyle w:val="10"/>
              <w:spacing w:before="215" w:line="276" w:lineRule="auto"/>
              <w:ind w:left="151"/>
            </w:pPr>
            <w:r>
              <w:rPr>
                <w:spacing w:val="1"/>
              </w:rPr>
              <w:t>博士</w:t>
            </w:r>
          </w:p>
        </w:tc>
        <w:tc>
          <w:tcPr>
            <w:tcW w:w="1353" w:type="dxa"/>
            <w:vAlign w:val="top"/>
          </w:tcPr>
          <w:p w14:paraId="257FBD51">
            <w:pPr>
              <w:pStyle w:val="10"/>
              <w:spacing w:before="59" w:line="276" w:lineRule="auto"/>
              <w:ind w:left="161"/>
            </w:pPr>
            <w:r>
              <w:rPr>
                <w:spacing w:val="7"/>
              </w:rPr>
              <w:t>教授、主任</w:t>
            </w:r>
          </w:p>
          <w:p w14:paraId="722097AF">
            <w:pPr>
              <w:pStyle w:val="10"/>
              <w:spacing w:before="60" w:line="276" w:lineRule="auto"/>
              <w:ind w:left="179"/>
            </w:pPr>
            <w:r>
              <w:rPr>
                <w:spacing w:val="3"/>
              </w:rPr>
              <w:t>医师，博导</w:t>
            </w:r>
          </w:p>
        </w:tc>
        <w:tc>
          <w:tcPr>
            <w:tcW w:w="2992" w:type="dxa"/>
            <w:vAlign w:val="top"/>
          </w:tcPr>
          <w:p w14:paraId="493B4695">
            <w:pPr>
              <w:pStyle w:val="10"/>
              <w:spacing w:before="215" w:line="276" w:lineRule="auto"/>
              <w:ind w:left="370"/>
            </w:pPr>
            <w:r>
              <w:rPr>
                <w:spacing w:val="6"/>
              </w:rPr>
              <w:t>山东中医药大学附属医院</w:t>
            </w:r>
          </w:p>
        </w:tc>
        <w:tc>
          <w:tcPr>
            <w:tcW w:w="3263" w:type="dxa"/>
            <w:vAlign w:val="top"/>
          </w:tcPr>
          <w:p w14:paraId="7C291D5A">
            <w:pPr>
              <w:pStyle w:val="10"/>
              <w:spacing w:before="215" w:line="276" w:lineRule="auto"/>
              <w:ind w:right="14"/>
              <w:jc w:val="right"/>
            </w:pPr>
            <w:r>
              <w:rPr>
                <w:spacing w:val="8"/>
              </w:rPr>
              <w:t>指导标准制订，参加专家论证会。</w:t>
            </w:r>
          </w:p>
        </w:tc>
      </w:tr>
      <w:tr w14:paraId="7E3711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jc w:val="center"/>
        </w:trPr>
        <w:tc>
          <w:tcPr>
            <w:tcW w:w="957" w:type="dxa"/>
            <w:vAlign w:val="top"/>
          </w:tcPr>
          <w:p w14:paraId="11613E3C">
            <w:pPr>
              <w:pStyle w:val="10"/>
              <w:spacing w:before="216" w:line="276" w:lineRule="auto"/>
              <w:ind w:left="177"/>
            </w:pPr>
            <w:r>
              <w:rPr>
                <w:spacing w:val="-4"/>
              </w:rPr>
              <w:t>俞</w:t>
            </w:r>
            <w:r>
              <w:rPr>
                <w:spacing w:val="12"/>
              </w:rPr>
              <w:t xml:space="preserve">  </w:t>
            </w:r>
            <w:r>
              <w:rPr>
                <w:spacing w:val="-4"/>
              </w:rPr>
              <w:t>建</w:t>
            </w:r>
          </w:p>
        </w:tc>
        <w:tc>
          <w:tcPr>
            <w:tcW w:w="703" w:type="dxa"/>
            <w:vAlign w:val="top"/>
          </w:tcPr>
          <w:p w14:paraId="5626B80A">
            <w:pPr>
              <w:pStyle w:val="10"/>
              <w:spacing w:before="216" w:line="276" w:lineRule="auto"/>
              <w:ind w:left="151"/>
            </w:pPr>
            <w:r>
              <w:rPr>
                <w:spacing w:val="1"/>
              </w:rPr>
              <w:t>博士</w:t>
            </w:r>
          </w:p>
        </w:tc>
        <w:tc>
          <w:tcPr>
            <w:tcW w:w="1353" w:type="dxa"/>
            <w:vAlign w:val="top"/>
          </w:tcPr>
          <w:p w14:paraId="30990D55">
            <w:pPr>
              <w:pStyle w:val="10"/>
              <w:spacing w:before="59" w:line="276" w:lineRule="auto"/>
              <w:ind w:left="161"/>
            </w:pPr>
            <w:r>
              <w:rPr>
                <w:spacing w:val="7"/>
              </w:rPr>
              <w:t>教授、主任</w:t>
            </w:r>
          </w:p>
          <w:p w14:paraId="7DE81B48">
            <w:pPr>
              <w:pStyle w:val="10"/>
              <w:spacing w:before="60" w:line="276" w:lineRule="auto"/>
              <w:ind w:left="179"/>
            </w:pPr>
            <w:r>
              <w:rPr>
                <w:spacing w:val="3"/>
              </w:rPr>
              <w:t>医师，硕导</w:t>
            </w:r>
          </w:p>
        </w:tc>
        <w:tc>
          <w:tcPr>
            <w:tcW w:w="2992" w:type="dxa"/>
            <w:vAlign w:val="top"/>
          </w:tcPr>
          <w:p w14:paraId="097C9877">
            <w:pPr>
              <w:pStyle w:val="10"/>
              <w:spacing w:before="216" w:line="276" w:lineRule="auto"/>
              <w:ind w:left="467"/>
            </w:pPr>
            <w:r>
              <w:rPr>
                <w:spacing w:val="7"/>
              </w:rPr>
              <w:t>复旦大学附属儿科医院</w:t>
            </w:r>
          </w:p>
        </w:tc>
        <w:tc>
          <w:tcPr>
            <w:tcW w:w="3263" w:type="dxa"/>
            <w:vAlign w:val="top"/>
          </w:tcPr>
          <w:p w14:paraId="5FDB5EAA">
            <w:pPr>
              <w:pStyle w:val="10"/>
              <w:spacing w:before="216" w:line="276" w:lineRule="auto"/>
              <w:ind w:right="14"/>
              <w:jc w:val="right"/>
            </w:pPr>
            <w:r>
              <w:rPr>
                <w:spacing w:val="8"/>
              </w:rPr>
              <w:t>指导标准制订，参加专家论证会。</w:t>
            </w:r>
          </w:p>
        </w:tc>
      </w:tr>
    </w:tbl>
    <w:tbl>
      <w:tblPr>
        <w:tblStyle w:val="6"/>
        <w:tblpPr w:leftFromText="180" w:rightFromText="180" w:vertAnchor="text" w:horzAnchor="page" w:tblpX="1513" w:tblpY="-2378"/>
        <w:tblOverlap w:val="never"/>
        <w:tblW w:w="926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7"/>
        <w:gridCol w:w="703"/>
        <w:gridCol w:w="1353"/>
        <w:gridCol w:w="2992"/>
        <w:gridCol w:w="3263"/>
      </w:tblGrid>
      <w:tr w14:paraId="7B95E4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957" w:type="dxa"/>
            <w:vAlign w:val="top"/>
          </w:tcPr>
          <w:p w14:paraId="5605E6ED">
            <w:pPr>
              <w:pStyle w:val="10"/>
              <w:spacing w:before="214" w:line="276" w:lineRule="auto"/>
              <w:ind w:left="176"/>
            </w:pPr>
            <w:r>
              <w:rPr>
                <w:spacing w:val="4"/>
              </w:rPr>
              <w:t>虞坚尔</w:t>
            </w:r>
          </w:p>
        </w:tc>
        <w:tc>
          <w:tcPr>
            <w:tcW w:w="703" w:type="dxa"/>
            <w:vAlign w:val="top"/>
          </w:tcPr>
          <w:p w14:paraId="3DCFB335">
            <w:pPr>
              <w:pStyle w:val="10"/>
              <w:spacing w:before="215" w:line="276" w:lineRule="auto"/>
              <w:ind w:left="148"/>
            </w:pPr>
            <w:r>
              <w:rPr>
                <w:spacing w:val="2"/>
              </w:rPr>
              <w:t>硕士</w:t>
            </w:r>
          </w:p>
        </w:tc>
        <w:tc>
          <w:tcPr>
            <w:tcW w:w="1353" w:type="dxa"/>
            <w:vAlign w:val="top"/>
          </w:tcPr>
          <w:p w14:paraId="18484E22">
            <w:pPr>
              <w:pStyle w:val="10"/>
              <w:spacing w:before="58" w:line="276" w:lineRule="auto"/>
              <w:ind w:left="161"/>
            </w:pPr>
            <w:r>
              <w:rPr>
                <w:spacing w:val="7"/>
              </w:rPr>
              <w:t>教授、主任</w:t>
            </w:r>
          </w:p>
          <w:p w14:paraId="5C8BBAE8">
            <w:pPr>
              <w:pStyle w:val="10"/>
              <w:spacing w:before="60" w:line="276" w:lineRule="auto"/>
              <w:ind w:left="179"/>
            </w:pPr>
            <w:r>
              <w:rPr>
                <w:spacing w:val="3"/>
              </w:rPr>
              <w:t>医师，博导</w:t>
            </w:r>
          </w:p>
        </w:tc>
        <w:tc>
          <w:tcPr>
            <w:tcW w:w="2992" w:type="dxa"/>
            <w:vAlign w:val="top"/>
          </w:tcPr>
          <w:p w14:paraId="41C2DE07">
            <w:pPr>
              <w:pStyle w:val="10"/>
              <w:spacing w:before="215" w:line="276" w:lineRule="auto"/>
              <w:ind w:left="773"/>
            </w:pPr>
            <w:r>
              <w:rPr>
                <w:spacing w:val="7"/>
              </w:rPr>
              <w:t>上海市中医医院</w:t>
            </w:r>
          </w:p>
        </w:tc>
        <w:tc>
          <w:tcPr>
            <w:tcW w:w="3263" w:type="dxa"/>
            <w:vAlign w:val="top"/>
          </w:tcPr>
          <w:p w14:paraId="7030335F">
            <w:pPr>
              <w:pStyle w:val="10"/>
              <w:spacing w:before="215" w:line="276" w:lineRule="auto"/>
              <w:ind w:right="14"/>
              <w:jc w:val="right"/>
            </w:pPr>
            <w:r>
              <w:rPr>
                <w:spacing w:val="8"/>
              </w:rPr>
              <w:t>指导标准制订，参加专家论证会。</w:t>
            </w:r>
          </w:p>
        </w:tc>
      </w:tr>
      <w:tr w14:paraId="12CFB8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57" w:type="dxa"/>
            <w:vAlign w:val="top"/>
          </w:tcPr>
          <w:p w14:paraId="201D3AF9">
            <w:pPr>
              <w:pStyle w:val="10"/>
              <w:spacing w:before="212" w:line="276" w:lineRule="auto"/>
              <w:ind w:left="185"/>
            </w:pPr>
            <w:r>
              <w:rPr>
                <w:spacing w:val="-8"/>
              </w:rPr>
              <w:t>熊</w:t>
            </w:r>
            <w:r>
              <w:rPr>
                <w:spacing w:val="13"/>
              </w:rPr>
              <w:t xml:space="preserve">  </w:t>
            </w:r>
            <w:r>
              <w:rPr>
                <w:spacing w:val="-8"/>
              </w:rPr>
              <w:t>磊</w:t>
            </w:r>
          </w:p>
        </w:tc>
        <w:tc>
          <w:tcPr>
            <w:tcW w:w="703" w:type="dxa"/>
            <w:vAlign w:val="top"/>
          </w:tcPr>
          <w:p w14:paraId="269B44C5">
            <w:pPr>
              <w:pStyle w:val="10"/>
              <w:spacing w:before="213" w:line="276" w:lineRule="auto"/>
              <w:ind w:left="148"/>
            </w:pPr>
            <w:r>
              <w:rPr>
                <w:spacing w:val="2"/>
              </w:rPr>
              <w:t>硕士</w:t>
            </w:r>
          </w:p>
        </w:tc>
        <w:tc>
          <w:tcPr>
            <w:tcW w:w="1353" w:type="dxa"/>
            <w:vAlign w:val="top"/>
          </w:tcPr>
          <w:p w14:paraId="364C050E">
            <w:pPr>
              <w:pStyle w:val="10"/>
              <w:spacing w:before="212" w:line="276" w:lineRule="auto"/>
              <w:ind w:left="161"/>
            </w:pPr>
            <w:r>
              <w:rPr>
                <w:spacing w:val="7"/>
              </w:rPr>
              <w:t>教授，博导</w:t>
            </w:r>
          </w:p>
        </w:tc>
        <w:tc>
          <w:tcPr>
            <w:tcW w:w="2992" w:type="dxa"/>
            <w:vAlign w:val="top"/>
          </w:tcPr>
          <w:p w14:paraId="46034494">
            <w:pPr>
              <w:pStyle w:val="10"/>
              <w:spacing w:before="212" w:line="276" w:lineRule="auto"/>
              <w:ind w:left="144"/>
            </w:pPr>
            <w:r>
              <w:rPr>
                <w:spacing w:val="8"/>
              </w:rPr>
              <w:t>云南中医药大学第一附属医院</w:t>
            </w:r>
          </w:p>
        </w:tc>
        <w:tc>
          <w:tcPr>
            <w:tcW w:w="3263" w:type="dxa"/>
            <w:vAlign w:val="top"/>
          </w:tcPr>
          <w:p w14:paraId="4D3CEA61">
            <w:pPr>
              <w:pStyle w:val="10"/>
              <w:spacing w:before="213" w:line="276" w:lineRule="auto"/>
              <w:ind w:right="14"/>
              <w:jc w:val="right"/>
            </w:pPr>
            <w:r>
              <w:rPr>
                <w:spacing w:val="8"/>
              </w:rPr>
              <w:t>指导标准制订，参加专家论证会。</w:t>
            </w:r>
          </w:p>
        </w:tc>
      </w:tr>
      <w:tr w14:paraId="0A2A36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4" w:hRule="atLeast"/>
        </w:trPr>
        <w:tc>
          <w:tcPr>
            <w:tcW w:w="957" w:type="dxa"/>
            <w:vAlign w:val="top"/>
          </w:tcPr>
          <w:p w14:paraId="206131B2">
            <w:pPr>
              <w:spacing w:line="276" w:lineRule="auto"/>
              <w:rPr>
                <w:rFonts w:ascii="Arial"/>
                <w:sz w:val="21"/>
              </w:rPr>
            </w:pPr>
          </w:p>
          <w:p w14:paraId="4C3CC960">
            <w:pPr>
              <w:pStyle w:val="10"/>
              <w:spacing w:before="65" w:line="276" w:lineRule="auto"/>
              <w:ind w:left="175"/>
            </w:pPr>
            <w:r>
              <w:rPr>
                <w:spacing w:val="5"/>
              </w:rPr>
              <w:t>戴启刚</w:t>
            </w:r>
          </w:p>
        </w:tc>
        <w:tc>
          <w:tcPr>
            <w:tcW w:w="703" w:type="dxa"/>
            <w:vAlign w:val="top"/>
          </w:tcPr>
          <w:p w14:paraId="3E9D1C5D">
            <w:pPr>
              <w:spacing w:line="276" w:lineRule="auto"/>
              <w:rPr>
                <w:rFonts w:ascii="Arial"/>
                <w:sz w:val="21"/>
              </w:rPr>
            </w:pPr>
          </w:p>
          <w:p w14:paraId="052509C5">
            <w:pPr>
              <w:pStyle w:val="10"/>
              <w:spacing w:before="65" w:line="276" w:lineRule="auto"/>
              <w:ind w:left="151"/>
            </w:pPr>
            <w:r>
              <w:rPr>
                <w:spacing w:val="1"/>
              </w:rPr>
              <w:t>博士</w:t>
            </w:r>
          </w:p>
        </w:tc>
        <w:tc>
          <w:tcPr>
            <w:tcW w:w="1353" w:type="dxa"/>
            <w:vAlign w:val="top"/>
          </w:tcPr>
          <w:p w14:paraId="36C2EDF0">
            <w:pPr>
              <w:pStyle w:val="10"/>
              <w:spacing w:before="54" w:line="276" w:lineRule="auto"/>
              <w:ind w:left="167"/>
            </w:pPr>
            <w:r>
              <w:rPr>
                <w:spacing w:val="7"/>
              </w:rPr>
              <w:t>副教授，主</w:t>
            </w:r>
          </w:p>
          <w:p w14:paraId="0A9F6EE1">
            <w:pPr>
              <w:pStyle w:val="10"/>
              <w:spacing w:before="60" w:line="276" w:lineRule="auto"/>
              <w:ind w:left="582" w:right="151" w:hanging="421"/>
            </w:pPr>
            <w:r>
              <w:rPr>
                <w:spacing w:val="7"/>
              </w:rPr>
              <w:t>任医师，硕</w:t>
            </w:r>
            <w:r>
              <w:t>导</w:t>
            </w:r>
          </w:p>
        </w:tc>
        <w:tc>
          <w:tcPr>
            <w:tcW w:w="2992" w:type="dxa"/>
            <w:vAlign w:val="top"/>
          </w:tcPr>
          <w:p w14:paraId="1086AFD1">
            <w:pPr>
              <w:spacing w:line="276" w:lineRule="auto"/>
              <w:rPr>
                <w:rFonts w:ascii="Arial"/>
                <w:sz w:val="21"/>
              </w:rPr>
            </w:pPr>
          </w:p>
          <w:p w14:paraId="12C85E0D">
            <w:pPr>
              <w:pStyle w:val="10"/>
              <w:spacing w:before="65" w:line="276" w:lineRule="auto"/>
              <w:ind w:left="781"/>
            </w:pPr>
            <w:r>
              <w:rPr>
                <w:spacing w:val="6"/>
              </w:rPr>
              <w:t>南京中医药大学</w:t>
            </w:r>
          </w:p>
        </w:tc>
        <w:tc>
          <w:tcPr>
            <w:tcW w:w="3263" w:type="dxa"/>
            <w:vAlign w:val="top"/>
          </w:tcPr>
          <w:p w14:paraId="125EAB32">
            <w:pPr>
              <w:spacing w:line="276" w:lineRule="auto"/>
              <w:rPr>
                <w:rFonts w:ascii="Arial"/>
                <w:sz w:val="21"/>
              </w:rPr>
            </w:pPr>
          </w:p>
          <w:p w14:paraId="60DB2AA3">
            <w:pPr>
              <w:pStyle w:val="10"/>
              <w:spacing w:before="65" w:line="276" w:lineRule="auto"/>
              <w:ind w:right="14"/>
              <w:jc w:val="right"/>
            </w:pPr>
            <w:r>
              <w:rPr>
                <w:spacing w:val="8"/>
              </w:rPr>
              <w:t>指导标准制订，参加专家论证会。</w:t>
            </w:r>
          </w:p>
        </w:tc>
      </w:tr>
    </w:tbl>
    <w:p w14:paraId="0F3C77B7">
      <w:pPr>
        <w:pStyle w:val="3"/>
        <w:spacing w:line="276" w:lineRule="auto"/>
        <w:rPr>
          <w:sz w:val="10"/>
        </w:rPr>
      </w:pPr>
    </w:p>
    <w:p w14:paraId="6D00511D">
      <w:pPr>
        <w:spacing w:before="115" w:line="276" w:lineRule="auto"/>
        <w:ind w:left="505"/>
        <w:rPr>
          <w:rFonts w:ascii="仿宋" w:hAnsi="仿宋" w:eastAsia="仿宋" w:cs="仿宋"/>
          <w:sz w:val="24"/>
          <w:szCs w:val="24"/>
        </w:rPr>
      </w:pPr>
      <w:r>
        <w:rPr>
          <w:rFonts w:ascii="仿宋" w:hAnsi="仿宋" w:eastAsia="仿宋" w:cs="仿宋"/>
          <w:b/>
          <w:bCs/>
          <w:spacing w:val="-5"/>
          <w:sz w:val="24"/>
          <w:szCs w:val="24"/>
        </w:rPr>
        <w:t>（四）主要工作过程</w:t>
      </w:r>
    </w:p>
    <w:p w14:paraId="095D91DE">
      <w:pPr>
        <w:spacing w:before="110" w:line="276" w:lineRule="auto"/>
        <w:ind w:left="21" w:right="83" w:firstLine="470"/>
        <w:jc w:val="both"/>
        <w:rPr>
          <w:rFonts w:ascii="仿宋" w:hAnsi="仿宋" w:eastAsia="仿宋" w:cs="仿宋"/>
          <w:sz w:val="24"/>
          <w:szCs w:val="24"/>
        </w:rPr>
      </w:pPr>
      <w:r>
        <w:rPr>
          <w:rFonts w:ascii="仿宋" w:hAnsi="仿宋" w:eastAsia="仿宋" w:cs="仿宋"/>
          <w:spacing w:val="-2"/>
          <w:sz w:val="24"/>
          <w:szCs w:val="24"/>
        </w:rPr>
        <w:t>本标准编制过程严格遵循世界中联</w:t>
      </w:r>
      <w:r>
        <w:rPr>
          <w:rFonts w:ascii="仿宋" w:hAnsi="仿宋" w:eastAsia="仿宋" w:cs="仿宋"/>
          <w:spacing w:val="-50"/>
          <w:sz w:val="24"/>
          <w:szCs w:val="24"/>
        </w:rPr>
        <w:t xml:space="preserve"> </w:t>
      </w:r>
      <w:r>
        <w:rPr>
          <w:rFonts w:ascii="仿宋" w:hAnsi="仿宋" w:eastAsia="仿宋" w:cs="仿宋"/>
          <w:spacing w:val="-2"/>
          <w:sz w:val="24"/>
          <w:szCs w:val="24"/>
        </w:rPr>
        <w:t>SCM</w:t>
      </w:r>
      <w:r>
        <w:rPr>
          <w:rFonts w:ascii="仿宋" w:hAnsi="仿宋" w:eastAsia="仿宋" w:cs="仿宋"/>
          <w:spacing w:val="-32"/>
          <w:sz w:val="24"/>
          <w:szCs w:val="24"/>
        </w:rPr>
        <w:t xml:space="preserve"> </w:t>
      </w:r>
      <w:r>
        <w:rPr>
          <w:rFonts w:ascii="仿宋" w:hAnsi="仿宋" w:eastAsia="仿宋" w:cs="仿宋"/>
          <w:spacing w:val="-2"/>
          <w:sz w:val="24"/>
          <w:szCs w:val="24"/>
        </w:rPr>
        <w:t>1.1-2021《标准化工作</w:t>
      </w:r>
      <w:r>
        <w:rPr>
          <w:rFonts w:ascii="仿宋" w:hAnsi="仿宋" w:eastAsia="仿宋" w:cs="仿宋"/>
          <w:spacing w:val="-3"/>
          <w:sz w:val="24"/>
          <w:szCs w:val="24"/>
        </w:rPr>
        <w:t>导则  第</w:t>
      </w:r>
      <w:r>
        <w:rPr>
          <w:rFonts w:ascii="仿宋" w:hAnsi="仿宋" w:eastAsia="仿宋" w:cs="仿宋"/>
          <w:spacing w:val="-34"/>
          <w:sz w:val="24"/>
          <w:szCs w:val="24"/>
        </w:rPr>
        <w:t xml:space="preserve"> </w:t>
      </w:r>
      <w:r>
        <w:rPr>
          <w:rFonts w:ascii="仿宋" w:hAnsi="仿宋" w:eastAsia="仿宋" w:cs="仿宋"/>
          <w:spacing w:val="-3"/>
          <w:sz w:val="24"/>
          <w:szCs w:val="24"/>
        </w:rPr>
        <w:t>1</w:t>
      </w:r>
      <w:r>
        <w:rPr>
          <w:rFonts w:ascii="仿宋" w:hAnsi="仿宋" w:eastAsia="仿宋" w:cs="仿宋"/>
          <w:spacing w:val="-43"/>
          <w:sz w:val="24"/>
          <w:szCs w:val="24"/>
        </w:rPr>
        <w:t xml:space="preserve"> </w:t>
      </w:r>
      <w:r>
        <w:rPr>
          <w:rFonts w:ascii="仿宋" w:hAnsi="仿宋" w:eastAsia="仿宋" w:cs="仿宋"/>
          <w:spacing w:val="-3"/>
          <w:sz w:val="24"/>
          <w:szCs w:val="24"/>
        </w:rPr>
        <w:t>部分：标准</w:t>
      </w:r>
      <w:r>
        <w:rPr>
          <w:rFonts w:ascii="仿宋" w:hAnsi="仿宋" w:eastAsia="仿宋" w:cs="仿宋"/>
          <w:spacing w:val="-1"/>
          <w:sz w:val="24"/>
          <w:szCs w:val="24"/>
        </w:rPr>
        <w:t>制修订与发布》的要求，确保转化工作的科学性、规范性和国际适配性。本标准的编制过</w:t>
      </w:r>
      <w:r>
        <w:rPr>
          <w:rFonts w:ascii="仿宋" w:hAnsi="仿宋" w:eastAsia="仿宋" w:cs="仿宋"/>
          <w:spacing w:val="-3"/>
          <w:sz w:val="24"/>
          <w:szCs w:val="24"/>
        </w:rPr>
        <w:t>程历经以下阶段：</w:t>
      </w:r>
    </w:p>
    <w:p w14:paraId="285F1CA8">
      <w:pPr>
        <w:spacing w:before="3" w:line="276" w:lineRule="auto"/>
        <w:ind w:left="22" w:right="80" w:firstLine="471"/>
        <w:jc w:val="both"/>
        <w:rPr>
          <w:rFonts w:ascii="仿宋" w:hAnsi="仿宋" w:eastAsia="仿宋" w:cs="仿宋"/>
          <w:sz w:val="24"/>
          <w:szCs w:val="24"/>
        </w:rPr>
      </w:pPr>
      <w:r>
        <w:rPr>
          <w:rFonts w:ascii="仿宋" w:hAnsi="仿宋" w:eastAsia="仿宋" w:cs="仿宋"/>
          <w:spacing w:val="-2"/>
          <w:sz w:val="24"/>
          <w:szCs w:val="24"/>
        </w:rPr>
        <w:t>准备阶段（2025</w:t>
      </w:r>
      <w:r>
        <w:rPr>
          <w:rFonts w:ascii="仿宋" w:hAnsi="仿宋" w:eastAsia="仿宋" w:cs="仿宋"/>
          <w:spacing w:val="-36"/>
          <w:sz w:val="24"/>
          <w:szCs w:val="24"/>
        </w:rPr>
        <w:t xml:space="preserve"> </w:t>
      </w:r>
      <w:r>
        <w:rPr>
          <w:rFonts w:ascii="仿宋" w:hAnsi="仿宋" w:eastAsia="仿宋" w:cs="仿宋"/>
          <w:spacing w:val="-2"/>
          <w:sz w:val="24"/>
          <w:szCs w:val="24"/>
        </w:rPr>
        <w:t>年</w:t>
      </w:r>
      <w:r>
        <w:rPr>
          <w:rFonts w:ascii="仿宋" w:hAnsi="仿宋" w:eastAsia="仿宋" w:cs="仿宋"/>
          <w:spacing w:val="-50"/>
          <w:sz w:val="24"/>
          <w:szCs w:val="24"/>
        </w:rPr>
        <w:t xml:space="preserve"> </w:t>
      </w:r>
      <w:r>
        <w:rPr>
          <w:rFonts w:ascii="仿宋" w:hAnsi="仿宋" w:eastAsia="仿宋" w:cs="仿宋"/>
          <w:spacing w:val="-2"/>
          <w:sz w:val="24"/>
          <w:szCs w:val="24"/>
        </w:rPr>
        <w:t>4</w:t>
      </w:r>
      <w:r>
        <w:rPr>
          <w:rFonts w:ascii="仿宋" w:hAnsi="仿宋" w:eastAsia="仿宋" w:cs="仿宋"/>
          <w:spacing w:val="-30"/>
          <w:sz w:val="24"/>
          <w:szCs w:val="24"/>
        </w:rPr>
        <w:t xml:space="preserve"> </w:t>
      </w:r>
      <w:r>
        <w:rPr>
          <w:rFonts w:ascii="仿宋" w:hAnsi="仿宋" w:eastAsia="仿宋" w:cs="仿宋"/>
          <w:spacing w:val="-2"/>
          <w:sz w:val="24"/>
          <w:szCs w:val="24"/>
        </w:rPr>
        <w:t>月-9</w:t>
      </w:r>
      <w:r>
        <w:rPr>
          <w:rFonts w:ascii="仿宋" w:hAnsi="仿宋" w:eastAsia="仿宋" w:cs="仿宋"/>
          <w:spacing w:val="-31"/>
          <w:sz w:val="24"/>
          <w:szCs w:val="24"/>
        </w:rPr>
        <w:t xml:space="preserve"> </w:t>
      </w:r>
      <w:r>
        <w:rPr>
          <w:rFonts w:ascii="仿宋" w:hAnsi="仿宋" w:eastAsia="仿宋" w:cs="仿宋"/>
          <w:spacing w:val="-2"/>
          <w:sz w:val="24"/>
          <w:szCs w:val="24"/>
        </w:rPr>
        <w:t>月</w:t>
      </w:r>
      <w:r>
        <w:rPr>
          <w:rFonts w:ascii="仿宋" w:hAnsi="仿宋" w:eastAsia="仿宋" w:cs="仿宋"/>
          <w:spacing w:val="-11"/>
          <w:sz w:val="24"/>
          <w:szCs w:val="24"/>
        </w:rPr>
        <w:t>）：</w:t>
      </w:r>
      <w:r>
        <w:rPr>
          <w:rFonts w:ascii="仿宋" w:hAnsi="仿宋" w:eastAsia="仿宋" w:cs="仿宋"/>
          <w:spacing w:val="-2"/>
          <w:sz w:val="24"/>
          <w:szCs w:val="24"/>
        </w:rPr>
        <w:t>2025</w:t>
      </w:r>
      <w:r>
        <w:rPr>
          <w:rFonts w:ascii="仿宋" w:hAnsi="仿宋" w:eastAsia="仿宋" w:cs="仿宋"/>
          <w:spacing w:val="-37"/>
          <w:sz w:val="24"/>
          <w:szCs w:val="24"/>
        </w:rPr>
        <w:t xml:space="preserve"> </w:t>
      </w:r>
      <w:r>
        <w:rPr>
          <w:rFonts w:ascii="仿宋" w:hAnsi="仿宋" w:eastAsia="仿宋" w:cs="仿宋"/>
          <w:spacing w:val="-2"/>
          <w:sz w:val="24"/>
          <w:szCs w:val="24"/>
        </w:rPr>
        <w:t>年</w:t>
      </w:r>
      <w:r>
        <w:rPr>
          <w:rFonts w:ascii="仿宋" w:hAnsi="仿宋" w:eastAsia="仿宋" w:cs="仿宋"/>
          <w:spacing w:val="-50"/>
          <w:sz w:val="24"/>
          <w:szCs w:val="24"/>
        </w:rPr>
        <w:t xml:space="preserve"> </w:t>
      </w:r>
      <w:r>
        <w:rPr>
          <w:rFonts w:ascii="仿宋" w:hAnsi="仿宋" w:eastAsia="仿宋" w:cs="仿宋"/>
          <w:spacing w:val="-2"/>
          <w:sz w:val="24"/>
          <w:szCs w:val="24"/>
        </w:rPr>
        <w:t>4</w:t>
      </w:r>
      <w:r>
        <w:rPr>
          <w:rFonts w:ascii="仿宋" w:hAnsi="仿宋" w:eastAsia="仿宋" w:cs="仿宋"/>
          <w:spacing w:val="-30"/>
          <w:sz w:val="24"/>
          <w:szCs w:val="24"/>
        </w:rPr>
        <w:t xml:space="preserve"> </w:t>
      </w:r>
      <w:r>
        <w:rPr>
          <w:rFonts w:ascii="仿宋" w:hAnsi="仿宋" w:eastAsia="仿宋" w:cs="仿宋"/>
          <w:spacing w:val="-2"/>
          <w:sz w:val="24"/>
          <w:szCs w:val="24"/>
        </w:rPr>
        <w:t>月，由汪受传教</w:t>
      </w:r>
      <w:r>
        <w:rPr>
          <w:rFonts w:ascii="仿宋" w:hAnsi="仿宋" w:eastAsia="仿宋" w:cs="仿宋"/>
          <w:spacing w:val="-3"/>
          <w:sz w:val="24"/>
          <w:szCs w:val="24"/>
        </w:rPr>
        <w:t>授担任总项目组组长，负</w:t>
      </w:r>
      <w:r>
        <w:rPr>
          <w:rFonts w:ascii="仿宋" w:hAnsi="仿宋" w:eastAsia="仿宋" w:cs="仿宋"/>
          <w:sz w:val="24"/>
          <w:szCs w:val="24"/>
        </w:rPr>
        <w:t>责指导5</w:t>
      </w:r>
      <w:r>
        <w:rPr>
          <w:rFonts w:ascii="仿宋" w:hAnsi="仿宋" w:eastAsia="仿宋" w:cs="仿宋"/>
          <w:spacing w:val="-26"/>
          <w:sz w:val="24"/>
          <w:szCs w:val="24"/>
        </w:rPr>
        <w:t xml:space="preserve"> </w:t>
      </w:r>
      <w:r>
        <w:rPr>
          <w:rFonts w:ascii="仿宋" w:hAnsi="仿宋" w:eastAsia="仿宋" w:cs="仿宋"/>
          <w:sz w:val="24"/>
          <w:szCs w:val="24"/>
        </w:rPr>
        <w:t>个项目工作，本项目由韩新民教授担任负责人。按世界中联要求撰写立项申报书</w:t>
      </w:r>
      <w:r>
        <w:rPr>
          <w:rFonts w:ascii="仿宋" w:hAnsi="仿宋" w:eastAsia="仿宋" w:cs="仿宋"/>
          <w:spacing w:val="-3"/>
          <w:sz w:val="24"/>
          <w:szCs w:val="24"/>
        </w:rPr>
        <w:t>及草案，5</w:t>
      </w:r>
      <w:r>
        <w:rPr>
          <w:rFonts w:ascii="仿宋" w:hAnsi="仿宋" w:eastAsia="仿宋" w:cs="仿宋"/>
          <w:spacing w:val="-26"/>
          <w:sz w:val="24"/>
          <w:szCs w:val="24"/>
        </w:rPr>
        <w:t xml:space="preserve"> </w:t>
      </w:r>
      <w:r>
        <w:rPr>
          <w:rFonts w:ascii="仿宋" w:hAnsi="仿宋" w:eastAsia="仿宋" w:cs="仿宋"/>
          <w:spacing w:val="-3"/>
          <w:sz w:val="24"/>
          <w:szCs w:val="24"/>
        </w:rPr>
        <w:t>月上报立项申报书和修改草案。世界中联接收立项书和草案，邀请专家评议，8</w:t>
      </w:r>
      <w:r>
        <w:rPr>
          <w:rFonts w:ascii="仿宋" w:hAnsi="仿宋" w:eastAsia="仿宋" w:cs="仿宋"/>
          <w:sz w:val="24"/>
          <w:szCs w:val="24"/>
        </w:rPr>
        <w:t>月专家意见返回，项目组讨论回复，对不接受的意见说明理由。9</w:t>
      </w:r>
      <w:r>
        <w:rPr>
          <w:rFonts w:ascii="仿宋" w:hAnsi="仿宋" w:eastAsia="仿宋" w:cs="仿宋"/>
          <w:spacing w:val="-27"/>
          <w:sz w:val="24"/>
          <w:szCs w:val="24"/>
        </w:rPr>
        <w:t xml:space="preserve"> </w:t>
      </w:r>
      <w:r>
        <w:rPr>
          <w:rFonts w:ascii="仿宋" w:hAnsi="仿宋" w:eastAsia="仿宋" w:cs="仿宋"/>
          <w:sz w:val="24"/>
          <w:szCs w:val="24"/>
        </w:rPr>
        <w:t>月世界中联发布本项目立项通知。正式转化工作从9</w:t>
      </w:r>
      <w:r>
        <w:rPr>
          <w:rFonts w:ascii="仿宋" w:hAnsi="仿宋" w:eastAsia="仿宋" w:cs="仿宋"/>
          <w:spacing w:val="-19"/>
          <w:sz w:val="24"/>
          <w:szCs w:val="24"/>
        </w:rPr>
        <w:t xml:space="preserve"> </w:t>
      </w:r>
      <w:r>
        <w:rPr>
          <w:rFonts w:ascii="仿宋" w:hAnsi="仿宋" w:eastAsia="仿宋" w:cs="仿宋"/>
          <w:sz w:val="24"/>
          <w:szCs w:val="24"/>
        </w:rPr>
        <w:t>月下旬开始，按照世界中联标准制修订要求开展。</w:t>
      </w:r>
    </w:p>
    <w:p w14:paraId="5851555C">
      <w:pPr>
        <w:spacing w:line="276" w:lineRule="auto"/>
        <w:ind w:left="10" w:right="83" w:firstLine="479"/>
        <w:jc w:val="both"/>
        <w:rPr>
          <w:rFonts w:ascii="仿宋" w:hAnsi="仿宋" w:eastAsia="仿宋" w:cs="仿宋"/>
          <w:sz w:val="24"/>
          <w:szCs w:val="24"/>
        </w:rPr>
      </w:pPr>
      <w:r>
        <w:rPr>
          <w:rFonts w:ascii="仿宋" w:hAnsi="仿宋" w:eastAsia="仿宋" w:cs="仿宋"/>
          <w:spacing w:val="-2"/>
          <w:sz w:val="24"/>
          <w:szCs w:val="24"/>
        </w:rPr>
        <w:t>文献研究（2025</w:t>
      </w:r>
      <w:r>
        <w:rPr>
          <w:rFonts w:ascii="仿宋" w:hAnsi="仿宋" w:eastAsia="仿宋" w:cs="仿宋"/>
          <w:spacing w:val="-39"/>
          <w:sz w:val="24"/>
          <w:szCs w:val="24"/>
        </w:rPr>
        <w:t xml:space="preserve"> </w:t>
      </w:r>
      <w:r>
        <w:rPr>
          <w:rFonts w:ascii="仿宋" w:hAnsi="仿宋" w:eastAsia="仿宋" w:cs="仿宋"/>
          <w:spacing w:val="-2"/>
          <w:sz w:val="24"/>
          <w:szCs w:val="24"/>
        </w:rPr>
        <w:t>年</w:t>
      </w:r>
      <w:r>
        <w:rPr>
          <w:rFonts w:ascii="仿宋" w:hAnsi="仿宋" w:eastAsia="仿宋" w:cs="仿宋"/>
          <w:spacing w:val="-50"/>
          <w:sz w:val="24"/>
          <w:szCs w:val="24"/>
        </w:rPr>
        <w:t xml:space="preserve"> </w:t>
      </w:r>
      <w:r>
        <w:rPr>
          <w:rFonts w:ascii="仿宋" w:hAnsi="仿宋" w:eastAsia="仿宋" w:cs="仿宋"/>
          <w:spacing w:val="-2"/>
          <w:sz w:val="24"/>
          <w:szCs w:val="24"/>
        </w:rPr>
        <w:t>9</w:t>
      </w:r>
      <w:r>
        <w:rPr>
          <w:rFonts w:ascii="仿宋" w:hAnsi="仿宋" w:eastAsia="仿宋" w:cs="仿宋"/>
          <w:spacing w:val="-33"/>
          <w:sz w:val="24"/>
          <w:szCs w:val="24"/>
        </w:rPr>
        <w:t xml:space="preserve"> </w:t>
      </w:r>
      <w:r>
        <w:rPr>
          <w:rFonts w:ascii="仿宋" w:hAnsi="仿宋" w:eastAsia="仿宋" w:cs="仿宋"/>
          <w:spacing w:val="-2"/>
          <w:sz w:val="24"/>
          <w:szCs w:val="24"/>
        </w:rPr>
        <w:t>月-10</w:t>
      </w:r>
      <w:r>
        <w:rPr>
          <w:rFonts w:ascii="仿宋" w:hAnsi="仿宋" w:eastAsia="仿宋" w:cs="仿宋"/>
          <w:spacing w:val="-33"/>
          <w:sz w:val="24"/>
          <w:szCs w:val="24"/>
        </w:rPr>
        <w:t xml:space="preserve"> </w:t>
      </w:r>
      <w:r>
        <w:rPr>
          <w:rFonts w:ascii="仿宋" w:hAnsi="仿宋" w:eastAsia="仿宋" w:cs="仿宋"/>
          <w:spacing w:val="-2"/>
          <w:sz w:val="24"/>
          <w:szCs w:val="24"/>
        </w:rPr>
        <w:t>月</w:t>
      </w:r>
      <w:r>
        <w:rPr>
          <w:rFonts w:ascii="仿宋" w:hAnsi="仿宋" w:eastAsia="仿宋" w:cs="仿宋"/>
          <w:spacing w:val="-5"/>
          <w:sz w:val="24"/>
          <w:szCs w:val="24"/>
        </w:rPr>
        <w:t>）：</w:t>
      </w:r>
      <w:r>
        <w:rPr>
          <w:rFonts w:ascii="仿宋" w:hAnsi="仿宋" w:eastAsia="仿宋" w:cs="仿宋"/>
          <w:spacing w:val="-2"/>
          <w:sz w:val="24"/>
          <w:szCs w:val="24"/>
        </w:rPr>
        <w:t>系统检索</w:t>
      </w:r>
      <w:r>
        <w:rPr>
          <w:rFonts w:hint="eastAsia" w:ascii="仿宋" w:hAnsi="仿宋" w:eastAsia="仿宋" w:cs="仿宋"/>
          <w:spacing w:val="-2"/>
          <w:sz w:val="24"/>
          <w:szCs w:val="24"/>
          <w:lang w:eastAsia="zh-CN"/>
        </w:rPr>
        <w:t>海内外</w:t>
      </w:r>
      <w:r>
        <w:rPr>
          <w:rFonts w:ascii="仿宋" w:hAnsi="仿宋" w:eastAsia="仿宋" w:cs="仿宋"/>
          <w:spacing w:val="-2"/>
          <w:sz w:val="24"/>
          <w:szCs w:val="24"/>
        </w:rPr>
        <w:t>相</w:t>
      </w:r>
      <w:r>
        <w:rPr>
          <w:rFonts w:ascii="仿宋" w:hAnsi="仿宋" w:eastAsia="仿宋" w:cs="仿宋"/>
          <w:spacing w:val="-3"/>
          <w:sz w:val="24"/>
          <w:szCs w:val="24"/>
        </w:rPr>
        <w:t>关标准、指南及研究文献。检索</w:t>
      </w:r>
      <w:r>
        <w:rPr>
          <w:rFonts w:ascii="仿宋" w:hAnsi="仿宋" w:eastAsia="仿宋" w:cs="仿宋"/>
          <w:spacing w:val="-2"/>
          <w:sz w:val="24"/>
          <w:szCs w:val="24"/>
        </w:rPr>
        <w:t>范围包括</w:t>
      </w:r>
      <w:r>
        <w:rPr>
          <w:rFonts w:ascii="仿宋" w:hAnsi="仿宋" w:eastAsia="仿宋" w:cs="仿宋"/>
          <w:spacing w:val="-59"/>
          <w:sz w:val="24"/>
          <w:szCs w:val="24"/>
        </w:rPr>
        <w:t xml:space="preserve"> </w:t>
      </w:r>
      <w:r>
        <w:rPr>
          <w:rFonts w:ascii="仿宋" w:hAnsi="仿宋" w:eastAsia="仿宋" w:cs="仿宋"/>
          <w:spacing w:val="-2"/>
          <w:sz w:val="24"/>
          <w:szCs w:val="24"/>
        </w:rPr>
        <w:t>WHO、ISO/TC249</w:t>
      </w:r>
      <w:r>
        <w:rPr>
          <w:rFonts w:ascii="仿宋" w:hAnsi="仿宋" w:eastAsia="仿宋" w:cs="仿宋"/>
          <w:spacing w:val="-37"/>
          <w:sz w:val="24"/>
          <w:szCs w:val="24"/>
        </w:rPr>
        <w:t xml:space="preserve"> </w:t>
      </w:r>
      <w:r>
        <w:rPr>
          <w:rFonts w:ascii="仿宋" w:hAnsi="仿宋" w:eastAsia="仿宋" w:cs="仿宋"/>
          <w:spacing w:val="-2"/>
          <w:sz w:val="24"/>
          <w:szCs w:val="24"/>
        </w:rPr>
        <w:t>发布的国际标准，《中华人民</w:t>
      </w:r>
      <w:r>
        <w:rPr>
          <w:rFonts w:ascii="仿宋" w:hAnsi="仿宋" w:eastAsia="仿宋" w:cs="仿宋"/>
          <w:spacing w:val="-3"/>
          <w:sz w:val="24"/>
          <w:szCs w:val="24"/>
        </w:rPr>
        <w:t>共和国药典 2025</w:t>
      </w:r>
      <w:r>
        <w:rPr>
          <w:rFonts w:ascii="仿宋" w:hAnsi="仿宋" w:eastAsia="仿宋" w:cs="仿宋"/>
          <w:spacing w:val="-48"/>
          <w:sz w:val="24"/>
          <w:szCs w:val="24"/>
        </w:rPr>
        <w:t xml:space="preserve"> </w:t>
      </w:r>
      <w:r>
        <w:rPr>
          <w:rFonts w:ascii="仿宋" w:hAnsi="仿宋" w:eastAsia="仿宋" w:cs="仿宋"/>
          <w:spacing w:val="-3"/>
          <w:sz w:val="24"/>
          <w:szCs w:val="24"/>
        </w:rPr>
        <w:t>版》，世界中医</w:t>
      </w:r>
      <w:r>
        <w:rPr>
          <w:rFonts w:ascii="仿宋" w:hAnsi="仿宋" w:eastAsia="仿宋" w:cs="仿宋"/>
          <w:sz w:val="24"/>
          <w:szCs w:val="24"/>
        </w:rPr>
        <w:t>药学会联合会、中华中医药学会等发布的团体标准，PubM</w:t>
      </w:r>
      <w:r>
        <w:rPr>
          <w:rFonts w:ascii="仿宋" w:hAnsi="仿宋" w:eastAsia="仿宋" w:cs="仿宋"/>
          <w:spacing w:val="-1"/>
          <w:sz w:val="24"/>
          <w:szCs w:val="24"/>
        </w:rPr>
        <w:t>ed、知网以及加拿大、新加坡等地数据库中的儿科拔罐疗法，检索关键词为“cuppi</w:t>
      </w:r>
      <w:r>
        <w:rPr>
          <w:rFonts w:ascii="仿宋" w:hAnsi="仿宋" w:eastAsia="仿宋" w:cs="仿宋"/>
          <w:spacing w:val="-2"/>
          <w:sz w:val="24"/>
          <w:szCs w:val="24"/>
        </w:rPr>
        <w:t>ng</w:t>
      </w:r>
      <w:r>
        <w:rPr>
          <w:rFonts w:ascii="仿宋" w:hAnsi="仿宋" w:eastAsia="仿宋" w:cs="仿宋"/>
          <w:spacing w:val="-88"/>
          <w:sz w:val="24"/>
          <w:szCs w:val="24"/>
        </w:rPr>
        <w:t xml:space="preserve"> </w:t>
      </w:r>
      <w:r>
        <w:rPr>
          <w:rFonts w:ascii="仿宋" w:hAnsi="仿宋" w:eastAsia="仿宋" w:cs="仿宋"/>
          <w:spacing w:val="-2"/>
          <w:sz w:val="24"/>
          <w:szCs w:val="24"/>
        </w:rPr>
        <w:t>”，“filiform needle</w:t>
      </w:r>
      <w:r>
        <w:rPr>
          <w:rFonts w:ascii="仿宋" w:hAnsi="仿宋" w:eastAsia="仿宋" w:cs="仿宋"/>
          <w:spacing w:val="-88"/>
          <w:sz w:val="24"/>
          <w:szCs w:val="24"/>
        </w:rPr>
        <w:t xml:space="preserve"> </w:t>
      </w:r>
      <w:r>
        <w:rPr>
          <w:rFonts w:ascii="仿宋" w:hAnsi="仿宋" w:eastAsia="仿宋" w:cs="仿宋"/>
          <w:spacing w:val="-2"/>
          <w:sz w:val="24"/>
          <w:szCs w:val="24"/>
        </w:rPr>
        <w:t>”，“skin</w:t>
      </w:r>
      <w:r>
        <w:rPr>
          <w:rFonts w:ascii="仿宋" w:hAnsi="仿宋" w:eastAsia="仿宋" w:cs="仿宋"/>
          <w:sz w:val="24"/>
          <w:szCs w:val="24"/>
        </w:rPr>
        <w:t xml:space="preserve"> </w:t>
      </w:r>
      <w:r>
        <w:rPr>
          <w:rFonts w:ascii="仿宋" w:hAnsi="仿宋" w:eastAsia="仿宋" w:cs="仿宋"/>
          <w:spacing w:val="-3"/>
          <w:sz w:val="24"/>
          <w:szCs w:val="24"/>
        </w:rPr>
        <w:t>needle</w:t>
      </w:r>
      <w:r>
        <w:rPr>
          <w:rFonts w:ascii="仿宋" w:hAnsi="仿宋" w:eastAsia="仿宋" w:cs="仿宋"/>
          <w:spacing w:val="-88"/>
          <w:sz w:val="24"/>
          <w:szCs w:val="24"/>
        </w:rPr>
        <w:t xml:space="preserve"> </w:t>
      </w:r>
      <w:r>
        <w:rPr>
          <w:rFonts w:ascii="仿宋" w:hAnsi="仿宋" w:eastAsia="仿宋" w:cs="仿宋"/>
          <w:spacing w:val="-3"/>
          <w:sz w:val="24"/>
          <w:szCs w:val="24"/>
        </w:rPr>
        <w:t>”并结合中医术语如“拔罐</w:t>
      </w:r>
      <w:r>
        <w:rPr>
          <w:rFonts w:ascii="仿宋" w:hAnsi="仿宋" w:eastAsia="仿宋" w:cs="仿宋"/>
          <w:spacing w:val="-88"/>
          <w:sz w:val="24"/>
          <w:szCs w:val="24"/>
        </w:rPr>
        <w:t xml:space="preserve"> </w:t>
      </w:r>
      <w:r>
        <w:rPr>
          <w:rFonts w:ascii="仿宋" w:hAnsi="仿宋" w:eastAsia="仿宋" w:cs="仿宋"/>
          <w:spacing w:val="-3"/>
          <w:sz w:val="24"/>
          <w:szCs w:val="24"/>
        </w:rPr>
        <w:t>”、“拔火罐</w:t>
      </w:r>
      <w:r>
        <w:rPr>
          <w:rFonts w:ascii="仿宋" w:hAnsi="仿宋" w:eastAsia="仿宋" w:cs="仿宋"/>
          <w:spacing w:val="-88"/>
          <w:sz w:val="24"/>
          <w:szCs w:val="24"/>
        </w:rPr>
        <w:t xml:space="preserve"> </w:t>
      </w:r>
      <w:r>
        <w:rPr>
          <w:rFonts w:ascii="仿宋" w:hAnsi="仿宋" w:eastAsia="仿宋" w:cs="仿宋"/>
          <w:spacing w:val="-3"/>
          <w:sz w:val="24"/>
          <w:szCs w:val="24"/>
        </w:rPr>
        <w:t>”</w:t>
      </w:r>
      <w:r>
        <w:rPr>
          <w:rFonts w:ascii="仿宋" w:hAnsi="仿宋" w:eastAsia="仿宋" w:cs="仿宋"/>
          <w:spacing w:val="-4"/>
          <w:sz w:val="24"/>
          <w:szCs w:val="24"/>
        </w:rPr>
        <w:t>、“罐</w:t>
      </w:r>
      <w:r>
        <w:rPr>
          <w:rFonts w:ascii="仿宋" w:hAnsi="仿宋" w:eastAsia="仿宋" w:cs="仿宋"/>
          <w:spacing w:val="-88"/>
          <w:sz w:val="24"/>
          <w:szCs w:val="24"/>
        </w:rPr>
        <w:t xml:space="preserve"> </w:t>
      </w:r>
      <w:r>
        <w:rPr>
          <w:rFonts w:ascii="仿宋" w:hAnsi="仿宋" w:eastAsia="仿宋" w:cs="仿宋"/>
          <w:spacing w:val="-4"/>
          <w:sz w:val="24"/>
          <w:szCs w:val="24"/>
        </w:rPr>
        <w:t>”。检索结果经初筛、复筛后纳</w:t>
      </w:r>
      <w:r>
        <w:rPr>
          <w:rFonts w:ascii="仿宋" w:hAnsi="仿宋" w:eastAsia="仿宋" w:cs="仿宋"/>
          <w:sz w:val="24"/>
          <w:szCs w:val="24"/>
        </w:rPr>
        <w:t>入关键证据，支持标准条文的优化与对标，为专家问卷调查</w:t>
      </w:r>
      <w:r>
        <w:rPr>
          <w:rFonts w:ascii="仿宋" w:hAnsi="仿宋" w:eastAsia="仿宋" w:cs="仿宋"/>
          <w:spacing w:val="-1"/>
          <w:sz w:val="24"/>
          <w:szCs w:val="24"/>
        </w:rPr>
        <w:t>提供了证据基础。</w:t>
      </w:r>
    </w:p>
    <w:p w14:paraId="00B079E4">
      <w:pPr>
        <w:spacing w:before="3" w:line="276" w:lineRule="auto"/>
        <w:ind w:left="20" w:right="83" w:firstLine="473"/>
        <w:jc w:val="both"/>
        <w:rPr>
          <w:rFonts w:ascii="仿宋" w:hAnsi="仿宋" w:eastAsia="仿宋" w:cs="仿宋"/>
          <w:sz w:val="24"/>
          <w:szCs w:val="24"/>
        </w:rPr>
      </w:pPr>
      <w:r>
        <w:rPr>
          <w:rFonts w:ascii="仿宋" w:hAnsi="仿宋" w:eastAsia="仿宋" w:cs="仿宋"/>
          <w:spacing w:val="-4"/>
          <w:sz w:val="24"/>
          <w:szCs w:val="24"/>
        </w:rPr>
        <w:t>专家问卷调查（2025</w:t>
      </w:r>
      <w:r>
        <w:rPr>
          <w:rFonts w:ascii="仿宋" w:hAnsi="仿宋" w:eastAsia="仿宋" w:cs="仿宋"/>
          <w:spacing w:val="-38"/>
          <w:sz w:val="24"/>
          <w:szCs w:val="24"/>
        </w:rPr>
        <w:t xml:space="preserve"> </w:t>
      </w:r>
      <w:r>
        <w:rPr>
          <w:rFonts w:ascii="仿宋" w:hAnsi="仿宋" w:eastAsia="仿宋" w:cs="仿宋"/>
          <w:spacing w:val="-4"/>
          <w:sz w:val="24"/>
          <w:szCs w:val="24"/>
        </w:rPr>
        <w:t>年</w:t>
      </w:r>
      <w:r>
        <w:rPr>
          <w:rFonts w:ascii="仿宋" w:hAnsi="仿宋" w:eastAsia="仿宋" w:cs="仿宋"/>
          <w:spacing w:val="-34"/>
          <w:sz w:val="24"/>
          <w:szCs w:val="24"/>
        </w:rPr>
        <w:t xml:space="preserve"> </w:t>
      </w:r>
      <w:r>
        <w:rPr>
          <w:rFonts w:ascii="仿宋" w:hAnsi="仿宋" w:eastAsia="仿宋" w:cs="仿宋"/>
          <w:spacing w:val="-4"/>
          <w:sz w:val="24"/>
          <w:szCs w:val="24"/>
        </w:rPr>
        <w:t>10</w:t>
      </w:r>
      <w:r>
        <w:rPr>
          <w:rFonts w:ascii="仿宋" w:hAnsi="仿宋" w:eastAsia="仿宋" w:cs="仿宋"/>
          <w:spacing w:val="-33"/>
          <w:sz w:val="24"/>
          <w:szCs w:val="24"/>
        </w:rPr>
        <w:t xml:space="preserve"> </w:t>
      </w:r>
      <w:r>
        <w:rPr>
          <w:rFonts w:ascii="仿宋" w:hAnsi="仿宋" w:eastAsia="仿宋" w:cs="仿宋"/>
          <w:spacing w:val="-4"/>
          <w:sz w:val="24"/>
          <w:szCs w:val="24"/>
        </w:rPr>
        <w:t>月-11</w:t>
      </w:r>
      <w:r>
        <w:rPr>
          <w:rFonts w:ascii="仿宋" w:hAnsi="仿宋" w:eastAsia="仿宋" w:cs="仿宋"/>
          <w:spacing w:val="-33"/>
          <w:sz w:val="24"/>
          <w:szCs w:val="24"/>
        </w:rPr>
        <w:t xml:space="preserve"> </w:t>
      </w:r>
      <w:r>
        <w:rPr>
          <w:rFonts w:ascii="仿宋" w:hAnsi="仿宋" w:eastAsia="仿宋" w:cs="仿宋"/>
          <w:spacing w:val="-4"/>
          <w:sz w:val="24"/>
          <w:szCs w:val="24"/>
        </w:rPr>
        <w:t>月</w:t>
      </w:r>
      <w:r>
        <w:rPr>
          <w:rFonts w:ascii="仿宋" w:hAnsi="仿宋" w:eastAsia="仿宋" w:cs="仿宋"/>
          <w:spacing w:val="-34"/>
          <w:sz w:val="24"/>
          <w:szCs w:val="24"/>
        </w:rPr>
        <w:t>）：</w:t>
      </w:r>
      <w:r>
        <w:rPr>
          <w:rFonts w:ascii="仿宋" w:hAnsi="仿宋" w:eastAsia="仿宋" w:cs="仿宋"/>
          <w:spacing w:val="-4"/>
          <w:sz w:val="24"/>
          <w:szCs w:val="24"/>
        </w:rPr>
        <w:t>开展专家</w:t>
      </w:r>
      <w:r>
        <w:rPr>
          <w:rFonts w:ascii="仿宋" w:hAnsi="仿宋" w:eastAsia="仿宋" w:cs="仿宋"/>
          <w:spacing w:val="-5"/>
          <w:sz w:val="24"/>
          <w:szCs w:val="24"/>
        </w:rPr>
        <w:t>问卷调查。在原国家标准基础上，结</w:t>
      </w:r>
      <w:r>
        <w:rPr>
          <w:rFonts w:ascii="仿宋" w:hAnsi="仿宋" w:eastAsia="仿宋" w:cs="仿宋"/>
          <w:sz w:val="24"/>
          <w:szCs w:val="24"/>
        </w:rPr>
        <w:t>合文献检索证据，针对与原标准差异较大的条</w:t>
      </w:r>
      <w:r>
        <w:rPr>
          <w:rFonts w:ascii="仿宋" w:hAnsi="仿宋" w:eastAsia="仿宋" w:cs="仿宋"/>
          <w:spacing w:val="-1"/>
          <w:sz w:val="24"/>
          <w:szCs w:val="24"/>
        </w:rPr>
        <w:t>目（如术语定义、操作步骤、禁忌症等</w:t>
      </w:r>
      <w:r>
        <w:rPr>
          <w:rFonts w:ascii="仿宋" w:hAnsi="仿宋" w:eastAsia="仿宋" w:cs="仿宋"/>
          <w:spacing w:val="-4"/>
          <w:sz w:val="24"/>
          <w:szCs w:val="24"/>
        </w:rPr>
        <w:t>），</w:t>
      </w:r>
      <w:r>
        <w:rPr>
          <w:rFonts w:ascii="仿宋" w:hAnsi="仿宋" w:eastAsia="仿宋" w:cs="仿宋"/>
          <w:spacing w:val="-2"/>
          <w:sz w:val="24"/>
          <w:szCs w:val="24"/>
        </w:rPr>
        <w:t>编制专家调查问卷，涵盖术语定义、操作步骤、注意事项、禁忌等</w:t>
      </w:r>
      <w:r>
        <w:rPr>
          <w:rFonts w:ascii="仿宋" w:hAnsi="仿宋" w:eastAsia="仿宋" w:cs="仿宋"/>
          <w:spacing w:val="-27"/>
          <w:sz w:val="24"/>
          <w:szCs w:val="24"/>
        </w:rPr>
        <w:t xml:space="preserve"> </w:t>
      </w:r>
      <w:r>
        <w:rPr>
          <w:rFonts w:ascii="仿宋" w:hAnsi="仿宋" w:eastAsia="仿宋" w:cs="仿宋"/>
          <w:spacing w:val="-2"/>
          <w:sz w:val="24"/>
          <w:szCs w:val="24"/>
        </w:rPr>
        <w:t>11</w:t>
      </w:r>
      <w:r>
        <w:rPr>
          <w:rFonts w:ascii="仿宋" w:hAnsi="仿宋" w:eastAsia="仿宋" w:cs="仿宋"/>
          <w:spacing w:val="-44"/>
          <w:sz w:val="24"/>
          <w:szCs w:val="24"/>
        </w:rPr>
        <w:t xml:space="preserve"> </w:t>
      </w:r>
      <w:r>
        <w:rPr>
          <w:rFonts w:ascii="仿宋" w:hAnsi="仿宋" w:eastAsia="仿宋" w:cs="仿宋"/>
          <w:spacing w:val="-2"/>
          <w:sz w:val="24"/>
          <w:szCs w:val="24"/>
        </w:rPr>
        <w:t>个核心条目。向</w:t>
      </w:r>
      <w:r>
        <w:rPr>
          <w:rFonts w:ascii="仿宋" w:hAnsi="仿宋" w:eastAsia="仿宋" w:cs="仿宋"/>
          <w:spacing w:val="-46"/>
          <w:sz w:val="24"/>
          <w:szCs w:val="24"/>
        </w:rPr>
        <w:t xml:space="preserve"> </w:t>
      </w:r>
      <w:r>
        <w:rPr>
          <w:rFonts w:ascii="仿宋" w:hAnsi="仿宋" w:eastAsia="仿宋" w:cs="仿宋"/>
          <w:spacing w:val="-2"/>
          <w:sz w:val="24"/>
          <w:szCs w:val="24"/>
        </w:rPr>
        <w:t>30</w:t>
      </w:r>
      <w:r>
        <w:rPr>
          <w:rFonts w:ascii="仿宋" w:hAnsi="仿宋" w:eastAsia="仿宋" w:cs="仿宋"/>
          <w:spacing w:val="1"/>
          <w:sz w:val="24"/>
          <w:szCs w:val="24"/>
        </w:rPr>
        <w:t>位海内外专家发放问卷，涵盖中国、加拿大</w:t>
      </w:r>
      <w:r>
        <w:rPr>
          <w:rFonts w:ascii="仿宋" w:hAnsi="仿宋" w:eastAsia="仿宋" w:cs="仿宋"/>
          <w:sz w:val="24"/>
          <w:szCs w:val="24"/>
        </w:rPr>
        <w:t>、新加坡、马来西亚、泰国、越南6</w:t>
      </w:r>
      <w:r>
        <w:rPr>
          <w:rFonts w:ascii="仿宋" w:hAnsi="仿宋" w:eastAsia="仿宋" w:cs="仿宋"/>
          <w:spacing w:val="-44"/>
          <w:sz w:val="24"/>
          <w:szCs w:val="24"/>
        </w:rPr>
        <w:t xml:space="preserve"> </w:t>
      </w:r>
      <w:r>
        <w:rPr>
          <w:rFonts w:ascii="仿宋" w:hAnsi="仿宋" w:eastAsia="仿宋" w:cs="仿宋"/>
          <w:sz w:val="24"/>
          <w:szCs w:val="24"/>
        </w:rPr>
        <w:t>个国家，</w:t>
      </w:r>
      <w:r>
        <w:rPr>
          <w:rFonts w:ascii="仿宋" w:hAnsi="仿宋" w:eastAsia="仿宋" w:cs="仿宋"/>
          <w:spacing w:val="-4"/>
          <w:sz w:val="24"/>
          <w:szCs w:val="24"/>
        </w:rPr>
        <w:t>回收答卷</w:t>
      </w:r>
      <w:r>
        <w:rPr>
          <w:rFonts w:ascii="仿宋" w:hAnsi="仿宋" w:eastAsia="仿宋" w:cs="仿宋"/>
          <w:spacing w:val="-45"/>
          <w:sz w:val="24"/>
          <w:szCs w:val="24"/>
        </w:rPr>
        <w:t xml:space="preserve"> </w:t>
      </w:r>
      <w:r>
        <w:rPr>
          <w:rFonts w:ascii="仿宋" w:hAnsi="仿宋" w:eastAsia="仿宋" w:cs="仿宋"/>
          <w:spacing w:val="-4"/>
          <w:sz w:val="24"/>
          <w:szCs w:val="24"/>
        </w:rPr>
        <w:t>30</w:t>
      </w:r>
      <w:r>
        <w:rPr>
          <w:rFonts w:ascii="仿宋" w:hAnsi="仿宋" w:eastAsia="仿宋" w:cs="仿宋"/>
          <w:spacing w:val="-44"/>
          <w:sz w:val="24"/>
          <w:szCs w:val="24"/>
        </w:rPr>
        <w:t xml:space="preserve"> </w:t>
      </w:r>
      <w:r>
        <w:rPr>
          <w:rFonts w:ascii="仿宋" w:hAnsi="仿宋" w:eastAsia="仿宋" w:cs="仿宋"/>
          <w:spacing w:val="-4"/>
          <w:sz w:val="24"/>
          <w:szCs w:val="24"/>
        </w:rPr>
        <w:t>份，专家积极系数达</w:t>
      </w:r>
      <w:r>
        <w:rPr>
          <w:rFonts w:ascii="仿宋" w:hAnsi="仿宋" w:eastAsia="仿宋" w:cs="仿宋"/>
          <w:spacing w:val="-34"/>
          <w:sz w:val="24"/>
          <w:szCs w:val="24"/>
        </w:rPr>
        <w:t xml:space="preserve"> </w:t>
      </w:r>
      <w:r>
        <w:rPr>
          <w:rFonts w:ascii="仿宋" w:hAnsi="仿宋" w:eastAsia="仿宋" w:cs="仿宋"/>
          <w:spacing w:val="-4"/>
          <w:sz w:val="24"/>
          <w:szCs w:val="24"/>
        </w:rPr>
        <w:t>100%。经统计分析，8</w:t>
      </w:r>
      <w:r>
        <w:rPr>
          <w:rFonts w:ascii="仿宋" w:hAnsi="仿宋" w:eastAsia="仿宋" w:cs="仿宋"/>
          <w:spacing w:val="-43"/>
          <w:sz w:val="24"/>
          <w:szCs w:val="24"/>
        </w:rPr>
        <w:t xml:space="preserve"> </w:t>
      </w:r>
      <w:r>
        <w:rPr>
          <w:rFonts w:ascii="仿宋" w:hAnsi="仿宋" w:eastAsia="仿宋" w:cs="仿宋"/>
          <w:spacing w:val="-4"/>
          <w:sz w:val="24"/>
          <w:szCs w:val="24"/>
        </w:rPr>
        <w:t>项内容获超过</w:t>
      </w:r>
      <w:r>
        <w:rPr>
          <w:rFonts w:ascii="仿宋" w:hAnsi="仿宋" w:eastAsia="仿宋" w:cs="仿宋"/>
          <w:spacing w:val="-47"/>
          <w:sz w:val="24"/>
          <w:szCs w:val="24"/>
        </w:rPr>
        <w:t xml:space="preserve"> </w:t>
      </w:r>
      <w:r>
        <w:rPr>
          <w:rFonts w:ascii="仿宋" w:hAnsi="仿宋" w:eastAsia="仿宋" w:cs="仿宋"/>
          <w:spacing w:val="-4"/>
          <w:sz w:val="24"/>
          <w:szCs w:val="24"/>
        </w:rPr>
        <w:t>50%专家支持形成共</w:t>
      </w:r>
      <w:r>
        <w:rPr>
          <w:rFonts w:ascii="仿宋" w:hAnsi="仿宋" w:eastAsia="仿宋" w:cs="仿宋"/>
          <w:spacing w:val="-1"/>
          <w:sz w:val="24"/>
          <w:szCs w:val="24"/>
        </w:rPr>
        <w:t>识，3</w:t>
      </w:r>
      <w:r>
        <w:rPr>
          <w:rFonts w:ascii="仿宋" w:hAnsi="仿宋" w:eastAsia="仿宋" w:cs="仿宋"/>
          <w:spacing w:val="-43"/>
          <w:sz w:val="24"/>
          <w:szCs w:val="24"/>
        </w:rPr>
        <w:t xml:space="preserve"> </w:t>
      </w:r>
      <w:r>
        <w:rPr>
          <w:rFonts w:ascii="仿宋" w:hAnsi="仿宋" w:eastAsia="仿宋" w:cs="仿宋"/>
          <w:spacing w:val="-1"/>
          <w:sz w:val="24"/>
          <w:szCs w:val="24"/>
        </w:rPr>
        <w:t>项存在争议条目及开放性问题提交专家论证</w:t>
      </w:r>
      <w:r>
        <w:rPr>
          <w:rFonts w:ascii="仿宋" w:hAnsi="仿宋" w:eastAsia="仿宋" w:cs="仿宋"/>
          <w:spacing w:val="-2"/>
          <w:sz w:val="24"/>
          <w:szCs w:val="24"/>
        </w:rPr>
        <w:t>会重点讨论。</w:t>
      </w:r>
    </w:p>
    <w:p w14:paraId="27F20BC0">
      <w:pPr>
        <w:spacing w:before="5" w:line="276" w:lineRule="auto"/>
        <w:ind w:firstLine="493"/>
        <w:jc w:val="both"/>
        <w:rPr>
          <w:rFonts w:ascii="仿宋" w:hAnsi="仿宋" w:eastAsia="仿宋" w:cs="仿宋"/>
          <w:sz w:val="24"/>
          <w:szCs w:val="24"/>
        </w:rPr>
      </w:pPr>
      <w:r>
        <w:rPr>
          <w:rFonts w:ascii="仿宋" w:hAnsi="仿宋" w:eastAsia="仿宋" w:cs="仿宋"/>
          <w:spacing w:val="-3"/>
          <w:sz w:val="24"/>
          <w:szCs w:val="24"/>
        </w:rPr>
        <w:t>专家论证会（2025</w:t>
      </w:r>
      <w:r>
        <w:rPr>
          <w:rFonts w:ascii="仿宋" w:hAnsi="仿宋" w:eastAsia="仿宋" w:cs="仿宋"/>
          <w:spacing w:val="-37"/>
          <w:sz w:val="24"/>
          <w:szCs w:val="24"/>
        </w:rPr>
        <w:t xml:space="preserve"> </w:t>
      </w:r>
      <w:r>
        <w:rPr>
          <w:rFonts w:ascii="仿宋" w:hAnsi="仿宋" w:eastAsia="仿宋" w:cs="仿宋"/>
          <w:spacing w:val="-3"/>
          <w:sz w:val="24"/>
          <w:szCs w:val="24"/>
        </w:rPr>
        <w:t>年</w:t>
      </w:r>
      <w:r>
        <w:rPr>
          <w:rFonts w:ascii="仿宋" w:hAnsi="仿宋" w:eastAsia="仿宋" w:cs="仿宋"/>
          <w:spacing w:val="-32"/>
          <w:sz w:val="24"/>
          <w:szCs w:val="24"/>
        </w:rPr>
        <w:t xml:space="preserve"> </w:t>
      </w:r>
      <w:r>
        <w:rPr>
          <w:rFonts w:ascii="仿宋" w:hAnsi="仿宋" w:eastAsia="仿宋" w:cs="仿宋"/>
          <w:spacing w:val="-3"/>
          <w:sz w:val="24"/>
          <w:szCs w:val="24"/>
        </w:rPr>
        <w:t>12</w:t>
      </w:r>
      <w:r>
        <w:rPr>
          <w:rFonts w:ascii="仿宋" w:hAnsi="仿宋" w:eastAsia="仿宋" w:cs="仿宋"/>
          <w:spacing w:val="-33"/>
          <w:sz w:val="24"/>
          <w:szCs w:val="24"/>
        </w:rPr>
        <w:t xml:space="preserve"> </w:t>
      </w:r>
      <w:r>
        <w:rPr>
          <w:rFonts w:ascii="仿宋" w:hAnsi="仿宋" w:eastAsia="仿宋" w:cs="仿宋"/>
          <w:spacing w:val="-3"/>
          <w:sz w:val="24"/>
          <w:szCs w:val="24"/>
        </w:rPr>
        <w:t>月</w:t>
      </w:r>
      <w:r>
        <w:rPr>
          <w:rFonts w:ascii="仿宋" w:hAnsi="仿宋" w:eastAsia="仿宋" w:cs="仿宋"/>
          <w:spacing w:val="-44"/>
          <w:sz w:val="24"/>
          <w:szCs w:val="24"/>
        </w:rPr>
        <w:t xml:space="preserve"> </w:t>
      </w:r>
      <w:r>
        <w:rPr>
          <w:rFonts w:ascii="仿宋" w:hAnsi="仿宋" w:eastAsia="仿宋" w:cs="仿宋"/>
          <w:spacing w:val="-3"/>
          <w:sz w:val="24"/>
          <w:szCs w:val="24"/>
        </w:rPr>
        <w:t>3 日</w:t>
      </w:r>
      <w:r>
        <w:rPr>
          <w:rFonts w:ascii="仿宋" w:hAnsi="仿宋" w:eastAsia="仿宋" w:cs="仿宋"/>
          <w:spacing w:val="1"/>
          <w:sz w:val="24"/>
          <w:szCs w:val="24"/>
        </w:rPr>
        <w:t>）：</w:t>
      </w:r>
      <w:r>
        <w:rPr>
          <w:rFonts w:ascii="仿宋" w:hAnsi="仿宋" w:eastAsia="仿宋" w:cs="仿宋"/>
          <w:spacing w:val="-3"/>
          <w:sz w:val="24"/>
          <w:szCs w:val="24"/>
        </w:rPr>
        <w:t>召开线上与线下结合的专家论证会，汇报本项目</w:t>
      </w:r>
      <w:r>
        <w:rPr>
          <w:rFonts w:ascii="仿宋" w:hAnsi="仿宋" w:eastAsia="仿宋" w:cs="仿宋"/>
          <w:sz w:val="24"/>
          <w:szCs w:val="24"/>
        </w:rPr>
        <w:t>开展以来的工作情况，重点将专家调查答卷中未达成一致的条目汇总进行讨论。</w:t>
      </w:r>
      <w:r>
        <w:rPr>
          <w:rFonts w:ascii="仿宋" w:hAnsi="仿宋" w:eastAsia="仿宋" w:cs="仿宋"/>
          <w:spacing w:val="-1"/>
          <w:sz w:val="24"/>
          <w:szCs w:val="24"/>
        </w:rPr>
        <w:t>会议采取“会前函审+会中论证+会后书面确认</w:t>
      </w:r>
      <w:r>
        <w:rPr>
          <w:rFonts w:ascii="仿宋" w:hAnsi="仿宋" w:eastAsia="仿宋" w:cs="仿宋"/>
          <w:spacing w:val="-84"/>
          <w:sz w:val="24"/>
          <w:szCs w:val="24"/>
        </w:rPr>
        <w:t xml:space="preserve"> </w:t>
      </w:r>
      <w:r>
        <w:rPr>
          <w:rFonts w:ascii="仿宋" w:hAnsi="仿宋" w:eastAsia="仿宋" w:cs="仿宋"/>
          <w:spacing w:val="-1"/>
          <w:sz w:val="24"/>
          <w:szCs w:val="24"/>
        </w:rPr>
        <w:t>”模式，提前将提请专家讨论的问题发送给专家，包</w:t>
      </w:r>
      <w:r>
        <w:rPr>
          <w:rFonts w:ascii="仿宋" w:hAnsi="仿宋" w:eastAsia="仿宋" w:cs="仿宋"/>
          <w:spacing w:val="-4"/>
          <w:sz w:val="24"/>
          <w:szCs w:val="24"/>
        </w:rPr>
        <w:t>括争议条目以及项目组的初步意见，对争议条目逐项评分并充分研讨，形成一致修改意见。同时论证了开放性问题，包括地方法规限制说明、特殊人群保护、术语国际化等关键问题。</w:t>
      </w:r>
    </w:p>
    <w:p w14:paraId="4008EF44">
      <w:pPr>
        <w:spacing w:before="102" w:line="276" w:lineRule="auto"/>
        <w:ind w:left="0" w:firstLine="0"/>
        <w:rPr>
          <w:rFonts w:ascii="仿宋" w:hAnsi="仿宋" w:eastAsia="仿宋" w:cs="仿宋"/>
          <w:sz w:val="24"/>
          <w:szCs w:val="24"/>
        </w:rPr>
      </w:pPr>
      <w:r>
        <w:rPr>
          <w:rFonts w:ascii="仿宋" w:hAnsi="仿宋" w:eastAsia="仿宋" w:cs="仿宋"/>
          <w:spacing w:val="-5"/>
          <w:sz w:val="24"/>
          <w:szCs w:val="24"/>
        </w:rPr>
        <w:t>五项目组集体研讨协调会（2025</w:t>
      </w:r>
      <w:r>
        <w:rPr>
          <w:rFonts w:ascii="仿宋" w:hAnsi="仿宋" w:eastAsia="仿宋" w:cs="仿宋"/>
          <w:spacing w:val="-39"/>
          <w:sz w:val="24"/>
          <w:szCs w:val="24"/>
        </w:rPr>
        <w:t xml:space="preserve"> </w:t>
      </w:r>
      <w:r>
        <w:rPr>
          <w:rFonts w:ascii="仿宋" w:hAnsi="仿宋" w:eastAsia="仿宋" w:cs="仿宋"/>
          <w:spacing w:val="-5"/>
          <w:sz w:val="24"/>
          <w:szCs w:val="24"/>
        </w:rPr>
        <w:t>年</w:t>
      </w:r>
      <w:r>
        <w:rPr>
          <w:rFonts w:ascii="仿宋" w:hAnsi="仿宋" w:eastAsia="仿宋" w:cs="仿宋"/>
          <w:spacing w:val="-34"/>
          <w:sz w:val="24"/>
          <w:szCs w:val="24"/>
        </w:rPr>
        <w:t xml:space="preserve"> </w:t>
      </w:r>
      <w:r>
        <w:rPr>
          <w:rFonts w:ascii="仿宋" w:hAnsi="仿宋" w:eastAsia="仿宋" w:cs="仿宋"/>
          <w:spacing w:val="-5"/>
          <w:sz w:val="24"/>
          <w:szCs w:val="24"/>
        </w:rPr>
        <w:t>12</w:t>
      </w:r>
      <w:r>
        <w:rPr>
          <w:rFonts w:ascii="仿宋" w:hAnsi="仿宋" w:eastAsia="仿宋" w:cs="仿宋"/>
          <w:spacing w:val="-33"/>
          <w:sz w:val="24"/>
          <w:szCs w:val="24"/>
        </w:rPr>
        <w:t xml:space="preserve"> </w:t>
      </w:r>
      <w:r>
        <w:rPr>
          <w:rFonts w:ascii="仿宋" w:hAnsi="仿宋" w:eastAsia="仿宋" w:cs="仿宋"/>
          <w:spacing w:val="-5"/>
          <w:sz w:val="24"/>
          <w:szCs w:val="24"/>
        </w:rPr>
        <w:t>月</w:t>
      </w:r>
      <w:r>
        <w:rPr>
          <w:rFonts w:ascii="仿宋" w:hAnsi="仿宋" w:eastAsia="仿宋" w:cs="仿宋"/>
          <w:spacing w:val="-34"/>
          <w:sz w:val="24"/>
          <w:szCs w:val="24"/>
        </w:rPr>
        <w:t xml:space="preserve"> </w:t>
      </w:r>
      <w:r>
        <w:rPr>
          <w:rFonts w:ascii="仿宋" w:hAnsi="仿宋" w:eastAsia="仿宋" w:cs="仿宋"/>
          <w:spacing w:val="-5"/>
          <w:sz w:val="24"/>
          <w:szCs w:val="24"/>
        </w:rPr>
        <w:t>13 日</w:t>
      </w:r>
      <w:r>
        <w:rPr>
          <w:rFonts w:ascii="仿宋" w:hAnsi="仿宋" w:eastAsia="仿宋" w:cs="仿宋"/>
          <w:spacing w:val="-22"/>
          <w:sz w:val="24"/>
          <w:szCs w:val="24"/>
        </w:rPr>
        <w:t>）：</w:t>
      </w:r>
      <w:r>
        <w:rPr>
          <w:rFonts w:ascii="仿宋" w:hAnsi="仿宋" w:eastAsia="仿宋" w:cs="仿宋"/>
          <w:spacing w:val="-5"/>
          <w:sz w:val="24"/>
          <w:szCs w:val="24"/>
        </w:rPr>
        <w:t>小儿内治给药方法、小儿常用外治</w:t>
      </w:r>
      <w:r>
        <w:rPr>
          <w:rFonts w:ascii="仿宋" w:hAnsi="仿宋" w:eastAsia="仿宋" w:cs="仿宋"/>
          <w:spacing w:val="-1"/>
          <w:sz w:val="24"/>
          <w:szCs w:val="24"/>
        </w:rPr>
        <w:t>法、小儿针灸疗法、小儿推拿疗法、小儿拔罐疗法五项目组主要成员共同参加会议，总结前期工作，汇总问卷专家、论证专家的意见，统一规范标准中共性的内容，讨论确定若干争议条目，议定下一步项目研究总结、需向世界中联国际标准部提交的材料及时间节点。</w:t>
      </w:r>
      <w:r>
        <w:rPr>
          <w:rFonts w:ascii="仿宋" w:hAnsi="仿宋" w:eastAsia="仿宋" w:cs="仿宋"/>
          <w:spacing w:val="-5"/>
          <w:sz w:val="24"/>
          <w:szCs w:val="24"/>
        </w:rPr>
        <w:t>标准修订与完善（2025</w:t>
      </w:r>
      <w:r>
        <w:rPr>
          <w:rFonts w:ascii="仿宋" w:hAnsi="仿宋" w:eastAsia="仿宋" w:cs="仿宋"/>
          <w:spacing w:val="-40"/>
          <w:sz w:val="24"/>
          <w:szCs w:val="24"/>
        </w:rPr>
        <w:t xml:space="preserve"> </w:t>
      </w:r>
      <w:r>
        <w:rPr>
          <w:rFonts w:ascii="仿宋" w:hAnsi="仿宋" w:eastAsia="仿宋" w:cs="仿宋"/>
          <w:spacing w:val="-5"/>
          <w:sz w:val="24"/>
          <w:szCs w:val="24"/>
        </w:rPr>
        <w:t>年</w:t>
      </w:r>
      <w:r>
        <w:rPr>
          <w:rFonts w:ascii="仿宋" w:hAnsi="仿宋" w:eastAsia="仿宋" w:cs="仿宋"/>
          <w:spacing w:val="-34"/>
          <w:sz w:val="24"/>
          <w:szCs w:val="24"/>
        </w:rPr>
        <w:t xml:space="preserve"> </w:t>
      </w:r>
      <w:r>
        <w:rPr>
          <w:rFonts w:ascii="仿宋" w:hAnsi="仿宋" w:eastAsia="仿宋" w:cs="仿宋"/>
          <w:spacing w:val="-5"/>
          <w:sz w:val="24"/>
          <w:szCs w:val="24"/>
        </w:rPr>
        <w:t>12</w:t>
      </w:r>
      <w:r>
        <w:rPr>
          <w:rFonts w:ascii="仿宋" w:hAnsi="仿宋" w:eastAsia="仿宋" w:cs="仿宋"/>
          <w:spacing w:val="-32"/>
          <w:sz w:val="24"/>
          <w:szCs w:val="24"/>
        </w:rPr>
        <w:t xml:space="preserve"> </w:t>
      </w:r>
      <w:r>
        <w:rPr>
          <w:rFonts w:ascii="仿宋" w:hAnsi="仿宋" w:eastAsia="仿宋" w:cs="仿宋"/>
          <w:spacing w:val="-5"/>
          <w:sz w:val="24"/>
          <w:szCs w:val="24"/>
        </w:rPr>
        <w:t>月</w:t>
      </w:r>
      <w:r>
        <w:rPr>
          <w:rFonts w:ascii="仿宋" w:hAnsi="仿宋" w:eastAsia="仿宋" w:cs="仿宋"/>
          <w:spacing w:val="-34"/>
          <w:sz w:val="24"/>
          <w:szCs w:val="24"/>
        </w:rPr>
        <w:t xml:space="preserve"> </w:t>
      </w:r>
      <w:r>
        <w:rPr>
          <w:rFonts w:ascii="仿宋" w:hAnsi="仿宋" w:eastAsia="仿宋" w:cs="仿宋"/>
          <w:spacing w:val="-5"/>
          <w:sz w:val="24"/>
          <w:szCs w:val="24"/>
        </w:rPr>
        <w:t>13 日-30 日</w:t>
      </w:r>
      <w:r>
        <w:rPr>
          <w:rFonts w:ascii="仿宋" w:hAnsi="仿宋" w:eastAsia="仿宋" w:cs="仿宋"/>
          <w:spacing w:val="-9"/>
          <w:sz w:val="24"/>
          <w:szCs w:val="24"/>
        </w:rPr>
        <w:t>）：</w:t>
      </w:r>
      <w:r>
        <w:rPr>
          <w:rFonts w:ascii="仿宋" w:hAnsi="仿宋" w:eastAsia="仿宋" w:cs="仿宋"/>
          <w:spacing w:val="-5"/>
          <w:sz w:val="24"/>
          <w:szCs w:val="24"/>
        </w:rPr>
        <w:t>项目组根据</w:t>
      </w:r>
      <w:r>
        <w:rPr>
          <w:rFonts w:ascii="仿宋" w:hAnsi="仿宋" w:eastAsia="仿宋" w:cs="仿宋"/>
          <w:spacing w:val="-6"/>
          <w:sz w:val="24"/>
          <w:szCs w:val="24"/>
        </w:rPr>
        <w:t>文献检索、专家问卷、专</w:t>
      </w:r>
    </w:p>
    <w:p w14:paraId="76ECFC16">
      <w:pPr>
        <w:spacing w:line="276" w:lineRule="auto"/>
        <w:ind w:left="1"/>
        <w:rPr>
          <w:rFonts w:ascii="仿宋" w:hAnsi="仿宋" w:eastAsia="仿宋" w:cs="仿宋"/>
          <w:sz w:val="24"/>
          <w:szCs w:val="24"/>
        </w:rPr>
      </w:pPr>
      <w:r>
        <w:rPr>
          <w:rFonts w:ascii="仿宋" w:hAnsi="仿宋" w:eastAsia="仿宋" w:cs="仿宋"/>
          <w:spacing w:val="-1"/>
          <w:sz w:val="24"/>
          <w:szCs w:val="24"/>
        </w:rPr>
        <w:t>家论证会、专家指导组、项目组会议等意见，对草案逐条修订，形成修改对照表。</w:t>
      </w:r>
    </w:p>
    <w:p w14:paraId="2B4F44D3">
      <w:pPr>
        <w:spacing w:before="112" w:line="276" w:lineRule="auto"/>
        <w:ind w:firstLine="471"/>
        <w:rPr>
          <w:rFonts w:ascii="仿宋" w:hAnsi="仿宋" w:eastAsia="仿宋" w:cs="仿宋"/>
          <w:sz w:val="24"/>
          <w:szCs w:val="24"/>
        </w:rPr>
      </w:pPr>
      <w:r>
        <w:rPr>
          <w:rFonts w:ascii="仿宋" w:hAnsi="仿宋" w:eastAsia="仿宋" w:cs="仿宋"/>
          <w:spacing w:val="-6"/>
          <w:sz w:val="24"/>
          <w:szCs w:val="24"/>
        </w:rPr>
        <w:t>编制说明撰写与上报（2025</w:t>
      </w:r>
      <w:r>
        <w:rPr>
          <w:rFonts w:ascii="仿宋" w:hAnsi="仿宋" w:eastAsia="仿宋" w:cs="仿宋"/>
          <w:spacing w:val="-39"/>
          <w:sz w:val="24"/>
          <w:szCs w:val="24"/>
        </w:rPr>
        <w:t xml:space="preserve"> </w:t>
      </w:r>
      <w:r>
        <w:rPr>
          <w:rFonts w:ascii="仿宋" w:hAnsi="仿宋" w:eastAsia="仿宋" w:cs="仿宋"/>
          <w:spacing w:val="-6"/>
          <w:sz w:val="24"/>
          <w:szCs w:val="24"/>
        </w:rPr>
        <w:t>年</w:t>
      </w:r>
      <w:r>
        <w:rPr>
          <w:rFonts w:ascii="仿宋" w:hAnsi="仿宋" w:eastAsia="仿宋" w:cs="仿宋"/>
          <w:spacing w:val="-34"/>
          <w:sz w:val="24"/>
          <w:szCs w:val="24"/>
        </w:rPr>
        <w:t xml:space="preserve"> </w:t>
      </w:r>
      <w:r>
        <w:rPr>
          <w:rFonts w:ascii="仿宋" w:hAnsi="仿宋" w:eastAsia="仿宋" w:cs="仿宋"/>
          <w:spacing w:val="-6"/>
          <w:sz w:val="24"/>
          <w:szCs w:val="24"/>
        </w:rPr>
        <w:t>12</w:t>
      </w:r>
      <w:r>
        <w:rPr>
          <w:rFonts w:ascii="仿宋" w:hAnsi="仿宋" w:eastAsia="仿宋" w:cs="仿宋"/>
          <w:spacing w:val="-33"/>
          <w:sz w:val="24"/>
          <w:szCs w:val="24"/>
        </w:rPr>
        <w:t xml:space="preserve"> </w:t>
      </w:r>
      <w:r>
        <w:rPr>
          <w:rFonts w:ascii="仿宋" w:hAnsi="仿宋" w:eastAsia="仿宋" w:cs="仿宋"/>
          <w:spacing w:val="-6"/>
          <w:sz w:val="24"/>
          <w:szCs w:val="24"/>
        </w:rPr>
        <w:t>月</w:t>
      </w:r>
      <w:r>
        <w:rPr>
          <w:rFonts w:ascii="仿宋" w:hAnsi="仿宋" w:eastAsia="仿宋" w:cs="仿宋"/>
          <w:spacing w:val="-49"/>
          <w:sz w:val="24"/>
          <w:szCs w:val="24"/>
        </w:rPr>
        <w:t xml:space="preserve"> </w:t>
      </w:r>
      <w:r>
        <w:rPr>
          <w:rFonts w:ascii="仿宋" w:hAnsi="仿宋" w:eastAsia="仿宋" w:cs="仿宋"/>
          <w:spacing w:val="-6"/>
          <w:sz w:val="24"/>
          <w:szCs w:val="24"/>
        </w:rPr>
        <w:t xml:space="preserve">22 日-30 </w:t>
      </w:r>
      <w:r>
        <w:rPr>
          <w:rFonts w:ascii="仿宋" w:hAnsi="仿宋" w:eastAsia="仿宋" w:cs="仿宋"/>
          <w:spacing w:val="-7"/>
          <w:sz w:val="24"/>
          <w:szCs w:val="24"/>
        </w:rPr>
        <w:t>日</w:t>
      </w:r>
      <w:r>
        <w:rPr>
          <w:rFonts w:ascii="仿宋" w:hAnsi="仿宋" w:eastAsia="仿宋" w:cs="仿宋"/>
          <w:spacing w:val="-37"/>
          <w:sz w:val="24"/>
          <w:szCs w:val="24"/>
        </w:rPr>
        <w:t>）：</w:t>
      </w:r>
      <w:r>
        <w:rPr>
          <w:rFonts w:ascii="仿宋" w:hAnsi="仿宋" w:eastAsia="仿宋" w:cs="仿宋"/>
          <w:spacing w:val="-7"/>
          <w:sz w:val="24"/>
          <w:szCs w:val="24"/>
        </w:rPr>
        <w:t>完成《国际中医技术操作规范 儿</w:t>
      </w:r>
      <w:r>
        <w:rPr>
          <w:rFonts w:ascii="仿宋" w:hAnsi="仿宋" w:eastAsia="仿宋" w:cs="仿宋"/>
          <w:spacing w:val="-1"/>
          <w:sz w:val="24"/>
          <w:szCs w:val="24"/>
        </w:rPr>
        <w:t>科 第</w:t>
      </w:r>
      <w:r>
        <w:rPr>
          <w:rFonts w:ascii="仿宋" w:hAnsi="仿宋" w:eastAsia="仿宋" w:cs="仿宋"/>
          <w:spacing w:val="-47"/>
          <w:sz w:val="24"/>
          <w:szCs w:val="24"/>
        </w:rPr>
        <w:t xml:space="preserve"> </w:t>
      </w:r>
      <w:r>
        <w:rPr>
          <w:rFonts w:ascii="仿宋" w:hAnsi="仿宋" w:eastAsia="仿宋" w:cs="仿宋"/>
          <w:spacing w:val="-1"/>
          <w:sz w:val="24"/>
          <w:szCs w:val="24"/>
        </w:rPr>
        <w:t>5</w:t>
      </w:r>
      <w:r>
        <w:rPr>
          <w:rFonts w:ascii="仿宋" w:hAnsi="仿宋" w:eastAsia="仿宋" w:cs="仿宋"/>
          <w:spacing w:val="-43"/>
          <w:sz w:val="24"/>
          <w:szCs w:val="24"/>
        </w:rPr>
        <w:t xml:space="preserve"> </w:t>
      </w:r>
      <w:r>
        <w:rPr>
          <w:rFonts w:ascii="仿宋" w:hAnsi="仿宋" w:eastAsia="仿宋" w:cs="仿宋"/>
          <w:spacing w:val="-1"/>
          <w:sz w:val="24"/>
          <w:szCs w:val="24"/>
        </w:rPr>
        <w:t>部分：小儿拔罐疗法》草案及编制说明，提交</w:t>
      </w:r>
      <w:r>
        <w:rPr>
          <w:rFonts w:ascii="仿宋" w:hAnsi="仿宋" w:eastAsia="仿宋" w:cs="仿宋"/>
          <w:spacing w:val="-2"/>
          <w:sz w:val="24"/>
          <w:szCs w:val="24"/>
        </w:rPr>
        <w:t>世界中联国际标准部审查。</w:t>
      </w:r>
    </w:p>
    <w:p w14:paraId="3E02A076">
      <w:pPr>
        <w:spacing w:line="276" w:lineRule="auto"/>
        <w:ind w:left="470"/>
        <w:rPr>
          <w:rFonts w:ascii="仿宋" w:hAnsi="仿宋" w:eastAsia="仿宋" w:cs="仿宋"/>
          <w:sz w:val="24"/>
          <w:szCs w:val="24"/>
        </w:rPr>
      </w:pPr>
      <w:r>
        <w:rPr>
          <w:rFonts w:ascii="仿宋" w:hAnsi="仿宋" w:eastAsia="仿宋" w:cs="仿宋"/>
          <w:spacing w:val="-1"/>
          <w:sz w:val="24"/>
          <w:szCs w:val="24"/>
        </w:rPr>
        <w:t>本次标准修订的编制过程如下图所示：</w:t>
      </w:r>
    </w:p>
    <w:p w14:paraId="49FD5C30">
      <w:pPr>
        <w:pStyle w:val="3"/>
        <w:spacing w:line="276" w:lineRule="auto"/>
        <w:ind w:firstLine="62"/>
      </w:pPr>
      <w:r>
        <w:rPr>
          <w:position w:val="-197"/>
        </w:rPr>
        <w:pict>
          <v:group id="_x0000_s1026" o:spid="_x0000_s1026" o:spt="203" style="height:493.25pt;width:487.9pt;" coordsize="9757,9865">
            <o:lock v:ext="edit" aspectratio="f"/>
            <v:shape id="_x0000_s1027" o:spid="_x0000_s1027" o:spt="75" type="#_x0000_t75" style="position:absolute;left:0;top:0;height:9865;width:9757;" filled="f" o:preferrelative="t" stroked="f" coordsize="21600,21600">
              <v:path/>
              <v:fill on="f" focussize="0,0"/>
              <v:stroke on="f"/>
              <v:imagedata r:id="rId16" o:title=""/>
              <o:lock v:ext="edit" aspectratio="t"/>
            </v:shape>
            <v:shape id="_x0000_s1028" o:spid="_x0000_s1028" o:spt="202" type="#_x0000_t202" style="position:absolute;left:380;top:937;height:8737;width:8744;" filled="f" stroked="f" coordsize="21600,21600">
              <v:path/>
              <v:fill on="f" focussize="0,0"/>
              <v:stroke on="f"/>
              <v:imagedata o:title=""/>
              <o:lock v:ext="edit" aspectratio="f"/>
              <v:textbox inset="0mm,0mm,0mm,0mm">
                <w:txbxContent>
                  <w:p w14:paraId="06E5B622">
                    <w:pPr>
                      <w:spacing w:before="19" w:line="229" w:lineRule="auto"/>
                      <w:ind w:left="980"/>
                      <w:rPr>
                        <w:rFonts w:ascii="仿宋" w:hAnsi="仿宋" w:eastAsia="仿宋" w:cs="仿宋"/>
                        <w:sz w:val="20"/>
                        <w:szCs w:val="20"/>
                      </w:rPr>
                    </w:pPr>
                    <w:r>
                      <w:rPr>
                        <w:rFonts w:ascii="仿宋" w:hAnsi="仿宋" w:eastAsia="仿宋" w:cs="仿宋"/>
                        <w:spacing w:val="6"/>
                        <w:sz w:val="20"/>
                        <w:szCs w:val="20"/>
                      </w:rPr>
                      <w:t xml:space="preserve">多源文献检索                      </w:t>
                    </w:r>
                    <w:r>
                      <w:rPr>
                        <w:rFonts w:ascii="仿宋" w:hAnsi="仿宋" w:eastAsia="仿宋" w:cs="仿宋"/>
                        <w:spacing w:val="5"/>
                        <w:sz w:val="20"/>
                        <w:szCs w:val="20"/>
                      </w:rPr>
                      <w:t xml:space="preserve">          国家标准及文献内容对比分析</w:t>
                    </w:r>
                  </w:p>
                  <w:p w14:paraId="2E5620D7">
                    <w:pPr>
                      <w:spacing w:line="330" w:lineRule="auto"/>
                      <w:rPr>
                        <w:rFonts w:ascii="Arial"/>
                        <w:sz w:val="21"/>
                      </w:rPr>
                    </w:pPr>
                  </w:p>
                  <w:p w14:paraId="2E949549">
                    <w:pPr>
                      <w:spacing w:line="331" w:lineRule="auto"/>
                      <w:rPr>
                        <w:rFonts w:ascii="Arial"/>
                        <w:sz w:val="21"/>
                      </w:rPr>
                    </w:pPr>
                  </w:p>
                  <w:p w14:paraId="14E2B999">
                    <w:pPr>
                      <w:spacing w:before="65" w:line="229" w:lineRule="auto"/>
                      <w:ind w:left="817"/>
                      <w:rPr>
                        <w:rFonts w:ascii="仿宋" w:hAnsi="仿宋" w:eastAsia="仿宋" w:cs="仿宋"/>
                        <w:sz w:val="20"/>
                        <w:szCs w:val="20"/>
                      </w:rPr>
                    </w:pPr>
                    <w:r>
                      <w:rPr>
                        <w:rFonts w:ascii="仿宋" w:hAnsi="仿宋" w:eastAsia="仿宋" w:cs="仿宋"/>
                        <w:spacing w:val="6"/>
                        <w:sz w:val="20"/>
                        <w:szCs w:val="20"/>
                      </w:rPr>
                      <w:t xml:space="preserve">制作专家调查问卷                    </w:t>
                    </w:r>
                    <w:r>
                      <w:rPr>
                        <w:rFonts w:ascii="仿宋" w:hAnsi="仿宋" w:eastAsia="仿宋" w:cs="仿宋"/>
                        <w:spacing w:val="5"/>
                        <w:sz w:val="20"/>
                        <w:szCs w:val="20"/>
                      </w:rPr>
                      <w:t xml:space="preserve">         问卷发放，征求相关专家意见</w:t>
                    </w:r>
                  </w:p>
                  <w:p w14:paraId="22C0E154">
                    <w:pPr>
                      <w:spacing w:line="275" w:lineRule="auto"/>
                      <w:rPr>
                        <w:rFonts w:ascii="Arial"/>
                        <w:sz w:val="21"/>
                      </w:rPr>
                    </w:pPr>
                  </w:p>
                  <w:p w14:paraId="1FA54946">
                    <w:pPr>
                      <w:spacing w:line="275" w:lineRule="auto"/>
                      <w:rPr>
                        <w:rFonts w:ascii="Arial"/>
                        <w:sz w:val="21"/>
                      </w:rPr>
                    </w:pPr>
                  </w:p>
                  <w:p w14:paraId="7FF9C49A">
                    <w:pPr>
                      <w:spacing w:line="276" w:lineRule="auto"/>
                      <w:rPr>
                        <w:rFonts w:ascii="Arial"/>
                        <w:sz w:val="21"/>
                      </w:rPr>
                    </w:pPr>
                  </w:p>
                  <w:p w14:paraId="6695404B">
                    <w:pPr>
                      <w:spacing w:before="65" w:line="229" w:lineRule="auto"/>
                      <w:ind w:left="153"/>
                      <w:rPr>
                        <w:rFonts w:ascii="仿宋" w:hAnsi="仿宋" w:eastAsia="仿宋" w:cs="仿宋"/>
                        <w:sz w:val="20"/>
                        <w:szCs w:val="20"/>
                      </w:rPr>
                    </w:pPr>
                    <w:r>
                      <w:rPr>
                        <w:rFonts w:ascii="仿宋" w:hAnsi="仿宋" w:eastAsia="仿宋" w:cs="仿宋"/>
                        <w:spacing w:val="7"/>
                        <w:sz w:val="20"/>
                        <w:szCs w:val="20"/>
                      </w:rPr>
                      <w:t>问卷回收并统计，汇总专家意见                      筛选争议条目并形成征求意见函</w:t>
                    </w:r>
                  </w:p>
                  <w:p w14:paraId="5A39EC72">
                    <w:pPr>
                      <w:spacing w:line="275" w:lineRule="auto"/>
                      <w:rPr>
                        <w:rFonts w:ascii="Arial"/>
                        <w:sz w:val="21"/>
                      </w:rPr>
                    </w:pPr>
                  </w:p>
                  <w:p w14:paraId="4BBABB6D">
                    <w:pPr>
                      <w:spacing w:line="275" w:lineRule="auto"/>
                      <w:rPr>
                        <w:rFonts w:ascii="Arial"/>
                        <w:sz w:val="21"/>
                      </w:rPr>
                    </w:pPr>
                  </w:p>
                  <w:p w14:paraId="03378C9B">
                    <w:pPr>
                      <w:spacing w:line="276" w:lineRule="auto"/>
                      <w:rPr>
                        <w:rFonts w:ascii="Arial"/>
                        <w:sz w:val="21"/>
                      </w:rPr>
                    </w:pPr>
                  </w:p>
                  <w:p w14:paraId="5E9E976C">
                    <w:pPr>
                      <w:spacing w:before="65" w:line="264" w:lineRule="exact"/>
                      <w:ind w:left="49"/>
                      <w:rPr>
                        <w:rFonts w:ascii="仿宋" w:hAnsi="仿宋" w:eastAsia="仿宋" w:cs="仿宋"/>
                        <w:sz w:val="20"/>
                        <w:szCs w:val="20"/>
                      </w:rPr>
                    </w:pPr>
                    <w:r>
                      <w:rPr>
                        <w:rFonts w:ascii="仿宋" w:hAnsi="仿宋" w:eastAsia="仿宋" w:cs="仿宋"/>
                        <w:spacing w:val="8"/>
                        <w:position w:val="1"/>
                        <w:sz w:val="20"/>
                        <w:szCs w:val="20"/>
                      </w:rPr>
                      <w:t xml:space="preserve">发放征求意见函，准备专家论证会                 </w:t>
                    </w:r>
                    <w:r>
                      <w:rPr>
                        <w:rFonts w:ascii="仿宋" w:hAnsi="仿宋" w:eastAsia="仿宋" w:cs="仿宋"/>
                        <w:spacing w:val="7"/>
                        <w:position w:val="1"/>
                        <w:sz w:val="20"/>
                        <w:szCs w:val="20"/>
                      </w:rPr>
                      <w:t>专家论证会（集中说明与征求修改意见）</w:t>
                    </w:r>
                  </w:p>
                  <w:p w14:paraId="71A7543B">
                    <w:pPr>
                      <w:spacing w:line="302" w:lineRule="auto"/>
                      <w:rPr>
                        <w:rFonts w:ascii="Arial"/>
                        <w:sz w:val="21"/>
                      </w:rPr>
                    </w:pPr>
                  </w:p>
                  <w:p w14:paraId="3E107B79">
                    <w:pPr>
                      <w:spacing w:line="302" w:lineRule="auto"/>
                      <w:rPr>
                        <w:rFonts w:ascii="Arial"/>
                        <w:sz w:val="21"/>
                      </w:rPr>
                    </w:pPr>
                  </w:p>
                  <w:p w14:paraId="10927025">
                    <w:pPr>
                      <w:spacing w:line="302" w:lineRule="auto"/>
                      <w:rPr>
                        <w:rFonts w:ascii="Arial"/>
                        <w:sz w:val="21"/>
                      </w:rPr>
                    </w:pPr>
                  </w:p>
                  <w:p w14:paraId="67B1382E">
                    <w:pPr>
                      <w:spacing w:before="66" w:line="237" w:lineRule="auto"/>
                      <w:ind w:left="277"/>
                      <w:rPr>
                        <w:rFonts w:ascii="仿宋" w:hAnsi="仿宋" w:eastAsia="仿宋" w:cs="仿宋"/>
                        <w:sz w:val="20"/>
                        <w:szCs w:val="20"/>
                      </w:rPr>
                    </w:pPr>
                    <w:r>
                      <w:rPr>
                        <w:rFonts w:ascii="仿宋" w:hAnsi="仿宋" w:eastAsia="仿宋" w:cs="仿宋"/>
                        <w:spacing w:val="7"/>
                        <w:sz w:val="20"/>
                        <w:szCs w:val="20"/>
                      </w:rPr>
                      <w:t xml:space="preserve">汇总专家意见并形成会议纪要           </w:t>
                    </w:r>
                    <w:r>
                      <w:rPr>
                        <w:rFonts w:ascii="仿宋" w:hAnsi="仿宋" w:eastAsia="仿宋" w:cs="仿宋"/>
                        <w:spacing w:val="6"/>
                        <w:sz w:val="20"/>
                        <w:szCs w:val="20"/>
                      </w:rPr>
                      <w:t xml:space="preserve">                   </w:t>
                    </w:r>
                    <w:r>
                      <w:rPr>
                        <w:rFonts w:ascii="仿宋" w:hAnsi="仿宋" w:eastAsia="仿宋" w:cs="仿宋"/>
                        <w:spacing w:val="6"/>
                        <w:position w:val="-1"/>
                        <w:sz w:val="20"/>
                        <w:szCs w:val="20"/>
                      </w:rPr>
                      <w:t>专家指导组审核</w:t>
                    </w:r>
                  </w:p>
                  <w:p w14:paraId="4DD40F8B">
                    <w:pPr>
                      <w:spacing w:line="311" w:lineRule="auto"/>
                      <w:rPr>
                        <w:rFonts w:ascii="Arial"/>
                        <w:sz w:val="21"/>
                      </w:rPr>
                    </w:pPr>
                  </w:p>
                  <w:p w14:paraId="3962830C">
                    <w:pPr>
                      <w:spacing w:line="311" w:lineRule="auto"/>
                      <w:rPr>
                        <w:rFonts w:ascii="Arial"/>
                        <w:sz w:val="21"/>
                      </w:rPr>
                    </w:pPr>
                  </w:p>
                  <w:p w14:paraId="2DE770F7">
                    <w:pPr>
                      <w:spacing w:line="312" w:lineRule="auto"/>
                      <w:rPr>
                        <w:rFonts w:ascii="Arial"/>
                        <w:sz w:val="21"/>
                      </w:rPr>
                    </w:pPr>
                  </w:p>
                  <w:p w14:paraId="582A01F5">
                    <w:pPr>
                      <w:spacing w:before="66" w:line="230" w:lineRule="auto"/>
                      <w:ind w:left="696"/>
                      <w:rPr>
                        <w:rFonts w:ascii="仿宋" w:hAnsi="仿宋" w:eastAsia="仿宋" w:cs="仿宋"/>
                        <w:sz w:val="20"/>
                        <w:szCs w:val="20"/>
                      </w:rPr>
                    </w:pPr>
                    <w:r>
                      <w:rPr>
                        <w:rFonts w:ascii="仿宋" w:hAnsi="仿宋" w:eastAsia="仿宋" w:cs="仿宋"/>
                        <w:spacing w:val="8"/>
                        <w:sz w:val="20"/>
                        <w:szCs w:val="20"/>
                      </w:rPr>
                      <w:t>召开项目组协调会议</w:t>
                    </w:r>
                    <w:r>
                      <w:rPr>
                        <w:rFonts w:ascii="仿宋" w:hAnsi="仿宋" w:eastAsia="仿宋" w:cs="仿宋"/>
                        <w:sz w:val="20"/>
                        <w:szCs w:val="20"/>
                      </w:rPr>
                      <w:t xml:space="preserve">                         </w:t>
                    </w:r>
                    <w:r>
                      <w:rPr>
                        <w:rFonts w:ascii="仿宋" w:hAnsi="仿宋" w:eastAsia="仿宋" w:cs="仿宋"/>
                        <w:spacing w:val="8"/>
                        <w:sz w:val="20"/>
                        <w:szCs w:val="20"/>
                      </w:rPr>
                      <w:t>形成小儿拔罐疗法标准草案、编制说明</w:t>
                    </w:r>
                  </w:p>
                  <w:p w14:paraId="3856F3C9">
                    <w:pPr>
                      <w:spacing w:line="299" w:lineRule="auto"/>
                      <w:rPr>
                        <w:rFonts w:ascii="Arial"/>
                        <w:sz w:val="21"/>
                      </w:rPr>
                    </w:pPr>
                  </w:p>
                  <w:p w14:paraId="3A75EB0C">
                    <w:pPr>
                      <w:spacing w:line="299" w:lineRule="auto"/>
                      <w:rPr>
                        <w:rFonts w:ascii="Arial"/>
                        <w:sz w:val="21"/>
                      </w:rPr>
                    </w:pPr>
                  </w:p>
                  <w:p w14:paraId="0F228128">
                    <w:pPr>
                      <w:spacing w:line="299" w:lineRule="auto"/>
                      <w:rPr>
                        <w:rFonts w:ascii="Arial"/>
                        <w:sz w:val="21"/>
                      </w:rPr>
                    </w:pPr>
                  </w:p>
                  <w:p w14:paraId="48C27CBE">
                    <w:pPr>
                      <w:spacing w:line="299" w:lineRule="auto"/>
                      <w:rPr>
                        <w:rFonts w:ascii="Arial"/>
                        <w:sz w:val="21"/>
                      </w:rPr>
                    </w:pPr>
                  </w:p>
                  <w:p w14:paraId="50601FB9">
                    <w:pPr>
                      <w:spacing w:before="65" w:line="229" w:lineRule="auto"/>
                      <w:ind w:left="761"/>
                      <w:rPr>
                        <w:rFonts w:ascii="仿宋" w:hAnsi="仿宋" w:eastAsia="仿宋" w:cs="仿宋"/>
                        <w:sz w:val="20"/>
                        <w:szCs w:val="20"/>
                      </w:rPr>
                    </w:pPr>
                    <w:r>
                      <w:rPr>
                        <w:rFonts w:ascii="仿宋" w:hAnsi="仿宋" w:eastAsia="仿宋" w:cs="仿宋"/>
                        <w:spacing w:val="6"/>
                        <w:sz w:val="20"/>
                        <w:szCs w:val="20"/>
                      </w:rPr>
                      <w:t>呈报世界中联审核                               公开征求意见并修改完善</w:t>
                    </w:r>
                  </w:p>
                  <w:p w14:paraId="3A6C6080">
                    <w:pPr>
                      <w:spacing w:line="288" w:lineRule="auto"/>
                      <w:rPr>
                        <w:rFonts w:ascii="Arial"/>
                        <w:sz w:val="21"/>
                      </w:rPr>
                    </w:pPr>
                  </w:p>
                  <w:p w14:paraId="558AE4BC">
                    <w:pPr>
                      <w:spacing w:line="288" w:lineRule="auto"/>
                      <w:rPr>
                        <w:rFonts w:ascii="Arial"/>
                        <w:sz w:val="21"/>
                      </w:rPr>
                    </w:pPr>
                  </w:p>
                  <w:p w14:paraId="7CA92024">
                    <w:pPr>
                      <w:spacing w:line="289" w:lineRule="auto"/>
                      <w:rPr>
                        <w:rFonts w:ascii="Arial"/>
                        <w:sz w:val="21"/>
                      </w:rPr>
                    </w:pPr>
                  </w:p>
                  <w:p w14:paraId="2F308881">
                    <w:pPr>
                      <w:spacing w:before="66" w:line="229" w:lineRule="auto"/>
                      <w:ind w:left="20"/>
                      <w:rPr>
                        <w:rFonts w:ascii="仿宋" w:hAnsi="仿宋" w:eastAsia="仿宋" w:cs="仿宋"/>
                        <w:sz w:val="20"/>
                        <w:szCs w:val="20"/>
                      </w:rPr>
                    </w:pPr>
                    <w:r>
                      <w:rPr>
                        <w:rFonts w:ascii="仿宋" w:hAnsi="仿宋" w:eastAsia="仿宋" w:cs="仿宋"/>
                        <w:spacing w:val="9"/>
                        <w:sz w:val="20"/>
                        <w:szCs w:val="20"/>
                      </w:rPr>
                      <w:t>形成国际组织标准定稿并发布实施</w:t>
                    </w:r>
                  </w:p>
                </w:txbxContent>
              </v:textbox>
            </v:shape>
            <v:shape id="_x0000_s1029" o:spid="_x0000_s1029" o:spt="202" type="#_x0000_t202" style="position:absolute;left:800;top:118;height:253;width:2336;" filled="f" stroked="f" coordsize="21600,21600">
              <v:path/>
              <v:fill on="f" focussize="0,0"/>
              <v:stroke on="f"/>
              <v:imagedata o:title=""/>
              <o:lock v:ext="edit" aspectratio="f"/>
              <v:textbox inset="0mm,0mm,0mm,0mm">
                <w:txbxContent>
                  <w:p w14:paraId="1FF64A3F">
                    <w:pPr>
                      <w:spacing w:before="19" w:line="229" w:lineRule="auto"/>
                      <w:ind w:left="20"/>
                      <w:rPr>
                        <w:rFonts w:ascii="仿宋" w:hAnsi="仿宋" w:eastAsia="仿宋" w:cs="仿宋"/>
                        <w:sz w:val="20"/>
                        <w:szCs w:val="20"/>
                      </w:rPr>
                    </w:pPr>
                    <w:r>
                      <w:rPr>
                        <w:rFonts w:ascii="仿宋" w:hAnsi="仿宋" w:eastAsia="仿宋" w:cs="仿宋"/>
                        <w:spacing w:val="8"/>
                        <w:sz w:val="20"/>
                        <w:szCs w:val="20"/>
                      </w:rPr>
                      <w:t>文献研究与多源文献检索</w:t>
                    </w:r>
                  </w:p>
                </w:txbxContent>
              </v:textbox>
            </v:shape>
            <w10:wrap type="none"/>
            <w10:anchorlock/>
          </v:group>
        </w:pict>
      </w:r>
    </w:p>
    <w:p w14:paraId="47A90DC1">
      <w:pPr>
        <w:pStyle w:val="3"/>
        <w:spacing w:line="276" w:lineRule="auto"/>
      </w:pPr>
    </w:p>
    <w:p w14:paraId="36BF0BF7">
      <w:pPr>
        <w:pStyle w:val="3"/>
        <w:spacing w:line="276" w:lineRule="auto"/>
      </w:pPr>
    </w:p>
    <w:p w14:paraId="3AF3D40D">
      <w:pPr>
        <w:pStyle w:val="3"/>
        <w:spacing w:line="276" w:lineRule="auto"/>
      </w:pPr>
    </w:p>
    <w:p w14:paraId="6CED0A2C">
      <w:pPr>
        <w:spacing w:before="0" w:beforeLines="100" w:afterLines="100" w:line="276" w:lineRule="auto"/>
        <w:ind w:left="476"/>
        <w:outlineLvl w:val="0"/>
        <w:rPr>
          <w:rFonts w:ascii="黑体" w:hAnsi="黑体" w:eastAsia="黑体" w:cs="黑体"/>
          <w:b/>
          <w:bCs/>
          <w:spacing w:val="-4"/>
          <w:sz w:val="24"/>
          <w:szCs w:val="24"/>
        </w:rPr>
      </w:pPr>
      <w:bookmarkStart w:id="1" w:name="bookmark2"/>
      <w:bookmarkEnd w:id="1"/>
      <w:r>
        <w:rPr>
          <w:rFonts w:ascii="黑体" w:hAnsi="黑体" w:eastAsia="黑体" w:cs="黑体"/>
          <w:b/>
          <w:bCs/>
          <w:spacing w:val="-4"/>
          <w:sz w:val="24"/>
          <w:szCs w:val="24"/>
        </w:rPr>
        <w:t>二、标准编制原则和确定标准主要内容的论据</w:t>
      </w:r>
    </w:p>
    <w:p w14:paraId="7B85700E">
      <w:pPr>
        <w:spacing w:before="113" w:line="276" w:lineRule="auto"/>
        <w:ind w:left="484"/>
        <w:rPr>
          <w:rFonts w:ascii="仿宋" w:hAnsi="仿宋" w:eastAsia="仿宋" w:cs="仿宋"/>
          <w:sz w:val="24"/>
          <w:szCs w:val="24"/>
        </w:rPr>
      </w:pPr>
      <w:r>
        <w:rPr>
          <w:rFonts w:ascii="仿宋" w:hAnsi="仿宋" w:eastAsia="仿宋" w:cs="仿宋"/>
          <w:b/>
          <w:bCs/>
          <w:spacing w:val="-5"/>
          <w:sz w:val="24"/>
          <w:szCs w:val="24"/>
        </w:rPr>
        <w:t>（一）标准编制原则</w:t>
      </w:r>
    </w:p>
    <w:p w14:paraId="2BE542C1">
      <w:pPr>
        <w:spacing w:before="111" w:line="276" w:lineRule="auto"/>
        <w:ind w:right="484" w:firstLine="480"/>
        <w:jc w:val="both"/>
        <w:rPr>
          <w:rFonts w:ascii="仿宋" w:hAnsi="仿宋" w:eastAsia="仿宋" w:cs="仿宋"/>
          <w:sz w:val="24"/>
          <w:szCs w:val="24"/>
        </w:rPr>
      </w:pPr>
      <w:r>
        <w:rPr>
          <w:rFonts w:ascii="仿宋" w:hAnsi="仿宋" w:eastAsia="仿宋" w:cs="仿宋"/>
          <w:spacing w:val="-2"/>
          <w:sz w:val="24"/>
          <w:szCs w:val="24"/>
        </w:rPr>
        <w:t>本标准编制遵循“科学性、实用性、规范性、国际性</w:t>
      </w:r>
      <w:r>
        <w:rPr>
          <w:rFonts w:ascii="仿宋" w:hAnsi="仿宋" w:eastAsia="仿宋" w:cs="仿宋"/>
          <w:spacing w:val="-72"/>
          <w:sz w:val="24"/>
          <w:szCs w:val="24"/>
        </w:rPr>
        <w:t xml:space="preserve"> </w:t>
      </w:r>
      <w:r>
        <w:rPr>
          <w:rFonts w:ascii="仿宋" w:hAnsi="仿宋" w:eastAsia="仿宋" w:cs="仿宋"/>
          <w:spacing w:val="-2"/>
          <w:sz w:val="24"/>
          <w:szCs w:val="24"/>
        </w:rPr>
        <w:t>”四项原则，力求达到能够为全</w:t>
      </w:r>
      <w:r>
        <w:rPr>
          <w:rFonts w:ascii="仿宋" w:hAnsi="仿宋" w:eastAsia="仿宋" w:cs="仿宋"/>
          <w:spacing w:val="-1"/>
          <w:sz w:val="24"/>
          <w:szCs w:val="24"/>
        </w:rPr>
        <w:t>球中医儿科医师实际应用，能被国际社会广泛接受和认可，并与国际医疗技术规范接轨的</w:t>
      </w:r>
      <w:r>
        <w:rPr>
          <w:rFonts w:ascii="仿宋" w:hAnsi="仿宋" w:eastAsia="仿宋" w:cs="仿宋"/>
          <w:spacing w:val="-6"/>
          <w:sz w:val="24"/>
          <w:szCs w:val="24"/>
        </w:rPr>
        <w:t>目标。</w:t>
      </w:r>
    </w:p>
    <w:p w14:paraId="009B70AD">
      <w:pPr>
        <w:spacing w:line="276" w:lineRule="auto"/>
        <w:ind w:left="489"/>
        <w:rPr>
          <w:rFonts w:ascii="仿宋" w:hAnsi="仿宋" w:eastAsia="仿宋" w:cs="仿宋"/>
          <w:sz w:val="24"/>
          <w:szCs w:val="24"/>
        </w:rPr>
      </w:pPr>
      <w:r>
        <w:rPr>
          <w:rFonts w:ascii="仿宋" w:hAnsi="仿宋" w:eastAsia="仿宋" w:cs="仿宋"/>
          <w:b/>
          <w:bCs/>
          <w:spacing w:val="-13"/>
          <w:sz w:val="24"/>
          <w:szCs w:val="24"/>
        </w:rPr>
        <w:t>1</w:t>
      </w:r>
      <w:r>
        <w:rPr>
          <w:rFonts w:ascii="仿宋" w:hAnsi="仿宋" w:eastAsia="仿宋" w:cs="仿宋"/>
          <w:spacing w:val="17"/>
          <w:sz w:val="24"/>
          <w:szCs w:val="24"/>
        </w:rPr>
        <w:t xml:space="preserve"> </w:t>
      </w:r>
      <w:r>
        <w:rPr>
          <w:rFonts w:ascii="仿宋" w:hAnsi="仿宋" w:eastAsia="仿宋" w:cs="仿宋"/>
          <w:b/>
          <w:bCs/>
          <w:spacing w:val="-13"/>
          <w:sz w:val="24"/>
          <w:szCs w:val="24"/>
        </w:rPr>
        <w:t>科学性</w:t>
      </w:r>
    </w:p>
    <w:p w14:paraId="64288275">
      <w:pPr>
        <w:spacing w:before="100" w:line="276" w:lineRule="auto"/>
        <w:ind w:left="2" w:hanging="1"/>
        <w:rPr>
          <w:rFonts w:ascii="仿宋" w:hAnsi="仿宋" w:eastAsia="仿宋" w:cs="仿宋"/>
          <w:sz w:val="24"/>
          <w:szCs w:val="24"/>
        </w:rPr>
      </w:pPr>
      <w:r>
        <w:rPr>
          <w:rFonts w:ascii="仿宋" w:hAnsi="仿宋" w:eastAsia="仿宋" w:cs="仿宋"/>
          <w:spacing w:val="-5"/>
          <w:sz w:val="24"/>
          <w:szCs w:val="24"/>
        </w:rPr>
        <w:t>本标准的编制通过系统文献研究，广泛检索并整合</w:t>
      </w:r>
      <w:r>
        <w:rPr>
          <w:rFonts w:hint="eastAsia" w:ascii="仿宋" w:hAnsi="仿宋" w:eastAsia="仿宋" w:cs="仿宋"/>
          <w:spacing w:val="-5"/>
          <w:sz w:val="24"/>
          <w:szCs w:val="24"/>
          <w:lang w:eastAsia="zh-CN"/>
        </w:rPr>
        <w:t>海内外</w:t>
      </w:r>
      <w:r>
        <w:rPr>
          <w:rFonts w:ascii="仿宋" w:hAnsi="仿宋" w:eastAsia="仿宋" w:cs="仿宋"/>
          <w:spacing w:val="-5"/>
          <w:sz w:val="24"/>
          <w:szCs w:val="24"/>
        </w:rPr>
        <w:t>权威标</w:t>
      </w:r>
      <w:r>
        <w:rPr>
          <w:rFonts w:ascii="仿宋" w:hAnsi="仿宋" w:eastAsia="仿宋" w:cs="仿宋"/>
          <w:spacing w:val="-6"/>
          <w:sz w:val="24"/>
          <w:szCs w:val="24"/>
        </w:rPr>
        <w:t>准、指南和临床证据，包括</w:t>
      </w:r>
      <w:r>
        <w:rPr>
          <w:rFonts w:ascii="仿宋" w:hAnsi="仿宋" w:eastAsia="仿宋" w:cs="仿宋"/>
          <w:spacing w:val="-47"/>
          <w:sz w:val="24"/>
          <w:szCs w:val="24"/>
        </w:rPr>
        <w:t xml:space="preserve"> </w:t>
      </w:r>
      <w:r>
        <w:rPr>
          <w:rFonts w:ascii="仿宋" w:hAnsi="仿宋" w:eastAsia="仿宋" w:cs="仿宋"/>
          <w:spacing w:val="-6"/>
          <w:sz w:val="24"/>
          <w:szCs w:val="24"/>
        </w:rPr>
        <w:t>WHO</w:t>
      </w:r>
      <w:r>
        <w:rPr>
          <w:rFonts w:ascii="仿宋" w:hAnsi="仿宋" w:eastAsia="仿宋" w:cs="仿宋"/>
          <w:spacing w:val="-44"/>
          <w:sz w:val="24"/>
          <w:szCs w:val="24"/>
        </w:rPr>
        <w:t xml:space="preserve"> </w:t>
      </w:r>
      <w:r>
        <w:rPr>
          <w:rFonts w:ascii="仿宋" w:hAnsi="仿宋" w:eastAsia="仿宋" w:cs="仿宋"/>
          <w:spacing w:val="-6"/>
          <w:sz w:val="24"/>
          <w:szCs w:val="24"/>
        </w:rPr>
        <w:t>指南、ISO</w:t>
      </w:r>
      <w:r>
        <w:rPr>
          <w:rFonts w:ascii="仿宋" w:hAnsi="仿宋" w:eastAsia="仿宋" w:cs="仿宋"/>
          <w:spacing w:val="-45"/>
          <w:sz w:val="24"/>
          <w:szCs w:val="24"/>
        </w:rPr>
        <w:t xml:space="preserve"> </w:t>
      </w:r>
      <w:r>
        <w:rPr>
          <w:rFonts w:ascii="仿宋" w:hAnsi="仿宋" w:eastAsia="仿宋" w:cs="仿宋"/>
          <w:spacing w:val="-6"/>
          <w:sz w:val="24"/>
          <w:szCs w:val="24"/>
        </w:rPr>
        <w:t>标准、《中医拔罐疗法》十四五教材等。同时，结合专家问卷调查（30位专家）和专家论证会（13</w:t>
      </w:r>
      <w:r>
        <w:rPr>
          <w:rFonts w:ascii="仿宋" w:hAnsi="仿宋" w:eastAsia="仿宋" w:cs="仿宋"/>
          <w:spacing w:val="-43"/>
          <w:sz w:val="24"/>
          <w:szCs w:val="24"/>
        </w:rPr>
        <w:t xml:space="preserve"> </w:t>
      </w:r>
      <w:r>
        <w:rPr>
          <w:rFonts w:ascii="仿宋" w:hAnsi="仿宋" w:eastAsia="仿宋" w:cs="仿宋"/>
          <w:spacing w:val="-6"/>
          <w:sz w:val="24"/>
          <w:szCs w:val="24"/>
        </w:rPr>
        <w:t>位专家）的共识意</w:t>
      </w:r>
      <w:r>
        <w:rPr>
          <w:rFonts w:ascii="仿宋" w:hAnsi="仿宋" w:eastAsia="仿宋" w:cs="仿宋"/>
          <w:spacing w:val="-7"/>
          <w:sz w:val="24"/>
          <w:szCs w:val="24"/>
        </w:rPr>
        <w:t>见，确保技术条目（如术语定义、操作步骤、</w:t>
      </w:r>
      <w:r>
        <w:rPr>
          <w:rFonts w:ascii="仿宋" w:hAnsi="仿宋" w:eastAsia="仿宋" w:cs="仿宋"/>
          <w:sz w:val="24"/>
          <w:szCs w:val="24"/>
        </w:rPr>
        <w:t>禁忌症）具有可靠的证据支撑，避免主观经验偏差，促进标准内容的客观性和可验证性。</w:t>
      </w:r>
      <w:r>
        <w:rPr>
          <w:rFonts w:ascii="仿宋" w:hAnsi="仿宋" w:eastAsia="仿宋" w:cs="仿宋"/>
          <w:spacing w:val="-1"/>
          <w:sz w:val="24"/>
          <w:szCs w:val="24"/>
        </w:rPr>
        <w:t>专家论证会邀请中医儿科、中西医结合儿科、针灸推拿科、儿科针灸推拿科、标准化专家</w:t>
      </w:r>
      <w:r>
        <w:rPr>
          <w:rFonts w:ascii="仿宋" w:hAnsi="仿宋" w:eastAsia="仿宋" w:cs="仿宋"/>
          <w:spacing w:val="-2"/>
          <w:sz w:val="24"/>
          <w:szCs w:val="24"/>
        </w:rPr>
        <w:t>共同参与，确保技术内容的科学严谨。</w:t>
      </w:r>
    </w:p>
    <w:p w14:paraId="65A67E90">
      <w:pPr>
        <w:spacing w:line="276" w:lineRule="auto"/>
        <w:ind w:left="476"/>
        <w:rPr>
          <w:rFonts w:ascii="仿宋" w:hAnsi="仿宋" w:eastAsia="仿宋" w:cs="仿宋"/>
          <w:sz w:val="24"/>
          <w:szCs w:val="24"/>
        </w:rPr>
      </w:pPr>
      <w:r>
        <w:rPr>
          <w:rFonts w:ascii="仿宋" w:hAnsi="仿宋" w:eastAsia="仿宋" w:cs="仿宋"/>
          <w:b/>
          <w:bCs/>
          <w:spacing w:val="-10"/>
          <w:sz w:val="24"/>
          <w:szCs w:val="24"/>
        </w:rPr>
        <w:t>2</w:t>
      </w:r>
      <w:r>
        <w:rPr>
          <w:rFonts w:ascii="仿宋" w:hAnsi="仿宋" w:eastAsia="仿宋" w:cs="仿宋"/>
          <w:spacing w:val="20"/>
          <w:sz w:val="24"/>
          <w:szCs w:val="24"/>
        </w:rPr>
        <w:t xml:space="preserve"> </w:t>
      </w:r>
      <w:r>
        <w:rPr>
          <w:rFonts w:ascii="仿宋" w:hAnsi="仿宋" w:eastAsia="仿宋" w:cs="仿宋"/>
          <w:b/>
          <w:bCs/>
          <w:spacing w:val="-10"/>
          <w:sz w:val="24"/>
          <w:szCs w:val="24"/>
        </w:rPr>
        <w:t>实用性</w:t>
      </w:r>
    </w:p>
    <w:p w14:paraId="73FA6F71">
      <w:pPr>
        <w:spacing w:before="109" w:line="276" w:lineRule="auto"/>
        <w:ind w:right="76" w:firstLine="480"/>
        <w:jc w:val="both"/>
        <w:rPr>
          <w:rFonts w:ascii="仿宋" w:hAnsi="仿宋" w:eastAsia="仿宋" w:cs="仿宋"/>
          <w:sz w:val="24"/>
          <w:szCs w:val="24"/>
        </w:rPr>
      </w:pPr>
      <w:r>
        <w:rPr>
          <w:rFonts w:ascii="仿宋" w:hAnsi="仿宋" w:eastAsia="仿宋" w:cs="仿宋"/>
          <w:spacing w:val="-1"/>
          <w:sz w:val="24"/>
          <w:szCs w:val="24"/>
        </w:rPr>
        <w:t>本标准旨在规范全球中医儿科拔罐操作，直接服务于儿科临床。针对中医儿科临床实际需求，优化操作细节，如年龄分层选择罐具、是否留针和刺络拔罐的具体禁忌。基于原国家标准</w:t>
      </w:r>
      <w:r>
        <w:rPr>
          <w:rFonts w:ascii="仿宋" w:hAnsi="仿宋" w:eastAsia="仿宋" w:cs="仿宋"/>
          <w:spacing w:val="-55"/>
          <w:sz w:val="24"/>
          <w:szCs w:val="24"/>
        </w:rPr>
        <w:t xml:space="preserve"> </w:t>
      </w:r>
      <w:r>
        <w:rPr>
          <w:rFonts w:ascii="仿宋" w:hAnsi="仿宋" w:eastAsia="仿宋" w:cs="仿宋"/>
          <w:spacing w:val="-1"/>
          <w:sz w:val="24"/>
          <w:szCs w:val="24"/>
        </w:rPr>
        <w:t>GB/Z 40893.5-2021</w:t>
      </w:r>
      <w:r>
        <w:rPr>
          <w:rFonts w:ascii="仿宋" w:hAnsi="仿宋" w:eastAsia="仿宋" w:cs="仿宋"/>
          <w:spacing w:val="-30"/>
          <w:sz w:val="24"/>
          <w:szCs w:val="24"/>
        </w:rPr>
        <w:t xml:space="preserve"> </w:t>
      </w:r>
      <w:r>
        <w:rPr>
          <w:rFonts w:ascii="仿宋" w:hAnsi="仿宋" w:eastAsia="仿宋" w:cs="仿宋"/>
          <w:spacing w:val="-1"/>
          <w:sz w:val="24"/>
          <w:szCs w:val="24"/>
        </w:rPr>
        <w:t>的框架，结合文献研究、专家</w:t>
      </w:r>
      <w:r>
        <w:rPr>
          <w:rFonts w:ascii="仿宋" w:hAnsi="仿宋" w:eastAsia="仿宋" w:cs="仿宋"/>
          <w:spacing w:val="-2"/>
          <w:sz w:val="24"/>
          <w:szCs w:val="24"/>
        </w:rPr>
        <w:t>共识，使标准易于操作，适用</w:t>
      </w:r>
      <w:r>
        <w:rPr>
          <w:rFonts w:ascii="仿宋" w:hAnsi="仿宋" w:eastAsia="仿宋" w:cs="仿宋"/>
          <w:spacing w:val="-1"/>
          <w:sz w:val="24"/>
          <w:szCs w:val="24"/>
        </w:rPr>
        <w:t>于中医医疗、教学、科研等领域，提高临床依从性和疗效保障。标准内容充分参考了原国</w:t>
      </w:r>
      <w:r>
        <w:rPr>
          <w:rFonts w:ascii="仿宋" w:hAnsi="仿宋" w:eastAsia="仿宋" w:cs="仿宋"/>
          <w:sz w:val="24"/>
          <w:szCs w:val="24"/>
        </w:rPr>
        <w:t>家标准实施3</w:t>
      </w:r>
      <w:r>
        <w:rPr>
          <w:rFonts w:ascii="仿宋" w:hAnsi="仿宋" w:eastAsia="仿宋" w:cs="仿宋"/>
          <w:spacing w:val="-25"/>
          <w:sz w:val="24"/>
          <w:szCs w:val="24"/>
        </w:rPr>
        <w:t xml:space="preserve"> </w:t>
      </w:r>
      <w:r>
        <w:rPr>
          <w:rFonts w:ascii="仿宋" w:hAnsi="仿宋" w:eastAsia="仿宋" w:cs="仿宋"/>
          <w:sz w:val="24"/>
          <w:szCs w:val="24"/>
        </w:rPr>
        <w:t>年多来的临床反馈及海外推广应用经验，确保标准内容贴合临床实际，易于</w:t>
      </w:r>
      <w:r>
        <w:rPr>
          <w:rFonts w:ascii="仿宋" w:hAnsi="仿宋" w:eastAsia="仿宋" w:cs="仿宋"/>
          <w:spacing w:val="-4"/>
          <w:sz w:val="24"/>
          <w:szCs w:val="24"/>
        </w:rPr>
        <w:t>操作执行。</w:t>
      </w:r>
    </w:p>
    <w:p w14:paraId="5043DAD5">
      <w:pPr>
        <w:spacing w:line="276" w:lineRule="auto"/>
        <w:ind w:left="478"/>
        <w:rPr>
          <w:rFonts w:ascii="仿宋" w:hAnsi="仿宋" w:eastAsia="仿宋" w:cs="仿宋"/>
          <w:sz w:val="24"/>
          <w:szCs w:val="24"/>
        </w:rPr>
      </w:pPr>
      <w:r>
        <w:rPr>
          <w:rFonts w:ascii="仿宋" w:hAnsi="仿宋" w:eastAsia="仿宋" w:cs="仿宋"/>
          <w:b/>
          <w:bCs/>
          <w:spacing w:val="-10"/>
          <w:sz w:val="24"/>
          <w:szCs w:val="24"/>
        </w:rPr>
        <w:t>3</w:t>
      </w:r>
      <w:r>
        <w:rPr>
          <w:rFonts w:ascii="仿宋" w:hAnsi="仿宋" w:eastAsia="仿宋" w:cs="仿宋"/>
          <w:spacing w:val="18"/>
          <w:sz w:val="24"/>
          <w:szCs w:val="24"/>
        </w:rPr>
        <w:t xml:space="preserve"> </w:t>
      </w:r>
      <w:r>
        <w:rPr>
          <w:rFonts w:ascii="仿宋" w:hAnsi="仿宋" w:eastAsia="仿宋" w:cs="仿宋"/>
          <w:b/>
          <w:bCs/>
          <w:spacing w:val="-10"/>
          <w:sz w:val="24"/>
          <w:szCs w:val="24"/>
        </w:rPr>
        <w:t>规范性</w:t>
      </w:r>
    </w:p>
    <w:p w14:paraId="1689483E">
      <w:pPr>
        <w:spacing w:before="114" w:line="276" w:lineRule="auto"/>
        <w:ind w:left="2" w:right="74" w:firstLine="480"/>
        <w:jc w:val="both"/>
        <w:rPr>
          <w:rFonts w:ascii="仿宋" w:hAnsi="仿宋" w:eastAsia="仿宋" w:cs="仿宋"/>
          <w:sz w:val="24"/>
          <w:szCs w:val="24"/>
        </w:rPr>
      </w:pPr>
      <w:r>
        <w:rPr>
          <w:rFonts w:ascii="仿宋" w:hAnsi="仿宋" w:eastAsia="仿宋" w:cs="仿宋"/>
          <w:spacing w:val="-1"/>
          <w:sz w:val="24"/>
          <w:szCs w:val="24"/>
        </w:rPr>
        <w:t>严格遵守世界中联</w:t>
      </w:r>
      <w:r>
        <w:rPr>
          <w:rFonts w:ascii="仿宋" w:hAnsi="仿宋" w:eastAsia="仿宋" w:cs="仿宋"/>
          <w:spacing w:val="-30"/>
          <w:sz w:val="24"/>
          <w:szCs w:val="24"/>
        </w:rPr>
        <w:t xml:space="preserve"> </w:t>
      </w:r>
      <w:r>
        <w:rPr>
          <w:rFonts w:ascii="仿宋" w:hAnsi="仿宋" w:eastAsia="仿宋" w:cs="仿宋"/>
          <w:spacing w:val="-1"/>
          <w:sz w:val="24"/>
          <w:szCs w:val="24"/>
        </w:rPr>
        <w:t>SCM1.1-2021《标准化工作导则第</w:t>
      </w:r>
      <w:r>
        <w:rPr>
          <w:rFonts w:ascii="仿宋" w:hAnsi="仿宋" w:eastAsia="仿宋" w:cs="仿宋"/>
          <w:spacing w:val="-31"/>
          <w:sz w:val="24"/>
          <w:szCs w:val="24"/>
        </w:rPr>
        <w:t xml:space="preserve"> </w:t>
      </w:r>
      <w:r>
        <w:rPr>
          <w:rFonts w:ascii="仿宋" w:hAnsi="仿宋" w:eastAsia="仿宋" w:cs="仿宋"/>
          <w:spacing w:val="-1"/>
          <w:sz w:val="24"/>
          <w:szCs w:val="24"/>
        </w:rPr>
        <w:t>1</w:t>
      </w:r>
      <w:r>
        <w:rPr>
          <w:rFonts w:ascii="仿宋" w:hAnsi="仿宋" w:eastAsia="仿宋" w:cs="仿宋"/>
          <w:spacing w:val="-41"/>
          <w:sz w:val="24"/>
          <w:szCs w:val="24"/>
        </w:rPr>
        <w:t xml:space="preserve"> </w:t>
      </w:r>
      <w:r>
        <w:rPr>
          <w:rFonts w:ascii="仿宋" w:hAnsi="仿宋" w:eastAsia="仿宋" w:cs="仿宋"/>
          <w:spacing w:val="-1"/>
          <w:sz w:val="24"/>
          <w:szCs w:val="24"/>
        </w:rPr>
        <w:t>部分：标准制修订与发布》的程序要求，包括文献研究、专家调查、论证会和内部协调会议等环节。统一术语定义、标准化操作步骤，确保标准文本结构清晰、一致性强，便于国际组织审核和全球应用。</w:t>
      </w:r>
    </w:p>
    <w:p w14:paraId="3233F213">
      <w:pPr>
        <w:spacing w:before="3" w:line="276" w:lineRule="auto"/>
        <w:ind w:left="472"/>
        <w:rPr>
          <w:rFonts w:ascii="仿宋" w:hAnsi="仿宋" w:eastAsia="仿宋" w:cs="仿宋"/>
          <w:sz w:val="24"/>
          <w:szCs w:val="24"/>
        </w:rPr>
      </w:pPr>
      <w:r>
        <w:rPr>
          <w:rFonts w:ascii="仿宋" w:hAnsi="仿宋" w:eastAsia="仿宋" w:cs="仿宋"/>
          <w:b/>
          <w:bCs/>
          <w:spacing w:val="-11"/>
          <w:sz w:val="24"/>
          <w:szCs w:val="24"/>
        </w:rPr>
        <w:t>4</w:t>
      </w:r>
      <w:r>
        <w:rPr>
          <w:rFonts w:ascii="仿宋" w:hAnsi="仿宋" w:eastAsia="仿宋" w:cs="仿宋"/>
          <w:spacing w:val="47"/>
          <w:sz w:val="24"/>
          <w:szCs w:val="24"/>
        </w:rPr>
        <w:t xml:space="preserve"> </w:t>
      </w:r>
      <w:r>
        <w:rPr>
          <w:rFonts w:ascii="仿宋" w:hAnsi="仿宋" w:eastAsia="仿宋" w:cs="仿宋"/>
          <w:b/>
          <w:bCs/>
          <w:spacing w:val="-11"/>
          <w:sz w:val="24"/>
          <w:szCs w:val="24"/>
        </w:rPr>
        <w:t>国际适配性</w:t>
      </w:r>
    </w:p>
    <w:p w14:paraId="5B21B777">
      <w:pPr>
        <w:spacing w:before="112" w:line="276" w:lineRule="auto"/>
        <w:ind w:firstLine="488"/>
        <w:jc w:val="both"/>
        <w:rPr>
          <w:rFonts w:ascii="仿宋" w:hAnsi="仿宋" w:eastAsia="仿宋" w:cs="仿宋"/>
          <w:sz w:val="24"/>
          <w:szCs w:val="24"/>
        </w:rPr>
      </w:pPr>
      <w:r>
        <w:rPr>
          <w:rFonts w:ascii="仿宋" w:hAnsi="仿宋" w:eastAsia="仿宋" w:cs="仿宋"/>
          <w:spacing w:val="-5"/>
          <w:sz w:val="24"/>
          <w:szCs w:val="24"/>
        </w:rPr>
        <w:t>兼顾中医特色与国际法规要求，覆盖多国专家意见（包括中国、加拿大</w:t>
      </w:r>
      <w:r>
        <w:rPr>
          <w:rFonts w:ascii="仿宋" w:hAnsi="仿宋" w:eastAsia="仿宋" w:cs="仿宋"/>
          <w:spacing w:val="-6"/>
          <w:sz w:val="24"/>
          <w:szCs w:val="24"/>
        </w:rPr>
        <w:t>、越南、泰国、</w:t>
      </w:r>
      <w:r>
        <w:rPr>
          <w:rFonts w:ascii="仿宋" w:hAnsi="仿宋" w:eastAsia="仿宋" w:cs="仿宋"/>
          <w:spacing w:val="-2"/>
          <w:sz w:val="24"/>
          <w:szCs w:val="24"/>
        </w:rPr>
        <w:t>马来西亚、新加坡等</w:t>
      </w:r>
      <w:r>
        <w:rPr>
          <w:rFonts w:ascii="仿宋" w:hAnsi="仿宋" w:eastAsia="仿宋" w:cs="仿宋"/>
          <w:spacing w:val="10"/>
          <w:sz w:val="24"/>
          <w:szCs w:val="24"/>
        </w:rPr>
        <w:t>），</w:t>
      </w:r>
      <w:r>
        <w:rPr>
          <w:rFonts w:ascii="仿宋" w:hAnsi="仿宋" w:eastAsia="仿宋" w:cs="仿宋"/>
          <w:spacing w:val="-2"/>
          <w:sz w:val="24"/>
          <w:szCs w:val="24"/>
        </w:rPr>
        <w:t>充分考虑不同国家法律法规、医疗体系和文化背景差异。在“</w:t>
      </w:r>
      <w:r>
        <w:rPr>
          <w:rFonts w:ascii="仿宋" w:hAnsi="仿宋" w:eastAsia="仿宋" w:cs="仿宋"/>
          <w:spacing w:val="-91"/>
          <w:sz w:val="24"/>
          <w:szCs w:val="24"/>
        </w:rPr>
        <w:t xml:space="preserve"> </w:t>
      </w:r>
      <w:r>
        <w:rPr>
          <w:rFonts w:ascii="仿宋" w:hAnsi="仿宋" w:eastAsia="仿宋" w:cs="仿宋"/>
          <w:spacing w:val="-2"/>
          <w:sz w:val="24"/>
          <w:szCs w:val="24"/>
        </w:rPr>
        <w:t>范</w:t>
      </w:r>
      <w:r>
        <w:rPr>
          <w:rFonts w:ascii="仿宋" w:hAnsi="仿宋" w:eastAsia="仿宋" w:cs="仿宋"/>
          <w:spacing w:val="-1"/>
          <w:sz w:val="24"/>
          <w:szCs w:val="24"/>
        </w:rPr>
        <w:t>围</w:t>
      </w:r>
      <w:r>
        <w:rPr>
          <w:rFonts w:ascii="仿宋" w:hAnsi="仿宋" w:eastAsia="仿宋" w:cs="仿宋"/>
          <w:spacing w:val="-89"/>
          <w:sz w:val="24"/>
          <w:szCs w:val="24"/>
        </w:rPr>
        <w:t xml:space="preserve"> </w:t>
      </w:r>
      <w:r>
        <w:rPr>
          <w:rFonts w:ascii="仿宋" w:hAnsi="仿宋" w:eastAsia="仿宋" w:cs="仿宋"/>
          <w:spacing w:val="-1"/>
          <w:sz w:val="24"/>
          <w:szCs w:val="24"/>
        </w:rPr>
        <w:t>”部分明确“本标准所涉及侵入性操作，实施者</w:t>
      </w:r>
      <w:r>
        <w:rPr>
          <w:rFonts w:ascii="仿宋" w:hAnsi="仿宋" w:eastAsia="仿宋" w:cs="仿宋"/>
          <w:spacing w:val="-2"/>
          <w:sz w:val="24"/>
          <w:szCs w:val="24"/>
        </w:rPr>
        <w:t>应遵守所在国家或地区的法律法规及执</w:t>
      </w:r>
      <w:r>
        <w:rPr>
          <w:rFonts w:ascii="仿宋" w:hAnsi="仿宋" w:eastAsia="仿宋" w:cs="仿宋"/>
          <w:sz w:val="24"/>
          <w:szCs w:val="24"/>
        </w:rPr>
        <w:t>业范围要求</w:t>
      </w:r>
      <w:r>
        <w:rPr>
          <w:rFonts w:ascii="仿宋" w:hAnsi="仿宋" w:eastAsia="仿宋" w:cs="仿宋"/>
          <w:spacing w:val="-72"/>
          <w:sz w:val="24"/>
          <w:szCs w:val="24"/>
        </w:rPr>
        <w:t xml:space="preserve"> </w:t>
      </w:r>
      <w:r>
        <w:rPr>
          <w:rFonts w:ascii="仿宋" w:hAnsi="仿宋" w:eastAsia="仿宋" w:cs="仿宋"/>
          <w:sz w:val="24"/>
          <w:szCs w:val="24"/>
        </w:rPr>
        <w:t>”。在术语定义、操作步骤中吸纳</w:t>
      </w:r>
      <w:r>
        <w:rPr>
          <w:rFonts w:ascii="仿宋" w:hAnsi="仿宋" w:eastAsia="仿宋" w:cs="仿宋"/>
          <w:spacing w:val="-57"/>
          <w:sz w:val="24"/>
          <w:szCs w:val="24"/>
        </w:rPr>
        <w:t xml:space="preserve"> </w:t>
      </w:r>
      <w:r>
        <w:rPr>
          <w:rFonts w:ascii="仿宋" w:hAnsi="仿宋" w:eastAsia="仿宋" w:cs="仿宋"/>
          <w:sz w:val="24"/>
          <w:szCs w:val="24"/>
        </w:rPr>
        <w:t>WHO、澳大利亚</w:t>
      </w:r>
      <w:r>
        <w:rPr>
          <w:rFonts w:ascii="仿宋" w:hAnsi="仿宋" w:eastAsia="仿宋" w:cs="仿宋"/>
          <w:spacing w:val="-48"/>
          <w:sz w:val="24"/>
          <w:szCs w:val="24"/>
        </w:rPr>
        <w:t xml:space="preserve"> </w:t>
      </w:r>
      <w:r>
        <w:rPr>
          <w:rFonts w:ascii="仿宋" w:hAnsi="仿宋" w:eastAsia="仿宋" w:cs="仿宋"/>
          <w:sz w:val="24"/>
          <w:szCs w:val="24"/>
        </w:rPr>
        <w:t>RCH、英国</w:t>
      </w:r>
      <w:r>
        <w:rPr>
          <w:rFonts w:ascii="仿宋" w:hAnsi="仿宋" w:eastAsia="仿宋" w:cs="仿宋"/>
          <w:spacing w:val="-57"/>
          <w:sz w:val="24"/>
          <w:szCs w:val="24"/>
        </w:rPr>
        <w:t xml:space="preserve"> </w:t>
      </w:r>
      <w:r>
        <w:rPr>
          <w:rFonts w:ascii="仿宋" w:hAnsi="仿宋" w:eastAsia="仿宋" w:cs="仿宋"/>
          <w:sz w:val="24"/>
          <w:szCs w:val="24"/>
        </w:rPr>
        <w:t>NHS</w:t>
      </w:r>
      <w:r>
        <w:rPr>
          <w:rFonts w:ascii="仿宋" w:hAnsi="仿宋" w:eastAsia="仿宋" w:cs="仿宋"/>
          <w:spacing w:val="-33"/>
          <w:sz w:val="24"/>
          <w:szCs w:val="24"/>
        </w:rPr>
        <w:t xml:space="preserve"> </w:t>
      </w:r>
      <w:r>
        <w:rPr>
          <w:rFonts w:ascii="仿宋" w:hAnsi="仿宋" w:eastAsia="仿宋" w:cs="仿宋"/>
          <w:sz w:val="24"/>
          <w:szCs w:val="24"/>
        </w:rPr>
        <w:t>等权威机构</w:t>
      </w:r>
      <w:r>
        <w:rPr>
          <w:rFonts w:ascii="仿宋" w:hAnsi="仿宋" w:eastAsia="仿宋" w:cs="仿宋"/>
          <w:spacing w:val="-1"/>
          <w:sz w:val="24"/>
          <w:szCs w:val="24"/>
        </w:rPr>
        <w:t>的技术规范，利于标准在全球范围内的推广应用，适应不同国家和地区的医疗环境，推动</w:t>
      </w:r>
      <w:r>
        <w:rPr>
          <w:rFonts w:ascii="仿宋" w:hAnsi="仿宋" w:eastAsia="仿宋" w:cs="仿宋"/>
          <w:spacing w:val="-2"/>
          <w:sz w:val="24"/>
          <w:szCs w:val="24"/>
        </w:rPr>
        <w:t>中医儿科技术的国际化发展。</w:t>
      </w:r>
    </w:p>
    <w:p w14:paraId="0CB662F4">
      <w:pPr>
        <w:spacing w:line="276" w:lineRule="auto"/>
        <w:ind w:left="485"/>
        <w:rPr>
          <w:rFonts w:ascii="仿宋" w:hAnsi="仿宋" w:eastAsia="仿宋" w:cs="仿宋"/>
          <w:sz w:val="24"/>
          <w:szCs w:val="24"/>
        </w:rPr>
      </w:pPr>
      <w:r>
        <w:rPr>
          <w:rFonts w:ascii="仿宋" w:hAnsi="仿宋" w:eastAsia="仿宋" w:cs="仿宋"/>
          <w:b/>
          <w:bCs/>
          <w:spacing w:val="-3"/>
          <w:sz w:val="24"/>
          <w:szCs w:val="24"/>
        </w:rPr>
        <w:t>（二）确定标准主要内容的方法和论据</w:t>
      </w:r>
    </w:p>
    <w:p w14:paraId="7543CB11">
      <w:pPr>
        <w:spacing w:before="110" w:line="276" w:lineRule="auto"/>
        <w:ind w:left="491"/>
        <w:rPr>
          <w:rFonts w:ascii="仿宋" w:hAnsi="仿宋" w:eastAsia="仿宋" w:cs="仿宋"/>
          <w:sz w:val="24"/>
          <w:szCs w:val="24"/>
        </w:rPr>
      </w:pPr>
      <w:r>
        <w:rPr>
          <w:rFonts w:ascii="仿宋" w:hAnsi="仿宋" w:eastAsia="仿宋" w:cs="仿宋"/>
          <w:b/>
          <w:bCs/>
          <w:spacing w:val="-8"/>
          <w:sz w:val="24"/>
          <w:szCs w:val="24"/>
        </w:rPr>
        <w:t>1</w:t>
      </w:r>
      <w:r>
        <w:rPr>
          <w:rFonts w:ascii="仿宋" w:hAnsi="仿宋" w:eastAsia="仿宋" w:cs="仿宋"/>
          <w:spacing w:val="21"/>
          <w:sz w:val="24"/>
          <w:szCs w:val="24"/>
        </w:rPr>
        <w:t xml:space="preserve"> </w:t>
      </w:r>
      <w:r>
        <w:rPr>
          <w:rFonts w:ascii="仿宋" w:hAnsi="仿宋" w:eastAsia="仿宋" w:cs="仿宋"/>
          <w:b/>
          <w:bCs/>
          <w:spacing w:val="-8"/>
          <w:sz w:val="24"/>
          <w:szCs w:val="24"/>
        </w:rPr>
        <w:t>标准的主要内容</w:t>
      </w:r>
    </w:p>
    <w:p w14:paraId="7FE6653C">
      <w:pPr>
        <w:spacing w:before="112" w:line="276" w:lineRule="auto"/>
        <w:ind w:right="14" w:firstLine="440"/>
        <w:jc w:val="both"/>
        <w:rPr>
          <w:rFonts w:ascii="仿宋" w:hAnsi="仿宋" w:eastAsia="仿宋" w:cs="仿宋"/>
          <w:sz w:val="24"/>
          <w:szCs w:val="24"/>
        </w:rPr>
      </w:pPr>
      <w:r>
        <w:rPr>
          <w:rFonts w:ascii="仿宋" w:hAnsi="仿宋" w:eastAsia="仿宋" w:cs="仿宋"/>
          <w:spacing w:val="-19"/>
          <w:sz w:val="24"/>
          <w:szCs w:val="24"/>
        </w:rPr>
        <w:t>本项目《国际中医技术操作规范 儿科 第</w:t>
      </w:r>
      <w:r>
        <w:rPr>
          <w:rFonts w:ascii="仿宋" w:hAnsi="仿宋" w:eastAsia="仿宋" w:cs="仿宋"/>
          <w:spacing w:val="-71"/>
          <w:sz w:val="24"/>
          <w:szCs w:val="24"/>
        </w:rPr>
        <w:t xml:space="preserve"> </w:t>
      </w:r>
      <w:r>
        <w:rPr>
          <w:rFonts w:ascii="仿宋" w:hAnsi="仿宋" w:eastAsia="仿宋" w:cs="仿宋"/>
          <w:spacing w:val="-19"/>
          <w:sz w:val="24"/>
          <w:szCs w:val="24"/>
        </w:rPr>
        <w:t>5</w:t>
      </w:r>
      <w:r>
        <w:rPr>
          <w:rFonts w:ascii="仿宋" w:hAnsi="仿宋" w:eastAsia="仿宋" w:cs="仿宋"/>
          <w:spacing w:val="-60"/>
          <w:sz w:val="24"/>
          <w:szCs w:val="24"/>
        </w:rPr>
        <w:t xml:space="preserve"> </w:t>
      </w:r>
      <w:r>
        <w:rPr>
          <w:rFonts w:ascii="仿宋" w:hAnsi="仿宋" w:eastAsia="仿宋" w:cs="仿宋"/>
          <w:spacing w:val="-19"/>
          <w:sz w:val="24"/>
          <w:szCs w:val="24"/>
        </w:rPr>
        <w:t>部分：小儿拔</w:t>
      </w:r>
      <w:r>
        <w:rPr>
          <w:rFonts w:ascii="仿宋" w:hAnsi="仿宋" w:eastAsia="仿宋" w:cs="仿宋"/>
          <w:spacing w:val="-20"/>
          <w:sz w:val="24"/>
          <w:szCs w:val="24"/>
        </w:rPr>
        <w:t>罐疗法》共有6</w:t>
      </w:r>
      <w:r>
        <w:rPr>
          <w:rFonts w:ascii="仿宋" w:hAnsi="仿宋" w:eastAsia="仿宋" w:cs="仿宋"/>
          <w:spacing w:val="-58"/>
          <w:sz w:val="24"/>
          <w:szCs w:val="24"/>
        </w:rPr>
        <w:t xml:space="preserve"> </w:t>
      </w:r>
      <w:r>
        <w:rPr>
          <w:rFonts w:ascii="仿宋" w:hAnsi="仿宋" w:eastAsia="仿宋" w:cs="仿宋"/>
          <w:spacing w:val="-20"/>
          <w:sz w:val="24"/>
          <w:szCs w:val="24"/>
        </w:rPr>
        <w:t>个组成部分：范围、规范性引用文件、术语和定义、操作步骤与要求、注意事项和禁忌、附录A（资料性）常用罐的种</w:t>
      </w:r>
      <w:r>
        <w:rPr>
          <w:rFonts w:ascii="仿宋" w:hAnsi="仿宋" w:eastAsia="仿宋" w:cs="仿宋"/>
          <w:spacing w:val="-17"/>
          <w:sz w:val="24"/>
          <w:szCs w:val="24"/>
        </w:rPr>
        <w:t>类、附录B（资料性）拔罐的留罐时间治疗间隔时间与疗程、附录C（资料性）小儿拔罐疗法与注意事项、附录D（资料性）小儿拔罐疗法禁忌、参考文献等。</w:t>
      </w:r>
    </w:p>
    <w:p w14:paraId="0DCDBC77">
      <w:pPr>
        <w:spacing w:line="276" w:lineRule="auto"/>
        <w:ind w:left="485"/>
        <w:rPr>
          <w:rFonts w:ascii="仿宋" w:hAnsi="仿宋" w:eastAsia="仿宋" w:cs="仿宋"/>
          <w:sz w:val="24"/>
          <w:szCs w:val="24"/>
        </w:rPr>
      </w:pPr>
      <w:r>
        <w:rPr>
          <w:rFonts w:ascii="仿宋" w:hAnsi="仿宋" w:eastAsia="仿宋" w:cs="仿宋"/>
          <w:spacing w:val="-5"/>
          <w:sz w:val="24"/>
          <w:szCs w:val="24"/>
        </w:rPr>
        <w:t>（1）范围</w:t>
      </w:r>
    </w:p>
    <w:p w14:paraId="6AFBD5B3">
      <w:pPr>
        <w:spacing w:before="111" w:line="276" w:lineRule="auto"/>
        <w:ind w:left="485"/>
        <w:rPr>
          <w:rFonts w:ascii="仿宋" w:hAnsi="仿宋" w:eastAsia="仿宋" w:cs="仿宋"/>
          <w:sz w:val="24"/>
          <w:szCs w:val="24"/>
        </w:rPr>
      </w:pPr>
      <w:r>
        <w:rPr>
          <w:rFonts w:ascii="仿宋" w:hAnsi="仿宋" w:eastAsia="仿宋" w:cs="仿宋"/>
          <w:spacing w:val="-3"/>
          <w:sz w:val="24"/>
          <w:szCs w:val="24"/>
        </w:rPr>
        <w:t>（2）规范性引用文件</w:t>
      </w:r>
    </w:p>
    <w:p w14:paraId="27DCF935">
      <w:pPr>
        <w:spacing w:before="113" w:line="276" w:lineRule="auto"/>
        <w:ind w:left="485"/>
        <w:rPr>
          <w:rFonts w:ascii="仿宋" w:hAnsi="仿宋" w:eastAsia="仿宋" w:cs="仿宋"/>
          <w:sz w:val="24"/>
          <w:szCs w:val="24"/>
        </w:rPr>
      </w:pPr>
      <w:r>
        <w:rPr>
          <w:rFonts w:ascii="仿宋" w:hAnsi="仿宋" w:eastAsia="仿宋" w:cs="仿宋"/>
          <w:spacing w:val="-3"/>
          <w:sz w:val="24"/>
          <w:szCs w:val="24"/>
        </w:rPr>
        <w:t>（3）术语和定义</w:t>
      </w:r>
    </w:p>
    <w:p w14:paraId="10120D8E">
      <w:pPr>
        <w:spacing w:before="112" w:line="276" w:lineRule="auto"/>
        <w:ind w:left="485"/>
        <w:rPr>
          <w:rFonts w:ascii="仿宋" w:hAnsi="仿宋" w:eastAsia="仿宋" w:cs="仿宋"/>
          <w:sz w:val="24"/>
          <w:szCs w:val="24"/>
        </w:rPr>
      </w:pPr>
      <w:r>
        <w:rPr>
          <w:rFonts w:ascii="仿宋" w:hAnsi="仿宋" w:eastAsia="仿宋" w:cs="仿宋"/>
          <w:spacing w:val="-3"/>
          <w:sz w:val="24"/>
          <w:szCs w:val="24"/>
        </w:rPr>
        <w:t>（4）操作步骤与要求</w:t>
      </w:r>
    </w:p>
    <w:p w14:paraId="6DA21935">
      <w:pPr>
        <w:spacing w:before="115" w:line="276" w:lineRule="auto"/>
        <w:ind w:left="485"/>
        <w:rPr>
          <w:rFonts w:ascii="仿宋" w:hAnsi="仿宋" w:eastAsia="仿宋" w:cs="仿宋"/>
          <w:sz w:val="24"/>
          <w:szCs w:val="24"/>
        </w:rPr>
      </w:pPr>
      <w:r>
        <w:rPr>
          <w:rFonts w:ascii="仿宋" w:hAnsi="仿宋" w:eastAsia="仿宋" w:cs="仿宋"/>
          <w:spacing w:val="-3"/>
          <w:sz w:val="24"/>
          <w:szCs w:val="24"/>
        </w:rPr>
        <w:t>（5）注意事项和禁忌</w:t>
      </w:r>
    </w:p>
    <w:p w14:paraId="11EDCCBF">
      <w:pPr>
        <w:spacing w:before="109" w:line="276" w:lineRule="auto"/>
        <w:ind w:left="485"/>
        <w:rPr>
          <w:rFonts w:ascii="仿宋" w:hAnsi="仿宋" w:eastAsia="仿宋" w:cs="仿宋"/>
          <w:sz w:val="24"/>
          <w:szCs w:val="24"/>
        </w:rPr>
      </w:pPr>
      <w:r>
        <w:rPr>
          <w:rFonts w:ascii="仿宋" w:hAnsi="仿宋" w:eastAsia="仿宋" w:cs="仿宋"/>
          <w:spacing w:val="-2"/>
          <w:sz w:val="24"/>
          <w:szCs w:val="24"/>
        </w:rPr>
        <w:t>（6）附录</w:t>
      </w:r>
      <w:r>
        <w:rPr>
          <w:rFonts w:ascii="仿宋" w:hAnsi="仿宋" w:eastAsia="仿宋" w:cs="仿宋"/>
          <w:spacing w:val="-48"/>
          <w:sz w:val="24"/>
          <w:szCs w:val="24"/>
        </w:rPr>
        <w:t xml:space="preserve"> </w:t>
      </w:r>
      <w:r>
        <w:rPr>
          <w:rFonts w:ascii="仿宋" w:hAnsi="仿宋" w:eastAsia="仿宋" w:cs="仿宋"/>
          <w:spacing w:val="-2"/>
          <w:sz w:val="24"/>
          <w:szCs w:val="24"/>
        </w:rPr>
        <w:t>A（资料性）常用罐的种类</w:t>
      </w:r>
    </w:p>
    <w:p w14:paraId="070826EB">
      <w:pPr>
        <w:spacing w:before="101" w:line="276" w:lineRule="auto"/>
        <w:ind w:left="505"/>
        <w:rPr>
          <w:rFonts w:ascii="仿宋" w:hAnsi="仿宋" w:eastAsia="仿宋" w:cs="仿宋"/>
          <w:sz w:val="24"/>
          <w:szCs w:val="24"/>
        </w:rPr>
      </w:pPr>
      <w:r>
        <w:rPr>
          <w:rFonts w:ascii="仿宋" w:hAnsi="仿宋" w:eastAsia="仿宋" w:cs="仿宋"/>
          <w:spacing w:val="-1"/>
          <w:sz w:val="24"/>
          <w:szCs w:val="24"/>
        </w:rPr>
        <w:t>（7）附录</w:t>
      </w:r>
      <w:r>
        <w:rPr>
          <w:rFonts w:ascii="仿宋" w:hAnsi="仿宋" w:eastAsia="仿宋" w:cs="仿宋"/>
          <w:spacing w:val="-55"/>
          <w:sz w:val="24"/>
          <w:szCs w:val="24"/>
        </w:rPr>
        <w:t xml:space="preserve"> </w:t>
      </w:r>
      <w:r>
        <w:rPr>
          <w:rFonts w:ascii="仿宋" w:hAnsi="仿宋" w:eastAsia="仿宋" w:cs="仿宋"/>
          <w:spacing w:val="-1"/>
          <w:sz w:val="24"/>
          <w:szCs w:val="24"/>
        </w:rPr>
        <w:t>B（资料性）拔罐的留罐时间治疗间隔时间与疗程</w:t>
      </w:r>
    </w:p>
    <w:p w14:paraId="62595175">
      <w:pPr>
        <w:spacing w:before="114" w:line="276" w:lineRule="auto"/>
        <w:ind w:left="505"/>
        <w:rPr>
          <w:rFonts w:ascii="仿宋" w:hAnsi="仿宋" w:eastAsia="仿宋" w:cs="仿宋"/>
          <w:sz w:val="24"/>
          <w:szCs w:val="24"/>
        </w:rPr>
      </w:pPr>
      <w:r>
        <w:rPr>
          <w:rFonts w:ascii="仿宋" w:hAnsi="仿宋" w:eastAsia="仿宋" w:cs="仿宋"/>
          <w:spacing w:val="-2"/>
          <w:sz w:val="24"/>
          <w:szCs w:val="24"/>
        </w:rPr>
        <w:t>（8）附录</w:t>
      </w:r>
      <w:r>
        <w:rPr>
          <w:rFonts w:ascii="仿宋" w:hAnsi="仿宋" w:eastAsia="仿宋" w:cs="仿宋"/>
          <w:spacing w:val="-38"/>
          <w:sz w:val="24"/>
          <w:szCs w:val="24"/>
        </w:rPr>
        <w:t xml:space="preserve"> </w:t>
      </w:r>
      <w:r>
        <w:rPr>
          <w:rFonts w:ascii="仿宋" w:hAnsi="仿宋" w:eastAsia="仿宋" w:cs="仿宋"/>
          <w:spacing w:val="-2"/>
          <w:sz w:val="24"/>
          <w:szCs w:val="24"/>
        </w:rPr>
        <w:t>C（资料性）小儿拔罐疗法与注意事项</w:t>
      </w:r>
    </w:p>
    <w:p w14:paraId="3D296659">
      <w:pPr>
        <w:spacing w:before="112" w:line="276" w:lineRule="auto"/>
        <w:ind w:left="505"/>
        <w:rPr>
          <w:rFonts w:ascii="仿宋" w:hAnsi="仿宋" w:eastAsia="仿宋" w:cs="仿宋"/>
          <w:sz w:val="24"/>
          <w:szCs w:val="24"/>
        </w:rPr>
      </w:pPr>
      <w:r>
        <w:rPr>
          <w:rFonts w:ascii="仿宋" w:hAnsi="仿宋" w:eastAsia="仿宋" w:cs="仿宋"/>
          <w:spacing w:val="-2"/>
          <w:sz w:val="24"/>
          <w:szCs w:val="24"/>
        </w:rPr>
        <w:t>（9）附录</w:t>
      </w:r>
      <w:r>
        <w:rPr>
          <w:rFonts w:ascii="仿宋" w:hAnsi="仿宋" w:eastAsia="仿宋" w:cs="仿宋"/>
          <w:spacing w:val="-44"/>
          <w:sz w:val="24"/>
          <w:szCs w:val="24"/>
        </w:rPr>
        <w:t xml:space="preserve"> </w:t>
      </w:r>
      <w:r>
        <w:rPr>
          <w:rFonts w:ascii="仿宋" w:hAnsi="仿宋" w:eastAsia="仿宋" w:cs="仿宋"/>
          <w:spacing w:val="-2"/>
          <w:sz w:val="24"/>
          <w:szCs w:val="24"/>
        </w:rPr>
        <w:t>D（资料性）小儿拔罐疗法禁忌</w:t>
      </w:r>
    </w:p>
    <w:p w14:paraId="344F3AD9">
      <w:pPr>
        <w:spacing w:before="115" w:line="276" w:lineRule="auto"/>
        <w:ind w:left="505"/>
        <w:rPr>
          <w:rFonts w:ascii="仿宋" w:hAnsi="仿宋" w:eastAsia="仿宋" w:cs="仿宋"/>
          <w:sz w:val="24"/>
          <w:szCs w:val="24"/>
        </w:rPr>
      </w:pPr>
      <w:r>
        <w:rPr>
          <w:rFonts w:ascii="仿宋" w:hAnsi="仿宋" w:eastAsia="仿宋" w:cs="仿宋"/>
          <w:spacing w:val="-3"/>
          <w:sz w:val="24"/>
          <w:szCs w:val="24"/>
        </w:rPr>
        <w:t>（10）参考文献</w:t>
      </w:r>
    </w:p>
    <w:p w14:paraId="737E3593">
      <w:pPr>
        <w:spacing w:before="112" w:line="276" w:lineRule="auto"/>
        <w:ind w:left="495"/>
        <w:rPr>
          <w:rFonts w:ascii="仿宋" w:hAnsi="仿宋" w:eastAsia="仿宋" w:cs="仿宋"/>
          <w:sz w:val="24"/>
          <w:szCs w:val="24"/>
        </w:rPr>
      </w:pPr>
      <w:r>
        <w:rPr>
          <w:rFonts w:ascii="仿宋" w:hAnsi="仿宋" w:eastAsia="仿宋" w:cs="仿宋"/>
          <w:b/>
          <w:bCs/>
          <w:spacing w:val="-3"/>
          <w:sz w:val="24"/>
          <w:szCs w:val="24"/>
        </w:rPr>
        <w:t>2</w:t>
      </w:r>
      <w:r>
        <w:rPr>
          <w:rFonts w:ascii="仿宋" w:hAnsi="仿宋" w:eastAsia="仿宋" w:cs="仿宋"/>
          <w:spacing w:val="-3"/>
          <w:sz w:val="24"/>
          <w:szCs w:val="24"/>
        </w:rPr>
        <w:t xml:space="preserve"> </w:t>
      </w:r>
      <w:r>
        <w:rPr>
          <w:rFonts w:ascii="仿宋" w:hAnsi="仿宋" w:eastAsia="仿宋" w:cs="仿宋"/>
          <w:b/>
          <w:bCs/>
          <w:spacing w:val="-3"/>
          <w:sz w:val="24"/>
          <w:szCs w:val="24"/>
        </w:rPr>
        <w:t>确定标准主要内容的方法</w:t>
      </w:r>
    </w:p>
    <w:p w14:paraId="1A372921">
      <w:pPr>
        <w:spacing w:before="108" w:line="276" w:lineRule="auto"/>
        <w:ind w:left="505"/>
        <w:rPr>
          <w:rFonts w:ascii="仿宋" w:hAnsi="仿宋" w:eastAsia="仿宋" w:cs="仿宋"/>
          <w:sz w:val="24"/>
          <w:szCs w:val="24"/>
        </w:rPr>
      </w:pPr>
      <w:r>
        <w:rPr>
          <w:rFonts w:ascii="仿宋" w:hAnsi="仿宋" w:eastAsia="仿宋" w:cs="仿宋"/>
          <w:b/>
          <w:bCs/>
          <w:spacing w:val="-4"/>
          <w:sz w:val="24"/>
          <w:szCs w:val="24"/>
        </w:rPr>
        <w:t>（1）文献的收集和筛选</w:t>
      </w:r>
    </w:p>
    <w:p w14:paraId="30AC8A60">
      <w:pPr>
        <w:spacing w:before="109" w:line="276" w:lineRule="auto"/>
        <w:ind w:right="17" w:firstLine="490"/>
        <w:jc w:val="both"/>
        <w:rPr>
          <w:rFonts w:ascii="仿宋" w:hAnsi="仿宋" w:eastAsia="仿宋" w:cs="仿宋"/>
          <w:sz w:val="24"/>
          <w:szCs w:val="24"/>
        </w:rPr>
      </w:pPr>
      <w:r>
        <w:rPr>
          <w:rFonts w:ascii="仿宋" w:hAnsi="仿宋" w:eastAsia="仿宋" w:cs="仿宋"/>
          <w:spacing w:val="-2"/>
          <w:sz w:val="24"/>
          <w:szCs w:val="24"/>
        </w:rPr>
        <w:t>文献收集工作于2025</w:t>
      </w:r>
      <w:r>
        <w:rPr>
          <w:rFonts w:ascii="仿宋" w:hAnsi="仿宋" w:eastAsia="仿宋" w:cs="仿宋"/>
          <w:spacing w:val="-30"/>
          <w:sz w:val="24"/>
          <w:szCs w:val="24"/>
        </w:rPr>
        <w:t xml:space="preserve"> </w:t>
      </w:r>
      <w:r>
        <w:rPr>
          <w:rFonts w:ascii="仿宋" w:hAnsi="仿宋" w:eastAsia="仿宋" w:cs="仿宋"/>
          <w:spacing w:val="-2"/>
          <w:sz w:val="24"/>
          <w:szCs w:val="24"/>
        </w:rPr>
        <w:t>年</w:t>
      </w:r>
      <w:r>
        <w:rPr>
          <w:rFonts w:ascii="仿宋" w:hAnsi="仿宋" w:eastAsia="仿宋" w:cs="仿宋"/>
          <w:spacing w:val="-51"/>
          <w:sz w:val="24"/>
          <w:szCs w:val="24"/>
        </w:rPr>
        <w:t xml:space="preserve"> </w:t>
      </w:r>
      <w:r>
        <w:rPr>
          <w:rFonts w:ascii="仿宋" w:hAnsi="仿宋" w:eastAsia="仿宋" w:cs="仿宋"/>
          <w:spacing w:val="-2"/>
          <w:sz w:val="24"/>
          <w:szCs w:val="24"/>
        </w:rPr>
        <w:t>9-10</w:t>
      </w:r>
      <w:r>
        <w:rPr>
          <w:rFonts w:ascii="仿宋" w:hAnsi="仿宋" w:eastAsia="仿宋" w:cs="仿宋"/>
          <w:spacing w:val="-33"/>
          <w:sz w:val="24"/>
          <w:szCs w:val="24"/>
        </w:rPr>
        <w:t xml:space="preserve"> </w:t>
      </w:r>
      <w:r>
        <w:rPr>
          <w:rFonts w:ascii="仿宋" w:hAnsi="仿宋" w:eastAsia="仿宋" w:cs="仿宋"/>
          <w:spacing w:val="-2"/>
          <w:sz w:val="24"/>
          <w:szCs w:val="24"/>
        </w:rPr>
        <w:t>月开展，</w:t>
      </w:r>
      <w:r>
        <w:rPr>
          <w:rFonts w:ascii="仿宋" w:hAnsi="仿宋" w:eastAsia="仿宋" w:cs="仿宋"/>
          <w:spacing w:val="-61"/>
          <w:sz w:val="24"/>
          <w:szCs w:val="24"/>
        </w:rPr>
        <w:t xml:space="preserve"> </w:t>
      </w:r>
      <w:r>
        <w:rPr>
          <w:rFonts w:ascii="仿宋" w:hAnsi="仿宋" w:eastAsia="仿宋" w:cs="仿宋"/>
          <w:spacing w:val="-2"/>
          <w:sz w:val="24"/>
          <w:szCs w:val="24"/>
        </w:rPr>
        <w:t>旨在为国家标准向国际标准的转化提供证据支</w:t>
      </w:r>
      <w:r>
        <w:rPr>
          <w:rFonts w:ascii="仿宋" w:hAnsi="仿宋" w:eastAsia="仿宋" w:cs="仿宋"/>
          <w:sz w:val="24"/>
          <w:szCs w:val="24"/>
        </w:rPr>
        <w:t>撑。项目组通过</w:t>
      </w:r>
      <w:r>
        <w:rPr>
          <w:rFonts w:hint="eastAsia" w:ascii="仿宋" w:hAnsi="仿宋" w:eastAsia="仿宋" w:cs="仿宋"/>
          <w:sz w:val="24"/>
          <w:szCs w:val="24"/>
          <w:lang w:eastAsia="zh-CN"/>
        </w:rPr>
        <w:t>海内外</w:t>
      </w:r>
      <w:r>
        <w:rPr>
          <w:rFonts w:ascii="仿宋" w:hAnsi="仿宋" w:eastAsia="仿宋" w:cs="仿宋"/>
          <w:sz w:val="24"/>
          <w:szCs w:val="24"/>
        </w:rPr>
        <w:t>权威数据库和标准平台进行系统检索，检索</w:t>
      </w:r>
      <w:r>
        <w:rPr>
          <w:rFonts w:hint="eastAsia" w:ascii="仿宋" w:hAnsi="仿宋" w:eastAsia="仿宋" w:cs="仿宋"/>
          <w:sz w:val="24"/>
          <w:szCs w:val="24"/>
          <w:lang w:eastAsia="zh-CN"/>
        </w:rPr>
        <w:t>海内外</w:t>
      </w:r>
      <w:r>
        <w:rPr>
          <w:rFonts w:ascii="仿宋" w:hAnsi="仿宋" w:eastAsia="仿宋" w:cs="仿宋"/>
          <w:sz w:val="24"/>
          <w:szCs w:val="24"/>
        </w:rPr>
        <w:t>相关标</w:t>
      </w:r>
      <w:r>
        <w:rPr>
          <w:rFonts w:ascii="仿宋" w:hAnsi="仿宋" w:eastAsia="仿宋" w:cs="仿宋"/>
          <w:spacing w:val="-1"/>
          <w:sz w:val="24"/>
          <w:szCs w:val="24"/>
        </w:rPr>
        <w:t>准、指南</w:t>
      </w:r>
      <w:r>
        <w:rPr>
          <w:rFonts w:ascii="仿宋" w:hAnsi="仿宋" w:eastAsia="仿宋" w:cs="仿宋"/>
          <w:spacing w:val="-5"/>
          <w:sz w:val="24"/>
          <w:szCs w:val="24"/>
        </w:rPr>
        <w:t>及研究文献。检索范围包括</w:t>
      </w:r>
      <w:r>
        <w:rPr>
          <w:rFonts w:ascii="仿宋" w:hAnsi="仿宋" w:eastAsia="仿宋" w:cs="仿宋"/>
          <w:spacing w:val="-59"/>
          <w:sz w:val="24"/>
          <w:szCs w:val="24"/>
        </w:rPr>
        <w:t xml:space="preserve"> </w:t>
      </w:r>
      <w:r>
        <w:rPr>
          <w:rFonts w:ascii="仿宋" w:hAnsi="仿宋" w:eastAsia="仿宋" w:cs="仿宋"/>
          <w:spacing w:val="-5"/>
          <w:sz w:val="24"/>
          <w:szCs w:val="24"/>
        </w:rPr>
        <w:t>WHO、ISO/</w:t>
      </w:r>
      <w:r>
        <w:rPr>
          <w:rFonts w:ascii="仿宋" w:hAnsi="仿宋" w:eastAsia="仿宋" w:cs="仿宋"/>
          <w:spacing w:val="-6"/>
          <w:sz w:val="24"/>
          <w:szCs w:val="24"/>
        </w:rPr>
        <w:t>TC249</w:t>
      </w:r>
      <w:r>
        <w:rPr>
          <w:rFonts w:ascii="仿宋" w:hAnsi="仿宋" w:eastAsia="仿宋" w:cs="仿宋"/>
          <w:spacing w:val="-37"/>
          <w:sz w:val="24"/>
          <w:szCs w:val="24"/>
        </w:rPr>
        <w:t xml:space="preserve"> </w:t>
      </w:r>
      <w:r>
        <w:rPr>
          <w:rFonts w:ascii="仿宋" w:hAnsi="仿宋" w:eastAsia="仿宋" w:cs="仿宋"/>
          <w:spacing w:val="-6"/>
          <w:sz w:val="24"/>
          <w:szCs w:val="24"/>
        </w:rPr>
        <w:t>发布的国际标准，《中华人民共和国药典 2025</w:t>
      </w:r>
      <w:r>
        <w:rPr>
          <w:rFonts w:ascii="仿宋" w:hAnsi="仿宋" w:eastAsia="仿宋" w:cs="仿宋"/>
          <w:sz w:val="24"/>
          <w:szCs w:val="24"/>
        </w:rPr>
        <w:t>版》，世界中医药学会联合会、中华中医药学会等发布的团体标准，PubMed、知</w:t>
      </w:r>
      <w:r>
        <w:rPr>
          <w:rFonts w:ascii="仿宋" w:hAnsi="仿宋" w:eastAsia="仿宋" w:cs="仿宋"/>
          <w:spacing w:val="-1"/>
          <w:sz w:val="24"/>
          <w:szCs w:val="24"/>
        </w:rPr>
        <w:t>网以及加</w:t>
      </w:r>
      <w:r>
        <w:rPr>
          <w:rFonts w:ascii="仿宋" w:hAnsi="仿宋" w:eastAsia="仿宋" w:cs="仿宋"/>
          <w:spacing w:val="-17"/>
          <w:sz w:val="24"/>
          <w:szCs w:val="24"/>
        </w:rPr>
        <w:t>拿大、新加坡等地数据库中的儿科拔罐疗法，检索关键词为“cupping</w:t>
      </w:r>
      <w:r>
        <w:rPr>
          <w:rFonts w:ascii="仿宋" w:hAnsi="仿宋" w:eastAsia="仿宋" w:cs="仿宋"/>
          <w:spacing w:val="-88"/>
          <w:sz w:val="24"/>
          <w:szCs w:val="24"/>
        </w:rPr>
        <w:t xml:space="preserve"> </w:t>
      </w:r>
      <w:r>
        <w:rPr>
          <w:rFonts w:ascii="仿宋" w:hAnsi="仿宋" w:eastAsia="仿宋" w:cs="仿宋"/>
          <w:spacing w:val="-17"/>
          <w:sz w:val="24"/>
          <w:szCs w:val="24"/>
        </w:rPr>
        <w:t>”，“filiform</w:t>
      </w:r>
      <w:r>
        <w:rPr>
          <w:rFonts w:ascii="仿宋" w:hAnsi="仿宋" w:eastAsia="仿宋" w:cs="仿宋"/>
          <w:spacing w:val="-54"/>
          <w:sz w:val="24"/>
          <w:szCs w:val="24"/>
        </w:rPr>
        <w:t xml:space="preserve"> </w:t>
      </w:r>
      <w:r>
        <w:rPr>
          <w:rFonts w:ascii="仿宋" w:hAnsi="仿宋" w:eastAsia="仿宋" w:cs="仿宋"/>
          <w:spacing w:val="-18"/>
          <w:sz w:val="24"/>
          <w:szCs w:val="24"/>
        </w:rPr>
        <w:t>needle</w:t>
      </w:r>
      <w:r>
        <w:rPr>
          <w:rFonts w:ascii="仿宋" w:hAnsi="仿宋" w:eastAsia="仿宋" w:cs="仿宋"/>
          <w:spacing w:val="-88"/>
          <w:sz w:val="24"/>
          <w:szCs w:val="24"/>
        </w:rPr>
        <w:t xml:space="preserve"> </w:t>
      </w:r>
      <w:r>
        <w:rPr>
          <w:rFonts w:ascii="仿宋" w:hAnsi="仿宋" w:eastAsia="仿宋" w:cs="仿宋"/>
          <w:spacing w:val="-18"/>
          <w:sz w:val="24"/>
          <w:szCs w:val="24"/>
        </w:rPr>
        <w:t>”，</w:t>
      </w:r>
      <w:r>
        <w:rPr>
          <w:rFonts w:ascii="仿宋" w:hAnsi="仿宋" w:eastAsia="仿宋" w:cs="仿宋"/>
          <w:sz w:val="24"/>
          <w:szCs w:val="24"/>
        </w:rPr>
        <w:t xml:space="preserve"> </w:t>
      </w:r>
      <w:r>
        <w:rPr>
          <w:rFonts w:ascii="仿宋" w:hAnsi="仿宋" w:eastAsia="仿宋" w:cs="仿宋"/>
          <w:spacing w:val="-1"/>
          <w:sz w:val="24"/>
          <w:szCs w:val="24"/>
        </w:rPr>
        <w:t>“skin needle</w:t>
      </w:r>
      <w:r>
        <w:rPr>
          <w:rFonts w:ascii="仿宋" w:hAnsi="仿宋" w:eastAsia="仿宋" w:cs="仿宋"/>
          <w:spacing w:val="-66"/>
          <w:sz w:val="24"/>
          <w:szCs w:val="24"/>
        </w:rPr>
        <w:t xml:space="preserve"> </w:t>
      </w:r>
      <w:r>
        <w:rPr>
          <w:rFonts w:ascii="仿宋" w:hAnsi="仿宋" w:eastAsia="仿宋" w:cs="仿宋"/>
          <w:spacing w:val="-1"/>
          <w:sz w:val="24"/>
          <w:szCs w:val="24"/>
        </w:rPr>
        <w:t>”并结合中医术语如“拔罐</w:t>
      </w:r>
      <w:r>
        <w:rPr>
          <w:rFonts w:ascii="仿宋" w:hAnsi="仿宋" w:eastAsia="仿宋" w:cs="仿宋"/>
          <w:spacing w:val="-83"/>
          <w:sz w:val="24"/>
          <w:szCs w:val="24"/>
        </w:rPr>
        <w:t xml:space="preserve"> </w:t>
      </w:r>
      <w:r>
        <w:rPr>
          <w:rFonts w:ascii="仿宋" w:hAnsi="仿宋" w:eastAsia="仿宋" w:cs="仿宋"/>
          <w:spacing w:val="-1"/>
          <w:sz w:val="24"/>
          <w:szCs w:val="24"/>
        </w:rPr>
        <w:t>”、“拔火罐</w:t>
      </w:r>
      <w:r>
        <w:rPr>
          <w:rFonts w:ascii="仿宋" w:hAnsi="仿宋" w:eastAsia="仿宋" w:cs="仿宋"/>
          <w:spacing w:val="-86"/>
          <w:sz w:val="24"/>
          <w:szCs w:val="24"/>
        </w:rPr>
        <w:t xml:space="preserve"> </w:t>
      </w:r>
      <w:r>
        <w:rPr>
          <w:rFonts w:ascii="仿宋" w:hAnsi="仿宋" w:eastAsia="仿宋" w:cs="仿宋"/>
          <w:spacing w:val="-1"/>
          <w:sz w:val="24"/>
          <w:szCs w:val="24"/>
        </w:rPr>
        <w:t>”、“罐</w:t>
      </w:r>
      <w:r>
        <w:rPr>
          <w:rFonts w:ascii="仿宋" w:hAnsi="仿宋" w:eastAsia="仿宋" w:cs="仿宋"/>
          <w:spacing w:val="-85"/>
          <w:sz w:val="24"/>
          <w:szCs w:val="24"/>
        </w:rPr>
        <w:t xml:space="preserve"> </w:t>
      </w:r>
      <w:r>
        <w:rPr>
          <w:rFonts w:ascii="仿宋" w:hAnsi="仿宋" w:eastAsia="仿宋" w:cs="仿宋"/>
          <w:spacing w:val="-1"/>
          <w:sz w:val="24"/>
          <w:szCs w:val="24"/>
        </w:rPr>
        <w:t>”。限制条件主要为英</w:t>
      </w:r>
      <w:r>
        <w:rPr>
          <w:rFonts w:ascii="仿宋" w:hAnsi="仿宋" w:eastAsia="仿宋" w:cs="仿宋"/>
          <w:spacing w:val="-5"/>
          <w:sz w:val="24"/>
          <w:szCs w:val="24"/>
        </w:rPr>
        <w:t>文文献（人类、儿童</w:t>
      </w:r>
      <w:r>
        <w:rPr>
          <w:rFonts w:ascii="仿宋" w:hAnsi="仿宋" w:eastAsia="仿宋" w:cs="仿宋"/>
          <w:spacing w:val="-49"/>
          <w:sz w:val="24"/>
          <w:szCs w:val="24"/>
        </w:rPr>
        <w:t xml:space="preserve"> </w:t>
      </w:r>
      <w:r>
        <w:rPr>
          <w:rFonts w:ascii="仿宋" w:hAnsi="仿宋" w:eastAsia="仿宋" w:cs="仿宋"/>
          <w:spacing w:val="-5"/>
          <w:sz w:val="24"/>
          <w:szCs w:val="24"/>
        </w:rPr>
        <w:t>0-18</w:t>
      </w:r>
      <w:r>
        <w:rPr>
          <w:rFonts w:ascii="仿宋" w:hAnsi="仿宋" w:eastAsia="仿宋" w:cs="仿宋"/>
          <w:spacing w:val="-40"/>
          <w:sz w:val="24"/>
          <w:szCs w:val="24"/>
        </w:rPr>
        <w:t xml:space="preserve"> </w:t>
      </w:r>
      <w:r>
        <w:rPr>
          <w:rFonts w:ascii="仿宋" w:hAnsi="仿宋" w:eastAsia="仿宋" w:cs="仿宋"/>
          <w:spacing w:val="-5"/>
          <w:sz w:val="24"/>
          <w:szCs w:val="24"/>
        </w:rPr>
        <w:t>岁）、中文文献（2021</w:t>
      </w:r>
      <w:r>
        <w:rPr>
          <w:rFonts w:ascii="仿宋" w:hAnsi="仿宋" w:eastAsia="仿宋" w:cs="仿宋"/>
          <w:spacing w:val="-40"/>
          <w:sz w:val="24"/>
          <w:szCs w:val="24"/>
        </w:rPr>
        <w:t xml:space="preserve"> </w:t>
      </w:r>
      <w:r>
        <w:rPr>
          <w:rFonts w:ascii="仿宋" w:hAnsi="仿宋" w:eastAsia="仿宋" w:cs="仿宋"/>
          <w:spacing w:val="-5"/>
          <w:sz w:val="24"/>
          <w:szCs w:val="24"/>
        </w:rPr>
        <w:t>年</w:t>
      </w:r>
      <w:r>
        <w:rPr>
          <w:rFonts w:ascii="仿宋" w:hAnsi="仿宋" w:eastAsia="仿宋" w:cs="仿宋"/>
          <w:spacing w:val="-33"/>
          <w:sz w:val="24"/>
          <w:szCs w:val="24"/>
        </w:rPr>
        <w:t xml:space="preserve"> </w:t>
      </w:r>
      <w:r>
        <w:rPr>
          <w:rFonts w:ascii="仿宋" w:hAnsi="仿宋" w:eastAsia="仿宋" w:cs="仿宋"/>
          <w:spacing w:val="-5"/>
          <w:sz w:val="24"/>
          <w:szCs w:val="24"/>
        </w:rPr>
        <w:t>11</w:t>
      </w:r>
      <w:r>
        <w:rPr>
          <w:rFonts w:ascii="仿宋" w:hAnsi="仿宋" w:eastAsia="仿宋" w:cs="仿宋"/>
          <w:spacing w:val="-33"/>
          <w:sz w:val="24"/>
          <w:szCs w:val="24"/>
        </w:rPr>
        <w:t xml:space="preserve"> </w:t>
      </w:r>
      <w:r>
        <w:rPr>
          <w:rFonts w:ascii="仿宋" w:hAnsi="仿宋" w:eastAsia="仿宋" w:cs="仿宋"/>
          <w:spacing w:val="-5"/>
          <w:sz w:val="24"/>
          <w:szCs w:val="24"/>
        </w:rPr>
        <w:t>月后</w:t>
      </w:r>
      <w:r>
        <w:rPr>
          <w:rFonts w:ascii="仿宋" w:hAnsi="仿宋" w:eastAsia="仿宋" w:cs="仿宋"/>
          <w:spacing w:val="18"/>
          <w:sz w:val="24"/>
          <w:szCs w:val="24"/>
        </w:rPr>
        <w:t>），</w:t>
      </w:r>
      <w:r>
        <w:rPr>
          <w:rFonts w:ascii="仿宋" w:hAnsi="仿宋" w:eastAsia="仿宋" w:cs="仿宋"/>
          <w:spacing w:val="-5"/>
          <w:sz w:val="24"/>
          <w:szCs w:val="24"/>
        </w:rPr>
        <w:t>以确保证据的时效性和相</w:t>
      </w:r>
      <w:r>
        <w:rPr>
          <w:rFonts w:ascii="仿宋" w:hAnsi="仿宋" w:eastAsia="仿宋" w:cs="仿宋"/>
          <w:spacing w:val="1"/>
          <w:sz w:val="24"/>
          <w:szCs w:val="24"/>
        </w:rPr>
        <w:t>关性。</w:t>
      </w:r>
    </w:p>
    <w:p w14:paraId="65C4EE38">
      <w:pPr>
        <w:spacing w:before="1" w:line="276" w:lineRule="auto"/>
        <w:ind w:left="26" w:right="52" w:firstLine="465"/>
        <w:rPr>
          <w:rFonts w:ascii="仿宋" w:hAnsi="仿宋" w:eastAsia="仿宋" w:cs="仿宋"/>
          <w:sz w:val="24"/>
          <w:szCs w:val="24"/>
        </w:rPr>
      </w:pPr>
      <w:r>
        <w:rPr>
          <w:rFonts w:ascii="仿宋" w:hAnsi="仿宋" w:eastAsia="仿宋" w:cs="仿宋"/>
          <w:sz w:val="24"/>
          <w:szCs w:val="24"/>
        </w:rPr>
        <w:t>检索来源覆盖：①国内标准：国家标准、行业</w:t>
      </w:r>
      <w:r>
        <w:rPr>
          <w:rFonts w:ascii="仿宋" w:hAnsi="仿宋" w:eastAsia="仿宋" w:cs="仿宋"/>
          <w:spacing w:val="-1"/>
          <w:sz w:val="24"/>
          <w:szCs w:val="24"/>
        </w:rPr>
        <w:t>标准、团体标准、地方标准，以及《中</w:t>
      </w:r>
      <w:r>
        <w:rPr>
          <w:rFonts w:ascii="仿宋" w:hAnsi="仿宋" w:eastAsia="仿宋" w:cs="仿宋"/>
          <w:spacing w:val="-2"/>
          <w:sz w:val="24"/>
          <w:szCs w:val="24"/>
        </w:rPr>
        <w:t>华人民共和国药典》（2025</w:t>
      </w:r>
      <w:r>
        <w:rPr>
          <w:rFonts w:ascii="仿宋" w:hAnsi="仿宋" w:eastAsia="仿宋" w:cs="仿宋"/>
          <w:spacing w:val="-48"/>
          <w:sz w:val="24"/>
          <w:szCs w:val="24"/>
        </w:rPr>
        <w:t xml:space="preserve"> </w:t>
      </w:r>
      <w:r>
        <w:rPr>
          <w:rFonts w:ascii="仿宋" w:hAnsi="仿宋" w:eastAsia="仿宋" w:cs="仿宋"/>
          <w:spacing w:val="-2"/>
          <w:sz w:val="24"/>
          <w:szCs w:val="24"/>
        </w:rPr>
        <w:t>版）。②国际（组织）标准：ISO、WHO</w:t>
      </w:r>
      <w:r>
        <w:rPr>
          <w:rFonts w:ascii="仿宋" w:hAnsi="仿宋" w:eastAsia="仿宋" w:cs="仿宋"/>
          <w:spacing w:val="-44"/>
          <w:sz w:val="24"/>
          <w:szCs w:val="24"/>
        </w:rPr>
        <w:t xml:space="preserve"> </w:t>
      </w:r>
      <w:r>
        <w:rPr>
          <w:rFonts w:ascii="仿宋" w:hAnsi="仿宋" w:eastAsia="仿宋" w:cs="仿宋"/>
          <w:spacing w:val="-3"/>
          <w:sz w:val="24"/>
          <w:szCs w:val="24"/>
        </w:rPr>
        <w:t>指南、WFCMS</w:t>
      </w:r>
      <w:r>
        <w:rPr>
          <w:rFonts w:ascii="仿宋" w:hAnsi="仿宋" w:eastAsia="仿宋" w:cs="仿宋"/>
          <w:spacing w:val="-45"/>
          <w:sz w:val="24"/>
          <w:szCs w:val="24"/>
        </w:rPr>
        <w:t xml:space="preserve"> </w:t>
      </w:r>
      <w:r>
        <w:rPr>
          <w:rFonts w:ascii="仿宋" w:hAnsi="仿宋" w:eastAsia="仿宋" w:cs="仿宋"/>
          <w:spacing w:val="-3"/>
          <w:sz w:val="24"/>
          <w:szCs w:val="24"/>
        </w:rPr>
        <w:t>标准等。</w:t>
      </w:r>
    </w:p>
    <w:p w14:paraId="130753AE">
      <w:pPr>
        <w:spacing w:line="276" w:lineRule="auto"/>
        <w:jc w:val="right"/>
        <w:rPr>
          <w:rFonts w:ascii="仿宋" w:hAnsi="仿宋" w:eastAsia="仿宋" w:cs="仿宋"/>
          <w:sz w:val="24"/>
          <w:szCs w:val="24"/>
        </w:rPr>
      </w:pPr>
      <w:r>
        <w:rPr>
          <w:rFonts w:ascii="仿宋" w:hAnsi="仿宋" w:eastAsia="仿宋" w:cs="仿宋"/>
          <w:spacing w:val="-1"/>
          <w:sz w:val="24"/>
          <w:szCs w:val="24"/>
        </w:rPr>
        <w:t>③国外组织机构：FDA、NHS</w:t>
      </w:r>
      <w:r>
        <w:rPr>
          <w:rFonts w:ascii="仿宋" w:hAnsi="仿宋" w:eastAsia="仿宋" w:cs="仿宋"/>
          <w:spacing w:val="-37"/>
          <w:sz w:val="24"/>
          <w:szCs w:val="24"/>
        </w:rPr>
        <w:t xml:space="preserve"> </w:t>
      </w:r>
      <w:r>
        <w:rPr>
          <w:rFonts w:ascii="仿宋" w:hAnsi="仿宋" w:eastAsia="仿宋" w:cs="仿宋"/>
          <w:spacing w:val="-1"/>
          <w:sz w:val="24"/>
          <w:szCs w:val="24"/>
        </w:rPr>
        <w:t>Englan</w:t>
      </w:r>
      <w:r>
        <w:rPr>
          <w:rFonts w:ascii="仿宋" w:hAnsi="仿宋" w:eastAsia="仿宋" w:cs="仿宋"/>
          <w:spacing w:val="-2"/>
          <w:sz w:val="24"/>
          <w:szCs w:val="24"/>
        </w:rPr>
        <w:t>d、NSW</w:t>
      </w:r>
      <w:r>
        <w:rPr>
          <w:rFonts w:ascii="仿宋" w:hAnsi="仿宋" w:eastAsia="仿宋" w:cs="仿宋"/>
          <w:spacing w:val="-38"/>
          <w:sz w:val="24"/>
          <w:szCs w:val="24"/>
        </w:rPr>
        <w:t xml:space="preserve"> </w:t>
      </w:r>
      <w:r>
        <w:rPr>
          <w:rFonts w:ascii="仿宋" w:hAnsi="仿宋" w:eastAsia="仿宋" w:cs="仿宋"/>
          <w:spacing w:val="-2"/>
          <w:sz w:val="24"/>
          <w:szCs w:val="24"/>
        </w:rPr>
        <w:t>Health、新加坡</w:t>
      </w:r>
      <w:r>
        <w:rPr>
          <w:rFonts w:ascii="仿宋" w:hAnsi="仿宋" w:eastAsia="仿宋" w:cs="仿宋"/>
          <w:spacing w:val="-59"/>
          <w:sz w:val="24"/>
          <w:szCs w:val="24"/>
        </w:rPr>
        <w:t xml:space="preserve"> </w:t>
      </w:r>
      <w:r>
        <w:rPr>
          <w:rFonts w:ascii="仿宋" w:hAnsi="仿宋" w:eastAsia="仿宋" w:cs="仿宋"/>
          <w:spacing w:val="-2"/>
          <w:sz w:val="24"/>
          <w:szCs w:val="24"/>
        </w:rPr>
        <w:t>MOH</w:t>
      </w:r>
      <w:r>
        <w:rPr>
          <w:rFonts w:ascii="仿宋" w:hAnsi="仿宋" w:eastAsia="仿宋" w:cs="仿宋"/>
          <w:spacing w:val="-41"/>
          <w:sz w:val="24"/>
          <w:szCs w:val="24"/>
        </w:rPr>
        <w:t xml:space="preserve"> </w:t>
      </w:r>
      <w:r>
        <w:rPr>
          <w:rFonts w:ascii="仿宋" w:hAnsi="仿宋" w:eastAsia="仿宋" w:cs="仿宋"/>
          <w:spacing w:val="-2"/>
          <w:sz w:val="24"/>
          <w:szCs w:val="24"/>
        </w:rPr>
        <w:t>HPP</w:t>
      </w:r>
      <w:r>
        <w:rPr>
          <w:rFonts w:ascii="仿宋" w:hAnsi="仿宋" w:eastAsia="仿宋" w:cs="仿宋"/>
          <w:spacing w:val="-35"/>
          <w:sz w:val="24"/>
          <w:szCs w:val="24"/>
        </w:rPr>
        <w:t xml:space="preserve"> </w:t>
      </w:r>
      <w:r>
        <w:rPr>
          <w:rFonts w:ascii="仿宋" w:hAnsi="仿宋" w:eastAsia="仿宋" w:cs="仿宋"/>
          <w:spacing w:val="-2"/>
          <w:sz w:val="24"/>
          <w:szCs w:val="24"/>
        </w:rPr>
        <w:t>等发布的标准、指南。</w:t>
      </w:r>
    </w:p>
    <w:p w14:paraId="0A079156">
      <w:pPr>
        <w:spacing w:before="118" w:line="276" w:lineRule="auto"/>
        <w:ind w:left="11"/>
        <w:rPr>
          <w:rFonts w:ascii="仿宋" w:hAnsi="仿宋" w:eastAsia="仿宋" w:cs="仿宋"/>
          <w:sz w:val="24"/>
          <w:szCs w:val="24"/>
        </w:rPr>
      </w:pPr>
      <w:r>
        <w:rPr>
          <w:rFonts w:ascii="仿宋" w:hAnsi="仿宋" w:eastAsia="仿宋" w:cs="仿宋"/>
          <w:sz w:val="24"/>
          <w:szCs w:val="24"/>
        </w:rPr>
        <w:t>④文献库：PubMed、中国知网等数据库中的指南</w:t>
      </w:r>
      <w:r>
        <w:rPr>
          <w:rFonts w:ascii="仿宋" w:hAnsi="仿宋" w:eastAsia="仿宋" w:cs="仿宋"/>
          <w:spacing w:val="-1"/>
          <w:sz w:val="24"/>
          <w:szCs w:val="24"/>
        </w:rPr>
        <w:t>、共识和临床研究。</w:t>
      </w:r>
    </w:p>
    <w:p w14:paraId="5DD8FA22">
      <w:pPr>
        <w:spacing w:before="113" w:line="276" w:lineRule="auto"/>
        <w:ind w:left="10" w:right="83" w:firstLine="489"/>
        <w:jc w:val="both"/>
        <w:rPr>
          <w:rFonts w:ascii="仿宋" w:hAnsi="仿宋" w:eastAsia="仿宋" w:cs="仿宋"/>
          <w:sz w:val="24"/>
          <w:szCs w:val="24"/>
        </w:rPr>
      </w:pPr>
      <w:r>
        <w:rPr>
          <w:rFonts w:ascii="仿宋" w:hAnsi="仿宋" w:eastAsia="仿宋" w:cs="仿宋"/>
          <w:spacing w:val="-1"/>
          <w:sz w:val="24"/>
          <w:szCs w:val="24"/>
        </w:rPr>
        <w:t>初筛基于标题和摘要，排除无关或重复文献；复筛阅读全文，纳入与儿科拔罐直接相</w:t>
      </w:r>
      <w:r>
        <w:rPr>
          <w:rFonts w:ascii="仿宋" w:hAnsi="仿宋" w:eastAsia="仿宋" w:cs="仿宋"/>
          <w:sz w:val="24"/>
          <w:szCs w:val="24"/>
        </w:rPr>
        <w:t>关的证据。最终纳入证据包括国家标准（如拔罐操作规</w:t>
      </w:r>
      <w:r>
        <w:rPr>
          <w:rFonts w:ascii="仿宋" w:hAnsi="仿宋" w:eastAsia="仿宋" w:cs="仿宋"/>
          <w:spacing w:val="-1"/>
          <w:sz w:val="24"/>
          <w:szCs w:val="24"/>
        </w:rPr>
        <w:t>范、三棱针操作规范、皮肤针操作</w:t>
      </w:r>
      <w:r>
        <w:rPr>
          <w:rFonts w:ascii="仿宋" w:hAnsi="仿宋" w:eastAsia="仿宋" w:cs="仿宋"/>
          <w:spacing w:val="-7"/>
          <w:sz w:val="24"/>
          <w:szCs w:val="24"/>
        </w:rPr>
        <w:t>规范、传染病消毒规范</w:t>
      </w:r>
      <w:r>
        <w:rPr>
          <w:rFonts w:ascii="仿宋" w:hAnsi="仿宋" w:eastAsia="仿宋" w:cs="仿宋"/>
          <w:spacing w:val="-60"/>
          <w:sz w:val="24"/>
          <w:szCs w:val="24"/>
        </w:rPr>
        <w:t xml:space="preserve"> </w:t>
      </w:r>
      <w:r>
        <w:rPr>
          <w:rFonts w:ascii="仿宋" w:hAnsi="仿宋" w:eastAsia="仿宋" w:cs="仿宋"/>
          <w:spacing w:val="-7"/>
          <w:sz w:val="24"/>
          <w:szCs w:val="24"/>
        </w:rPr>
        <w:t>A.2</w:t>
      </w:r>
      <w:r>
        <w:rPr>
          <w:rFonts w:ascii="仿宋" w:hAnsi="仿宋" w:eastAsia="仿宋" w:cs="仿宋"/>
          <w:spacing w:val="-40"/>
          <w:sz w:val="24"/>
          <w:szCs w:val="24"/>
        </w:rPr>
        <w:t xml:space="preserve"> </w:t>
      </w:r>
      <w:r>
        <w:rPr>
          <w:rFonts w:ascii="仿宋" w:hAnsi="仿宋" w:eastAsia="仿宋" w:cs="仿宋"/>
          <w:spacing w:val="-7"/>
          <w:sz w:val="24"/>
          <w:szCs w:val="24"/>
        </w:rPr>
        <w:t>一般物体表面消毒）、ISO</w:t>
      </w:r>
      <w:r>
        <w:rPr>
          <w:rFonts w:ascii="仿宋" w:hAnsi="仿宋" w:eastAsia="仿宋" w:cs="仿宋"/>
          <w:spacing w:val="-45"/>
          <w:sz w:val="24"/>
          <w:szCs w:val="24"/>
        </w:rPr>
        <w:t xml:space="preserve"> </w:t>
      </w:r>
      <w:r>
        <w:rPr>
          <w:rFonts w:ascii="仿宋" w:hAnsi="仿宋" w:eastAsia="仿宋" w:cs="仿宋"/>
          <w:spacing w:val="-7"/>
          <w:sz w:val="24"/>
          <w:szCs w:val="24"/>
        </w:rPr>
        <w:t>标准（ISO</w:t>
      </w:r>
      <w:r>
        <w:rPr>
          <w:rFonts w:ascii="仿宋" w:hAnsi="仿宋" w:eastAsia="仿宋" w:cs="仿宋"/>
          <w:spacing w:val="-8"/>
          <w:sz w:val="24"/>
          <w:szCs w:val="24"/>
        </w:rPr>
        <w:t>22213:2020(E)</w:t>
      </w:r>
      <w:r>
        <w:rPr>
          <w:rFonts w:ascii="仿宋" w:hAnsi="仿宋" w:eastAsia="仿宋" w:cs="仿宋"/>
          <w:spacing w:val="-54"/>
          <w:sz w:val="24"/>
          <w:szCs w:val="24"/>
        </w:rPr>
        <w:t xml:space="preserve"> </w:t>
      </w:r>
      <w:r>
        <w:rPr>
          <w:rFonts w:ascii="仿宋" w:hAnsi="仿宋" w:eastAsia="仿宋" w:cs="仿宋"/>
          <w:spacing w:val="-8"/>
          <w:sz w:val="24"/>
          <w:szCs w:val="24"/>
        </w:rPr>
        <w:t>Traditional</w:t>
      </w:r>
      <w:r>
        <w:rPr>
          <w:rFonts w:ascii="仿宋" w:hAnsi="仿宋" w:eastAsia="仿宋" w:cs="仿宋"/>
          <w:sz w:val="24"/>
          <w:szCs w:val="24"/>
        </w:rPr>
        <w:t xml:space="preserve"> </w:t>
      </w:r>
      <w:r>
        <w:rPr>
          <w:rFonts w:ascii="仿宋" w:hAnsi="仿宋" w:eastAsia="仿宋" w:cs="仿宋"/>
          <w:spacing w:val="-1"/>
          <w:sz w:val="24"/>
          <w:szCs w:val="24"/>
        </w:rPr>
        <w:t>Chinese medicine — Glass cupping device）、行业标准（如</w:t>
      </w:r>
      <w:r>
        <w:rPr>
          <w:rFonts w:ascii="仿宋" w:hAnsi="仿宋" w:eastAsia="仿宋" w:cs="仿宋"/>
          <w:spacing w:val="-59"/>
          <w:sz w:val="24"/>
          <w:szCs w:val="24"/>
        </w:rPr>
        <w:t xml:space="preserve"> </w:t>
      </w:r>
      <w:r>
        <w:rPr>
          <w:rFonts w:ascii="仿宋" w:hAnsi="仿宋" w:eastAsia="仿宋" w:cs="仿宋"/>
          <w:spacing w:val="-1"/>
          <w:sz w:val="24"/>
          <w:szCs w:val="24"/>
        </w:rPr>
        <w:t>WS310.2</w:t>
      </w:r>
      <w:r>
        <w:rPr>
          <w:rFonts w:ascii="仿宋" w:hAnsi="仿宋" w:eastAsia="仿宋" w:cs="仿宋"/>
          <w:spacing w:val="-2"/>
          <w:sz w:val="24"/>
          <w:szCs w:val="24"/>
        </w:rPr>
        <w:t>--2016 《医院消</w:t>
      </w:r>
      <w:r>
        <w:rPr>
          <w:rFonts w:ascii="仿宋" w:hAnsi="仿宋" w:eastAsia="仿宋" w:cs="仿宋"/>
          <w:spacing w:val="-1"/>
          <w:sz w:val="24"/>
          <w:szCs w:val="24"/>
        </w:rPr>
        <w:t>毒供应中心 第</w:t>
      </w:r>
      <w:r>
        <w:rPr>
          <w:rFonts w:ascii="仿宋" w:hAnsi="仿宋" w:eastAsia="仿宋" w:cs="仿宋"/>
          <w:spacing w:val="-46"/>
          <w:sz w:val="24"/>
          <w:szCs w:val="24"/>
        </w:rPr>
        <w:t xml:space="preserve"> </w:t>
      </w:r>
      <w:r>
        <w:rPr>
          <w:rFonts w:ascii="仿宋" w:hAnsi="仿宋" w:eastAsia="仿宋" w:cs="仿宋"/>
          <w:spacing w:val="-1"/>
          <w:sz w:val="24"/>
          <w:szCs w:val="24"/>
        </w:rPr>
        <w:t>2</w:t>
      </w:r>
      <w:r>
        <w:rPr>
          <w:rFonts w:ascii="仿宋" w:hAnsi="仿宋" w:eastAsia="仿宋" w:cs="仿宋"/>
          <w:spacing w:val="-43"/>
          <w:sz w:val="24"/>
          <w:szCs w:val="24"/>
        </w:rPr>
        <w:t xml:space="preserve"> </w:t>
      </w:r>
      <w:r>
        <w:rPr>
          <w:rFonts w:ascii="仿宋" w:hAnsi="仿宋" w:eastAsia="仿宋" w:cs="仿宋"/>
          <w:spacing w:val="-1"/>
          <w:sz w:val="24"/>
          <w:szCs w:val="24"/>
        </w:rPr>
        <w:t>部分：清洗消毒及灭菌技术操作规范》、WS/T 313—2019 《医务人员卫生规范》）以及文献证据（如十四五创新教材）等。</w:t>
      </w:r>
    </w:p>
    <w:p w14:paraId="02FC91AA">
      <w:pPr>
        <w:spacing w:line="276" w:lineRule="auto"/>
        <w:ind w:left="505"/>
        <w:rPr>
          <w:rFonts w:ascii="仿宋" w:hAnsi="仿宋" w:eastAsia="仿宋" w:cs="仿宋"/>
          <w:sz w:val="24"/>
          <w:szCs w:val="24"/>
        </w:rPr>
      </w:pPr>
      <w:r>
        <w:rPr>
          <w:rFonts w:ascii="仿宋" w:hAnsi="仿宋" w:eastAsia="仿宋" w:cs="仿宋"/>
          <w:b/>
          <w:bCs/>
          <w:spacing w:val="-5"/>
          <w:sz w:val="24"/>
          <w:szCs w:val="24"/>
        </w:rPr>
        <w:t>（2）文献评价</w:t>
      </w:r>
    </w:p>
    <w:p w14:paraId="02C29C84">
      <w:pPr>
        <w:spacing w:before="114" w:line="276" w:lineRule="auto"/>
        <w:ind w:left="17" w:firstLine="482"/>
        <w:jc w:val="both"/>
        <w:rPr>
          <w:rFonts w:ascii="仿宋" w:hAnsi="仿宋" w:eastAsia="仿宋" w:cs="仿宋"/>
          <w:sz w:val="24"/>
          <w:szCs w:val="24"/>
        </w:rPr>
      </w:pPr>
      <w:r>
        <w:rPr>
          <w:rFonts w:ascii="仿宋" w:hAnsi="仿宋" w:eastAsia="仿宋" w:cs="仿宋"/>
          <w:spacing w:val="-5"/>
          <w:sz w:val="24"/>
          <w:szCs w:val="24"/>
        </w:rPr>
        <w:t>文献评价采用质性评估方法，重点考察证据的权威性、适用性和与中医儿科的适配度，</w:t>
      </w:r>
      <w:r>
        <w:rPr>
          <w:rFonts w:ascii="仿宋" w:hAnsi="仿宋" w:eastAsia="仿宋" w:cs="仿宋"/>
          <w:spacing w:val="-1"/>
          <w:sz w:val="24"/>
          <w:szCs w:val="24"/>
        </w:rPr>
        <w:t>而非量化分级，因为检索文献主要为标准、指南和共识类文件，这些文件通常由国际或国家权威机构发布，具有较高的可靠性和公信力。文献分类如下：①标准类：包括强制性和</w:t>
      </w:r>
      <w:r>
        <w:rPr>
          <w:rFonts w:ascii="仿宋" w:hAnsi="仿宋" w:eastAsia="仿宋" w:cs="仿宋"/>
          <w:spacing w:val="-2"/>
          <w:sz w:val="24"/>
          <w:szCs w:val="24"/>
        </w:rPr>
        <w:t>推荐性标准，如</w:t>
      </w:r>
      <w:r>
        <w:rPr>
          <w:rFonts w:ascii="仿宋" w:hAnsi="仿宋" w:eastAsia="仿宋" w:cs="仿宋"/>
          <w:spacing w:val="-39"/>
          <w:sz w:val="24"/>
          <w:szCs w:val="24"/>
        </w:rPr>
        <w:t xml:space="preserve"> </w:t>
      </w:r>
      <w:r>
        <w:rPr>
          <w:rFonts w:ascii="仿宋" w:hAnsi="仿宋" w:eastAsia="仿宋" w:cs="仿宋"/>
          <w:spacing w:val="-2"/>
          <w:sz w:val="24"/>
          <w:szCs w:val="24"/>
        </w:rPr>
        <w:t>ISO 22213:2020</w:t>
      </w:r>
      <w:r>
        <w:rPr>
          <w:rFonts w:ascii="仿宋" w:hAnsi="仿宋" w:eastAsia="仿宋" w:cs="仿宋"/>
          <w:spacing w:val="-69"/>
          <w:sz w:val="24"/>
          <w:szCs w:val="24"/>
        </w:rPr>
        <w:t xml:space="preserve"> </w:t>
      </w:r>
      <w:r>
        <w:rPr>
          <w:rFonts w:ascii="仿宋" w:hAnsi="仿宋" w:eastAsia="仿宋" w:cs="仿宋"/>
          <w:spacing w:val="-2"/>
          <w:sz w:val="24"/>
          <w:szCs w:val="24"/>
        </w:rPr>
        <w:t>(E)（Traditional Chinese medicine</w:t>
      </w:r>
      <w:r>
        <w:rPr>
          <w:rFonts w:ascii="仿宋" w:hAnsi="仿宋" w:eastAsia="仿宋" w:cs="仿宋"/>
          <w:spacing w:val="-3"/>
          <w:sz w:val="24"/>
          <w:szCs w:val="24"/>
        </w:rPr>
        <w:t xml:space="preserve"> — Glass cupping</w:t>
      </w:r>
      <w:r>
        <w:rPr>
          <w:rFonts w:ascii="仿宋" w:hAnsi="仿宋" w:eastAsia="仿宋" w:cs="仿宋"/>
          <w:sz w:val="24"/>
          <w:szCs w:val="24"/>
        </w:rPr>
        <w:t xml:space="preserve"> </w:t>
      </w:r>
      <w:r>
        <w:rPr>
          <w:rFonts w:ascii="仿宋" w:hAnsi="仿宋" w:eastAsia="仿宋" w:cs="仿宋"/>
          <w:spacing w:val="-1"/>
          <w:sz w:val="24"/>
          <w:szCs w:val="24"/>
        </w:rPr>
        <w:t>device）、GB/Z 40893.</w:t>
      </w:r>
      <w:r>
        <w:rPr>
          <w:rFonts w:ascii="仿宋" w:hAnsi="仿宋" w:eastAsia="仿宋" w:cs="仿宋"/>
          <w:spacing w:val="-2"/>
          <w:sz w:val="24"/>
          <w:szCs w:val="24"/>
        </w:rPr>
        <w:t>5-2021（原国家标准</w:t>
      </w:r>
      <w:r>
        <w:rPr>
          <w:rFonts w:ascii="仿宋" w:hAnsi="仿宋" w:eastAsia="仿宋" w:cs="仿宋"/>
          <w:spacing w:val="10"/>
          <w:sz w:val="24"/>
          <w:szCs w:val="24"/>
        </w:rPr>
        <w:t>），</w:t>
      </w:r>
      <w:r>
        <w:rPr>
          <w:rFonts w:ascii="仿宋" w:hAnsi="仿宋" w:eastAsia="仿宋" w:cs="仿宋"/>
          <w:spacing w:val="-2"/>
          <w:sz w:val="24"/>
          <w:szCs w:val="24"/>
        </w:rPr>
        <w:t>这些文件权威性高，直接用于条文对标。</w:t>
      </w:r>
    </w:p>
    <w:p w14:paraId="2E3224F8">
      <w:pPr>
        <w:spacing w:before="100" w:line="276" w:lineRule="auto"/>
        <w:ind w:left="11" w:right="83" w:firstLine="7"/>
        <w:jc w:val="both"/>
        <w:rPr>
          <w:rFonts w:ascii="仿宋" w:hAnsi="仿宋" w:eastAsia="仿宋" w:cs="仿宋"/>
          <w:sz w:val="24"/>
          <w:szCs w:val="24"/>
        </w:rPr>
      </w:pPr>
      <w:r>
        <w:rPr>
          <w:rFonts w:ascii="仿宋" w:hAnsi="仿宋" w:eastAsia="仿宋" w:cs="仿宋"/>
          <w:sz w:val="24"/>
          <w:szCs w:val="24"/>
        </w:rPr>
        <w:t>②指南与共识类：如</w:t>
      </w:r>
      <w:r>
        <w:rPr>
          <w:rFonts w:ascii="仿宋" w:hAnsi="仿宋" w:eastAsia="仿宋" w:cs="仿宋"/>
          <w:spacing w:val="-57"/>
          <w:sz w:val="24"/>
          <w:szCs w:val="24"/>
        </w:rPr>
        <w:t xml:space="preserve"> </w:t>
      </w:r>
      <w:r>
        <w:rPr>
          <w:rFonts w:ascii="仿宋" w:hAnsi="仿宋" w:eastAsia="仿宋" w:cs="仿宋"/>
          <w:sz w:val="24"/>
          <w:szCs w:val="24"/>
        </w:rPr>
        <w:t>WS310.2--2016 《</w:t>
      </w:r>
      <w:r>
        <w:rPr>
          <w:rFonts w:ascii="仿宋" w:hAnsi="仿宋" w:eastAsia="仿宋" w:cs="仿宋"/>
          <w:spacing w:val="-1"/>
          <w:sz w:val="24"/>
          <w:szCs w:val="24"/>
        </w:rPr>
        <w:t>医院消毒供应中心</w:t>
      </w:r>
      <w:r>
        <w:rPr>
          <w:rFonts w:ascii="仿宋" w:hAnsi="仿宋" w:eastAsia="仿宋" w:cs="仿宋"/>
          <w:spacing w:val="31"/>
          <w:sz w:val="24"/>
          <w:szCs w:val="24"/>
        </w:rPr>
        <w:t xml:space="preserve"> </w:t>
      </w:r>
      <w:r>
        <w:rPr>
          <w:rFonts w:ascii="仿宋" w:hAnsi="仿宋" w:eastAsia="仿宋" w:cs="仿宋"/>
          <w:spacing w:val="-1"/>
          <w:sz w:val="24"/>
          <w:szCs w:val="24"/>
        </w:rPr>
        <w:t>第</w:t>
      </w:r>
      <w:r>
        <w:rPr>
          <w:rFonts w:ascii="仿宋" w:hAnsi="仿宋" w:eastAsia="仿宋" w:cs="仿宋"/>
          <w:spacing w:val="-48"/>
          <w:sz w:val="24"/>
          <w:szCs w:val="24"/>
        </w:rPr>
        <w:t xml:space="preserve"> </w:t>
      </w:r>
      <w:r>
        <w:rPr>
          <w:rFonts w:ascii="仿宋" w:hAnsi="仿宋" w:eastAsia="仿宋" w:cs="仿宋"/>
          <w:spacing w:val="-1"/>
          <w:sz w:val="24"/>
          <w:szCs w:val="24"/>
        </w:rPr>
        <w:t>2</w:t>
      </w:r>
      <w:r>
        <w:rPr>
          <w:rFonts w:ascii="仿宋" w:hAnsi="仿宋" w:eastAsia="仿宋" w:cs="仿宋"/>
          <w:spacing w:val="-41"/>
          <w:sz w:val="24"/>
          <w:szCs w:val="24"/>
        </w:rPr>
        <w:t xml:space="preserve"> </w:t>
      </w:r>
      <w:r>
        <w:rPr>
          <w:rFonts w:ascii="仿宋" w:hAnsi="仿宋" w:eastAsia="仿宋" w:cs="仿宋"/>
          <w:spacing w:val="-1"/>
          <w:sz w:val="24"/>
          <w:szCs w:val="24"/>
        </w:rPr>
        <w:t>部分：清洗消毒及灭菌技</w:t>
      </w:r>
      <w:r>
        <w:rPr>
          <w:rFonts w:ascii="仿宋" w:hAnsi="仿宋" w:eastAsia="仿宋" w:cs="仿宋"/>
          <w:spacing w:val="2"/>
          <w:sz w:val="24"/>
          <w:szCs w:val="24"/>
        </w:rPr>
        <w:t>术操作规范》、</w:t>
      </w:r>
      <w:r>
        <w:rPr>
          <w:rFonts w:ascii="仿宋" w:hAnsi="仿宋" w:eastAsia="仿宋" w:cs="仿宋"/>
          <w:sz w:val="24"/>
          <w:szCs w:val="24"/>
        </w:rPr>
        <w:t>GB</w:t>
      </w:r>
      <w:r>
        <w:rPr>
          <w:rFonts w:ascii="仿宋" w:hAnsi="仿宋" w:eastAsia="仿宋" w:cs="仿宋"/>
          <w:spacing w:val="2"/>
          <w:sz w:val="24"/>
          <w:szCs w:val="24"/>
        </w:rPr>
        <w:t>19193—2025《传染病消毒规范》A.2 一般物体表面消毒、</w:t>
      </w:r>
      <w:r>
        <w:rPr>
          <w:rFonts w:ascii="仿宋" w:hAnsi="仿宋" w:eastAsia="仿宋" w:cs="仿宋"/>
          <w:sz w:val="24"/>
          <w:szCs w:val="24"/>
        </w:rPr>
        <w:t>WS</w:t>
      </w:r>
      <w:r>
        <w:rPr>
          <w:rFonts w:ascii="仿宋" w:hAnsi="仿宋" w:eastAsia="仿宋" w:cs="仿宋"/>
          <w:spacing w:val="2"/>
          <w:sz w:val="24"/>
          <w:szCs w:val="24"/>
        </w:rPr>
        <w:t>/T 313—</w:t>
      </w:r>
      <w:r>
        <w:rPr>
          <w:rFonts w:ascii="仿宋" w:hAnsi="仿宋" w:eastAsia="仿宋" w:cs="仿宋"/>
          <w:spacing w:val="14"/>
          <w:sz w:val="24"/>
          <w:szCs w:val="24"/>
        </w:rPr>
        <w:t xml:space="preserve"> </w:t>
      </w:r>
      <w:r>
        <w:rPr>
          <w:rFonts w:ascii="仿宋" w:hAnsi="仿宋" w:eastAsia="仿宋" w:cs="仿宋"/>
          <w:spacing w:val="2"/>
          <w:sz w:val="24"/>
          <w:szCs w:val="24"/>
        </w:rPr>
        <w:t>2019 《医务人员卫生规范》、</w:t>
      </w:r>
      <w:r>
        <w:rPr>
          <w:rFonts w:ascii="仿宋" w:hAnsi="仿宋" w:eastAsia="仿宋" w:cs="仿宋"/>
          <w:sz w:val="24"/>
          <w:szCs w:val="24"/>
        </w:rPr>
        <w:t>GB</w:t>
      </w:r>
      <w:r>
        <w:rPr>
          <w:rFonts w:ascii="仿宋" w:hAnsi="仿宋" w:eastAsia="仿宋" w:cs="仿宋"/>
          <w:spacing w:val="2"/>
          <w:sz w:val="24"/>
          <w:szCs w:val="24"/>
        </w:rPr>
        <w:t xml:space="preserve">/T 21709.4 </w:t>
      </w:r>
      <w:r>
        <w:rPr>
          <w:rFonts w:ascii="仿宋" w:hAnsi="仿宋" w:eastAsia="仿宋" w:cs="仿宋"/>
          <w:spacing w:val="1"/>
          <w:sz w:val="24"/>
          <w:szCs w:val="24"/>
        </w:rPr>
        <w:t xml:space="preserve"> 针灸技术操作规范  第</w:t>
      </w:r>
      <w:r>
        <w:rPr>
          <w:rFonts w:ascii="仿宋" w:hAnsi="仿宋" w:eastAsia="仿宋" w:cs="仿宋"/>
          <w:spacing w:val="-50"/>
          <w:sz w:val="24"/>
          <w:szCs w:val="24"/>
        </w:rPr>
        <w:t xml:space="preserve"> </w:t>
      </w:r>
      <w:r>
        <w:rPr>
          <w:rFonts w:ascii="仿宋" w:hAnsi="仿宋" w:eastAsia="仿宋" w:cs="仿宋"/>
          <w:spacing w:val="1"/>
          <w:sz w:val="24"/>
          <w:szCs w:val="24"/>
        </w:rPr>
        <w:t>4</w:t>
      </w:r>
      <w:r>
        <w:rPr>
          <w:rFonts w:ascii="仿宋" w:hAnsi="仿宋" w:eastAsia="仿宋" w:cs="仿宋"/>
          <w:spacing w:val="-38"/>
          <w:sz w:val="24"/>
          <w:szCs w:val="24"/>
        </w:rPr>
        <w:t xml:space="preserve"> </w:t>
      </w:r>
      <w:r>
        <w:rPr>
          <w:rFonts w:ascii="仿宋" w:hAnsi="仿宋" w:eastAsia="仿宋" w:cs="仿宋"/>
          <w:spacing w:val="1"/>
          <w:sz w:val="24"/>
          <w:szCs w:val="24"/>
        </w:rPr>
        <w:t>部分：三棱针、</w:t>
      </w:r>
      <w:r>
        <w:rPr>
          <w:rFonts w:ascii="仿宋" w:hAnsi="仿宋" w:eastAsia="仿宋" w:cs="仿宋"/>
          <w:sz w:val="24"/>
          <w:szCs w:val="24"/>
        </w:rPr>
        <w:t xml:space="preserve"> </w:t>
      </w:r>
      <w:r>
        <w:rPr>
          <w:rFonts w:ascii="仿宋" w:hAnsi="仿宋" w:eastAsia="仿宋" w:cs="仿宋"/>
          <w:spacing w:val="-1"/>
          <w:sz w:val="24"/>
          <w:szCs w:val="24"/>
        </w:rPr>
        <w:t>GB/T 21709.5  针灸技术操作规范  第</w:t>
      </w:r>
      <w:r>
        <w:rPr>
          <w:rFonts w:ascii="仿宋" w:hAnsi="仿宋" w:eastAsia="仿宋" w:cs="仿宋"/>
          <w:spacing w:val="-47"/>
          <w:sz w:val="24"/>
          <w:szCs w:val="24"/>
        </w:rPr>
        <w:t xml:space="preserve"> </w:t>
      </w:r>
      <w:r>
        <w:rPr>
          <w:rFonts w:ascii="仿宋" w:hAnsi="仿宋" w:eastAsia="仿宋" w:cs="仿宋"/>
          <w:spacing w:val="-1"/>
          <w:sz w:val="24"/>
          <w:szCs w:val="24"/>
        </w:rPr>
        <w:t>5</w:t>
      </w:r>
      <w:r>
        <w:rPr>
          <w:rFonts w:ascii="仿宋" w:hAnsi="仿宋" w:eastAsia="仿宋" w:cs="仿宋"/>
          <w:spacing w:val="-43"/>
          <w:sz w:val="24"/>
          <w:szCs w:val="24"/>
        </w:rPr>
        <w:t xml:space="preserve"> </w:t>
      </w:r>
      <w:r>
        <w:rPr>
          <w:rFonts w:ascii="仿宋" w:hAnsi="仿宋" w:eastAsia="仿宋" w:cs="仿宋"/>
          <w:spacing w:val="-1"/>
          <w:sz w:val="24"/>
          <w:szCs w:val="24"/>
        </w:rPr>
        <w:t>部分：拔罐、GB/T 21709.7</w:t>
      </w:r>
      <w:r>
        <w:rPr>
          <w:rFonts w:ascii="仿宋" w:hAnsi="仿宋" w:eastAsia="仿宋" w:cs="仿宋"/>
          <w:spacing w:val="7"/>
          <w:sz w:val="24"/>
          <w:szCs w:val="24"/>
        </w:rPr>
        <w:t xml:space="preserve">  </w:t>
      </w:r>
      <w:r>
        <w:rPr>
          <w:rFonts w:ascii="仿宋" w:hAnsi="仿宋" w:eastAsia="仿宋" w:cs="仿宋"/>
          <w:spacing w:val="-1"/>
          <w:sz w:val="24"/>
          <w:szCs w:val="24"/>
        </w:rPr>
        <w:t>针</w:t>
      </w:r>
      <w:r>
        <w:rPr>
          <w:rFonts w:ascii="仿宋" w:hAnsi="仿宋" w:eastAsia="仿宋" w:cs="仿宋"/>
          <w:spacing w:val="-2"/>
          <w:sz w:val="24"/>
          <w:szCs w:val="24"/>
        </w:rPr>
        <w:t>灸技术操作规范第</w:t>
      </w:r>
      <w:r>
        <w:rPr>
          <w:rFonts w:ascii="仿宋" w:hAnsi="仿宋" w:eastAsia="仿宋" w:cs="仿宋"/>
          <w:spacing w:val="-34"/>
          <w:sz w:val="24"/>
          <w:szCs w:val="24"/>
        </w:rPr>
        <w:t xml:space="preserve"> </w:t>
      </w:r>
      <w:r>
        <w:rPr>
          <w:rFonts w:ascii="仿宋" w:hAnsi="仿宋" w:eastAsia="仿宋" w:cs="仿宋"/>
          <w:spacing w:val="-2"/>
          <w:sz w:val="24"/>
          <w:szCs w:val="24"/>
        </w:rPr>
        <w:t>7</w:t>
      </w:r>
      <w:r>
        <w:rPr>
          <w:rFonts w:ascii="仿宋" w:hAnsi="仿宋" w:eastAsia="仿宋" w:cs="仿宋"/>
          <w:spacing w:val="-43"/>
          <w:sz w:val="24"/>
          <w:szCs w:val="24"/>
        </w:rPr>
        <w:t xml:space="preserve"> </w:t>
      </w:r>
      <w:r>
        <w:rPr>
          <w:rFonts w:ascii="仿宋" w:hAnsi="仿宋" w:eastAsia="仿宋" w:cs="仿宋"/>
          <w:spacing w:val="-2"/>
          <w:sz w:val="24"/>
          <w:szCs w:val="24"/>
        </w:rPr>
        <w:t>部分：皮肤针，这些由国际组织或专业机构发布，强调临床安全和操作规范，适用于</w:t>
      </w:r>
      <w:r>
        <w:rPr>
          <w:rFonts w:ascii="仿宋" w:hAnsi="仿宋" w:eastAsia="仿宋" w:cs="仿宋"/>
          <w:spacing w:val="-1"/>
          <w:sz w:val="24"/>
          <w:szCs w:val="24"/>
        </w:rPr>
        <w:t>国际转化。③文献类：《中医拔罐疗法》十四五创新教材，这些证据补充操作细节，但优</w:t>
      </w:r>
      <w:r>
        <w:rPr>
          <w:rFonts w:ascii="仿宋" w:hAnsi="仿宋" w:eastAsia="仿宋" w:cs="仿宋"/>
          <w:spacing w:val="-2"/>
          <w:sz w:val="24"/>
          <w:szCs w:val="24"/>
        </w:rPr>
        <w:t>先级低于标准和指南。</w:t>
      </w:r>
    </w:p>
    <w:p w14:paraId="2845525C">
      <w:pPr>
        <w:spacing w:before="2" w:line="276" w:lineRule="auto"/>
        <w:ind w:left="9" w:firstLine="470"/>
        <w:jc w:val="both"/>
        <w:rPr>
          <w:rFonts w:ascii="仿宋" w:hAnsi="仿宋" w:eastAsia="仿宋" w:cs="仿宋"/>
          <w:sz w:val="24"/>
          <w:szCs w:val="24"/>
        </w:rPr>
      </w:pPr>
      <w:r>
        <w:rPr>
          <w:rFonts w:ascii="仿宋" w:hAnsi="仿宋" w:eastAsia="仿宋" w:cs="仿宋"/>
          <w:spacing w:val="-1"/>
          <w:sz w:val="24"/>
          <w:szCs w:val="24"/>
        </w:rPr>
        <w:t>评价标准包括：①来源权威性（国际标准组织&gt;国家机构&gt;学术期刊</w:t>
      </w:r>
      <w:r>
        <w:rPr>
          <w:rFonts w:ascii="仿宋" w:hAnsi="仿宋" w:eastAsia="仿宋" w:cs="仿宋"/>
          <w:spacing w:val="10"/>
          <w:sz w:val="24"/>
          <w:szCs w:val="24"/>
        </w:rPr>
        <w:t>）；</w:t>
      </w:r>
      <w:r>
        <w:rPr>
          <w:rFonts w:ascii="仿宋" w:hAnsi="仿宋" w:eastAsia="仿宋" w:cs="仿宋"/>
          <w:spacing w:val="-1"/>
          <w:sz w:val="24"/>
          <w:szCs w:val="24"/>
        </w:rPr>
        <w:t>②时效性（优</w:t>
      </w:r>
      <w:r>
        <w:rPr>
          <w:rFonts w:ascii="仿宋" w:hAnsi="仿宋" w:eastAsia="仿宋" w:cs="仿宋"/>
          <w:spacing w:val="-3"/>
          <w:sz w:val="24"/>
          <w:szCs w:val="24"/>
        </w:rPr>
        <w:t>先</w:t>
      </w:r>
      <w:r>
        <w:rPr>
          <w:rFonts w:ascii="仿宋" w:hAnsi="仿宋" w:eastAsia="仿宋" w:cs="仿宋"/>
          <w:spacing w:val="-48"/>
          <w:sz w:val="24"/>
          <w:szCs w:val="24"/>
        </w:rPr>
        <w:t xml:space="preserve"> </w:t>
      </w:r>
      <w:r>
        <w:rPr>
          <w:rFonts w:ascii="仿宋" w:hAnsi="仿宋" w:eastAsia="仿宋" w:cs="仿宋"/>
          <w:spacing w:val="-3"/>
          <w:sz w:val="24"/>
          <w:szCs w:val="24"/>
        </w:rPr>
        <w:t>2021</w:t>
      </w:r>
      <w:r>
        <w:rPr>
          <w:rFonts w:ascii="仿宋" w:hAnsi="仿宋" w:eastAsia="仿宋" w:cs="仿宋"/>
          <w:spacing w:val="-39"/>
          <w:sz w:val="24"/>
          <w:szCs w:val="24"/>
        </w:rPr>
        <w:t xml:space="preserve"> </w:t>
      </w:r>
      <w:r>
        <w:rPr>
          <w:rFonts w:ascii="仿宋" w:hAnsi="仿宋" w:eastAsia="仿宋" w:cs="仿宋"/>
          <w:spacing w:val="-3"/>
          <w:sz w:val="24"/>
          <w:szCs w:val="24"/>
        </w:rPr>
        <w:t>年后</w:t>
      </w:r>
      <w:r>
        <w:rPr>
          <w:rFonts w:ascii="仿宋" w:hAnsi="仿宋" w:eastAsia="仿宋" w:cs="仿宋"/>
          <w:spacing w:val="4"/>
          <w:sz w:val="24"/>
          <w:szCs w:val="24"/>
        </w:rPr>
        <w:t>）；</w:t>
      </w:r>
      <w:r>
        <w:rPr>
          <w:rFonts w:ascii="仿宋" w:hAnsi="仿宋" w:eastAsia="仿宋" w:cs="仿宋"/>
          <w:spacing w:val="-3"/>
          <w:sz w:val="24"/>
          <w:szCs w:val="24"/>
        </w:rPr>
        <w:t>③相关性（直接涉及儿科拔罐疗法</w:t>
      </w:r>
      <w:r>
        <w:rPr>
          <w:rFonts w:ascii="仿宋" w:hAnsi="仿宋" w:eastAsia="仿宋" w:cs="仿宋"/>
          <w:spacing w:val="4"/>
          <w:sz w:val="24"/>
          <w:szCs w:val="24"/>
        </w:rPr>
        <w:t>）；</w:t>
      </w:r>
      <w:r>
        <w:rPr>
          <w:rFonts w:ascii="宋体" w:hAnsi="宋体" w:eastAsia="宋体" w:cs="宋体"/>
          <w:spacing w:val="-3"/>
          <w:sz w:val="24"/>
          <w:szCs w:val="24"/>
        </w:rPr>
        <w:t>④</w:t>
      </w:r>
      <w:r>
        <w:rPr>
          <w:rFonts w:ascii="仿宋" w:hAnsi="仿宋" w:eastAsia="仿宋" w:cs="仿宋"/>
          <w:spacing w:val="-3"/>
          <w:sz w:val="24"/>
          <w:szCs w:val="24"/>
        </w:rPr>
        <w:t>中医适配度（保留中医特色）。</w:t>
      </w:r>
      <w:r>
        <w:rPr>
          <w:rFonts w:ascii="仿宋" w:hAnsi="仿宋" w:eastAsia="仿宋" w:cs="仿宋"/>
          <w:spacing w:val="-1"/>
          <w:sz w:val="24"/>
          <w:szCs w:val="24"/>
        </w:rPr>
        <w:t>所有纳入文献均经项目组集体讨论确认，无低质量证据纳入。</w:t>
      </w:r>
    </w:p>
    <w:p w14:paraId="6B717019">
      <w:pPr>
        <w:spacing w:line="276" w:lineRule="auto"/>
        <w:ind w:left="493"/>
        <w:rPr>
          <w:rFonts w:ascii="仿宋" w:hAnsi="仿宋" w:eastAsia="仿宋" w:cs="仿宋"/>
          <w:sz w:val="24"/>
          <w:szCs w:val="24"/>
        </w:rPr>
      </w:pPr>
      <w:r>
        <w:rPr>
          <w:rFonts w:ascii="仿宋" w:hAnsi="仿宋" w:eastAsia="仿宋" w:cs="仿宋"/>
          <w:b/>
          <w:bCs/>
          <w:spacing w:val="-5"/>
          <w:sz w:val="24"/>
          <w:szCs w:val="24"/>
        </w:rPr>
        <w:t>（3）文献研究</w:t>
      </w:r>
    </w:p>
    <w:p w14:paraId="108FE773">
      <w:pPr>
        <w:spacing w:before="112" w:line="276" w:lineRule="auto"/>
        <w:ind w:right="70" w:firstLine="490"/>
        <w:rPr>
          <w:rFonts w:ascii="仿宋" w:hAnsi="仿宋" w:eastAsia="仿宋" w:cs="仿宋"/>
          <w:sz w:val="24"/>
          <w:szCs w:val="24"/>
        </w:rPr>
      </w:pPr>
      <w:r>
        <w:rPr>
          <w:rFonts w:ascii="仿宋" w:hAnsi="仿宋" w:eastAsia="仿宋" w:cs="仿宋"/>
          <w:spacing w:val="12"/>
          <w:sz w:val="24"/>
          <w:szCs w:val="24"/>
        </w:rPr>
        <w:t>在文献评价基础上</w:t>
      </w:r>
      <w:r>
        <w:rPr>
          <w:rFonts w:ascii="仿宋" w:hAnsi="仿宋" w:eastAsia="仿宋" w:cs="仿宋"/>
          <w:spacing w:val="-51"/>
          <w:sz w:val="24"/>
          <w:szCs w:val="24"/>
        </w:rPr>
        <w:t xml:space="preserve"> </w:t>
      </w:r>
      <w:r>
        <w:rPr>
          <w:rFonts w:ascii="仿宋" w:hAnsi="仿宋" w:eastAsia="仿宋" w:cs="仿宋"/>
          <w:spacing w:val="12"/>
          <w:sz w:val="24"/>
          <w:szCs w:val="24"/>
        </w:rPr>
        <w:t>，项</w:t>
      </w:r>
      <w:r>
        <w:rPr>
          <w:rFonts w:ascii="仿宋" w:hAnsi="仿宋" w:eastAsia="仿宋" w:cs="仿宋"/>
          <w:spacing w:val="-43"/>
          <w:sz w:val="24"/>
          <w:szCs w:val="24"/>
        </w:rPr>
        <w:t xml:space="preserve"> </w:t>
      </w:r>
      <w:r>
        <w:rPr>
          <w:rFonts w:ascii="仿宋" w:hAnsi="仿宋" w:eastAsia="仿宋" w:cs="仿宋"/>
          <w:spacing w:val="12"/>
          <w:sz w:val="24"/>
          <w:szCs w:val="24"/>
        </w:rPr>
        <w:t>目组对纳入证据仔细阅读分析</w:t>
      </w:r>
      <w:r>
        <w:rPr>
          <w:rFonts w:ascii="仿宋" w:hAnsi="仿宋" w:eastAsia="仿宋" w:cs="仿宋"/>
          <w:spacing w:val="-65"/>
          <w:sz w:val="24"/>
          <w:szCs w:val="24"/>
        </w:rPr>
        <w:t xml:space="preserve"> </w:t>
      </w:r>
      <w:r>
        <w:rPr>
          <w:rFonts w:ascii="仿宋" w:hAnsi="仿宋" w:eastAsia="仿宋" w:cs="仿宋"/>
          <w:spacing w:val="12"/>
          <w:sz w:val="24"/>
          <w:szCs w:val="24"/>
        </w:rPr>
        <w:t>，重点与原国家标准</w:t>
      </w:r>
      <w:r>
        <w:rPr>
          <w:rFonts w:ascii="仿宋" w:hAnsi="仿宋" w:eastAsia="仿宋" w:cs="仿宋"/>
          <w:spacing w:val="-35"/>
          <w:sz w:val="24"/>
          <w:szCs w:val="24"/>
        </w:rPr>
        <w:t xml:space="preserve"> </w:t>
      </w:r>
      <w:r>
        <w:rPr>
          <w:rFonts w:ascii="仿宋" w:hAnsi="仿宋" w:eastAsia="仿宋" w:cs="仿宋"/>
          <w:sz w:val="24"/>
          <w:szCs w:val="24"/>
        </w:rPr>
        <w:t>GB</w:t>
      </w:r>
      <w:r>
        <w:rPr>
          <w:rFonts w:ascii="仿宋" w:hAnsi="仿宋" w:eastAsia="仿宋" w:cs="仿宋"/>
          <w:spacing w:val="12"/>
          <w:sz w:val="24"/>
          <w:szCs w:val="24"/>
        </w:rPr>
        <w:t>/Z</w:t>
      </w:r>
      <w:r>
        <w:rPr>
          <w:rFonts w:ascii="仿宋" w:hAnsi="仿宋" w:eastAsia="仿宋" w:cs="仿宋"/>
          <w:sz w:val="24"/>
          <w:szCs w:val="24"/>
        </w:rPr>
        <w:t xml:space="preserve"> </w:t>
      </w:r>
      <w:r>
        <w:rPr>
          <w:rFonts w:ascii="仿宋" w:hAnsi="仿宋" w:eastAsia="仿宋" w:cs="仿宋"/>
          <w:spacing w:val="-2"/>
          <w:sz w:val="24"/>
          <w:szCs w:val="24"/>
        </w:rPr>
        <w:t>40893.5-2021</w:t>
      </w:r>
      <w:r>
        <w:rPr>
          <w:rFonts w:ascii="仿宋" w:hAnsi="仿宋" w:eastAsia="仿宋" w:cs="仿宋"/>
          <w:spacing w:val="-30"/>
          <w:sz w:val="24"/>
          <w:szCs w:val="24"/>
        </w:rPr>
        <w:t xml:space="preserve"> </w:t>
      </w:r>
      <w:r>
        <w:rPr>
          <w:rFonts w:ascii="仿宋" w:hAnsi="仿宋" w:eastAsia="仿宋" w:cs="仿宋"/>
          <w:spacing w:val="-2"/>
          <w:sz w:val="24"/>
          <w:szCs w:val="24"/>
        </w:rPr>
        <w:t>的相关内容进行比较，关注与国标条文不同的表述。按照主题和条</w:t>
      </w:r>
      <w:r>
        <w:rPr>
          <w:rFonts w:ascii="仿宋" w:hAnsi="仿宋" w:eastAsia="仿宋" w:cs="仿宋"/>
          <w:spacing w:val="-3"/>
          <w:sz w:val="24"/>
          <w:szCs w:val="24"/>
        </w:rPr>
        <w:t>文分类，</w:t>
      </w:r>
      <w:r>
        <w:rPr>
          <w:rFonts w:ascii="仿宋" w:hAnsi="仿宋" w:eastAsia="仿宋" w:cs="仿宋"/>
          <w:sz w:val="24"/>
          <w:szCs w:val="24"/>
        </w:rPr>
        <w:t>形成条文对照表。同一条文若有多个不同表述，则全部列出，以供后续问卷和论</w:t>
      </w:r>
      <w:r>
        <w:rPr>
          <w:rFonts w:ascii="仿宋" w:hAnsi="仿宋" w:eastAsia="仿宋" w:cs="仿宋"/>
          <w:spacing w:val="-1"/>
          <w:sz w:val="24"/>
          <w:szCs w:val="24"/>
        </w:rPr>
        <w:t>证参考。通过对照表，项目组识别出需优化的条目，形成问卷基础。</w:t>
      </w:r>
    </w:p>
    <w:p w14:paraId="2DC7E842">
      <w:pPr>
        <w:spacing w:line="276" w:lineRule="auto"/>
        <w:ind w:left="493"/>
        <w:rPr>
          <w:rFonts w:ascii="仿宋" w:hAnsi="仿宋" w:eastAsia="仿宋" w:cs="仿宋"/>
          <w:sz w:val="24"/>
          <w:szCs w:val="24"/>
        </w:rPr>
      </w:pPr>
      <w:r>
        <w:rPr>
          <w:rFonts w:ascii="仿宋" w:hAnsi="仿宋" w:eastAsia="仿宋" w:cs="仿宋"/>
          <w:b/>
          <w:bCs/>
          <w:spacing w:val="-5"/>
          <w:sz w:val="24"/>
          <w:szCs w:val="24"/>
        </w:rPr>
        <w:t>（4）问卷调查</w:t>
      </w:r>
    </w:p>
    <w:p w14:paraId="5EFD2E9A">
      <w:pPr>
        <w:spacing w:before="110" w:line="276" w:lineRule="auto"/>
        <w:ind w:left="11" w:right="83" w:firstLine="485"/>
        <w:jc w:val="both"/>
        <w:rPr>
          <w:rFonts w:ascii="仿宋" w:hAnsi="仿宋" w:eastAsia="仿宋" w:cs="仿宋"/>
          <w:sz w:val="24"/>
          <w:szCs w:val="24"/>
        </w:rPr>
      </w:pPr>
      <w:r>
        <w:rPr>
          <w:rFonts w:ascii="仿宋" w:hAnsi="仿宋" w:eastAsia="仿宋" w:cs="仿宋"/>
          <w:spacing w:val="-1"/>
          <w:sz w:val="24"/>
          <w:szCs w:val="24"/>
        </w:rPr>
        <w:t>为广泛征求意见，项目组于2025</w:t>
      </w:r>
      <w:r>
        <w:rPr>
          <w:rFonts w:ascii="仿宋" w:hAnsi="仿宋" w:eastAsia="仿宋" w:cs="仿宋"/>
          <w:spacing w:val="-39"/>
          <w:sz w:val="24"/>
          <w:szCs w:val="24"/>
        </w:rPr>
        <w:t xml:space="preserve"> </w:t>
      </w:r>
      <w:r>
        <w:rPr>
          <w:rFonts w:ascii="仿宋" w:hAnsi="仿宋" w:eastAsia="仿宋" w:cs="仿宋"/>
          <w:spacing w:val="-1"/>
          <w:sz w:val="24"/>
          <w:szCs w:val="24"/>
        </w:rPr>
        <w:t>年</w:t>
      </w:r>
      <w:r>
        <w:rPr>
          <w:rFonts w:ascii="仿宋" w:hAnsi="仿宋" w:eastAsia="仿宋" w:cs="仿宋"/>
          <w:spacing w:val="-34"/>
          <w:sz w:val="24"/>
          <w:szCs w:val="24"/>
        </w:rPr>
        <w:t xml:space="preserve"> </w:t>
      </w:r>
      <w:r>
        <w:rPr>
          <w:rFonts w:ascii="仿宋" w:hAnsi="仿宋" w:eastAsia="仿宋" w:cs="仿宋"/>
          <w:spacing w:val="-1"/>
          <w:sz w:val="24"/>
          <w:szCs w:val="24"/>
        </w:rPr>
        <w:t>10</w:t>
      </w:r>
      <w:r>
        <w:rPr>
          <w:rFonts w:ascii="仿宋" w:hAnsi="仿宋" w:eastAsia="仿宋" w:cs="仿宋"/>
          <w:spacing w:val="-33"/>
          <w:sz w:val="24"/>
          <w:szCs w:val="24"/>
        </w:rPr>
        <w:t xml:space="preserve"> </w:t>
      </w:r>
      <w:r>
        <w:rPr>
          <w:rFonts w:ascii="仿宋" w:hAnsi="仿宋" w:eastAsia="仿宋" w:cs="仿宋"/>
          <w:spacing w:val="-1"/>
          <w:sz w:val="24"/>
          <w:szCs w:val="24"/>
        </w:rPr>
        <w:t>月编制专家调查问卷，基于</w:t>
      </w:r>
      <w:r>
        <w:rPr>
          <w:rFonts w:ascii="仿宋" w:hAnsi="仿宋" w:eastAsia="仿宋" w:cs="仿宋"/>
          <w:spacing w:val="-2"/>
          <w:sz w:val="24"/>
          <w:szCs w:val="24"/>
        </w:rPr>
        <w:t>文献研究结果和对</w:t>
      </w:r>
      <w:r>
        <w:rPr>
          <w:rFonts w:ascii="仿宋" w:hAnsi="仿宋" w:eastAsia="仿宋" w:cs="仿宋"/>
          <w:spacing w:val="-1"/>
          <w:sz w:val="24"/>
          <w:szCs w:val="24"/>
        </w:rPr>
        <w:t>照表，针对差异条目（如术语定义、操作步骤、禁忌）设置单选选项和开放意见。专家遴选标准包括：</w:t>
      </w:r>
      <w:r>
        <w:rPr>
          <w:rFonts w:ascii="宋体" w:hAnsi="宋体" w:eastAsia="宋体" w:cs="宋体"/>
          <w:spacing w:val="-1"/>
          <w:sz w:val="24"/>
          <w:szCs w:val="24"/>
        </w:rPr>
        <w:t>①</w:t>
      </w:r>
      <w:r>
        <w:rPr>
          <w:rFonts w:ascii="仿宋" w:hAnsi="仿宋" w:eastAsia="仿宋" w:cs="仿宋"/>
          <w:spacing w:val="-1"/>
          <w:sz w:val="24"/>
          <w:szCs w:val="24"/>
        </w:rPr>
        <w:t>具备中医儿科或相关领域高级专业技术职称背景（如教授、主任医师</w:t>
      </w:r>
      <w:r>
        <w:rPr>
          <w:rFonts w:ascii="仿宋" w:hAnsi="仿宋" w:eastAsia="仿宋" w:cs="仿宋"/>
          <w:spacing w:val="-18"/>
          <w:sz w:val="24"/>
          <w:szCs w:val="24"/>
        </w:rPr>
        <w:t>）；</w:t>
      </w:r>
    </w:p>
    <w:p w14:paraId="44B1085A">
      <w:pPr>
        <w:spacing w:before="3" w:line="276" w:lineRule="auto"/>
        <w:ind w:left="8" w:right="83" w:hanging="9"/>
        <w:jc w:val="both"/>
        <w:rPr>
          <w:rFonts w:ascii="仿宋" w:hAnsi="仿宋" w:eastAsia="仿宋" w:cs="仿宋"/>
          <w:sz w:val="24"/>
          <w:szCs w:val="24"/>
        </w:rPr>
      </w:pPr>
      <w:r>
        <w:rPr>
          <w:rFonts w:ascii="宋体" w:hAnsi="宋体" w:eastAsia="宋体" w:cs="宋体"/>
          <w:spacing w:val="-1"/>
          <w:sz w:val="24"/>
          <w:szCs w:val="24"/>
        </w:rPr>
        <w:t>②</w:t>
      </w:r>
      <w:r>
        <w:rPr>
          <w:rFonts w:ascii="仿宋" w:hAnsi="仿宋" w:eastAsia="仿宋" w:cs="仿宋"/>
          <w:spacing w:val="-1"/>
          <w:sz w:val="24"/>
          <w:szCs w:val="24"/>
        </w:rPr>
        <w:t>临床或教学经验丰富，中国大陆专家从事本专业20</w:t>
      </w:r>
      <w:r>
        <w:rPr>
          <w:rFonts w:ascii="仿宋" w:hAnsi="仿宋" w:eastAsia="仿宋" w:cs="仿宋"/>
          <w:spacing w:val="-23"/>
          <w:sz w:val="24"/>
          <w:szCs w:val="24"/>
        </w:rPr>
        <w:t xml:space="preserve"> </w:t>
      </w:r>
      <w:r>
        <w:rPr>
          <w:rFonts w:ascii="仿宋" w:hAnsi="仿宋" w:eastAsia="仿宋" w:cs="仿宋"/>
          <w:spacing w:val="-1"/>
          <w:sz w:val="24"/>
          <w:szCs w:val="24"/>
        </w:rPr>
        <w:t>年以上、海外专家</w:t>
      </w:r>
      <w:r>
        <w:rPr>
          <w:rFonts w:ascii="仿宋" w:hAnsi="仿宋" w:eastAsia="仿宋" w:cs="仿宋"/>
          <w:spacing w:val="-34"/>
          <w:sz w:val="24"/>
          <w:szCs w:val="24"/>
        </w:rPr>
        <w:t xml:space="preserve"> </w:t>
      </w:r>
      <w:r>
        <w:rPr>
          <w:rFonts w:ascii="仿宋" w:hAnsi="仿宋" w:eastAsia="仿宋" w:cs="仿宋"/>
          <w:spacing w:val="-1"/>
          <w:sz w:val="24"/>
          <w:szCs w:val="24"/>
        </w:rPr>
        <w:t>10</w:t>
      </w:r>
      <w:r>
        <w:rPr>
          <w:rFonts w:ascii="仿宋" w:hAnsi="仿宋" w:eastAsia="仿宋" w:cs="仿宋"/>
          <w:spacing w:val="-39"/>
          <w:sz w:val="24"/>
          <w:szCs w:val="24"/>
        </w:rPr>
        <w:t xml:space="preserve"> </w:t>
      </w:r>
      <w:r>
        <w:rPr>
          <w:rFonts w:ascii="仿宋" w:hAnsi="仿宋" w:eastAsia="仿宋" w:cs="仿宋"/>
          <w:spacing w:val="-1"/>
          <w:sz w:val="24"/>
          <w:szCs w:val="24"/>
        </w:rPr>
        <w:t>年以上；</w:t>
      </w:r>
      <w:r>
        <w:rPr>
          <w:rFonts w:ascii="宋体" w:hAnsi="宋体" w:eastAsia="宋体" w:cs="宋体"/>
          <w:spacing w:val="-1"/>
          <w:sz w:val="24"/>
          <w:szCs w:val="24"/>
        </w:rPr>
        <w:t>③</w:t>
      </w:r>
      <w:r>
        <w:rPr>
          <w:rFonts w:ascii="仿宋" w:hAnsi="仿宋" w:eastAsia="仿宋" w:cs="仿宋"/>
          <w:spacing w:val="-1"/>
          <w:sz w:val="24"/>
          <w:szCs w:val="24"/>
        </w:rPr>
        <w:t>熟</w:t>
      </w:r>
      <w:r>
        <w:rPr>
          <w:rFonts w:ascii="仿宋" w:hAnsi="仿宋" w:eastAsia="仿宋" w:cs="仿宋"/>
          <w:spacing w:val="2"/>
          <w:sz w:val="24"/>
          <w:szCs w:val="24"/>
        </w:rPr>
        <w:t>悉中医儿科拔罐疗法；</w:t>
      </w:r>
      <w:r>
        <w:rPr>
          <w:rFonts w:ascii="宋体" w:hAnsi="宋体" w:eastAsia="宋体" w:cs="宋体"/>
          <w:spacing w:val="2"/>
          <w:sz w:val="24"/>
          <w:szCs w:val="24"/>
        </w:rPr>
        <w:t>④</w:t>
      </w:r>
      <w:r>
        <w:rPr>
          <w:rFonts w:ascii="仿宋" w:hAnsi="仿宋" w:eastAsia="仿宋" w:cs="仿宋"/>
          <w:spacing w:val="2"/>
          <w:sz w:val="24"/>
          <w:szCs w:val="24"/>
        </w:rPr>
        <w:t>覆盖不同国家和地区，</w:t>
      </w:r>
      <w:r>
        <w:rPr>
          <w:rFonts w:ascii="仿宋" w:hAnsi="仿宋" w:eastAsia="仿宋" w:cs="仿宋"/>
          <w:spacing w:val="1"/>
          <w:sz w:val="24"/>
          <w:szCs w:val="24"/>
        </w:rPr>
        <w:t>确保国际代表性。最终遴选</w:t>
      </w:r>
      <w:r>
        <w:rPr>
          <w:rFonts w:ascii="仿宋" w:hAnsi="仿宋" w:eastAsia="仿宋" w:cs="仿宋"/>
          <w:spacing w:val="-45"/>
          <w:sz w:val="24"/>
          <w:szCs w:val="24"/>
        </w:rPr>
        <w:t xml:space="preserve"> </w:t>
      </w:r>
      <w:r>
        <w:rPr>
          <w:rFonts w:ascii="仿宋" w:hAnsi="仿宋" w:eastAsia="仿宋" w:cs="仿宋"/>
          <w:spacing w:val="1"/>
          <w:sz w:val="24"/>
          <w:szCs w:val="24"/>
        </w:rPr>
        <w:t>30</w:t>
      </w:r>
      <w:r>
        <w:rPr>
          <w:rFonts w:ascii="仿宋" w:hAnsi="仿宋" w:eastAsia="仿宋" w:cs="仿宋"/>
          <w:spacing w:val="-41"/>
          <w:sz w:val="24"/>
          <w:szCs w:val="24"/>
        </w:rPr>
        <w:t xml:space="preserve"> </w:t>
      </w:r>
      <w:r>
        <w:rPr>
          <w:rFonts w:ascii="仿宋" w:hAnsi="仿宋" w:eastAsia="仿宋" w:cs="仿宋"/>
          <w:spacing w:val="1"/>
          <w:sz w:val="24"/>
          <w:szCs w:val="24"/>
        </w:rPr>
        <w:t>位专家，</w:t>
      </w:r>
      <w:r>
        <w:rPr>
          <w:rFonts w:ascii="仿宋" w:hAnsi="仿宋" w:eastAsia="仿宋" w:cs="仿宋"/>
          <w:spacing w:val="-3"/>
          <w:sz w:val="24"/>
          <w:szCs w:val="24"/>
        </w:rPr>
        <w:t>来自中国</w:t>
      </w:r>
      <w:r>
        <w:rPr>
          <w:rFonts w:ascii="仿宋" w:hAnsi="仿宋" w:eastAsia="仿宋" w:cs="仿宋"/>
          <w:spacing w:val="-37"/>
          <w:sz w:val="24"/>
          <w:szCs w:val="24"/>
        </w:rPr>
        <w:t xml:space="preserve"> </w:t>
      </w:r>
      <w:r>
        <w:rPr>
          <w:rFonts w:ascii="仿宋" w:hAnsi="仿宋" w:eastAsia="仿宋" w:cs="仿宋"/>
          <w:spacing w:val="-3"/>
          <w:sz w:val="24"/>
          <w:szCs w:val="24"/>
        </w:rPr>
        <w:t>20</w:t>
      </w:r>
      <w:r>
        <w:rPr>
          <w:rFonts w:ascii="仿宋" w:hAnsi="仿宋" w:eastAsia="仿宋" w:cs="仿宋"/>
          <w:spacing w:val="-41"/>
          <w:sz w:val="24"/>
          <w:szCs w:val="24"/>
        </w:rPr>
        <w:t xml:space="preserve"> </w:t>
      </w:r>
      <w:r>
        <w:rPr>
          <w:rFonts w:ascii="仿宋" w:hAnsi="仿宋" w:eastAsia="仿宋" w:cs="仿宋"/>
          <w:spacing w:val="-3"/>
          <w:sz w:val="24"/>
          <w:szCs w:val="24"/>
        </w:rPr>
        <w:t>位、加拿大</w:t>
      </w:r>
      <w:r>
        <w:rPr>
          <w:rFonts w:ascii="仿宋" w:hAnsi="仿宋" w:eastAsia="仿宋" w:cs="仿宋"/>
          <w:spacing w:val="-49"/>
          <w:sz w:val="24"/>
          <w:szCs w:val="24"/>
        </w:rPr>
        <w:t xml:space="preserve"> </w:t>
      </w:r>
      <w:r>
        <w:rPr>
          <w:rFonts w:ascii="仿宋" w:hAnsi="仿宋" w:eastAsia="仿宋" w:cs="仿宋"/>
          <w:spacing w:val="-3"/>
          <w:sz w:val="24"/>
          <w:szCs w:val="24"/>
        </w:rPr>
        <w:t>2</w:t>
      </w:r>
      <w:r>
        <w:rPr>
          <w:rFonts w:ascii="仿宋" w:hAnsi="仿宋" w:eastAsia="仿宋" w:cs="仿宋"/>
          <w:spacing w:val="-38"/>
          <w:sz w:val="24"/>
          <w:szCs w:val="24"/>
        </w:rPr>
        <w:t xml:space="preserve"> </w:t>
      </w:r>
      <w:r>
        <w:rPr>
          <w:rFonts w:ascii="仿宋" w:hAnsi="仿宋" w:eastAsia="仿宋" w:cs="仿宋"/>
          <w:spacing w:val="-3"/>
          <w:sz w:val="24"/>
          <w:szCs w:val="24"/>
        </w:rPr>
        <w:t>位、越南</w:t>
      </w:r>
      <w:r>
        <w:rPr>
          <w:rFonts w:ascii="仿宋" w:hAnsi="仿宋" w:eastAsia="仿宋" w:cs="仿宋"/>
          <w:spacing w:val="-44"/>
          <w:sz w:val="24"/>
          <w:szCs w:val="24"/>
        </w:rPr>
        <w:t xml:space="preserve"> </w:t>
      </w:r>
      <w:r>
        <w:rPr>
          <w:rFonts w:ascii="仿宋" w:hAnsi="仿宋" w:eastAsia="仿宋" w:cs="仿宋"/>
          <w:spacing w:val="-3"/>
          <w:sz w:val="24"/>
          <w:szCs w:val="24"/>
        </w:rPr>
        <w:t>2</w:t>
      </w:r>
      <w:r>
        <w:rPr>
          <w:rFonts w:ascii="仿宋" w:hAnsi="仿宋" w:eastAsia="仿宋" w:cs="仿宋"/>
          <w:spacing w:val="-41"/>
          <w:sz w:val="24"/>
          <w:szCs w:val="24"/>
        </w:rPr>
        <w:t xml:space="preserve"> </w:t>
      </w:r>
      <w:r>
        <w:rPr>
          <w:rFonts w:ascii="仿宋" w:hAnsi="仿宋" w:eastAsia="仿宋" w:cs="仿宋"/>
          <w:spacing w:val="-3"/>
          <w:sz w:val="24"/>
          <w:szCs w:val="24"/>
        </w:rPr>
        <w:t>位、泰国</w:t>
      </w:r>
      <w:r>
        <w:rPr>
          <w:rFonts w:ascii="仿宋" w:hAnsi="仿宋" w:eastAsia="仿宋" w:cs="仿宋"/>
          <w:spacing w:val="-46"/>
          <w:sz w:val="24"/>
          <w:szCs w:val="24"/>
        </w:rPr>
        <w:t xml:space="preserve"> </w:t>
      </w:r>
      <w:r>
        <w:rPr>
          <w:rFonts w:ascii="仿宋" w:hAnsi="仿宋" w:eastAsia="仿宋" w:cs="仿宋"/>
          <w:spacing w:val="-3"/>
          <w:sz w:val="24"/>
          <w:szCs w:val="24"/>
        </w:rPr>
        <w:t>2</w:t>
      </w:r>
      <w:r>
        <w:rPr>
          <w:rFonts w:ascii="仿宋" w:hAnsi="仿宋" w:eastAsia="仿宋" w:cs="仿宋"/>
          <w:spacing w:val="-41"/>
          <w:sz w:val="24"/>
          <w:szCs w:val="24"/>
        </w:rPr>
        <w:t xml:space="preserve"> </w:t>
      </w:r>
      <w:r>
        <w:rPr>
          <w:rFonts w:ascii="仿宋" w:hAnsi="仿宋" w:eastAsia="仿宋" w:cs="仿宋"/>
          <w:spacing w:val="-3"/>
          <w:sz w:val="24"/>
          <w:szCs w:val="24"/>
        </w:rPr>
        <w:t>位、马来西亚</w:t>
      </w:r>
      <w:r>
        <w:rPr>
          <w:rFonts w:ascii="仿宋" w:hAnsi="仿宋" w:eastAsia="仿宋" w:cs="仿宋"/>
          <w:spacing w:val="-46"/>
          <w:sz w:val="24"/>
          <w:szCs w:val="24"/>
        </w:rPr>
        <w:t xml:space="preserve"> </w:t>
      </w:r>
      <w:r>
        <w:rPr>
          <w:rFonts w:ascii="仿宋" w:hAnsi="仿宋" w:eastAsia="仿宋" w:cs="仿宋"/>
          <w:spacing w:val="-3"/>
          <w:sz w:val="24"/>
          <w:szCs w:val="24"/>
        </w:rPr>
        <w:t>2</w:t>
      </w:r>
      <w:r>
        <w:rPr>
          <w:rFonts w:ascii="仿宋" w:hAnsi="仿宋" w:eastAsia="仿宋" w:cs="仿宋"/>
          <w:spacing w:val="-38"/>
          <w:sz w:val="24"/>
          <w:szCs w:val="24"/>
        </w:rPr>
        <w:t xml:space="preserve"> </w:t>
      </w:r>
      <w:r>
        <w:rPr>
          <w:rFonts w:ascii="仿宋" w:hAnsi="仿宋" w:eastAsia="仿宋" w:cs="仿宋"/>
          <w:spacing w:val="-3"/>
          <w:sz w:val="24"/>
          <w:szCs w:val="24"/>
        </w:rPr>
        <w:t>位、新加坡</w:t>
      </w:r>
      <w:r>
        <w:rPr>
          <w:rFonts w:ascii="仿宋" w:hAnsi="仿宋" w:eastAsia="仿宋" w:cs="仿宋"/>
          <w:spacing w:val="-47"/>
          <w:sz w:val="24"/>
          <w:szCs w:val="24"/>
        </w:rPr>
        <w:t xml:space="preserve"> </w:t>
      </w:r>
      <w:r>
        <w:rPr>
          <w:rFonts w:ascii="仿宋" w:hAnsi="仿宋" w:eastAsia="仿宋" w:cs="仿宋"/>
          <w:spacing w:val="-3"/>
          <w:sz w:val="24"/>
          <w:szCs w:val="24"/>
        </w:rPr>
        <w:t>2</w:t>
      </w:r>
      <w:r>
        <w:rPr>
          <w:rFonts w:ascii="仿宋" w:hAnsi="仿宋" w:eastAsia="仿宋" w:cs="仿宋"/>
          <w:spacing w:val="-41"/>
          <w:sz w:val="24"/>
          <w:szCs w:val="24"/>
        </w:rPr>
        <w:t xml:space="preserve"> </w:t>
      </w:r>
      <w:r>
        <w:rPr>
          <w:rFonts w:ascii="仿宋" w:hAnsi="仿宋" w:eastAsia="仿宋" w:cs="仿宋"/>
          <w:spacing w:val="-3"/>
          <w:sz w:val="24"/>
          <w:szCs w:val="24"/>
        </w:rPr>
        <w:t>位，涵盖</w:t>
      </w:r>
      <w:r>
        <w:rPr>
          <w:rFonts w:ascii="仿宋" w:hAnsi="仿宋" w:eastAsia="仿宋" w:cs="仿宋"/>
          <w:spacing w:val="-1"/>
          <w:sz w:val="24"/>
          <w:szCs w:val="24"/>
        </w:rPr>
        <w:t>高等中医药院校、医院和海外中医机构，权威性强、地域代表广。</w:t>
      </w:r>
    </w:p>
    <w:p w14:paraId="12B7F9BA">
      <w:pPr>
        <w:spacing w:before="4" w:line="276" w:lineRule="auto"/>
        <w:ind w:left="8" w:right="83" w:firstLine="503"/>
        <w:jc w:val="both"/>
        <w:rPr>
          <w:rFonts w:ascii="仿宋" w:hAnsi="仿宋" w:eastAsia="仿宋" w:cs="仿宋"/>
          <w:sz w:val="24"/>
          <w:szCs w:val="24"/>
        </w:rPr>
      </w:pPr>
      <w:r>
        <w:rPr>
          <w:rFonts w:ascii="仿宋" w:hAnsi="仿宋" w:eastAsia="仿宋" w:cs="仿宋"/>
          <w:spacing w:val="-9"/>
          <w:sz w:val="24"/>
          <w:szCs w:val="24"/>
        </w:rPr>
        <w:t>问卷于</w:t>
      </w:r>
      <w:r>
        <w:rPr>
          <w:rFonts w:ascii="仿宋" w:hAnsi="仿宋" w:eastAsia="仿宋" w:cs="仿宋"/>
          <w:spacing w:val="-34"/>
          <w:sz w:val="24"/>
          <w:szCs w:val="24"/>
        </w:rPr>
        <w:t xml:space="preserve"> </w:t>
      </w:r>
      <w:r>
        <w:rPr>
          <w:rFonts w:ascii="仿宋" w:hAnsi="仿宋" w:eastAsia="仿宋" w:cs="仿宋"/>
          <w:spacing w:val="-9"/>
          <w:sz w:val="24"/>
          <w:szCs w:val="24"/>
        </w:rPr>
        <w:t>11</w:t>
      </w:r>
      <w:r>
        <w:rPr>
          <w:rFonts w:ascii="仿宋" w:hAnsi="仿宋" w:eastAsia="仿宋" w:cs="仿宋"/>
          <w:spacing w:val="-33"/>
          <w:sz w:val="24"/>
          <w:szCs w:val="24"/>
        </w:rPr>
        <w:t xml:space="preserve"> </w:t>
      </w:r>
      <w:r>
        <w:rPr>
          <w:rFonts w:ascii="仿宋" w:hAnsi="仿宋" w:eastAsia="仿宋" w:cs="仿宋"/>
          <w:spacing w:val="-9"/>
          <w:sz w:val="24"/>
          <w:szCs w:val="24"/>
        </w:rPr>
        <w:t>月</w:t>
      </w:r>
      <w:r>
        <w:rPr>
          <w:rFonts w:ascii="仿宋" w:hAnsi="仿宋" w:eastAsia="仿宋" w:cs="仿宋"/>
          <w:spacing w:val="-51"/>
          <w:sz w:val="24"/>
          <w:szCs w:val="24"/>
        </w:rPr>
        <w:t xml:space="preserve"> </w:t>
      </w:r>
      <w:r>
        <w:rPr>
          <w:rFonts w:ascii="仿宋" w:hAnsi="仿宋" w:eastAsia="仿宋" w:cs="仿宋"/>
          <w:spacing w:val="-9"/>
          <w:sz w:val="24"/>
          <w:szCs w:val="24"/>
        </w:rPr>
        <w:t>8 日发送、11</w:t>
      </w:r>
      <w:r>
        <w:rPr>
          <w:rFonts w:ascii="仿宋" w:hAnsi="仿宋" w:eastAsia="仿宋" w:cs="仿宋"/>
          <w:spacing w:val="-32"/>
          <w:sz w:val="24"/>
          <w:szCs w:val="24"/>
        </w:rPr>
        <w:t xml:space="preserve"> </w:t>
      </w:r>
      <w:r>
        <w:rPr>
          <w:rFonts w:ascii="仿宋" w:hAnsi="仿宋" w:eastAsia="仿宋" w:cs="仿宋"/>
          <w:spacing w:val="-9"/>
          <w:sz w:val="24"/>
          <w:szCs w:val="24"/>
        </w:rPr>
        <w:t>月</w:t>
      </w:r>
      <w:r>
        <w:rPr>
          <w:rFonts w:ascii="仿宋" w:hAnsi="仿宋" w:eastAsia="仿宋" w:cs="仿宋"/>
          <w:spacing w:val="-49"/>
          <w:sz w:val="24"/>
          <w:szCs w:val="24"/>
        </w:rPr>
        <w:t xml:space="preserve"> </w:t>
      </w:r>
      <w:r>
        <w:rPr>
          <w:rFonts w:ascii="仿宋" w:hAnsi="仿宋" w:eastAsia="仿宋" w:cs="仿宋"/>
          <w:spacing w:val="-9"/>
          <w:sz w:val="24"/>
          <w:szCs w:val="24"/>
        </w:rPr>
        <w:t>23 日截止回收，共发出问卷</w:t>
      </w:r>
      <w:r>
        <w:rPr>
          <w:rFonts w:ascii="仿宋" w:hAnsi="仿宋" w:eastAsia="仿宋" w:cs="仿宋"/>
          <w:spacing w:val="-47"/>
          <w:sz w:val="24"/>
          <w:szCs w:val="24"/>
        </w:rPr>
        <w:t xml:space="preserve"> </w:t>
      </w:r>
      <w:r>
        <w:rPr>
          <w:rFonts w:ascii="仿宋" w:hAnsi="仿宋" w:eastAsia="仿宋" w:cs="仿宋"/>
          <w:spacing w:val="-9"/>
          <w:sz w:val="24"/>
          <w:szCs w:val="24"/>
        </w:rPr>
        <w:t>30</w:t>
      </w:r>
      <w:r>
        <w:rPr>
          <w:rFonts w:ascii="仿宋" w:hAnsi="仿宋" w:eastAsia="仿宋" w:cs="仿宋"/>
          <w:spacing w:val="-44"/>
          <w:sz w:val="24"/>
          <w:szCs w:val="24"/>
        </w:rPr>
        <w:t xml:space="preserve"> </w:t>
      </w:r>
      <w:r>
        <w:rPr>
          <w:rFonts w:ascii="仿宋" w:hAnsi="仿宋" w:eastAsia="仿宋" w:cs="仿宋"/>
          <w:spacing w:val="-9"/>
          <w:sz w:val="24"/>
          <w:szCs w:val="24"/>
        </w:rPr>
        <w:t>份、</w:t>
      </w:r>
      <w:r>
        <w:rPr>
          <w:rFonts w:ascii="仿宋" w:hAnsi="仿宋" w:eastAsia="仿宋" w:cs="仿宋"/>
          <w:spacing w:val="-10"/>
          <w:sz w:val="24"/>
          <w:szCs w:val="24"/>
        </w:rPr>
        <w:t>回收答卷</w:t>
      </w:r>
      <w:r>
        <w:rPr>
          <w:rFonts w:ascii="仿宋" w:hAnsi="仿宋" w:eastAsia="仿宋" w:cs="仿宋"/>
          <w:spacing w:val="-47"/>
          <w:sz w:val="24"/>
          <w:szCs w:val="24"/>
        </w:rPr>
        <w:t xml:space="preserve"> </w:t>
      </w:r>
      <w:r>
        <w:rPr>
          <w:rFonts w:ascii="仿宋" w:hAnsi="仿宋" w:eastAsia="仿宋" w:cs="仿宋"/>
          <w:spacing w:val="-10"/>
          <w:sz w:val="24"/>
          <w:szCs w:val="24"/>
        </w:rPr>
        <w:t>30</w:t>
      </w:r>
      <w:r>
        <w:rPr>
          <w:rFonts w:ascii="仿宋" w:hAnsi="仿宋" w:eastAsia="仿宋" w:cs="仿宋"/>
          <w:spacing w:val="-44"/>
          <w:sz w:val="24"/>
          <w:szCs w:val="24"/>
        </w:rPr>
        <w:t xml:space="preserve"> </w:t>
      </w:r>
      <w:r>
        <w:rPr>
          <w:rFonts w:ascii="仿宋" w:hAnsi="仿宋" w:eastAsia="仿宋" w:cs="仿宋"/>
          <w:spacing w:val="-10"/>
          <w:sz w:val="24"/>
          <w:szCs w:val="24"/>
        </w:rPr>
        <w:t>份，专</w:t>
      </w:r>
      <w:r>
        <w:rPr>
          <w:rFonts w:ascii="仿宋" w:hAnsi="仿宋" w:eastAsia="仿宋" w:cs="仿宋"/>
          <w:spacing w:val="-3"/>
          <w:sz w:val="24"/>
          <w:szCs w:val="24"/>
        </w:rPr>
        <w:t>家积极系数</w:t>
      </w:r>
      <w:r>
        <w:rPr>
          <w:rFonts w:ascii="仿宋" w:hAnsi="仿宋" w:eastAsia="仿宋" w:cs="仿宋"/>
          <w:spacing w:val="-22"/>
          <w:sz w:val="24"/>
          <w:szCs w:val="24"/>
        </w:rPr>
        <w:t xml:space="preserve"> </w:t>
      </w:r>
      <w:r>
        <w:rPr>
          <w:rFonts w:ascii="仿宋" w:hAnsi="仿宋" w:eastAsia="仿宋" w:cs="仿宋"/>
          <w:spacing w:val="-3"/>
          <w:sz w:val="24"/>
          <w:szCs w:val="24"/>
        </w:rPr>
        <w:t>100%。统计采用均值、不重要百分比、等级和、变异系数等指标，共识筛选方</w:t>
      </w:r>
      <w:r>
        <w:rPr>
          <w:rFonts w:ascii="仿宋" w:hAnsi="仿宋" w:eastAsia="仿宋" w:cs="仿宋"/>
          <w:spacing w:val="-1"/>
          <w:sz w:val="24"/>
          <w:szCs w:val="24"/>
        </w:rPr>
        <w:t>法为：选项支持率超过</w:t>
      </w:r>
      <w:r>
        <w:rPr>
          <w:rFonts w:ascii="仿宋" w:hAnsi="仿宋" w:eastAsia="仿宋" w:cs="仿宋"/>
          <w:spacing w:val="-44"/>
          <w:sz w:val="24"/>
          <w:szCs w:val="24"/>
        </w:rPr>
        <w:t xml:space="preserve"> </w:t>
      </w:r>
      <w:r>
        <w:rPr>
          <w:rFonts w:ascii="仿宋" w:hAnsi="仿宋" w:eastAsia="仿宋" w:cs="仿宋"/>
          <w:spacing w:val="-1"/>
          <w:sz w:val="24"/>
          <w:szCs w:val="24"/>
        </w:rPr>
        <w:t>50%视为初步共识，分歧条目提交</w:t>
      </w:r>
      <w:r>
        <w:rPr>
          <w:rFonts w:ascii="仿宋" w:hAnsi="仿宋" w:eastAsia="仿宋" w:cs="仿宋"/>
          <w:spacing w:val="-2"/>
          <w:sz w:val="24"/>
          <w:szCs w:val="24"/>
        </w:rPr>
        <w:t>论证会。结果详见“</w:t>
      </w:r>
      <w:r>
        <w:rPr>
          <w:rFonts w:ascii="仿宋" w:hAnsi="仿宋" w:eastAsia="仿宋" w:cs="仿宋"/>
          <w:spacing w:val="-91"/>
          <w:sz w:val="24"/>
          <w:szCs w:val="24"/>
        </w:rPr>
        <w:t xml:space="preserve"> </w:t>
      </w:r>
      <w:r>
        <w:rPr>
          <w:rFonts w:ascii="仿宋" w:hAnsi="仿宋" w:eastAsia="仿宋" w:cs="仿宋"/>
          <w:spacing w:val="-2"/>
          <w:sz w:val="24"/>
          <w:szCs w:val="24"/>
        </w:rPr>
        <w:t>附件</w:t>
      </w:r>
      <w:r>
        <w:rPr>
          <w:rFonts w:ascii="仿宋" w:hAnsi="仿宋" w:eastAsia="仿宋" w:cs="仿宋"/>
          <w:spacing w:val="-34"/>
          <w:sz w:val="24"/>
          <w:szCs w:val="24"/>
        </w:rPr>
        <w:t xml:space="preserve"> </w:t>
      </w:r>
      <w:r>
        <w:rPr>
          <w:rFonts w:ascii="仿宋" w:hAnsi="仿宋" w:eastAsia="仿宋" w:cs="仿宋"/>
          <w:spacing w:val="-2"/>
          <w:sz w:val="24"/>
          <w:szCs w:val="24"/>
        </w:rPr>
        <w:t>1</w:t>
      </w:r>
      <w:r>
        <w:rPr>
          <w:rFonts w:ascii="仿宋" w:hAnsi="仿宋" w:eastAsia="仿宋" w:cs="仿宋"/>
          <w:spacing w:val="-42"/>
          <w:sz w:val="24"/>
          <w:szCs w:val="24"/>
        </w:rPr>
        <w:t xml:space="preserve"> </w:t>
      </w:r>
      <w:r>
        <w:rPr>
          <w:rFonts w:ascii="仿宋" w:hAnsi="仿宋" w:eastAsia="仿宋" w:cs="仿宋"/>
          <w:spacing w:val="-2"/>
          <w:sz w:val="24"/>
          <w:szCs w:val="24"/>
        </w:rPr>
        <w:t>专家</w:t>
      </w:r>
      <w:r>
        <w:rPr>
          <w:rFonts w:ascii="仿宋" w:hAnsi="仿宋" w:eastAsia="仿宋" w:cs="仿宋"/>
          <w:sz w:val="24"/>
          <w:szCs w:val="24"/>
        </w:rPr>
        <w:t>调查问卷报告</w:t>
      </w:r>
      <w:r>
        <w:rPr>
          <w:rFonts w:ascii="仿宋" w:hAnsi="仿宋" w:eastAsia="仿宋" w:cs="仿宋"/>
          <w:spacing w:val="-88"/>
          <w:sz w:val="24"/>
          <w:szCs w:val="24"/>
        </w:rPr>
        <w:t xml:space="preserve"> </w:t>
      </w:r>
      <w:r>
        <w:rPr>
          <w:rFonts w:ascii="仿宋" w:hAnsi="仿宋" w:eastAsia="仿宋" w:cs="仿宋"/>
          <w:sz w:val="24"/>
          <w:szCs w:val="24"/>
        </w:rPr>
        <w:t>”，高度一致条目直接纳入，其余条目形成3</w:t>
      </w:r>
      <w:r>
        <w:rPr>
          <w:rFonts w:ascii="仿宋" w:hAnsi="仿宋" w:eastAsia="仿宋" w:cs="仿宋"/>
          <w:spacing w:val="-44"/>
          <w:sz w:val="24"/>
          <w:szCs w:val="24"/>
        </w:rPr>
        <w:t xml:space="preserve"> </w:t>
      </w:r>
      <w:r>
        <w:rPr>
          <w:rFonts w:ascii="仿宋" w:hAnsi="仿宋" w:eastAsia="仿宋" w:cs="仿宋"/>
          <w:spacing w:val="-1"/>
          <w:sz w:val="24"/>
          <w:szCs w:val="24"/>
        </w:rPr>
        <w:t>项争议点，联合开放性问题共</w:t>
      </w:r>
      <w:r>
        <w:rPr>
          <w:rFonts w:ascii="仿宋" w:hAnsi="仿宋" w:eastAsia="仿宋" w:cs="仿宋"/>
          <w:spacing w:val="-2"/>
          <w:sz w:val="24"/>
          <w:szCs w:val="24"/>
        </w:rPr>
        <w:t>同提请专家论证。</w:t>
      </w:r>
    </w:p>
    <w:p w14:paraId="30B8BAAE">
      <w:pPr>
        <w:spacing w:before="1" w:line="276" w:lineRule="auto"/>
        <w:ind w:left="493"/>
        <w:rPr>
          <w:rFonts w:ascii="仿宋" w:hAnsi="仿宋" w:eastAsia="仿宋" w:cs="仿宋"/>
          <w:sz w:val="24"/>
          <w:szCs w:val="24"/>
        </w:rPr>
      </w:pPr>
      <w:r>
        <w:rPr>
          <w:rFonts w:ascii="仿宋" w:hAnsi="仿宋" w:eastAsia="仿宋" w:cs="仿宋"/>
          <w:b/>
          <w:bCs/>
          <w:spacing w:val="-5"/>
          <w:sz w:val="24"/>
          <w:szCs w:val="24"/>
        </w:rPr>
        <w:t>（5）专家论证会</w:t>
      </w:r>
    </w:p>
    <w:p w14:paraId="7882765B">
      <w:pPr>
        <w:spacing w:before="113" w:line="276" w:lineRule="auto"/>
        <w:ind w:left="7" w:right="83" w:firstLine="476"/>
        <w:jc w:val="both"/>
        <w:rPr>
          <w:rFonts w:ascii="仿宋" w:hAnsi="仿宋" w:eastAsia="仿宋" w:cs="仿宋"/>
          <w:sz w:val="24"/>
          <w:szCs w:val="24"/>
        </w:rPr>
      </w:pPr>
      <w:r>
        <w:rPr>
          <w:rFonts w:ascii="仿宋" w:hAnsi="仿宋" w:eastAsia="仿宋" w:cs="仿宋"/>
          <w:spacing w:val="-7"/>
          <w:sz w:val="24"/>
          <w:szCs w:val="24"/>
        </w:rPr>
        <w:t>2025</w:t>
      </w:r>
      <w:r>
        <w:rPr>
          <w:rFonts w:ascii="仿宋" w:hAnsi="仿宋" w:eastAsia="仿宋" w:cs="仿宋"/>
          <w:spacing w:val="-22"/>
          <w:sz w:val="24"/>
          <w:szCs w:val="24"/>
        </w:rPr>
        <w:t xml:space="preserve"> </w:t>
      </w:r>
      <w:r>
        <w:rPr>
          <w:rFonts w:ascii="仿宋" w:hAnsi="仿宋" w:eastAsia="仿宋" w:cs="仿宋"/>
          <w:spacing w:val="-7"/>
          <w:sz w:val="24"/>
          <w:szCs w:val="24"/>
        </w:rPr>
        <w:t>年</w:t>
      </w:r>
      <w:r>
        <w:rPr>
          <w:rFonts w:ascii="仿宋" w:hAnsi="仿宋" w:eastAsia="仿宋" w:cs="仿宋"/>
          <w:spacing w:val="-34"/>
          <w:sz w:val="24"/>
          <w:szCs w:val="24"/>
        </w:rPr>
        <w:t xml:space="preserve"> </w:t>
      </w:r>
      <w:r>
        <w:rPr>
          <w:rFonts w:ascii="仿宋" w:hAnsi="仿宋" w:eastAsia="仿宋" w:cs="仿宋"/>
          <w:spacing w:val="-7"/>
          <w:sz w:val="24"/>
          <w:szCs w:val="24"/>
        </w:rPr>
        <w:t>12</w:t>
      </w:r>
      <w:r>
        <w:rPr>
          <w:rFonts w:ascii="仿宋" w:hAnsi="仿宋" w:eastAsia="仿宋" w:cs="仿宋"/>
          <w:spacing w:val="-33"/>
          <w:sz w:val="24"/>
          <w:szCs w:val="24"/>
        </w:rPr>
        <w:t xml:space="preserve"> </w:t>
      </w:r>
      <w:r>
        <w:rPr>
          <w:rFonts w:ascii="仿宋" w:hAnsi="仿宋" w:eastAsia="仿宋" w:cs="仿宋"/>
          <w:spacing w:val="-7"/>
          <w:sz w:val="24"/>
          <w:szCs w:val="24"/>
        </w:rPr>
        <w:t>月</w:t>
      </w:r>
      <w:r>
        <w:rPr>
          <w:rFonts w:ascii="仿宋" w:hAnsi="仿宋" w:eastAsia="仿宋" w:cs="仿宋"/>
          <w:spacing w:val="-47"/>
          <w:sz w:val="24"/>
          <w:szCs w:val="24"/>
        </w:rPr>
        <w:t xml:space="preserve"> </w:t>
      </w:r>
      <w:r>
        <w:rPr>
          <w:rFonts w:ascii="仿宋" w:hAnsi="仿宋" w:eastAsia="仿宋" w:cs="仿宋"/>
          <w:spacing w:val="-7"/>
          <w:sz w:val="24"/>
          <w:szCs w:val="24"/>
        </w:rPr>
        <w:t>3 日召开专家论证会，聚焦问卷分歧条目。邀请</w:t>
      </w:r>
      <w:r>
        <w:rPr>
          <w:rFonts w:ascii="仿宋" w:hAnsi="仿宋" w:eastAsia="仿宋" w:cs="仿宋"/>
          <w:spacing w:val="-34"/>
          <w:sz w:val="24"/>
          <w:szCs w:val="24"/>
        </w:rPr>
        <w:t xml:space="preserve"> </w:t>
      </w:r>
      <w:r>
        <w:rPr>
          <w:rFonts w:ascii="仿宋" w:hAnsi="仿宋" w:eastAsia="仿宋" w:cs="仿宋"/>
          <w:spacing w:val="-7"/>
          <w:sz w:val="24"/>
          <w:szCs w:val="24"/>
        </w:rPr>
        <w:t>13</w:t>
      </w:r>
      <w:r>
        <w:rPr>
          <w:rFonts w:ascii="仿宋" w:hAnsi="仿宋" w:eastAsia="仿宋" w:cs="仿宋"/>
          <w:spacing w:val="-43"/>
          <w:sz w:val="24"/>
          <w:szCs w:val="24"/>
        </w:rPr>
        <w:t xml:space="preserve"> </w:t>
      </w:r>
      <w:r>
        <w:rPr>
          <w:rFonts w:ascii="仿宋" w:hAnsi="仿宋" w:eastAsia="仿宋" w:cs="仿宋"/>
          <w:spacing w:val="-7"/>
          <w:sz w:val="24"/>
          <w:szCs w:val="24"/>
        </w:rPr>
        <w:t>位国内权威儿科专家</w:t>
      </w:r>
      <w:r>
        <w:rPr>
          <w:rFonts w:ascii="仿宋" w:hAnsi="仿宋" w:eastAsia="仿宋" w:cs="仿宋"/>
          <w:sz w:val="24"/>
          <w:szCs w:val="24"/>
        </w:rPr>
        <w:t>及标准化专家。会前发送征求意见函（含3</w:t>
      </w:r>
      <w:r>
        <w:rPr>
          <w:rFonts w:ascii="仿宋" w:hAnsi="仿宋" w:eastAsia="仿宋" w:cs="仿宋"/>
          <w:spacing w:val="-42"/>
          <w:sz w:val="24"/>
          <w:szCs w:val="24"/>
        </w:rPr>
        <w:t xml:space="preserve"> </w:t>
      </w:r>
      <w:r>
        <w:rPr>
          <w:rFonts w:ascii="仿宋" w:hAnsi="仿宋" w:eastAsia="仿宋" w:cs="仿宋"/>
          <w:sz w:val="24"/>
          <w:szCs w:val="24"/>
        </w:rPr>
        <w:t>项争议条目、开放性问题及项目组建</w:t>
      </w:r>
      <w:r>
        <w:rPr>
          <w:rFonts w:ascii="仿宋" w:hAnsi="仿宋" w:eastAsia="仿宋" w:cs="仿宋"/>
          <w:spacing w:val="-1"/>
          <w:sz w:val="24"/>
          <w:szCs w:val="24"/>
        </w:rPr>
        <w:t>议</w:t>
      </w:r>
      <w:r>
        <w:rPr>
          <w:rFonts w:ascii="仿宋" w:hAnsi="仿宋" w:eastAsia="仿宋" w:cs="仿宋"/>
          <w:spacing w:val="10"/>
          <w:sz w:val="24"/>
          <w:szCs w:val="24"/>
        </w:rPr>
        <w:t>），</w:t>
      </w:r>
      <w:r>
        <w:rPr>
          <w:rFonts w:ascii="仿宋" w:hAnsi="仿宋" w:eastAsia="仿宋" w:cs="仿宋"/>
          <w:spacing w:val="-1"/>
          <w:sz w:val="24"/>
          <w:szCs w:val="24"/>
        </w:rPr>
        <w:t>会中讨论，会后</w:t>
      </w:r>
      <w:r>
        <w:rPr>
          <w:rFonts w:ascii="仿宋" w:hAnsi="仿宋" w:eastAsia="仿宋" w:cs="仿宋"/>
          <w:spacing w:val="-21"/>
          <w:sz w:val="24"/>
          <w:szCs w:val="24"/>
        </w:rPr>
        <w:t xml:space="preserve"> </w:t>
      </w:r>
      <w:r>
        <w:rPr>
          <w:rFonts w:ascii="仿宋" w:hAnsi="仿宋" w:eastAsia="仿宋" w:cs="仿宋"/>
          <w:spacing w:val="-1"/>
          <w:sz w:val="24"/>
          <w:szCs w:val="24"/>
        </w:rPr>
        <w:t>1</w:t>
      </w:r>
      <w:r>
        <w:rPr>
          <w:rFonts w:ascii="仿宋" w:hAnsi="仿宋" w:eastAsia="仿宋" w:cs="仿宋"/>
          <w:spacing w:val="-43"/>
          <w:sz w:val="24"/>
          <w:szCs w:val="24"/>
        </w:rPr>
        <w:t xml:space="preserve"> </w:t>
      </w:r>
      <w:r>
        <w:rPr>
          <w:rFonts w:ascii="仿宋" w:hAnsi="仿宋" w:eastAsia="仿宋" w:cs="仿宋"/>
          <w:spacing w:val="-1"/>
          <w:sz w:val="24"/>
          <w:szCs w:val="24"/>
        </w:rPr>
        <w:t>周内返回书面意见。会议采纳整合意见，结果详见“附件2</w:t>
      </w:r>
      <w:r>
        <w:rPr>
          <w:rFonts w:ascii="仿宋" w:hAnsi="仿宋" w:eastAsia="仿宋" w:cs="仿宋"/>
          <w:spacing w:val="-41"/>
          <w:sz w:val="24"/>
          <w:szCs w:val="24"/>
        </w:rPr>
        <w:t xml:space="preserve"> </w:t>
      </w:r>
      <w:r>
        <w:rPr>
          <w:rFonts w:ascii="仿宋" w:hAnsi="仿宋" w:eastAsia="仿宋" w:cs="仿宋"/>
          <w:spacing w:val="-1"/>
          <w:sz w:val="24"/>
          <w:szCs w:val="24"/>
        </w:rPr>
        <w:t>专家论证会会</w:t>
      </w:r>
      <w:r>
        <w:rPr>
          <w:rFonts w:ascii="仿宋" w:hAnsi="仿宋" w:eastAsia="仿宋" w:cs="仿宋"/>
          <w:spacing w:val="-3"/>
          <w:sz w:val="24"/>
          <w:szCs w:val="24"/>
        </w:rPr>
        <w:t>议纪要</w:t>
      </w:r>
      <w:r>
        <w:rPr>
          <w:rFonts w:ascii="仿宋" w:hAnsi="仿宋" w:eastAsia="仿宋" w:cs="仿宋"/>
          <w:spacing w:val="-88"/>
          <w:sz w:val="24"/>
          <w:szCs w:val="24"/>
        </w:rPr>
        <w:t xml:space="preserve"> </w:t>
      </w:r>
      <w:r>
        <w:rPr>
          <w:rFonts w:ascii="仿宋" w:hAnsi="仿宋" w:eastAsia="仿宋" w:cs="仿宋"/>
          <w:spacing w:val="-3"/>
          <w:sz w:val="24"/>
          <w:szCs w:val="24"/>
        </w:rPr>
        <w:t>”。</w:t>
      </w:r>
    </w:p>
    <w:p w14:paraId="6DD90906">
      <w:pPr>
        <w:spacing w:before="1" w:line="276" w:lineRule="auto"/>
        <w:ind w:left="493"/>
        <w:rPr>
          <w:rFonts w:ascii="仿宋" w:hAnsi="仿宋" w:eastAsia="仿宋" w:cs="仿宋"/>
          <w:sz w:val="24"/>
          <w:szCs w:val="24"/>
        </w:rPr>
      </w:pPr>
      <w:r>
        <w:rPr>
          <w:rFonts w:ascii="仿宋" w:hAnsi="仿宋" w:eastAsia="仿宋" w:cs="仿宋"/>
          <w:b/>
          <w:bCs/>
          <w:spacing w:val="-5"/>
          <w:sz w:val="24"/>
          <w:szCs w:val="24"/>
        </w:rPr>
        <w:t>（6）专家审核</w:t>
      </w:r>
    </w:p>
    <w:p w14:paraId="26CA23F9">
      <w:pPr>
        <w:spacing w:before="113" w:line="276" w:lineRule="auto"/>
        <w:ind w:left="7" w:right="83" w:firstLine="483"/>
        <w:jc w:val="both"/>
        <w:rPr>
          <w:rFonts w:ascii="仿宋" w:hAnsi="仿宋" w:eastAsia="仿宋" w:cs="仿宋"/>
          <w:sz w:val="24"/>
          <w:szCs w:val="24"/>
        </w:rPr>
      </w:pPr>
      <w:r>
        <w:rPr>
          <w:rFonts w:ascii="仿宋" w:hAnsi="仿宋" w:eastAsia="仿宋" w:cs="仿宋"/>
          <w:spacing w:val="-1"/>
          <w:sz w:val="24"/>
          <w:szCs w:val="24"/>
        </w:rPr>
        <w:t>专家指导组审核稿形成后，由本项目专家指导组（丁樱、万力生、马融、王有鹏、王丽丽、王素梅、史正刚、刘建忠、张葆青、俞建、虞坚尔、熊磊、戴启刚）进行审核。审核重点验证内容的科学性、国际适配性和一致性，形成标准送审草案。</w:t>
      </w:r>
    </w:p>
    <w:p w14:paraId="0CD9390C">
      <w:pPr>
        <w:spacing w:before="1" w:line="276" w:lineRule="auto"/>
        <w:ind w:left="485"/>
        <w:rPr>
          <w:rFonts w:ascii="仿宋" w:hAnsi="仿宋" w:eastAsia="仿宋" w:cs="仿宋"/>
          <w:sz w:val="24"/>
          <w:szCs w:val="24"/>
        </w:rPr>
      </w:pPr>
      <w:r>
        <w:rPr>
          <w:rFonts w:ascii="仿宋" w:hAnsi="仿宋" w:eastAsia="仿宋" w:cs="仿宋"/>
          <w:b/>
          <w:bCs/>
          <w:spacing w:val="-3"/>
          <w:sz w:val="24"/>
          <w:szCs w:val="24"/>
        </w:rPr>
        <w:t>3</w:t>
      </w:r>
      <w:r>
        <w:rPr>
          <w:rFonts w:ascii="仿宋" w:hAnsi="仿宋" w:eastAsia="仿宋" w:cs="仿宋"/>
          <w:spacing w:val="-3"/>
          <w:sz w:val="24"/>
          <w:szCs w:val="24"/>
        </w:rPr>
        <w:t xml:space="preserve"> </w:t>
      </w:r>
      <w:r>
        <w:rPr>
          <w:rFonts w:ascii="仿宋" w:hAnsi="仿宋" w:eastAsia="仿宋" w:cs="仿宋"/>
          <w:b/>
          <w:bCs/>
          <w:spacing w:val="-3"/>
          <w:sz w:val="24"/>
          <w:szCs w:val="24"/>
        </w:rPr>
        <w:t>确定标准主要内容的论据</w:t>
      </w:r>
    </w:p>
    <w:p w14:paraId="012807DE">
      <w:pPr>
        <w:spacing w:before="99" w:line="276" w:lineRule="auto"/>
        <w:ind w:right="76" w:firstLine="10"/>
        <w:jc w:val="both"/>
        <w:rPr>
          <w:rFonts w:ascii="仿宋" w:hAnsi="仿宋" w:eastAsia="仿宋" w:cs="仿宋"/>
          <w:sz w:val="24"/>
          <w:szCs w:val="24"/>
        </w:rPr>
      </w:pPr>
      <w:r>
        <w:rPr>
          <w:rFonts w:ascii="仿宋" w:hAnsi="仿宋" w:eastAsia="仿宋" w:cs="仿宋"/>
          <w:spacing w:val="-1"/>
          <w:sz w:val="24"/>
          <w:szCs w:val="24"/>
        </w:rPr>
        <w:t>本标准制订各阶段的程序、技术方法及要求符合前列各相关规范性文件的要求，包括</w:t>
      </w:r>
      <w:r>
        <w:rPr>
          <w:rFonts w:ascii="仿宋" w:hAnsi="仿宋" w:eastAsia="仿宋" w:cs="仿宋"/>
          <w:spacing w:val="-7"/>
          <w:sz w:val="24"/>
          <w:szCs w:val="24"/>
        </w:rPr>
        <w:t>世界中联</w:t>
      </w:r>
      <w:r>
        <w:rPr>
          <w:rFonts w:ascii="仿宋" w:hAnsi="仿宋" w:eastAsia="仿宋" w:cs="仿宋"/>
          <w:spacing w:val="-46"/>
          <w:sz w:val="24"/>
          <w:szCs w:val="24"/>
        </w:rPr>
        <w:t xml:space="preserve"> </w:t>
      </w:r>
      <w:r>
        <w:rPr>
          <w:rFonts w:ascii="仿宋" w:hAnsi="仿宋" w:eastAsia="仿宋" w:cs="仿宋"/>
          <w:spacing w:val="-7"/>
          <w:sz w:val="24"/>
          <w:szCs w:val="24"/>
        </w:rPr>
        <w:t>SCM1.1-2021《标准化工作导则第</w:t>
      </w:r>
      <w:r>
        <w:rPr>
          <w:rFonts w:ascii="仿宋" w:hAnsi="仿宋" w:eastAsia="仿宋" w:cs="仿宋"/>
          <w:spacing w:val="-34"/>
          <w:sz w:val="24"/>
          <w:szCs w:val="24"/>
        </w:rPr>
        <w:t xml:space="preserve"> </w:t>
      </w:r>
      <w:r>
        <w:rPr>
          <w:rFonts w:ascii="仿宋" w:hAnsi="仿宋" w:eastAsia="仿宋" w:cs="仿宋"/>
          <w:spacing w:val="-7"/>
          <w:sz w:val="24"/>
          <w:szCs w:val="24"/>
        </w:rPr>
        <w:t>1</w:t>
      </w:r>
      <w:r>
        <w:rPr>
          <w:rFonts w:ascii="仿宋" w:hAnsi="仿宋" w:eastAsia="仿宋" w:cs="仿宋"/>
          <w:spacing w:val="-43"/>
          <w:sz w:val="24"/>
          <w:szCs w:val="24"/>
        </w:rPr>
        <w:t xml:space="preserve"> </w:t>
      </w:r>
      <w:r>
        <w:rPr>
          <w:rFonts w:ascii="仿宋" w:hAnsi="仿宋" w:eastAsia="仿宋" w:cs="仿宋"/>
          <w:spacing w:val="-7"/>
          <w:sz w:val="24"/>
          <w:szCs w:val="24"/>
        </w:rPr>
        <w:t>部分：标准制修订与发布》、原国家标准</w:t>
      </w:r>
      <w:r>
        <w:rPr>
          <w:rFonts w:ascii="仿宋" w:hAnsi="仿宋" w:eastAsia="仿宋" w:cs="仿宋"/>
          <w:spacing w:val="-54"/>
          <w:sz w:val="24"/>
          <w:szCs w:val="24"/>
        </w:rPr>
        <w:t xml:space="preserve"> </w:t>
      </w:r>
      <w:r>
        <w:rPr>
          <w:rFonts w:ascii="仿宋" w:hAnsi="仿宋" w:eastAsia="仿宋" w:cs="仿宋"/>
          <w:spacing w:val="-7"/>
          <w:sz w:val="24"/>
          <w:szCs w:val="24"/>
        </w:rPr>
        <w:t>GB/Z</w:t>
      </w:r>
      <w:r>
        <w:rPr>
          <w:rFonts w:ascii="仿宋" w:hAnsi="仿宋" w:eastAsia="仿宋" w:cs="仿宋"/>
          <w:sz w:val="24"/>
          <w:szCs w:val="24"/>
        </w:rPr>
        <w:t xml:space="preserve"> </w:t>
      </w:r>
      <w:r>
        <w:rPr>
          <w:rFonts w:ascii="仿宋" w:hAnsi="仿宋" w:eastAsia="仿宋" w:cs="仿宋"/>
          <w:spacing w:val="-1"/>
          <w:sz w:val="24"/>
          <w:szCs w:val="24"/>
        </w:rPr>
        <w:t>40893.5-2021《中医技术操作规范 儿科 第</w:t>
      </w:r>
      <w:r>
        <w:rPr>
          <w:rFonts w:ascii="仿宋" w:hAnsi="仿宋" w:eastAsia="仿宋" w:cs="仿宋"/>
          <w:spacing w:val="-47"/>
          <w:sz w:val="24"/>
          <w:szCs w:val="24"/>
        </w:rPr>
        <w:t xml:space="preserve"> </w:t>
      </w:r>
      <w:r>
        <w:rPr>
          <w:rFonts w:ascii="仿宋" w:hAnsi="仿宋" w:eastAsia="仿宋" w:cs="仿宋"/>
          <w:spacing w:val="-1"/>
          <w:sz w:val="24"/>
          <w:szCs w:val="24"/>
        </w:rPr>
        <w:t>5</w:t>
      </w:r>
      <w:r>
        <w:rPr>
          <w:rFonts w:ascii="仿宋" w:hAnsi="仿宋" w:eastAsia="仿宋" w:cs="仿宋"/>
          <w:spacing w:val="-43"/>
          <w:sz w:val="24"/>
          <w:szCs w:val="24"/>
        </w:rPr>
        <w:t xml:space="preserve"> </w:t>
      </w:r>
      <w:r>
        <w:rPr>
          <w:rFonts w:ascii="仿宋" w:hAnsi="仿宋" w:eastAsia="仿宋" w:cs="仿宋"/>
          <w:spacing w:val="-1"/>
          <w:sz w:val="24"/>
          <w:szCs w:val="24"/>
        </w:rPr>
        <w:t>部分：小儿拔罐疗法》，以及文献研究、专</w:t>
      </w:r>
      <w:r>
        <w:rPr>
          <w:rFonts w:ascii="仿宋" w:hAnsi="仿宋" w:eastAsia="仿宋" w:cs="仿宋"/>
          <w:sz w:val="24"/>
          <w:szCs w:val="24"/>
        </w:rPr>
        <w:t>家问卷调查和专家论证会等过程，确保内容基</w:t>
      </w:r>
      <w:r>
        <w:rPr>
          <w:rFonts w:ascii="仿宋" w:hAnsi="仿宋" w:eastAsia="仿宋" w:cs="仿宋"/>
          <w:spacing w:val="-1"/>
          <w:sz w:val="24"/>
          <w:szCs w:val="24"/>
        </w:rPr>
        <w:t>于循证和专家共识。</w:t>
      </w:r>
    </w:p>
    <w:p w14:paraId="13D10727">
      <w:pPr>
        <w:spacing w:before="4" w:line="276" w:lineRule="auto"/>
        <w:ind w:left="8" w:firstLine="480"/>
        <w:jc w:val="both"/>
        <w:rPr>
          <w:rFonts w:ascii="仿宋" w:hAnsi="仿宋" w:eastAsia="仿宋" w:cs="仿宋"/>
          <w:sz w:val="24"/>
          <w:szCs w:val="24"/>
        </w:rPr>
      </w:pPr>
      <w:r>
        <w:rPr>
          <w:rFonts w:ascii="仿宋" w:hAnsi="仿宋" w:eastAsia="仿宋" w:cs="仿宋"/>
          <w:spacing w:val="-5"/>
          <w:sz w:val="24"/>
          <w:szCs w:val="24"/>
        </w:rPr>
        <w:t>所有的名词术语要求规范，中医药学名词术语基于相关中国国家标准，如拔罐、针刺、</w:t>
      </w:r>
      <w:r>
        <w:rPr>
          <w:rFonts w:ascii="仿宋" w:hAnsi="仿宋" w:eastAsia="仿宋" w:cs="仿宋"/>
          <w:spacing w:val="1"/>
          <w:sz w:val="24"/>
          <w:szCs w:val="24"/>
        </w:rPr>
        <w:t>三棱针等操作以</w:t>
      </w:r>
      <w:r>
        <w:rPr>
          <w:rFonts w:ascii="仿宋" w:hAnsi="仿宋" w:eastAsia="仿宋" w:cs="仿宋"/>
          <w:spacing w:val="-44"/>
          <w:sz w:val="24"/>
          <w:szCs w:val="24"/>
        </w:rPr>
        <w:t xml:space="preserve"> </w:t>
      </w:r>
      <w:r>
        <w:rPr>
          <w:rFonts w:ascii="仿宋" w:hAnsi="仿宋" w:eastAsia="仿宋" w:cs="仿宋"/>
          <w:sz w:val="24"/>
          <w:szCs w:val="24"/>
        </w:rPr>
        <w:t>GB</w:t>
      </w:r>
      <w:r>
        <w:rPr>
          <w:rFonts w:ascii="仿宋" w:hAnsi="仿宋" w:eastAsia="仿宋" w:cs="仿宋"/>
          <w:spacing w:val="1"/>
          <w:sz w:val="24"/>
          <w:szCs w:val="24"/>
        </w:rPr>
        <w:t>/T 21709.4、</w:t>
      </w:r>
      <w:r>
        <w:rPr>
          <w:rFonts w:ascii="仿宋" w:hAnsi="仿宋" w:eastAsia="仿宋" w:cs="仿宋"/>
          <w:sz w:val="24"/>
          <w:szCs w:val="24"/>
        </w:rPr>
        <w:t>GB</w:t>
      </w:r>
      <w:r>
        <w:rPr>
          <w:rFonts w:ascii="仿宋" w:hAnsi="仿宋" w:eastAsia="仿宋" w:cs="仿宋"/>
          <w:spacing w:val="1"/>
          <w:sz w:val="24"/>
          <w:szCs w:val="24"/>
        </w:rPr>
        <w:t>/T 21709.5、</w:t>
      </w:r>
      <w:r>
        <w:rPr>
          <w:rFonts w:ascii="仿宋" w:hAnsi="仿宋" w:eastAsia="仿宋" w:cs="仿宋"/>
          <w:sz w:val="24"/>
          <w:szCs w:val="24"/>
        </w:rPr>
        <w:t>GB</w:t>
      </w:r>
      <w:r>
        <w:rPr>
          <w:rFonts w:ascii="仿宋" w:hAnsi="仿宋" w:eastAsia="仿宋" w:cs="仿宋"/>
          <w:spacing w:val="1"/>
          <w:sz w:val="24"/>
          <w:szCs w:val="24"/>
        </w:rPr>
        <w:t>/T 21709.7</w:t>
      </w:r>
      <w:r>
        <w:rPr>
          <w:rFonts w:ascii="仿宋" w:hAnsi="仿宋" w:eastAsia="仿宋" w:cs="仿宋"/>
          <w:spacing w:val="-31"/>
          <w:sz w:val="24"/>
          <w:szCs w:val="24"/>
        </w:rPr>
        <w:t xml:space="preserve"> </w:t>
      </w:r>
      <w:r>
        <w:rPr>
          <w:rFonts w:ascii="仿宋" w:hAnsi="仿宋" w:eastAsia="仿宋" w:cs="仿宋"/>
          <w:spacing w:val="1"/>
          <w:sz w:val="24"/>
          <w:szCs w:val="24"/>
        </w:rPr>
        <w:t>等标准为准，标准疾病名</w:t>
      </w:r>
      <w:r>
        <w:rPr>
          <w:rFonts w:ascii="仿宋" w:hAnsi="仿宋" w:eastAsia="仿宋" w:cs="仿宋"/>
          <w:sz w:val="24"/>
          <w:szCs w:val="24"/>
        </w:rPr>
        <w:t>称以WHO-ICD11（2022</w:t>
      </w:r>
      <w:r>
        <w:rPr>
          <w:rFonts w:ascii="仿宋" w:hAnsi="仿宋" w:eastAsia="仿宋" w:cs="仿宋"/>
          <w:spacing w:val="-25"/>
          <w:sz w:val="24"/>
          <w:szCs w:val="24"/>
        </w:rPr>
        <w:t xml:space="preserve"> </w:t>
      </w:r>
      <w:r>
        <w:rPr>
          <w:rFonts w:ascii="仿宋" w:hAnsi="仿宋" w:eastAsia="仿宋" w:cs="仿宋"/>
          <w:sz w:val="24"/>
          <w:szCs w:val="24"/>
        </w:rPr>
        <w:t>年）为准。其他科学技术术语、名词及名称采用全国科学技术名词</w:t>
      </w:r>
      <w:r>
        <w:rPr>
          <w:rFonts w:ascii="仿宋" w:hAnsi="仿宋" w:eastAsia="仿宋" w:cs="仿宋"/>
          <w:spacing w:val="2"/>
          <w:sz w:val="24"/>
          <w:szCs w:val="24"/>
        </w:rPr>
        <w:t>审定委员会公布的名词。计量单位按国家标</w:t>
      </w:r>
      <w:r>
        <w:rPr>
          <w:rFonts w:ascii="仿宋" w:hAnsi="仿宋" w:eastAsia="仿宋" w:cs="仿宋"/>
          <w:spacing w:val="1"/>
          <w:sz w:val="24"/>
          <w:szCs w:val="24"/>
        </w:rPr>
        <w:t>准</w:t>
      </w:r>
      <w:r>
        <w:rPr>
          <w:rFonts w:ascii="仿宋" w:hAnsi="仿宋" w:eastAsia="仿宋" w:cs="仿宋"/>
          <w:spacing w:val="-55"/>
          <w:sz w:val="24"/>
          <w:szCs w:val="24"/>
        </w:rPr>
        <w:t xml:space="preserve"> </w:t>
      </w:r>
      <w:r>
        <w:rPr>
          <w:rFonts w:ascii="仿宋" w:hAnsi="仿宋" w:eastAsia="仿宋" w:cs="仿宋"/>
          <w:sz w:val="24"/>
          <w:szCs w:val="24"/>
        </w:rPr>
        <w:t>GB</w:t>
      </w:r>
      <w:r>
        <w:rPr>
          <w:rFonts w:ascii="仿宋" w:hAnsi="仿宋" w:eastAsia="仿宋" w:cs="仿宋"/>
          <w:spacing w:val="1"/>
          <w:sz w:val="24"/>
          <w:szCs w:val="24"/>
        </w:rPr>
        <w:t xml:space="preserve"> 3100～3102—1993《量和单位》执行，</w:t>
      </w:r>
      <w:r>
        <w:rPr>
          <w:rFonts w:ascii="仿宋" w:hAnsi="仿宋" w:eastAsia="仿宋" w:cs="仿宋"/>
          <w:spacing w:val="-2"/>
          <w:sz w:val="24"/>
          <w:szCs w:val="24"/>
        </w:rPr>
        <w:t>单位名称用国际通用符号表示。</w:t>
      </w:r>
    </w:p>
    <w:p w14:paraId="090837C7">
      <w:pPr>
        <w:spacing w:beforeLines="100" w:afterLines="100" w:line="276" w:lineRule="auto"/>
        <w:ind w:left="476"/>
        <w:outlineLvl w:val="0"/>
        <w:rPr>
          <w:rFonts w:ascii="黑体" w:hAnsi="黑体" w:eastAsia="黑体" w:cs="黑体"/>
          <w:b/>
          <w:bCs/>
          <w:spacing w:val="-4"/>
          <w:sz w:val="24"/>
          <w:szCs w:val="24"/>
        </w:rPr>
      </w:pPr>
      <w:bookmarkStart w:id="2" w:name="bookmark3"/>
      <w:bookmarkEnd w:id="2"/>
      <w:r>
        <w:rPr>
          <w:rFonts w:ascii="黑体" w:hAnsi="黑体" w:eastAsia="黑体" w:cs="黑体"/>
          <w:b/>
          <w:bCs/>
          <w:spacing w:val="-4"/>
          <w:sz w:val="24"/>
          <w:szCs w:val="24"/>
        </w:rPr>
        <w:t>三、与相关法律、法规和标准的关系</w:t>
      </w:r>
    </w:p>
    <w:p w14:paraId="2F767B29">
      <w:pPr>
        <w:spacing w:before="109" w:line="276" w:lineRule="auto"/>
        <w:ind w:left="11" w:right="76" w:firstLine="478"/>
        <w:jc w:val="both"/>
        <w:rPr>
          <w:rFonts w:ascii="仿宋" w:hAnsi="仿宋" w:eastAsia="仿宋" w:cs="仿宋"/>
          <w:sz w:val="24"/>
          <w:szCs w:val="24"/>
        </w:rPr>
      </w:pPr>
      <w:r>
        <w:rPr>
          <w:rFonts w:ascii="仿宋" w:hAnsi="仿宋" w:eastAsia="仿宋" w:cs="仿宋"/>
          <w:spacing w:val="-1"/>
          <w:sz w:val="24"/>
          <w:szCs w:val="24"/>
        </w:rPr>
        <w:t>本标准作为国际组织标准，在制定过程中系统梳理并协调了相关法律、法规以及</w:t>
      </w:r>
      <w:r>
        <w:rPr>
          <w:rFonts w:hint="eastAsia" w:ascii="仿宋" w:hAnsi="仿宋" w:eastAsia="仿宋" w:cs="仿宋"/>
          <w:spacing w:val="-1"/>
          <w:sz w:val="24"/>
          <w:szCs w:val="24"/>
          <w:lang w:eastAsia="zh-CN"/>
        </w:rPr>
        <w:t>海内外</w:t>
      </w:r>
      <w:r>
        <w:rPr>
          <w:rFonts w:ascii="仿宋" w:hAnsi="仿宋" w:eastAsia="仿宋" w:cs="仿宋"/>
          <w:spacing w:val="-1"/>
          <w:sz w:val="24"/>
          <w:szCs w:val="24"/>
        </w:rPr>
        <w:t>强制性、推荐性标准之间的关系。标准既遵循既有规范的基本要求，又在充分调研、专家论证和国际对标的基础上，对部分内容进行了有依据、有边界的技术性调整，确保其科</w:t>
      </w:r>
      <w:r>
        <w:rPr>
          <w:rFonts w:ascii="仿宋" w:hAnsi="仿宋" w:eastAsia="仿宋" w:cs="仿宋"/>
          <w:spacing w:val="-2"/>
          <w:sz w:val="24"/>
          <w:szCs w:val="24"/>
        </w:rPr>
        <w:t>学性、安全性、规范性及国际适用性。</w:t>
      </w:r>
    </w:p>
    <w:p w14:paraId="4691D148">
      <w:pPr>
        <w:spacing w:before="1" w:line="276" w:lineRule="auto"/>
        <w:ind w:left="493"/>
        <w:rPr>
          <w:rFonts w:ascii="仿宋" w:hAnsi="仿宋" w:eastAsia="仿宋" w:cs="仿宋"/>
          <w:sz w:val="24"/>
          <w:szCs w:val="24"/>
        </w:rPr>
      </w:pPr>
      <w:r>
        <w:rPr>
          <w:rFonts w:ascii="仿宋" w:hAnsi="仿宋" w:eastAsia="仿宋" w:cs="仿宋"/>
          <w:b/>
          <w:bCs/>
          <w:spacing w:val="-4"/>
          <w:sz w:val="24"/>
          <w:szCs w:val="24"/>
        </w:rPr>
        <w:t>（一）与法律、法规的关系</w:t>
      </w:r>
    </w:p>
    <w:p w14:paraId="144AA2AA">
      <w:pPr>
        <w:spacing w:before="109" w:line="276" w:lineRule="auto"/>
        <w:ind w:left="7" w:right="76" w:firstLine="481"/>
        <w:jc w:val="both"/>
        <w:rPr>
          <w:rFonts w:ascii="仿宋" w:hAnsi="仿宋" w:eastAsia="仿宋" w:cs="仿宋"/>
          <w:sz w:val="24"/>
          <w:szCs w:val="24"/>
        </w:rPr>
      </w:pPr>
      <w:r>
        <w:rPr>
          <w:rFonts w:ascii="仿宋" w:hAnsi="仿宋" w:eastAsia="仿宋" w:cs="仿宋"/>
          <w:spacing w:val="-1"/>
          <w:sz w:val="24"/>
          <w:szCs w:val="24"/>
        </w:rPr>
        <w:t>本标准在编制和应用过程中，充分尊重并遵守各国及地区现行的医疗卫生法律法规和执业管理制度。标准所涉及的小儿拔火罐、闪火罐、走罐、刺络拔罐、留针拔罐等方式，尤其是其中具有一定侵入性的操作，均明确提出应在符合法律法规、执业范围和人员资质</w:t>
      </w:r>
      <w:r>
        <w:rPr>
          <w:rFonts w:ascii="仿宋" w:hAnsi="仿宋" w:eastAsia="仿宋" w:cs="仿宋"/>
          <w:spacing w:val="-2"/>
          <w:sz w:val="24"/>
          <w:szCs w:val="24"/>
        </w:rPr>
        <w:t>要求的前提下实施。</w:t>
      </w:r>
    </w:p>
    <w:p w14:paraId="2B8DFF57">
      <w:pPr>
        <w:spacing w:before="3" w:line="276" w:lineRule="auto"/>
        <w:ind w:left="9" w:right="76" w:firstLine="481"/>
        <w:jc w:val="both"/>
        <w:rPr>
          <w:rFonts w:ascii="仿宋" w:hAnsi="仿宋" w:eastAsia="仿宋" w:cs="仿宋"/>
          <w:sz w:val="24"/>
          <w:szCs w:val="24"/>
        </w:rPr>
      </w:pPr>
      <w:r>
        <w:rPr>
          <w:rFonts w:ascii="仿宋" w:hAnsi="仿宋" w:eastAsia="仿宋" w:cs="仿宋"/>
          <w:spacing w:val="-1"/>
          <w:sz w:val="24"/>
          <w:szCs w:val="24"/>
        </w:rPr>
        <w:t>专家问卷调查及论证会中，多位来自加拿大、泰国等国家和地区的专家明确指出，当</w:t>
      </w:r>
      <w:r>
        <w:rPr>
          <w:rFonts w:ascii="仿宋" w:hAnsi="仿宋" w:eastAsia="仿宋" w:cs="仿宋"/>
          <w:spacing w:val="-2"/>
          <w:sz w:val="24"/>
          <w:szCs w:val="24"/>
        </w:rPr>
        <w:t>地对儿童刺络拔罐等操作存在不同程度的法规限制。经专家论证，本标</w:t>
      </w:r>
      <w:r>
        <w:rPr>
          <w:rFonts w:ascii="仿宋" w:hAnsi="仿宋" w:eastAsia="仿宋" w:cs="仿宋"/>
          <w:spacing w:val="-3"/>
          <w:sz w:val="24"/>
          <w:szCs w:val="24"/>
        </w:rPr>
        <w:t>准在“</w:t>
      </w:r>
      <w:r>
        <w:rPr>
          <w:rFonts w:ascii="仿宋" w:hAnsi="仿宋" w:eastAsia="仿宋" w:cs="仿宋"/>
          <w:spacing w:val="-91"/>
          <w:sz w:val="24"/>
          <w:szCs w:val="24"/>
        </w:rPr>
        <w:t xml:space="preserve"> </w:t>
      </w:r>
      <w:r>
        <w:rPr>
          <w:rFonts w:ascii="仿宋" w:hAnsi="仿宋" w:eastAsia="仿宋" w:cs="仿宋"/>
          <w:spacing w:val="-3"/>
          <w:sz w:val="24"/>
          <w:szCs w:val="24"/>
        </w:rPr>
        <w:t>范围</w:t>
      </w:r>
      <w:r>
        <w:rPr>
          <w:rFonts w:ascii="仿宋" w:hAnsi="仿宋" w:eastAsia="仿宋" w:cs="仿宋"/>
          <w:spacing w:val="-89"/>
          <w:sz w:val="24"/>
          <w:szCs w:val="24"/>
        </w:rPr>
        <w:t xml:space="preserve"> </w:t>
      </w:r>
      <w:r>
        <w:rPr>
          <w:rFonts w:ascii="仿宋" w:hAnsi="仿宋" w:eastAsia="仿宋" w:cs="仿宋"/>
          <w:spacing w:val="-3"/>
          <w:sz w:val="24"/>
          <w:szCs w:val="24"/>
        </w:rPr>
        <w:t>”“前</w:t>
      </w:r>
      <w:r>
        <w:rPr>
          <w:rFonts w:ascii="仿宋" w:hAnsi="仿宋" w:eastAsia="仿宋" w:cs="仿宋"/>
          <w:spacing w:val="-1"/>
          <w:sz w:val="24"/>
          <w:szCs w:val="24"/>
        </w:rPr>
        <w:t>言</w:t>
      </w:r>
      <w:r>
        <w:rPr>
          <w:rFonts w:ascii="仿宋" w:hAnsi="仿宋" w:eastAsia="仿宋" w:cs="仿宋"/>
          <w:spacing w:val="-89"/>
          <w:sz w:val="24"/>
          <w:szCs w:val="24"/>
        </w:rPr>
        <w:t xml:space="preserve"> </w:t>
      </w:r>
      <w:r>
        <w:rPr>
          <w:rFonts w:ascii="仿宋" w:hAnsi="仿宋" w:eastAsia="仿宋" w:cs="仿宋"/>
          <w:spacing w:val="-1"/>
          <w:sz w:val="24"/>
          <w:szCs w:val="24"/>
        </w:rPr>
        <w:t>”等显著位置明确提出了属地法律法规优先原</w:t>
      </w:r>
      <w:r>
        <w:rPr>
          <w:rFonts w:ascii="仿宋" w:hAnsi="仿宋" w:eastAsia="仿宋" w:cs="仿宋"/>
          <w:spacing w:val="-2"/>
          <w:sz w:val="24"/>
          <w:szCs w:val="24"/>
        </w:rPr>
        <w:t>则，即标准仅提供技术操作层面的参考，</w:t>
      </w:r>
      <w:r>
        <w:rPr>
          <w:rFonts w:ascii="仿宋" w:hAnsi="仿宋" w:eastAsia="仿宋" w:cs="仿宋"/>
          <w:spacing w:val="-1"/>
          <w:sz w:val="24"/>
          <w:szCs w:val="24"/>
        </w:rPr>
        <w:t>不对具体执业资格或管理制度作统一规定，以保障国际推广和应用过程中的合法性与可行</w:t>
      </w:r>
      <w:r>
        <w:rPr>
          <w:rFonts w:ascii="仿宋" w:hAnsi="仿宋" w:eastAsia="仿宋" w:cs="仿宋"/>
          <w:spacing w:val="-9"/>
          <w:sz w:val="24"/>
          <w:szCs w:val="24"/>
        </w:rPr>
        <w:t>性。</w:t>
      </w:r>
    </w:p>
    <w:p w14:paraId="034E8A42">
      <w:pPr>
        <w:spacing w:before="1" w:line="276" w:lineRule="auto"/>
        <w:ind w:left="493"/>
        <w:rPr>
          <w:rFonts w:ascii="仿宋" w:hAnsi="仿宋" w:eastAsia="仿宋" w:cs="仿宋"/>
          <w:sz w:val="24"/>
          <w:szCs w:val="24"/>
        </w:rPr>
      </w:pPr>
      <w:r>
        <w:rPr>
          <w:rFonts w:ascii="仿宋" w:hAnsi="仿宋" w:eastAsia="仿宋" w:cs="仿宋"/>
          <w:b/>
          <w:bCs/>
          <w:spacing w:val="-2"/>
          <w:sz w:val="24"/>
          <w:szCs w:val="24"/>
        </w:rPr>
        <w:t>（二）与非强制性国家标准、国际标准及团</w:t>
      </w:r>
      <w:r>
        <w:rPr>
          <w:rFonts w:ascii="仿宋" w:hAnsi="仿宋" w:eastAsia="仿宋" w:cs="仿宋"/>
          <w:b/>
          <w:bCs/>
          <w:spacing w:val="-3"/>
          <w:sz w:val="24"/>
          <w:szCs w:val="24"/>
        </w:rPr>
        <w:t>体标准的关系及修改依据说明</w:t>
      </w:r>
    </w:p>
    <w:p w14:paraId="742ADB9D">
      <w:pPr>
        <w:spacing w:before="112" w:line="276" w:lineRule="auto"/>
        <w:ind w:left="11" w:right="23" w:firstLine="478"/>
        <w:jc w:val="both"/>
        <w:rPr>
          <w:rFonts w:ascii="仿宋" w:hAnsi="仿宋" w:eastAsia="仿宋" w:cs="仿宋"/>
          <w:sz w:val="24"/>
          <w:szCs w:val="24"/>
        </w:rPr>
      </w:pPr>
      <w:r>
        <w:rPr>
          <w:rFonts w:ascii="仿宋" w:hAnsi="仿宋" w:eastAsia="仿宋" w:cs="仿宋"/>
          <w:sz w:val="24"/>
          <w:szCs w:val="24"/>
        </w:rPr>
        <w:t>本标准以GB/Z 40893.5—2021《中医技术操作规范 儿科 第</w:t>
      </w:r>
      <w:r>
        <w:rPr>
          <w:rFonts w:ascii="仿宋" w:hAnsi="仿宋" w:eastAsia="仿宋" w:cs="仿宋"/>
          <w:spacing w:val="-46"/>
          <w:sz w:val="24"/>
          <w:szCs w:val="24"/>
        </w:rPr>
        <w:t xml:space="preserve"> </w:t>
      </w:r>
      <w:r>
        <w:rPr>
          <w:rFonts w:ascii="仿宋" w:hAnsi="仿宋" w:eastAsia="仿宋" w:cs="仿宋"/>
          <w:sz w:val="24"/>
          <w:szCs w:val="24"/>
        </w:rPr>
        <w:t>5</w:t>
      </w:r>
      <w:r>
        <w:rPr>
          <w:rFonts w:ascii="仿宋" w:hAnsi="仿宋" w:eastAsia="仿宋" w:cs="仿宋"/>
          <w:spacing w:val="-44"/>
          <w:sz w:val="24"/>
          <w:szCs w:val="24"/>
        </w:rPr>
        <w:t xml:space="preserve"> </w:t>
      </w:r>
      <w:r>
        <w:rPr>
          <w:rFonts w:ascii="仿宋" w:hAnsi="仿宋" w:eastAsia="仿宋" w:cs="仿宋"/>
          <w:sz w:val="24"/>
          <w:szCs w:val="24"/>
        </w:rPr>
        <w:t>部分：小儿拔罐</w:t>
      </w:r>
      <w:r>
        <w:rPr>
          <w:rFonts w:ascii="仿宋" w:hAnsi="仿宋" w:eastAsia="仿宋" w:cs="仿宋"/>
          <w:spacing w:val="-1"/>
          <w:sz w:val="24"/>
          <w:szCs w:val="24"/>
        </w:rPr>
        <w:t>疗法》为基础，通过专家问卷调查、专家论证和国际对标，对部分内容进行了系统优化和技术性细化。上述修改并非实质性改变技术内涵，而是在保持原标准核心框架和基本原则一致的前提下，增强其国际通用性和操作安全性。</w:t>
      </w:r>
    </w:p>
    <w:p w14:paraId="1931094B">
      <w:pPr>
        <w:spacing w:before="2" w:line="276" w:lineRule="auto"/>
        <w:ind w:left="493" w:right="0" w:firstLine="0"/>
        <w:jc w:val="left"/>
        <w:rPr>
          <w:rFonts w:ascii="仿宋" w:hAnsi="仿宋" w:eastAsia="仿宋" w:cs="仿宋"/>
          <w:sz w:val="24"/>
          <w:szCs w:val="24"/>
        </w:rPr>
      </w:pPr>
      <w:r>
        <w:rPr>
          <w:rFonts w:ascii="仿宋" w:hAnsi="仿宋" w:eastAsia="仿宋" w:cs="仿宋"/>
          <w:b/>
          <w:bCs/>
          <w:spacing w:val="-3"/>
          <w:sz w:val="24"/>
          <w:szCs w:val="24"/>
        </w:rPr>
        <w:t>（三）与疾病分类及临床诊疗指南类文件的关系</w:t>
      </w:r>
    </w:p>
    <w:p w14:paraId="4F417D31">
      <w:pPr>
        <w:spacing w:before="2" w:line="276" w:lineRule="auto"/>
        <w:ind w:left="0" w:right="0" w:firstLine="480" w:firstLineChars="200"/>
        <w:jc w:val="left"/>
        <w:rPr>
          <w:rFonts w:ascii="仿宋" w:hAnsi="仿宋" w:eastAsia="仿宋" w:cs="仿宋"/>
          <w:sz w:val="24"/>
          <w:szCs w:val="24"/>
        </w:rPr>
      </w:pPr>
      <w:r>
        <w:rPr>
          <w:rFonts w:ascii="仿宋" w:hAnsi="仿宋" w:eastAsia="仿宋" w:cs="仿宋"/>
          <w:sz w:val="24"/>
          <w:szCs w:val="24"/>
        </w:rPr>
        <w:t>WHO ICD-11、《中医儿科临床诊疗指南》等文件在本标准中并</w:t>
      </w:r>
      <w:r>
        <w:rPr>
          <w:rFonts w:ascii="仿宋" w:hAnsi="仿宋" w:eastAsia="仿宋" w:cs="仿宋"/>
          <w:spacing w:val="-1"/>
          <w:sz w:val="24"/>
          <w:szCs w:val="24"/>
        </w:rPr>
        <w:t>未直接引用。上述文件主要用于疾病分类、诊疗原则及治疗策略的指导，不直接规范中医儿科拔罐疗法的具体操</w:t>
      </w:r>
      <w:r>
        <w:rPr>
          <w:rFonts w:ascii="仿宋" w:hAnsi="仿宋" w:eastAsia="仿宋" w:cs="仿宋"/>
          <w:spacing w:val="-5"/>
          <w:sz w:val="24"/>
          <w:szCs w:val="24"/>
        </w:rPr>
        <w:t>作技术。</w:t>
      </w:r>
    </w:p>
    <w:p w14:paraId="10E4BFBF">
      <w:pPr>
        <w:spacing w:line="276" w:lineRule="auto"/>
        <w:ind w:left="493"/>
        <w:rPr>
          <w:rFonts w:ascii="仿宋" w:hAnsi="仿宋" w:eastAsia="仿宋" w:cs="仿宋"/>
          <w:sz w:val="24"/>
          <w:szCs w:val="24"/>
        </w:rPr>
      </w:pPr>
      <w:r>
        <w:rPr>
          <w:rFonts w:ascii="仿宋" w:hAnsi="仿宋" w:eastAsia="仿宋" w:cs="仿宋"/>
          <w:b/>
          <w:bCs/>
          <w:spacing w:val="-4"/>
          <w:sz w:val="24"/>
          <w:szCs w:val="24"/>
        </w:rPr>
        <w:t>（四）标准适用原则与协调说明</w:t>
      </w:r>
    </w:p>
    <w:p w14:paraId="77736D0C">
      <w:pPr>
        <w:spacing w:before="102" w:line="276" w:lineRule="auto"/>
        <w:ind w:left="34" w:right="99" w:hanging="11"/>
        <w:rPr>
          <w:rFonts w:ascii="仿宋" w:hAnsi="仿宋" w:eastAsia="仿宋" w:cs="仿宋"/>
          <w:sz w:val="24"/>
          <w:szCs w:val="24"/>
        </w:rPr>
      </w:pPr>
      <w:r>
        <w:rPr>
          <w:rFonts w:ascii="仿宋" w:hAnsi="仿宋" w:eastAsia="仿宋" w:cs="仿宋"/>
          <w:spacing w:val="-1"/>
          <w:sz w:val="24"/>
          <w:szCs w:val="24"/>
        </w:rPr>
        <w:t>本标准定位为中医儿科拔罐疗法操作规范，不涉及疾病诊断、疗效评价或具体处方用药选择。在标准实施过程中，应遵循法律法规优先、强制性标准优先、属地管理优先的原则。在符合上述前提条件下，本标准可作为中医儿科临床实践、教学、科研及国际交流中</w:t>
      </w:r>
      <w:r>
        <w:rPr>
          <w:rFonts w:ascii="仿宋" w:hAnsi="仿宋" w:eastAsia="仿宋" w:cs="仿宋"/>
          <w:spacing w:val="-4"/>
          <w:sz w:val="24"/>
          <w:szCs w:val="24"/>
        </w:rPr>
        <w:t>的技术参考文件。</w:t>
      </w:r>
    </w:p>
    <w:p w14:paraId="7E4685E7">
      <w:pPr>
        <w:spacing w:before="0" w:beforeLines="100" w:afterLines="100" w:line="276" w:lineRule="auto"/>
        <w:ind w:left="476"/>
        <w:outlineLvl w:val="0"/>
        <w:rPr>
          <w:rFonts w:ascii="黑体" w:hAnsi="黑体" w:eastAsia="黑体" w:cs="黑体"/>
          <w:b/>
          <w:bCs/>
          <w:spacing w:val="-4"/>
          <w:sz w:val="24"/>
          <w:szCs w:val="24"/>
        </w:rPr>
      </w:pPr>
      <w:bookmarkStart w:id="3" w:name="bookmark4"/>
      <w:bookmarkEnd w:id="3"/>
      <w:r>
        <w:rPr>
          <w:rFonts w:ascii="黑体" w:hAnsi="黑体" w:eastAsia="黑体" w:cs="黑体"/>
          <w:b/>
          <w:bCs/>
          <w:spacing w:val="-4"/>
          <w:sz w:val="24"/>
          <w:szCs w:val="24"/>
        </w:rPr>
        <w:t>四、重大分析意见的处理经过和依据</w:t>
      </w:r>
    </w:p>
    <w:p w14:paraId="5913AFD7">
      <w:pPr>
        <w:spacing w:before="110" w:line="276" w:lineRule="auto"/>
        <w:ind w:left="19" w:right="99" w:firstLine="482"/>
        <w:jc w:val="both"/>
        <w:rPr>
          <w:rFonts w:ascii="仿宋" w:hAnsi="仿宋" w:eastAsia="仿宋" w:cs="仿宋"/>
          <w:sz w:val="24"/>
          <w:szCs w:val="24"/>
        </w:rPr>
      </w:pPr>
      <w:r>
        <w:rPr>
          <w:rFonts w:ascii="仿宋" w:hAnsi="仿宋" w:eastAsia="仿宋" w:cs="仿宋"/>
          <w:spacing w:val="-1"/>
          <w:sz w:val="24"/>
          <w:szCs w:val="24"/>
        </w:rPr>
        <w:t>在《国际中医技术操作规范 儿科 第</w:t>
      </w:r>
      <w:r>
        <w:rPr>
          <w:rFonts w:ascii="仿宋" w:hAnsi="仿宋" w:eastAsia="仿宋" w:cs="仿宋"/>
          <w:spacing w:val="-47"/>
          <w:sz w:val="24"/>
          <w:szCs w:val="24"/>
        </w:rPr>
        <w:t xml:space="preserve"> </w:t>
      </w:r>
      <w:r>
        <w:rPr>
          <w:rFonts w:ascii="仿宋" w:hAnsi="仿宋" w:eastAsia="仿宋" w:cs="仿宋"/>
          <w:spacing w:val="-1"/>
          <w:sz w:val="24"/>
          <w:szCs w:val="24"/>
        </w:rPr>
        <w:t>5</w:t>
      </w:r>
      <w:r>
        <w:rPr>
          <w:rFonts w:ascii="仿宋" w:hAnsi="仿宋" w:eastAsia="仿宋" w:cs="仿宋"/>
          <w:spacing w:val="-43"/>
          <w:sz w:val="24"/>
          <w:szCs w:val="24"/>
        </w:rPr>
        <w:t xml:space="preserve"> </w:t>
      </w:r>
      <w:r>
        <w:rPr>
          <w:rFonts w:ascii="仿宋" w:hAnsi="仿宋" w:eastAsia="仿宋" w:cs="仿宋"/>
          <w:spacing w:val="-1"/>
          <w:sz w:val="24"/>
          <w:szCs w:val="24"/>
        </w:rPr>
        <w:t>部分</w:t>
      </w:r>
      <w:r>
        <w:rPr>
          <w:rFonts w:ascii="仿宋" w:hAnsi="仿宋" w:eastAsia="仿宋" w:cs="仿宋"/>
          <w:spacing w:val="-2"/>
          <w:sz w:val="24"/>
          <w:szCs w:val="24"/>
        </w:rPr>
        <w:t>：小儿拔罐疗法》由国家标准向国际组织</w:t>
      </w:r>
      <w:r>
        <w:rPr>
          <w:rFonts w:ascii="仿宋" w:hAnsi="仿宋" w:eastAsia="仿宋" w:cs="仿宋"/>
          <w:spacing w:val="-1"/>
          <w:sz w:val="24"/>
          <w:szCs w:val="24"/>
        </w:rPr>
        <w:t>标准转化过程中，项目工作组围绕标准的技术内容、适用范围及安全性等关键问题，依次开展了专家问卷调查、专家论证会论证及专家指导组审核等工作，对专家提出的重大意见进行系统梳理、集中分析和规范处理，形成了本标准的最终文本。现将相关意见的处理经</w:t>
      </w:r>
      <w:r>
        <w:rPr>
          <w:rFonts w:ascii="仿宋" w:hAnsi="仿宋" w:eastAsia="仿宋" w:cs="仿宋"/>
          <w:spacing w:val="-2"/>
          <w:sz w:val="24"/>
          <w:szCs w:val="24"/>
        </w:rPr>
        <w:t>过和依据说明如下。</w:t>
      </w:r>
    </w:p>
    <w:p w14:paraId="1D29F525">
      <w:pPr>
        <w:spacing w:line="276" w:lineRule="auto"/>
        <w:ind w:left="505"/>
        <w:rPr>
          <w:rFonts w:ascii="仿宋" w:hAnsi="仿宋" w:eastAsia="仿宋" w:cs="仿宋"/>
          <w:sz w:val="24"/>
          <w:szCs w:val="24"/>
        </w:rPr>
      </w:pPr>
      <w:r>
        <w:rPr>
          <w:rFonts w:ascii="仿宋" w:hAnsi="仿宋" w:eastAsia="仿宋" w:cs="仿宋"/>
          <w:b/>
          <w:bCs/>
          <w:spacing w:val="-3"/>
          <w:sz w:val="24"/>
          <w:szCs w:val="24"/>
        </w:rPr>
        <w:t>（一）专家问卷调查意见的汇总与处理</w:t>
      </w:r>
    </w:p>
    <w:p w14:paraId="5958A04E">
      <w:pPr>
        <w:spacing w:before="109" w:line="276" w:lineRule="auto"/>
        <w:ind w:left="19" w:right="99" w:firstLine="482"/>
        <w:jc w:val="both"/>
        <w:rPr>
          <w:rFonts w:ascii="仿宋" w:hAnsi="仿宋" w:eastAsia="仿宋" w:cs="仿宋"/>
          <w:sz w:val="24"/>
          <w:szCs w:val="24"/>
        </w:rPr>
      </w:pPr>
      <w:r>
        <w:rPr>
          <w:rFonts w:ascii="仿宋" w:hAnsi="仿宋" w:eastAsia="仿宋" w:cs="仿宋"/>
          <w:spacing w:val="-1"/>
          <w:sz w:val="24"/>
          <w:szCs w:val="24"/>
        </w:rPr>
        <w:t>在文献研究和原国家标准的基础上，项目工作组组织开展了专家问卷调查，广泛征求</w:t>
      </w:r>
      <w:r>
        <w:rPr>
          <w:rFonts w:hint="eastAsia" w:ascii="仿宋" w:hAnsi="仿宋" w:eastAsia="仿宋" w:cs="仿宋"/>
          <w:spacing w:val="-6"/>
          <w:sz w:val="24"/>
          <w:szCs w:val="24"/>
          <w:lang w:eastAsia="zh-CN"/>
        </w:rPr>
        <w:t>海内外</w:t>
      </w:r>
      <w:r>
        <w:rPr>
          <w:rFonts w:ascii="仿宋" w:hAnsi="仿宋" w:eastAsia="仿宋" w:cs="仿宋"/>
          <w:spacing w:val="-6"/>
          <w:sz w:val="24"/>
          <w:szCs w:val="24"/>
        </w:rPr>
        <w:t>中医儿科及相关领域专家对《国际中医技术操作规范</w:t>
      </w:r>
      <w:r>
        <w:rPr>
          <w:rFonts w:ascii="仿宋" w:hAnsi="仿宋" w:eastAsia="仿宋" w:cs="仿宋"/>
          <w:spacing w:val="-21"/>
          <w:sz w:val="24"/>
          <w:szCs w:val="24"/>
        </w:rPr>
        <w:t xml:space="preserve"> </w:t>
      </w:r>
      <w:r>
        <w:rPr>
          <w:rFonts w:ascii="仿宋" w:hAnsi="仿宋" w:eastAsia="仿宋" w:cs="仿宋"/>
          <w:spacing w:val="-6"/>
          <w:sz w:val="24"/>
          <w:szCs w:val="24"/>
        </w:rPr>
        <w:t>·</w:t>
      </w:r>
      <w:r>
        <w:rPr>
          <w:rFonts w:ascii="仿宋" w:hAnsi="仿宋" w:eastAsia="仿宋" w:cs="仿宋"/>
          <w:spacing w:val="-102"/>
          <w:sz w:val="24"/>
          <w:szCs w:val="24"/>
        </w:rPr>
        <w:t xml:space="preserve"> </w:t>
      </w:r>
      <w:r>
        <w:rPr>
          <w:rFonts w:ascii="仿宋" w:hAnsi="仿宋" w:eastAsia="仿宋" w:cs="仿宋"/>
          <w:spacing w:val="-6"/>
          <w:sz w:val="24"/>
          <w:szCs w:val="24"/>
        </w:rPr>
        <w:t>儿科</w:t>
      </w:r>
      <w:r>
        <w:rPr>
          <w:rFonts w:ascii="仿宋" w:hAnsi="仿宋" w:eastAsia="仿宋" w:cs="仿宋"/>
          <w:spacing w:val="-27"/>
          <w:sz w:val="24"/>
          <w:szCs w:val="24"/>
        </w:rPr>
        <w:t xml:space="preserve"> </w:t>
      </w:r>
      <w:r>
        <w:rPr>
          <w:rFonts w:ascii="仿宋" w:hAnsi="仿宋" w:eastAsia="仿宋" w:cs="仿宋"/>
          <w:spacing w:val="-6"/>
          <w:sz w:val="24"/>
          <w:szCs w:val="24"/>
        </w:rPr>
        <w:t>·小儿拔罐疗法》条文</w:t>
      </w:r>
      <w:r>
        <w:rPr>
          <w:rFonts w:ascii="仿宋" w:hAnsi="仿宋" w:eastAsia="仿宋" w:cs="仿宋"/>
          <w:spacing w:val="-1"/>
          <w:sz w:val="24"/>
          <w:szCs w:val="24"/>
        </w:rPr>
        <w:t>内容的意见。问卷围绕术语定义、技术操作步骤、注意事项与禁忌、安全性要求及标准结构设置等方面设置条目，并辅以开放性问题，用于收集专家意见。</w:t>
      </w:r>
    </w:p>
    <w:p w14:paraId="09F226AE">
      <w:pPr>
        <w:spacing w:before="3" w:line="276" w:lineRule="auto"/>
        <w:ind w:left="22" w:right="99" w:firstLine="479"/>
        <w:jc w:val="both"/>
        <w:rPr>
          <w:rFonts w:ascii="仿宋" w:hAnsi="仿宋" w:eastAsia="仿宋" w:cs="仿宋"/>
          <w:sz w:val="24"/>
          <w:szCs w:val="24"/>
        </w:rPr>
      </w:pPr>
      <w:r>
        <w:rPr>
          <w:rFonts w:ascii="仿宋" w:hAnsi="仿宋" w:eastAsia="仿宋" w:cs="仿宋"/>
          <w:spacing w:val="-4"/>
          <w:sz w:val="24"/>
          <w:szCs w:val="24"/>
        </w:rPr>
        <w:t>本次问卷共发放</w:t>
      </w:r>
      <w:r>
        <w:rPr>
          <w:rFonts w:ascii="仿宋" w:hAnsi="仿宋" w:eastAsia="仿宋" w:cs="仿宋"/>
          <w:spacing w:val="-47"/>
          <w:sz w:val="24"/>
          <w:szCs w:val="24"/>
        </w:rPr>
        <w:t xml:space="preserve"> </w:t>
      </w:r>
      <w:r>
        <w:rPr>
          <w:rFonts w:ascii="仿宋" w:hAnsi="仿宋" w:eastAsia="仿宋" w:cs="仿宋"/>
          <w:spacing w:val="-4"/>
          <w:sz w:val="24"/>
          <w:szCs w:val="24"/>
        </w:rPr>
        <w:t>30</w:t>
      </w:r>
      <w:r>
        <w:rPr>
          <w:rFonts w:ascii="仿宋" w:hAnsi="仿宋" w:eastAsia="仿宋" w:cs="仿宋"/>
          <w:spacing w:val="-44"/>
          <w:sz w:val="24"/>
          <w:szCs w:val="24"/>
        </w:rPr>
        <w:t xml:space="preserve"> </w:t>
      </w:r>
      <w:r>
        <w:rPr>
          <w:rFonts w:ascii="仿宋" w:hAnsi="仿宋" w:eastAsia="仿宋" w:cs="仿宋"/>
          <w:spacing w:val="-4"/>
          <w:sz w:val="24"/>
          <w:szCs w:val="24"/>
        </w:rPr>
        <w:t>份，回收有效答卷</w:t>
      </w:r>
      <w:r>
        <w:rPr>
          <w:rFonts w:ascii="仿宋" w:hAnsi="仿宋" w:eastAsia="仿宋" w:cs="仿宋"/>
          <w:spacing w:val="-47"/>
          <w:sz w:val="24"/>
          <w:szCs w:val="24"/>
        </w:rPr>
        <w:t xml:space="preserve"> </w:t>
      </w:r>
      <w:r>
        <w:rPr>
          <w:rFonts w:ascii="仿宋" w:hAnsi="仿宋" w:eastAsia="仿宋" w:cs="仿宋"/>
          <w:spacing w:val="-4"/>
          <w:sz w:val="24"/>
          <w:szCs w:val="24"/>
        </w:rPr>
        <w:t>30</w:t>
      </w:r>
      <w:r>
        <w:rPr>
          <w:rFonts w:ascii="仿宋" w:hAnsi="仿宋" w:eastAsia="仿宋" w:cs="仿宋"/>
          <w:spacing w:val="-44"/>
          <w:sz w:val="24"/>
          <w:szCs w:val="24"/>
        </w:rPr>
        <w:t xml:space="preserve"> </w:t>
      </w:r>
      <w:r>
        <w:rPr>
          <w:rFonts w:ascii="仿宋" w:hAnsi="仿宋" w:eastAsia="仿宋" w:cs="仿宋"/>
          <w:spacing w:val="-4"/>
          <w:sz w:val="24"/>
          <w:szCs w:val="24"/>
        </w:rPr>
        <w:t>份，专家积极系数为</w:t>
      </w:r>
      <w:r>
        <w:rPr>
          <w:rFonts w:ascii="仿宋" w:hAnsi="仿宋" w:eastAsia="仿宋" w:cs="仿宋"/>
          <w:spacing w:val="-34"/>
          <w:sz w:val="24"/>
          <w:szCs w:val="24"/>
        </w:rPr>
        <w:t xml:space="preserve"> </w:t>
      </w:r>
      <w:r>
        <w:rPr>
          <w:rFonts w:ascii="仿宋" w:hAnsi="仿宋" w:eastAsia="仿宋" w:cs="仿宋"/>
          <w:spacing w:val="-4"/>
          <w:sz w:val="24"/>
          <w:szCs w:val="24"/>
        </w:rPr>
        <w:t>10</w:t>
      </w:r>
      <w:r>
        <w:rPr>
          <w:rFonts w:ascii="仿宋" w:hAnsi="仿宋" w:eastAsia="仿宋" w:cs="仿宋"/>
          <w:spacing w:val="-5"/>
          <w:sz w:val="24"/>
          <w:szCs w:val="24"/>
        </w:rPr>
        <w:t>0%。参与专家来自中</w:t>
      </w:r>
      <w:r>
        <w:rPr>
          <w:rFonts w:ascii="仿宋" w:hAnsi="仿宋" w:eastAsia="仿宋" w:cs="仿宋"/>
          <w:spacing w:val="-1"/>
          <w:sz w:val="24"/>
          <w:szCs w:val="24"/>
        </w:rPr>
        <w:t>国、加拿大、新加坡、马来西亚、泰国、越南等多个国家和地区，具有较高的权威性和国际代表性。根据既定统计与处理原则，对专家意见进行了系统分析和分类处理，具体情况</w:t>
      </w:r>
      <w:r>
        <w:rPr>
          <w:rFonts w:ascii="仿宋" w:hAnsi="仿宋" w:eastAsia="仿宋" w:cs="仿宋"/>
          <w:spacing w:val="-6"/>
          <w:sz w:val="24"/>
          <w:szCs w:val="24"/>
        </w:rPr>
        <w:t>如下。</w:t>
      </w:r>
    </w:p>
    <w:p w14:paraId="0BF28CA4">
      <w:pPr>
        <w:spacing w:before="1" w:line="276" w:lineRule="auto"/>
        <w:ind w:left="510"/>
        <w:rPr>
          <w:rFonts w:ascii="仿宋" w:hAnsi="仿宋" w:eastAsia="仿宋" w:cs="仿宋"/>
          <w:sz w:val="24"/>
          <w:szCs w:val="24"/>
        </w:rPr>
      </w:pPr>
      <w:r>
        <w:rPr>
          <w:rFonts w:ascii="仿宋" w:hAnsi="仿宋" w:eastAsia="仿宋" w:cs="仿宋"/>
          <w:b/>
          <w:bCs/>
          <w:spacing w:val="-7"/>
          <w:sz w:val="24"/>
          <w:szCs w:val="24"/>
        </w:rPr>
        <w:t>1</w:t>
      </w:r>
      <w:r>
        <w:rPr>
          <w:rFonts w:ascii="仿宋" w:hAnsi="仿宋" w:eastAsia="仿宋" w:cs="仿宋"/>
          <w:spacing w:val="56"/>
          <w:sz w:val="24"/>
          <w:szCs w:val="24"/>
        </w:rPr>
        <w:t xml:space="preserve"> </w:t>
      </w:r>
      <w:r>
        <w:rPr>
          <w:rFonts w:ascii="仿宋" w:hAnsi="仿宋" w:eastAsia="仿宋" w:cs="仿宋"/>
          <w:b/>
          <w:bCs/>
          <w:spacing w:val="-7"/>
          <w:sz w:val="24"/>
          <w:szCs w:val="24"/>
        </w:rPr>
        <w:t>已形成较高共识的意见及处理情况</w:t>
      </w:r>
    </w:p>
    <w:p w14:paraId="569A669F">
      <w:pPr>
        <w:spacing w:before="114" w:line="276" w:lineRule="auto"/>
        <w:ind w:left="26" w:right="16" w:firstLine="474"/>
        <w:rPr>
          <w:rFonts w:ascii="仿宋" w:hAnsi="仿宋" w:eastAsia="仿宋" w:cs="仿宋"/>
          <w:sz w:val="24"/>
          <w:szCs w:val="24"/>
        </w:rPr>
      </w:pPr>
      <w:r>
        <w:rPr>
          <w:rFonts w:ascii="仿宋" w:hAnsi="仿宋" w:eastAsia="仿宋" w:cs="仿宋"/>
          <w:spacing w:val="3"/>
          <w:sz w:val="24"/>
          <w:szCs w:val="24"/>
        </w:rPr>
        <w:t>根据统计方法，凡某一选项获得超过50%专家支持（等级和大于答卷总数一半）的，</w:t>
      </w:r>
      <w:r>
        <w:rPr>
          <w:rFonts w:ascii="仿宋" w:hAnsi="仿宋" w:eastAsia="仿宋" w:cs="仿宋"/>
          <w:spacing w:val="-5"/>
          <w:sz w:val="24"/>
          <w:szCs w:val="24"/>
        </w:rPr>
        <w:t>列为专家共识意见，项目工作组原则上予以采纳，并据此对标准条文进行相应修改或完善。</w:t>
      </w:r>
    </w:p>
    <w:p w14:paraId="61E09E7D">
      <w:pPr>
        <w:spacing w:line="276" w:lineRule="auto"/>
        <w:ind w:left="503"/>
        <w:rPr>
          <w:rFonts w:ascii="仿宋" w:hAnsi="仿宋" w:eastAsia="仿宋" w:cs="仿宋"/>
          <w:sz w:val="24"/>
          <w:szCs w:val="24"/>
        </w:rPr>
      </w:pPr>
      <w:r>
        <w:rPr>
          <w:rFonts w:ascii="仿宋" w:hAnsi="仿宋" w:eastAsia="仿宋" w:cs="仿宋"/>
          <w:spacing w:val="-1"/>
          <w:sz w:val="24"/>
          <w:szCs w:val="24"/>
        </w:rPr>
        <w:t>专家达成较高一致性的意见主要集中在以下几个方面：</w:t>
      </w:r>
    </w:p>
    <w:p w14:paraId="57ED27FB">
      <w:pPr>
        <w:spacing w:before="117" w:line="276" w:lineRule="auto"/>
        <w:ind w:left="21" w:right="128" w:firstLine="480"/>
        <w:rPr>
          <w:rFonts w:ascii="仿宋" w:hAnsi="仿宋" w:eastAsia="仿宋" w:cs="仿宋"/>
          <w:sz w:val="24"/>
          <w:szCs w:val="24"/>
        </w:rPr>
      </w:pPr>
      <w:r>
        <w:rPr>
          <w:rFonts w:ascii="仿宋" w:hAnsi="仿宋" w:eastAsia="仿宋" w:cs="仿宋"/>
          <w:spacing w:val="-1"/>
          <w:sz w:val="24"/>
          <w:szCs w:val="24"/>
        </w:rPr>
        <w:t>术语定义、某些操作步骤、新增或修改条目</w:t>
      </w:r>
      <w:r>
        <w:rPr>
          <w:rFonts w:ascii="仿宋" w:hAnsi="仿宋" w:eastAsia="仿宋" w:cs="仿宋"/>
          <w:spacing w:val="-2"/>
          <w:sz w:val="24"/>
          <w:szCs w:val="24"/>
        </w:rPr>
        <w:t>，这表明专家对上述内容已有较强共识。</w:t>
      </w:r>
      <w:r>
        <w:rPr>
          <w:rFonts w:ascii="仿宋" w:hAnsi="仿宋" w:eastAsia="仿宋" w:cs="仿宋"/>
          <w:spacing w:val="-1"/>
          <w:sz w:val="24"/>
          <w:szCs w:val="24"/>
        </w:rPr>
        <w:t>根据最高支持选项对原条目进行修改，另外针对部分条目进行专家意见汇总。</w:t>
      </w:r>
    </w:p>
    <w:p w14:paraId="5B6FD253">
      <w:pPr>
        <w:spacing w:before="6" w:line="276" w:lineRule="auto"/>
        <w:ind w:firstLine="508"/>
        <w:jc w:val="both"/>
        <w:rPr>
          <w:rFonts w:ascii="仿宋" w:hAnsi="仿宋" w:eastAsia="仿宋" w:cs="仿宋"/>
          <w:sz w:val="24"/>
          <w:szCs w:val="24"/>
        </w:rPr>
      </w:pPr>
      <w:r>
        <w:rPr>
          <w:rFonts w:ascii="仿宋" w:hAnsi="仿宋" w:eastAsia="仿宋" w:cs="仿宋"/>
          <w:spacing w:val="2"/>
          <w:sz w:val="24"/>
          <w:szCs w:val="24"/>
        </w:rPr>
        <w:t>汇总专家意见如下</w:t>
      </w:r>
      <w:r>
        <w:rPr>
          <w:rFonts w:ascii="仿宋" w:hAnsi="仿宋" w:eastAsia="仿宋" w:cs="仿宋"/>
          <w:spacing w:val="-9"/>
          <w:sz w:val="24"/>
          <w:szCs w:val="24"/>
        </w:rPr>
        <w:t>：（</w:t>
      </w:r>
      <w:r>
        <w:rPr>
          <w:rFonts w:ascii="仿宋" w:hAnsi="仿宋" w:eastAsia="仿宋" w:cs="仿宋"/>
          <w:spacing w:val="2"/>
          <w:sz w:val="24"/>
          <w:szCs w:val="24"/>
        </w:rPr>
        <w:t>1）针对罐具型号的选择，有专家建议注明“玻璃罐具</w:t>
      </w:r>
      <w:r>
        <w:rPr>
          <w:rFonts w:ascii="仿宋" w:hAnsi="仿宋" w:eastAsia="仿宋" w:cs="仿宋"/>
          <w:spacing w:val="-85"/>
          <w:sz w:val="24"/>
          <w:szCs w:val="24"/>
        </w:rPr>
        <w:t xml:space="preserve"> </w:t>
      </w:r>
      <w:r>
        <w:rPr>
          <w:rFonts w:ascii="仿宋" w:hAnsi="仿宋" w:eastAsia="仿宋" w:cs="仿宋"/>
          <w:spacing w:val="2"/>
          <w:sz w:val="24"/>
          <w:szCs w:val="24"/>
        </w:rPr>
        <w:t>”因其</w:t>
      </w:r>
      <w:r>
        <w:rPr>
          <w:rFonts w:ascii="仿宋" w:hAnsi="仿宋" w:eastAsia="仿宋" w:cs="仿宋"/>
          <w:spacing w:val="-8"/>
          <w:sz w:val="24"/>
          <w:szCs w:val="24"/>
        </w:rPr>
        <w:t>他罐具未有标准型号；一位建议用“内径大小标注</w:t>
      </w:r>
      <w:r>
        <w:rPr>
          <w:rFonts w:ascii="仿宋" w:hAnsi="仿宋" w:eastAsia="仿宋" w:cs="仿宋"/>
          <w:spacing w:val="-22"/>
          <w:sz w:val="24"/>
          <w:szCs w:val="24"/>
        </w:rPr>
        <w:t xml:space="preserve"> </w:t>
      </w:r>
      <w:r>
        <w:rPr>
          <w:rFonts w:ascii="仿宋" w:hAnsi="仿宋" w:eastAsia="仿宋" w:cs="仿宋"/>
          <w:spacing w:val="-8"/>
          <w:sz w:val="24"/>
          <w:szCs w:val="24"/>
        </w:rPr>
        <w:t>1-5</w:t>
      </w:r>
      <w:r>
        <w:rPr>
          <w:rFonts w:ascii="仿宋" w:hAnsi="仿宋" w:eastAsia="仿宋" w:cs="仿宋"/>
          <w:spacing w:val="-38"/>
          <w:sz w:val="24"/>
          <w:szCs w:val="24"/>
        </w:rPr>
        <w:t xml:space="preserve"> </w:t>
      </w:r>
      <w:r>
        <w:rPr>
          <w:rFonts w:ascii="仿宋" w:hAnsi="仿宋" w:eastAsia="仿宋" w:cs="仿宋"/>
          <w:spacing w:val="-8"/>
          <w:sz w:val="24"/>
          <w:szCs w:val="24"/>
        </w:rPr>
        <w:t>号罐。2</w:t>
      </w:r>
      <w:r>
        <w:rPr>
          <w:rFonts w:ascii="仿宋" w:hAnsi="仿宋" w:eastAsia="仿宋" w:cs="仿宋"/>
          <w:spacing w:val="-39"/>
          <w:sz w:val="24"/>
          <w:szCs w:val="24"/>
        </w:rPr>
        <w:t xml:space="preserve"> </w:t>
      </w:r>
      <w:r>
        <w:rPr>
          <w:rFonts w:ascii="仿宋" w:hAnsi="仿宋" w:eastAsia="仿宋" w:cs="仿宋"/>
          <w:spacing w:val="-8"/>
          <w:sz w:val="24"/>
          <w:szCs w:val="24"/>
        </w:rPr>
        <w:t>号罐内径4cm，3</w:t>
      </w:r>
      <w:r>
        <w:rPr>
          <w:rFonts w:ascii="仿宋" w:hAnsi="仿宋" w:eastAsia="仿宋" w:cs="仿宋"/>
          <w:spacing w:val="-38"/>
          <w:sz w:val="24"/>
          <w:szCs w:val="24"/>
        </w:rPr>
        <w:t xml:space="preserve"> </w:t>
      </w:r>
      <w:r>
        <w:rPr>
          <w:rFonts w:ascii="仿宋" w:hAnsi="仿宋" w:eastAsia="仿宋" w:cs="仿宋"/>
          <w:spacing w:val="-8"/>
          <w:sz w:val="24"/>
          <w:szCs w:val="24"/>
        </w:rPr>
        <w:t>号罐4.5cm，</w:t>
      </w:r>
      <w:r>
        <w:rPr>
          <w:rFonts w:ascii="仿宋" w:hAnsi="仿宋" w:eastAsia="仿宋" w:cs="仿宋"/>
          <w:sz w:val="24"/>
          <w:szCs w:val="24"/>
        </w:rPr>
        <w:t xml:space="preserve"> </w:t>
      </w:r>
      <w:r>
        <w:rPr>
          <w:rFonts w:ascii="仿宋" w:hAnsi="仿宋" w:eastAsia="仿宋" w:cs="仿宋"/>
          <w:spacing w:val="-8"/>
          <w:sz w:val="24"/>
          <w:szCs w:val="24"/>
        </w:rPr>
        <w:t>4</w:t>
      </w:r>
      <w:r>
        <w:rPr>
          <w:rFonts w:ascii="仿宋" w:hAnsi="仿宋" w:eastAsia="仿宋" w:cs="仿宋"/>
          <w:spacing w:val="-25"/>
          <w:sz w:val="24"/>
          <w:szCs w:val="24"/>
        </w:rPr>
        <w:t xml:space="preserve"> </w:t>
      </w:r>
      <w:r>
        <w:rPr>
          <w:rFonts w:ascii="仿宋" w:hAnsi="仿宋" w:eastAsia="仿宋" w:cs="仿宋"/>
          <w:spacing w:val="-8"/>
          <w:sz w:val="24"/>
          <w:szCs w:val="24"/>
        </w:rPr>
        <w:t>号罐内径</w:t>
      </w:r>
      <w:r>
        <w:rPr>
          <w:rFonts w:ascii="仿宋" w:hAnsi="仿宋" w:eastAsia="仿宋" w:cs="仿宋"/>
          <w:spacing w:val="-47"/>
          <w:sz w:val="24"/>
          <w:szCs w:val="24"/>
        </w:rPr>
        <w:t xml:space="preserve"> </w:t>
      </w:r>
      <w:r>
        <w:rPr>
          <w:rFonts w:ascii="仿宋" w:hAnsi="仿宋" w:eastAsia="仿宋" w:cs="仿宋"/>
          <w:spacing w:val="-8"/>
          <w:sz w:val="24"/>
          <w:szCs w:val="24"/>
        </w:rPr>
        <w:t>5cm。学龄前以</w:t>
      </w:r>
      <w:r>
        <w:rPr>
          <w:rFonts w:ascii="仿宋" w:hAnsi="仿宋" w:eastAsia="仿宋" w:cs="仿宋"/>
          <w:spacing w:val="-48"/>
          <w:sz w:val="24"/>
          <w:szCs w:val="24"/>
        </w:rPr>
        <w:t xml:space="preserve"> </w:t>
      </w:r>
      <w:r>
        <w:rPr>
          <w:rFonts w:ascii="仿宋" w:hAnsi="仿宋" w:eastAsia="仿宋" w:cs="仿宋"/>
          <w:spacing w:val="-8"/>
          <w:sz w:val="24"/>
          <w:szCs w:val="24"/>
        </w:rPr>
        <w:t>2.3</w:t>
      </w:r>
      <w:r>
        <w:rPr>
          <w:rFonts w:ascii="仿宋" w:hAnsi="仿宋" w:eastAsia="仿宋" w:cs="仿宋"/>
          <w:spacing w:val="-39"/>
          <w:sz w:val="24"/>
          <w:szCs w:val="24"/>
        </w:rPr>
        <w:t xml:space="preserve"> </w:t>
      </w:r>
      <w:r>
        <w:rPr>
          <w:rFonts w:ascii="仿宋" w:hAnsi="仿宋" w:eastAsia="仿宋" w:cs="仿宋"/>
          <w:spacing w:val="-8"/>
          <w:sz w:val="24"/>
          <w:szCs w:val="24"/>
        </w:rPr>
        <w:t>号罐为主，12</w:t>
      </w:r>
      <w:r>
        <w:rPr>
          <w:rFonts w:ascii="仿宋" w:hAnsi="仿宋" w:eastAsia="仿宋" w:cs="仿宋"/>
          <w:spacing w:val="-40"/>
          <w:sz w:val="24"/>
          <w:szCs w:val="24"/>
        </w:rPr>
        <w:t xml:space="preserve"> </w:t>
      </w:r>
      <w:r>
        <w:rPr>
          <w:rFonts w:ascii="仿宋" w:hAnsi="仿宋" w:eastAsia="仿宋" w:cs="仿宋"/>
          <w:spacing w:val="-8"/>
          <w:sz w:val="24"/>
          <w:szCs w:val="24"/>
        </w:rPr>
        <w:t>岁之前以</w:t>
      </w:r>
      <w:r>
        <w:rPr>
          <w:rFonts w:ascii="仿宋" w:hAnsi="仿宋" w:eastAsia="仿宋" w:cs="仿宋"/>
          <w:spacing w:val="-47"/>
          <w:sz w:val="24"/>
          <w:szCs w:val="24"/>
        </w:rPr>
        <w:t xml:space="preserve"> </w:t>
      </w:r>
      <w:r>
        <w:rPr>
          <w:rFonts w:ascii="仿宋" w:hAnsi="仿宋" w:eastAsia="仿宋" w:cs="仿宋"/>
          <w:spacing w:val="-8"/>
          <w:sz w:val="24"/>
          <w:szCs w:val="24"/>
        </w:rPr>
        <w:t>3.4</w:t>
      </w:r>
      <w:r>
        <w:rPr>
          <w:rFonts w:ascii="仿宋" w:hAnsi="仿宋" w:eastAsia="仿宋" w:cs="仿宋"/>
          <w:spacing w:val="-38"/>
          <w:sz w:val="24"/>
          <w:szCs w:val="24"/>
        </w:rPr>
        <w:t xml:space="preserve"> </w:t>
      </w:r>
      <w:r>
        <w:rPr>
          <w:rFonts w:ascii="仿宋" w:hAnsi="仿宋" w:eastAsia="仿宋" w:cs="仿宋"/>
          <w:spacing w:val="-8"/>
          <w:sz w:val="24"/>
          <w:szCs w:val="24"/>
        </w:rPr>
        <w:t>号罐为主</w:t>
      </w:r>
      <w:r>
        <w:rPr>
          <w:rFonts w:ascii="仿宋" w:hAnsi="仿宋" w:eastAsia="仿宋" w:cs="仿宋"/>
          <w:spacing w:val="-88"/>
          <w:sz w:val="24"/>
          <w:szCs w:val="24"/>
        </w:rPr>
        <w:t xml:space="preserve"> </w:t>
      </w:r>
      <w:r>
        <w:rPr>
          <w:rFonts w:ascii="仿宋" w:hAnsi="仿宋" w:eastAsia="仿宋" w:cs="仿宋"/>
          <w:spacing w:val="-8"/>
          <w:sz w:val="24"/>
          <w:szCs w:val="24"/>
        </w:rPr>
        <w:t>”。两位专家建议“依</w:t>
      </w:r>
      <w:r>
        <w:rPr>
          <w:rFonts w:ascii="仿宋" w:hAnsi="仿宋" w:eastAsia="仿宋" w:cs="仿宋"/>
          <w:spacing w:val="-1"/>
          <w:sz w:val="24"/>
          <w:szCs w:val="24"/>
        </w:rPr>
        <w:t>据患儿治疗部位的肌肉丰满程度及面积大小选择罐口</w:t>
      </w:r>
      <w:r>
        <w:rPr>
          <w:rFonts w:ascii="仿宋" w:hAnsi="仿宋" w:eastAsia="仿宋" w:cs="仿宋"/>
          <w:spacing w:val="-2"/>
          <w:sz w:val="24"/>
          <w:szCs w:val="24"/>
        </w:rPr>
        <w:t>大小合适，易于吸附的罐具。</w:t>
      </w:r>
      <w:r>
        <w:rPr>
          <w:rFonts w:ascii="仿宋" w:hAnsi="仿宋" w:eastAsia="仿宋" w:cs="仿宋"/>
          <w:spacing w:val="-88"/>
          <w:sz w:val="24"/>
          <w:szCs w:val="24"/>
        </w:rPr>
        <w:t xml:space="preserve"> </w:t>
      </w:r>
      <w:r>
        <w:rPr>
          <w:rFonts w:ascii="仿宋" w:hAnsi="仿宋" w:eastAsia="仿宋" w:cs="仿宋"/>
          <w:spacing w:val="-2"/>
          <w:sz w:val="24"/>
          <w:szCs w:val="24"/>
        </w:rPr>
        <w:t>”（2）</w:t>
      </w:r>
      <w:r>
        <w:rPr>
          <w:rFonts w:ascii="仿宋" w:hAnsi="仿宋" w:eastAsia="仿宋" w:cs="仿宋"/>
          <w:spacing w:val="2"/>
          <w:sz w:val="24"/>
          <w:szCs w:val="24"/>
        </w:rPr>
        <w:t>罐具消毒，专家建议删除“有锈迹，应除锈</w:t>
      </w:r>
      <w:r>
        <w:rPr>
          <w:rFonts w:ascii="仿宋" w:hAnsi="仿宋" w:eastAsia="仿宋" w:cs="仿宋"/>
          <w:spacing w:val="-83"/>
          <w:sz w:val="24"/>
          <w:szCs w:val="24"/>
        </w:rPr>
        <w:t xml:space="preserve"> </w:t>
      </w:r>
      <w:r>
        <w:rPr>
          <w:rFonts w:ascii="仿宋" w:hAnsi="仿宋" w:eastAsia="仿宋" w:cs="仿宋"/>
          <w:spacing w:val="2"/>
          <w:sz w:val="24"/>
          <w:szCs w:val="24"/>
        </w:rPr>
        <w:t>”。有专家</w:t>
      </w:r>
      <w:r>
        <w:rPr>
          <w:rFonts w:ascii="仿宋" w:hAnsi="仿宋" w:eastAsia="仿宋" w:cs="仿宋"/>
          <w:spacing w:val="1"/>
          <w:sz w:val="24"/>
          <w:szCs w:val="24"/>
        </w:rPr>
        <w:t>建议查找更新的国家标准。（3）</w:t>
      </w:r>
      <w:r>
        <w:rPr>
          <w:rFonts w:ascii="仿宋" w:hAnsi="仿宋" w:eastAsia="仿宋" w:cs="仿宋"/>
          <w:sz w:val="24"/>
          <w:szCs w:val="24"/>
        </w:rPr>
        <w:t>拔罐部位的消毒，有专家建议“在原国家标准基础上，采用分级消毒原则，比如</w:t>
      </w:r>
      <w:r>
        <w:rPr>
          <w:rFonts w:ascii="仿宋" w:hAnsi="仿宋" w:eastAsia="仿宋" w:cs="仿宋"/>
          <w:spacing w:val="-1"/>
          <w:sz w:val="24"/>
          <w:szCs w:val="24"/>
        </w:rPr>
        <w:t>常规完整</w:t>
      </w:r>
      <w:r>
        <w:rPr>
          <w:rFonts w:ascii="仿宋" w:hAnsi="仿宋" w:eastAsia="仿宋" w:cs="仿宋"/>
          <w:sz w:val="24"/>
          <w:szCs w:val="24"/>
        </w:rPr>
        <w:t>皮肤采用</w:t>
      </w:r>
      <w:r>
        <w:rPr>
          <w:rFonts w:ascii="仿宋" w:hAnsi="仿宋" w:eastAsia="仿宋" w:cs="仿宋"/>
          <w:spacing w:val="-36"/>
          <w:sz w:val="24"/>
          <w:szCs w:val="24"/>
        </w:rPr>
        <w:t xml:space="preserve"> </w:t>
      </w:r>
      <w:r>
        <w:rPr>
          <w:rFonts w:ascii="仿宋" w:hAnsi="仿宋" w:eastAsia="仿宋" w:cs="仿宋"/>
          <w:sz w:val="24"/>
          <w:szCs w:val="24"/>
        </w:rPr>
        <w:t>75%医用酒精；破损皮肤、黏膜周围采用碘伏。</w:t>
      </w:r>
      <w:r>
        <w:rPr>
          <w:rFonts w:ascii="仿宋" w:hAnsi="仿宋" w:eastAsia="仿宋" w:cs="仿宋"/>
          <w:spacing w:val="-88"/>
          <w:sz w:val="24"/>
          <w:szCs w:val="24"/>
        </w:rPr>
        <w:t xml:space="preserve"> </w:t>
      </w:r>
      <w:r>
        <w:rPr>
          <w:rFonts w:ascii="仿宋" w:hAnsi="仿宋" w:eastAsia="仿宋" w:cs="仿宋"/>
          <w:sz w:val="24"/>
          <w:szCs w:val="24"/>
        </w:rPr>
        <w:t>”也有专家建议“拔罐的部位一</w:t>
      </w:r>
      <w:r>
        <w:rPr>
          <w:rFonts w:ascii="仿宋" w:hAnsi="仿宋" w:eastAsia="仿宋" w:cs="仿宋"/>
          <w:spacing w:val="1"/>
          <w:sz w:val="24"/>
          <w:szCs w:val="24"/>
        </w:rPr>
        <w:t>般不需要消毒。拔罐部位皮肤干燥可适当涂抹白凡士林或石蜡。应用针罐法须用</w:t>
      </w:r>
      <w:r>
        <w:rPr>
          <w:rFonts w:ascii="仿宋" w:hAnsi="仿宋" w:eastAsia="仿宋" w:cs="仿宋"/>
          <w:spacing w:val="-44"/>
          <w:sz w:val="24"/>
          <w:szCs w:val="24"/>
        </w:rPr>
        <w:t xml:space="preserve"> </w:t>
      </w:r>
      <w:r>
        <w:rPr>
          <w:rFonts w:ascii="仿宋" w:hAnsi="仿宋" w:eastAsia="仿宋" w:cs="仿宋"/>
          <w:spacing w:val="1"/>
          <w:sz w:val="24"/>
          <w:szCs w:val="24"/>
        </w:rPr>
        <w:t>75%乙醇</w:t>
      </w:r>
      <w:r>
        <w:rPr>
          <w:rFonts w:ascii="仿宋" w:hAnsi="仿宋" w:eastAsia="仿宋" w:cs="仿宋"/>
          <w:spacing w:val="-2"/>
          <w:sz w:val="24"/>
          <w:szCs w:val="24"/>
        </w:rPr>
        <w:t>或</w:t>
      </w:r>
      <w:r>
        <w:rPr>
          <w:rFonts w:ascii="仿宋" w:hAnsi="仿宋" w:eastAsia="仿宋" w:cs="仿宋"/>
          <w:spacing w:val="-49"/>
          <w:sz w:val="24"/>
          <w:szCs w:val="24"/>
        </w:rPr>
        <w:t xml:space="preserve"> </w:t>
      </w:r>
      <w:r>
        <w:rPr>
          <w:rFonts w:ascii="仿宋" w:hAnsi="仿宋" w:eastAsia="仿宋" w:cs="仿宋"/>
          <w:spacing w:val="-2"/>
          <w:sz w:val="24"/>
          <w:szCs w:val="24"/>
        </w:rPr>
        <w:t>0.5%～1%碘伏棉球在针刺部位消毒。”还有专家</w:t>
      </w:r>
      <w:r>
        <w:rPr>
          <w:rFonts w:ascii="仿宋" w:hAnsi="仿宋" w:eastAsia="仿宋" w:cs="仿宋"/>
          <w:spacing w:val="-3"/>
          <w:sz w:val="24"/>
          <w:szCs w:val="24"/>
        </w:rPr>
        <w:t>建议</w:t>
      </w:r>
      <w:r>
        <w:rPr>
          <w:rFonts w:ascii="仿宋" w:hAnsi="仿宋" w:eastAsia="仿宋" w:cs="仿宋"/>
          <w:spacing w:val="-59"/>
          <w:sz w:val="24"/>
          <w:szCs w:val="24"/>
        </w:rPr>
        <w:t xml:space="preserve"> </w:t>
      </w:r>
      <w:r>
        <w:rPr>
          <w:rFonts w:ascii="仿宋" w:hAnsi="仿宋" w:eastAsia="仿宋" w:cs="仿宋"/>
          <w:spacing w:val="-3"/>
          <w:sz w:val="24"/>
          <w:szCs w:val="24"/>
        </w:rPr>
        <w:t>A、B</w:t>
      </w:r>
      <w:r>
        <w:rPr>
          <w:rFonts w:ascii="仿宋" w:hAnsi="仿宋" w:eastAsia="仿宋" w:cs="仿宋"/>
          <w:spacing w:val="-32"/>
          <w:sz w:val="24"/>
          <w:szCs w:val="24"/>
        </w:rPr>
        <w:t xml:space="preserve"> </w:t>
      </w:r>
      <w:r>
        <w:rPr>
          <w:rFonts w:ascii="仿宋" w:hAnsi="仿宋" w:eastAsia="仿宋" w:cs="仿宋"/>
          <w:spacing w:val="-3"/>
          <w:sz w:val="24"/>
          <w:szCs w:val="24"/>
        </w:rPr>
        <w:t>两项结合。（4）关于留针拔</w:t>
      </w:r>
      <w:r>
        <w:rPr>
          <w:rFonts w:ascii="仿宋" w:hAnsi="仿宋" w:eastAsia="仿宋" w:cs="仿宋"/>
          <w:spacing w:val="1"/>
          <w:sz w:val="24"/>
          <w:szCs w:val="24"/>
        </w:rPr>
        <w:t>罐，有专家建议增加“</w:t>
      </w:r>
      <w:r>
        <w:rPr>
          <w:rFonts w:ascii="仿宋" w:hAnsi="仿宋" w:eastAsia="仿宋" w:cs="仿宋"/>
          <w:spacing w:val="-71"/>
          <w:sz w:val="24"/>
          <w:szCs w:val="24"/>
        </w:rPr>
        <w:t xml:space="preserve"> </w:t>
      </w:r>
      <w:r>
        <w:rPr>
          <w:rFonts w:ascii="仿宋" w:hAnsi="仿宋" w:eastAsia="仿宋" w:cs="仿宋"/>
          <w:spacing w:val="1"/>
          <w:sz w:val="24"/>
          <w:szCs w:val="24"/>
        </w:rPr>
        <w:t>由于小儿不易配合，一般不留针。</w:t>
      </w:r>
      <w:r>
        <w:rPr>
          <w:rFonts w:ascii="仿宋" w:hAnsi="仿宋" w:eastAsia="仿宋" w:cs="仿宋"/>
          <w:spacing w:val="-83"/>
          <w:sz w:val="24"/>
          <w:szCs w:val="24"/>
        </w:rPr>
        <w:t xml:space="preserve"> </w:t>
      </w:r>
      <w:r>
        <w:rPr>
          <w:rFonts w:ascii="仿宋" w:hAnsi="仿宋" w:eastAsia="仿宋" w:cs="仿宋"/>
          <w:spacing w:val="1"/>
          <w:sz w:val="24"/>
          <w:szCs w:val="24"/>
        </w:rPr>
        <w:t>”（5）需</w:t>
      </w:r>
      <w:r>
        <w:rPr>
          <w:rFonts w:ascii="仿宋" w:hAnsi="仿宋" w:eastAsia="仿宋" w:cs="仿宋"/>
          <w:sz w:val="24"/>
          <w:szCs w:val="24"/>
        </w:rPr>
        <w:t>增加本标准引用到的</w:t>
      </w:r>
      <w:r>
        <w:rPr>
          <w:rFonts w:ascii="仿宋" w:hAnsi="仿宋" w:eastAsia="仿宋" w:cs="仿宋"/>
          <w:spacing w:val="-2"/>
          <w:sz w:val="24"/>
          <w:szCs w:val="24"/>
        </w:rPr>
        <w:t>“规范性引用文件</w:t>
      </w:r>
      <w:r>
        <w:rPr>
          <w:rFonts w:ascii="仿宋" w:hAnsi="仿宋" w:eastAsia="仿宋" w:cs="仿宋"/>
          <w:spacing w:val="-76"/>
          <w:sz w:val="24"/>
          <w:szCs w:val="24"/>
        </w:rPr>
        <w:t xml:space="preserve"> </w:t>
      </w:r>
      <w:r>
        <w:rPr>
          <w:rFonts w:ascii="仿宋" w:hAnsi="仿宋" w:eastAsia="仿宋" w:cs="仿宋"/>
          <w:spacing w:val="-2"/>
          <w:sz w:val="24"/>
          <w:szCs w:val="24"/>
        </w:rPr>
        <w:t>”如</w:t>
      </w:r>
      <w:r>
        <w:rPr>
          <w:rFonts w:ascii="仿宋" w:hAnsi="仿宋" w:eastAsia="仿宋" w:cs="仿宋"/>
          <w:spacing w:val="-38"/>
          <w:sz w:val="24"/>
          <w:szCs w:val="24"/>
        </w:rPr>
        <w:t xml:space="preserve"> </w:t>
      </w:r>
      <w:r>
        <w:rPr>
          <w:rFonts w:ascii="仿宋" w:hAnsi="仿宋" w:eastAsia="仿宋" w:cs="仿宋"/>
          <w:spacing w:val="-2"/>
          <w:sz w:val="24"/>
          <w:szCs w:val="24"/>
        </w:rPr>
        <w:t>ISO——22213:2020(E) Traditional Chinese medicine — Glass</w:t>
      </w:r>
      <w:r>
        <w:rPr>
          <w:rFonts w:ascii="仿宋" w:hAnsi="仿宋" w:eastAsia="仿宋" w:cs="仿宋"/>
          <w:sz w:val="24"/>
          <w:szCs w:val="24"/>
        </w:rPr>
        <w:t xml:space="preserve"> </w:t>
      </w:r>
      <w:r>
        <w:rPr>
          <w:rFonts w:ascii="仿宋" w:hAnsi="仿宋" w:eastAsia="仿宋" w:cs="仿宋"/>
          <w:spacing w:val="-2"/>
          <w:sz w:val="24"/>
          <w:szCs w:val="24"/>
        </w:rPr>
        <w:t>cupping deviceYY/T 1976-2025</w:t>
      </w:r>
      <w:r>
        <w:rPr>
          <w:rFonts w:ascii="仿宋" w:hAnsi="仿宋" w:eastAsia="仿宋" w:cs="仿宋"/>
          <w:spacing w:val="62"/>
          <w:sz w:val="24"/>
          <w:szCs w:val="24"/>
        </w:rPr>
        <w:t xml:space="preserve"> </w:t>
      </w:r>
      <w:r>
        <w:rPr>
          <w:rFonts w:ascii="仿宋" w:hAnsi="仿宋" w:eastAsia="仿宋" w:cs="仿宋"/>
          <w:spacing w:val="-2"/>
          <w:sz w:val="24"/>
          <w:szCs w:val="24"/>
        </w:rPr>
        <w:t>中医器械</w:t>
      </w:r>
      <w:r>
        <w:rPr>
          <w:rFonts w:ascii="仿宋" w:hAnsi="仿宋" w:eastAsia="仿宋" w:cs="仿宋"/>
          <w:spacing w:val="17"/>
          <w:sz w:val="24"/>
          <w:szCs w:val="24"/>
        </w:rPr>
        <w:t xml:space="preserve"> </w:t>
      </w:r>
      <w:r>
        <w:rPr>
          <w:rFonts w:ascii="仿宋" w:hAnsi="仿宋" w:eastAsia="仿宋" w:cs="仿宋"/>
          <w:spacing w:val="-2"/>
          <w:sz w:val="24"/>
          <w:szCs w:val="24"/>
        </w:rPr>
        <w:t>玻璃拔罐器。</w:t>
      </w:r>
    </w:p>
    <w:p w14:paraId="4AB37045">
      <w:pPr>
        <w:spacing w:before="101" w:line="276" w:lineRule="auto"/>
        <w:ind w:left="495"/>
        <w:rPr>
          <w:rFonts w:ascii="仿宋" w:hAnsi="仿宋" w:eastAsia="仿宋" w:cs="仿宋"/>
          <w:sz w:val="24"/>
          <w:szCs w:val="24"/>
        </w:rPr>
      </w:pPr>
      <w:r>
        <w:rPr>
          <w:rFonts w:ascii="仿宋" w:hAnsi="仿宋" w:eastAsia="仿宋" w:cs="仿宋"/>
          <w:b/>
          <w:bCs/>
          <w:spacing w:val="-3"/>
          <w:sz w:val="24"/>
          <w:szCs w:val="24"/>
        </w:rPr>
        <w:t>2</w:t>
      </w:r>
      <w:r>
        <w:rPr>
          <w:rFonts w:ascii="仿宋" w:hAnsi="仿宋" w:eastAsia="仿宋" w:cs="仿宋"/>
          <w:spacing w:val="-3"/>
          <w:sz w:val="24"/>
          <w:szCs w:val="24"/>
        </w:rPr>
        <w:t xml:space="preserve"> </w:t>
      </w:r>
      <w:r>
        <w:rPr>
          <w:rFonts w:ascii="仿宋" w:hAnsi="仿宋" w:eastAsia="仿宋" w:cs="仿宋"/>
          <w:b/>
          <w:bCs/>
          <w:spacing w:val="-3"/>
          <w:sz w:val="24"/>
          <w:szCs w:val="24"/>
        </w:rPr>
        <w:t>存在分歧的意见及处理原则</w:t>
      </w:r>
    </w:p>
    <w:p w14:paraId="1A0D12BD">
      <w:pPr>
        <w:spacing w:before="112" w:line="276" w:lineRule="auto"/>
        <w:ind w:right="62" w:firstLine="501"/>
        <w:rPr>
          <w:rFonts w:ascii="仿宋" w:hAnsi="仿宋" w:eastAsia="仿宋" w:cs="仿宋"/>
          <w:sz w:val="24"/>
          <w:szCs w:val="24"/>
        </w:rPr>
      </w:pPr>
      <w:r>
        <w:rPr>
          <w:rFonts w:ascii="仿宋" w:hAnsi="仿宋" w:eastAsia="仿宋" w:cs="仿宋"/>
          <w:spacing w:val="-1"/>
          <w:sz w:val="24"/>
          <w:szCs w:val="24"/>
        </w:rPr>
        <w:t>根据统计结果处理方案，有</w:t>
      </w:r>
      <w:r>
        <w:rPr>
          <w:rFonts w:ascii="仿宋" w:hAnsi="仿宋" w:eastAsia="仿宋" w:cs="仿宋"/>
          <w:spacing w:val="-48"/>
          <w:sz w:val="24"/>
          <w:szCs w:val="24"/>
        </w:rPr>
        <w:t xml:space="preserve"> </w:t>
      </w:r>
      <w:r>
        <w:rPr>
          <w:rFonts w:ascii="仿宋" w:hAnsi="仿宋" w:eastAsia="仿宋" w:cs="仿宋"/>
          <w:spacing w:val="-1"/>
          <w:sz w:val="24"/>
          <w:szCs w:val="24"/>
        </w:rPr>
        <w:t>2</w:t>
      </w:r>
      <w:r>
        <w:rPr>
          <w:rFonts w:ascii="仿宋" w:hAnsi="仿宋" w:eastAsia="仿宋" w:cs="仿宋"/>
          <w:spacing w:val="-39"/>
          <w:sz w:val="24"/>
          <w:szCs w:val="24"/>
        </w:rPr>
        <w:t xml:space="preserve"> </w:t>
      </w:r>
      <w:r>
        <w:rPr>
          <w:rFonts w:ascii="仿宋" w:hAnsi="仿宋" w:eastAsia="仿宋" w:cs="仿宋"/>
          <w:spacing w:val="-1"/>
          <w:sz w:val="24"/>
          <w:szCs w:val="24"/>
        </w:rPr>
        <w:t>条条目未超过</w:t>
      </w:r>
      <w:r>
        <w:rPr>
          <w:rFonts w:ascii="仿宋" w:hAnsi="仿宋" w:eastAsia="仿宋" w:cs="仿宋"/>
          <w:spacing w:val="-44"/>
          <w:sz w:val="24"/>
          <w:szCs w:val="24"/>
        </w:rPr>
        <w:t xml:space="preserve"> </w:t>
      </w:r>
      <w:r>
        <w:rPr>
          <w:rFonts w:ascii="仿宋" w:hAnsi="仿宋" w:eastAsia="仿宋" w:cs="仿宋"/>
          <w:spacing w:val="-1"/>
          <w:sz w:val="24"/>
          <w:szCs w:val="24"/>
        </w:rPr>
        <w:t>50%的选项，为：罐具</w:t>
      </w:r>
      <w:r>
        <w:rPr>
          <w:rFonts w:ascii="仿宋" w:hAnsi="仿宋" w:eastAsia="仿宋" w:cs="仿宋"/>
          <w:spacing w:val="-2"/>
          <w:sz w:val="24"/>
          <w:szCs w:val="24"/>
        </w:rPr>
        <w:t>消毒和“角罐</w:t>
      </w:r>
      <w:r>
        <w:rPr>
          <w:rFonts w:ascii="仿宋" w:hAnsi="仿宋" w:eastAsia="仿宋" w:cs="仿宋"/>
          <w:spacing w:val="-89"/>
          <w:sz w:val="24"/>
          <w:szCs w:val="24"/>
        </w:rPr>
        <w:t xml:space="preserve"> </w:t>
      </w:r>
      <w:r>
        <w:rPr>
          <w:rFonts w:ascii="仿宋" w:hAnsi="仿宋" w:eastAsia="仿宋" w:cs="仿宋"/>
          <w:spacing w:val="-2"/>
          <w:sz w:val="24"/>
          <w:szCs w:val="24"/>
        </w:rPr>
        <w:t>”、</w:t>
      </w:r>
      <w:r>
        <w:rPr>
          <w:rFonts w:ascii="仿宋" w:hAnsi="仿宋" w:eastAsia="仿宋" w:cs="仿宋"/>
          <w:sz w:val="24"/>
          <w:szCs w:val="24"/>
        </w:rPr>
        <w:t xml:space="preserve"> </w:t>
      </w:r>
      <w:r>
        <w:rPr>
          <w:rFonts w:ascii="仿宋" w:hAnsi="仿宋" w:eastAsia="仿宋" w:cs="仿宋"/>
          <w:spacing w:val="-12"/>
          <w:sz w:val="24"/>
          <w:szCs w:val="24"/>
        </w:rPr>
        <w:t>“竹罐</w:t>
      </w:r>
      <w:r>
        <w:rPr>
          <w:rFonts w:ascii="仿宋" w:hAnsi="仿宋" w:eastAsia="仿宋" w:cs="仿宋"/>
          <w:spacing w:val="-88"/>
          <w:sz w:val="24"/>
          <w:szCs w:val="24"/>
        </w:rPr>
        <w:t xml:space="preserve"> </w:t>
      </w:r>
      <w:r>
        <w:rPr>
          <w:rFonts w:ascii="仿宋" w:hAnsi="仿宋" w:eastAsia="仿宋" w:cs="仿宋"/>
          <w:spacing w:val="-12"/>
          <w:sz w:val="24"/>
          <w:szCs w:val="24"/>
        </w:rPr>
        <w:t>”、“陶瓷罐</w:t>
      </w:r>
      <w:r>
        <w:rPr>
          <w:rFonts w:ascii="仿宋" w:hAnsi="仿宋" w:eastAsia="仿宋" w:cs="仿宋"/>
          <w:spacing w:val="-88"/>
          <w:sz w:val="24"/>
          <w:szCs w:val="24"/>
        </w:rPr>
        <w:t xml:space="preserve"> </w:t>
      </w:r>
      <w:r>
        <w:rPr>
          <w:rFonts w:ascii="仿宋" w:hAnsi="仿宋" w:eastAsia="仿宋" w:cs="仿宋"/>
          <w:spacing w:val="-12"/>
          <w:sz w:val="24"/>
          <w:szCs w:val="24"/>
        </w:rPr>
        <w:t>”、“玻璃罐</w:t>
      </w:r>
      <w:r>
        <w:rPr>
          <w:rFonts w:ascii="仿宋" w:hAnsi="仿宋" w:eastAsia="仿宋" w:cs="仿宋"/>
          <w:spacing w:val="-88"/>
          <w:sz w:val="24"/>
          <w:szCs w:val="24"/>
        </w:rPr>
        <w:t xml:space="preserve"> </w:t>
      </w:r>
      <w:r>
        <w:rPr>
          <w:rFonts w:ascii="仿宋" w:hAnsi="仿宋" w:eastAsia="仿宋" w:cs="仿宋"/>
          <w:spacing w:val="-12"/>
          <w:sz w:val="24"/>
          <w:szCs w:val="24"/>
        </w:rPr>
        <w:t>”、“金属罐</w:t>
      </w:r>
      <w:r>
        <w:rPr>
          <w:rFonts w:ascii="仿宋" w:hAnsi="仿宋" w:eastAsia="仿宋" w:cs="仿宋"/>
          <w:spacing w:val="-88"/>
          <w:sz w:val="24"/>
          <w:szCs w:val="24"/>
        </w:rPr>
        <w:t xml:space="preserve"> </w:t>
      </w:r>
      <w:r>
        <w:rPr>
          <w:rFonts w:ascii="仿宋" w:hAnsi="仿宋" w:eastAsia="仿宋" w:cs="仿宋"/>
          <w:spacing w:val="-12"/>
          <w:sz w:val="24"/>
          <w:szCs w:val="24"/>
        </w:rPr>
        <w:t>”、“橡胶罐</w:t>
      </w:r>
      <w:r>
        <w:rPr>
          <w:rFonts w:ascii="仿宋" w:hAnsi="仿宋" w:eastAsia="仿宋" w:cs="仿宋"/>
          <w:spacing w:val="-88"/>
          <w:sz w:val="24"/>
          <w:szCs w:val="24"/>
        </w:rPr>
        <w:t xml:space="preserve"> </w:t>
      </w:r>
      <w:r>
        <w:rPr>
          <w:rFonts w:ascii="仿宋" w:hAnsi="仿宋" w:eastAsia="仿宋" w:cs="仿宋"/>
          <w:spacing w:val="-13"/>
          <w:sz w:val="24"/>
          <w:szCs w:val="24"/>
        </w:rPr>
        <w:t>”、“</w:t>
      </w:r>
      <w:r>
        <w:rPr>
          <w:rFonts w:ascii="仿宋" w:hAnsi="仿宋" w:eastAsia="仿宋" w:cs="仿宋"/>
          <w:spacing w:val="-90"/>
          <w:sz w:val="24"/>
          <w:szCs w:val="24"/>
        </w:rPr>
        <w:t xml:space="preserve"> </w:t>
      </w:r>
      <w:r>
        <w:rPr>
          <w:rFonts w:ascii="仿宋" w:hAnsi="仿宋" w:eastAsia="仿宋" w:cs="仿宋"/>
          <w:spacing w:val="-13"/>
          <w:sz w:val="24"/>
          <w:szCs w:val="24"/>
        </w:rPr>
        <w:t>生物陶瓷火罐</w:t>
      </w:r>
      <w:r>
        <w:rPr>
          <w:rFonts w:ascii="仿宋" w:hAnsi="仿宋" w:eastAsia="仿宋" w:cs="仿宋"/>
          <w:spacing w:val="-88"/>
          <w:sz w:val="24"/>
          <w:szCs w:val="24"/>
        </w:rPr>
        <w:t xml:space="preserve"> </w:t>
      </w:r>
      <w:r>
        <w:rPr>
          <w:rFonts w:ascii="仿宋" w:hAnsi="仿宋" w:eastAsia="仿宋" w:cs="仿宋"/>
          <w:spacing w:val="-13"/>
          <w:sz w:val="24"/>
          <w:szCs w:val="24"/>
        </w:rPr>
        <w:t>”、“</w:t>
      </w:r>
      <w:r>
        <w:rPr>
          <w:rFonts w:ascii="仿宋" w:hAnsi="仿宋" w:eastAsia="仿宋" w:cs="仿宋"/>
          <w:spacing w:val="-93"/>
          <w:sz w:val="24"/>
          <w:szCs w:val="24"/>
        </w:rPr>
        <w:t xml:space="preserve"> </w:t>
      </w:r>
      <w:r>
        <w:rPr>
          <w:rFonts w:ascii="仿宋" w:hAnsi="仿宋" w:eastAsia="仿宋" w:cs="仿宋"/>
          <w:spacing w:val="-13"/>
          <w:sz w:val="24"/>
          <w:szCs w:val="24"/>
        </w:rPr>
        <w:t>塑</w:t>
      </w:r>
      <w:r>
        <w:rPr>
          <w:rFonts w:ascii="仿宋" w:hAnsi="仿宋" w:eastAsia="仿宋" w:cs="仿宋"/>
          <w:spacing w:val="2"/>
          <w:sz w:val="24"/>
          <w:szCs w:val="24"/>
        </w:rPr>
        <w:t>胶罐</w:t>
      </w:r>
      <w:r>
        <w:rPr>
          <w:rFonts w:ascii="仿宋" w:hAnsi="仿宋" w:eastAsia="仿宋" w:cs="仿宋"/>
          <w:spacing w:val="-83"/>
          <w:sz w:val="24"/>
          <w:szCs w:val="24"/>
        </w:rPr>
        <w:t xml:space="preserve"> </w:t>
      </w:r>
      <w:r>
        <w:rPr>
          <w:rFonts w:ascii="仿宋" w:hAnsi="仿宋" w:eastAsia="仿宋" w:cs="仿宋"/>
          <w:spacing w:val="2"/>
          <w:sz w:val="24"/>
          <w:szCs w:val="24"/>
        </w:rPr>
        <w:t>”定义 和罐具消毒。附录这项的标题是各种罐的定义，专家意见集中为描述过于具</w:t>
      </w:r>
      <w:r>
        <w:rPr>
          <w:rFonts w:ascii="仿宋" w:hAnsi="仿宋" w:eastAsia="仿宋" w:cs="仿宋"/>
          <w:sz w:val="24"/>
          <w:szCs w:val="24"/>
        </w:rPr>
        <w:t>体、繁琐，建议重新撰写或将原有表述与修改后表述结合，对此，本项目组决定</w:t>
      </w:r>
      <w:r>
        <w:rPr>
          <w:rFonts w:ascii="仿宋" w:hAnsi="仿宋" w:eastAsia="仿宋" w:cs="仿宋"/>
          <w:spacing w:val="-1"/>
          <w:sz w:val="24"/>
          <w:szCs w:val="24"/>
        </w:rPr>
        <w:t>重新撰写</w:t>
      </w:r>
      <w:r>
        <w:rPr>
          <w:rFonts w:ascii="仿宋" w:hAnsi="仿宋" w:eastAsia="仿宋" w:cs="仿宋"/>
          <w:sz w:val="24"/>
          <w:szCs w:val="24"/>
        </w:rPr>
        <w:t>两个争议条目。</w:t>
      </w:r>
    </w:p>
    <w:p w14:paraId="325C17BD">
      <w:pPr>
        <w:spacing w:line="276" w:lineRule="auto"/>
        <w:ind w:left="497"/>
        <w:rPr>
          <w:rFonts w:ascii="仿宋" w:hAnsi="仿宋" w:eastAsia="仿宋" w:cs="仿宋"/>
          <w:sz w:val="24"/>
          <w:szCs w:val="24"/>
        </w:rPr>
      </w:pPr>
      <w:r>
        <w:rPr>
          <w:rFonts w:ascii="仿宋" w:hAnsi="仿宋" w:eastAsia="仿宋" w:cs="仿宋"/>
          <w:b/>
          <w:bCs/>
          <w:spacing w:val="-3"/>
          <w:sz w:val="24"/>
          <w:szCs w:val="24"/>
        </w:rPr>
        <w:t>3</w:t>
      </w:r>
      <w:r>
        <w:rPr>
          <w:rFonts w:ascii="仿宋" w:hAnsi="仿宋" w:eastAsia="仿宋" w:cs="仿宋"/>
          <w:spacing w:val="-3"/>
          <w:sz w:val="24"/>
          <w:szCs w:val="24"/>
        </w:rPr>
        <w:t xml:space="preserve"> </w:t>
      </w:r>
      <w:r>
        <w:rPr>
          <w:rFonts w:ascii="仿宋" w:hAnsi="仿宋" w:eastAsia="仿宋" w:cs="仿宋"/>
          <w:b/>
          <w:bCs/>
          <w:spacing w:val="-3"/>
          <w:sz w:val="24"/>
          <w:szCs w:val="24"/>
        </w:rPr>
        <w:t>开放性与政策环境相关意见的处理说明</w:t>
      </w:r>
    </w:p>
    <w:p w14:paraId="03890CB8">
      <w:pPr>
        <w:spacing w:before="116" w:line="276" w:lineRule="auto"/>
        <w:ind w:left="17" w:right="62" w:firstLine="484"/>
        <w:jc w:val="both"/>
        <w:rPr>
          <w:rFonts w:ascii="仿宋" w:hAnsi="仿宋" w:eastAsia="仿宋" w:cs="仿宋"/>
          <w:sz w:val="24"/>
          <w:szCs w:val="24"/>
        </w:rPr>
      </w:pPr>
      <w:r>
        <w:rPr>
          <w:rFonts w:ascii="仿宋" w:hAnsi="仿宋" w:eastAsia="仿宋" w:cs="仿宋"/>
          <w:spacing w:val="-1"/>
          <w:sz w:val="24"/>
          <w:szCs w:val="24"/>
        </w:rPr>
        <w:t>在开放性问题中，多位来自加拿大、越南等地区的专家提出，不同国家和地区对刺络拔罐等操作在法律法规及执业范围上存在差异，部分地区中医执业范围受到明确限制。也有一些专家提出本标准应更具有儿科特点，原标准中的</w:t>
      </w:r>
      <w:r>
        <w:rPr>
          <w:rFonts w:ascii="仿宋" w:hAnsi="仿宋" w:eastAsia="仿宋" w:cs="仿宋"/>
          <w:spacing w:val="-2"/>
          <w:sz w:val="24"/>
          <w:szCs w:val="24"/>
        </w:rPr>
        <w:t>“参看某某标准</w:t>
      </w:r>
      <w:r>
        <w:rPr>
          <w:rFonts w:ascii="仿宋" w:hAnsi="仿宋" w:eastAsia="仿宋" w:cs="仿宋"/>
          <w:spacing w:val="-88"/>
          <w:sz w:val="24"/>
          <w:szCs w:val="24"/>
        </w:rPr>
        <w:t xml:space="preserve"> </w:t>
      </w:r>
      <w:r>
        <w:rPr>
          <w:rFonts w:ascii="仿宋" w:hAnsi="仿宋" w:eastAsia="仿宋" w:cs="仿宋"/>
          <w:spacing w:val="-2"/>
          <w:sz w:val="24"/>
          <w:szCs w:val="24"/>
        </w:rPr>
        <w:t>”不适合出现在国</w:t>
      </w:r>
      <w:r>
        <w:rPr>
          <w:rFonts w:ascii="仿宋" w:hAnsi="仿宋" w:eastAsia="仿宋" w:cs="仿宋"/>
          <w:spacing w:val="-3"/>
          <w:sz w:val="24"/>
          <w:szCs w:val="24"/>
        </w:rPr>
        <w:t>际标准中。</w:t>
      </w:r>
    </w:p>
    <w:p w14:paraId="211861AF">
      <w:pPr>
        <w:spacing w:before="5" w:line="276" w:lineRule="auto"/>
        <w:ind w:left="20" w:right="62" w:firstLine="481"/>
        <w:jc w:val="both"/>
        <w:rPr>
          <w:rFonts w:ascii="仿宋" w:hAnsi="仿宋" w:eastAsia="仿宋" w:cs="仿宋"/>
          <w:sz w:val="24"/>
          <w:szCs w:val="24"/>
        </w:rPr>
      </w:pPr>
      <w:r>
        <w:rPr>
          <w:rFonts w:ascii="仿宋" w:hAnsi="仿宋" w:eastAsia="仿宋" w:cs="仿宋"/>
          <w:spacing w:val="-7"/>
          <w:sz w:val="24"/>
          <w:szCs w:val="24"/>
        </w:rPr>
        <w:t>对此，项目工作组在标准层面未对具体执业资格或管理制度作出统一规定，而是在“范</w:t>
      </w:r>
      <w:r>
        <w:rPr>
          <w:rFonts w:ascii="仿宋" w:hAnsi="仿宋" w:eastAsia="仿宋" w:cs="仿宋"/>
          <w:spacing w:val="-2"/>
          <w:sz w:val="24"/>
          <w:szCs w:val="24"/>
        </w:rPr>
        <w:t>围</w:t>
      </w:r>
      <w:r>
        <w:rPr>
          <w:rFonts w:ascii="仿宋" w:hAnsi="仿宋" w:eastAsia="仿宋" w:cs="仿宋"/>
          <w:spacing w:val="-88"/>
          <w:sz w:val="24"/>
          <w:szCs w:val="24"/>
        </w:rPr>
        <w:t xml:space="preserve"> </w:t>
      </w:r>
      <w:r>
        <w:rPr>
          <w:rFonts w:ascii="仿宋" w:hAnsi="仿宋" w:eastAsia="仿宋" w:cs="仿宋"/>
          <w:spacing w:val="-2"/>
          <w:sz w:val="24"/>
          <w:szCs w:val="24"/>
        </w:rPr>
        <w:t>”“前言</w:t>
      </w:r>
      <w:r>
        <w:rPr>
          <w:rFonts w:ascii="仿宋" w:hAnsi="仿宋" w:eastAsia="仿宋" w:cs="仿宋"/>
          <w:spacing w:val="-89"/>
          <w:sz w:val="24"/>
          <w:szCs w:val="24"/>
        </w:rPr>
        <w:t xml:space="preserve"> </w:t>
      </w:r>
      <w:r>
        <w:rPr>
          <w:rFonts w:ascii="仿宋" w:hAnsi="仿宋" w:eastAsia="仿宋" w:cs="仿宋"/>
          <w:spacing w:val="-2"/>
          <w:sz w:val="24"/>
          <w:szCs w:val="24"/>
        </w:rPr>
        <w:t>”和相关注意事项中明确提出属地法律法规优先原则，</w:t>
      </w:r>
      <w:r>
        <w:rPr>
          <w:rFonts w:ascii="仿宋" w:hAnsi="仿宋" w:eastAsia="仿宋" w:cs="仿宋"/>
          <w:spacing w:val="-3"/>
          <w:sz w:val="24"/>
          <w:szCs w:val="24"/>
        </w:rPr>
        <w:t>强调本标准仅提供技术</w:t>
      </w:r>
      <w:r>
        <w:rPr>
          <w:rFonts w:ascii="仿宋" w:hAnsi="仿宋" w:eastAsia="仿宋" w:cs="仿宋"/>
          <w:spacing w:val="-1"/>
          <w:sz w:val="24"/>
          <w:szCs w:val="24"/>
        </w:rPr>
        <w:t>操作层面的规范性参考，其实施应以当地法律法规和执业管理要求为前提。该处理方式获得专家普遍认可，也为标准的国际推广和实际应用保留了必要弹性空间。同时也在新标准中增加了依据患儿年龄采取不同的操作以及将各项操作细化等改变。</w:t>
      </w:r>
    </w:p>
    <w:p w14:paraId="0DF91A0C">
      <w:pPr>
        <w:spacing w:before="4" w:line="276" w:lineRule="auto"/>
        <w:ind w:left="23" w:right="62" w:firstLine="480"/>
        <w:jc w:val="both"/>
        <w:rPr>
          <w:rFonts w:ascii="仿宋" w:hAnsi="仿宋" w:eastAsia="仿宋" w:cs="仿宋"/>
          <w:sz w:val="24"/>
          <w:szCs w:val="24"/>
        </w:rPr>
      </w:pPr>
      <w:r>
        <w:rPr>
          <w:rFonts w:ascii="仿宋" w:hAnsi="仿宋" w:eastAsia="仿宋" w:cs="仿宋"/>
          <w:spacing w:val="-1"/>
          <w:sz w:val="24"/>
          <w:szCs w:val="24"/>
        </w:rPr>
        <w:t>综上，专家问卷调查意见为本标准的修订提供了重要依据。项目工作组在充分尊重专家共识的基础上，对存在争议和开放性问题采取审慎的处理策略，为后续专家论证会和专</w:t>
      </w:r>
      <w:r>
        <w:rPr>
          <w:rFonts w:ascii="仿宋" w:hAnsi="仿宋" w:eastAsia="仿宋" w:cs="仿宋"/>
          <w:spacing w:val="-2"/>
          <w:sz w:val="24"/>
          <w:szCs w:val="24"/>
        </w:rPr>
        <w:t>家指导组审核奠定了坚实基础。</w:t>
      </w:r>
    </w:p>
    <w:p w14:paraId="44D517E7">
      <w:pPr>
        <w:spacing w:before="1" w:line="276" w:lineRule="auto"/>
        <w:ind w:left="503"/>
        <w:rPr>
          <w:rFonts w:ascii="仿宋" w:hAnsi="仿宋" w:eastAsia="仿宋" w:cs="仿宋"/>
          <w:sz w:val="24"/>
          <w:szCs w:val="24"/>
        </w:rPr>
      </w:pPr>
      <w:r>
        <w:rPr>
          <w:rFonts w:ascii="仿宋" w:hAnsi="仿宋" w:eastAsia="仿宋" w:cs="仿宋"/>
          <w:spacing w:val="-2"/>
          <w:sz w:val="24"/>
          <w:szCs w:val="24"/>
        </w:rPr>
        <w:t>具体内容详见“附件</w:t>
      </w:r>
      <w:r>
        <w:rPr>
          <w:rFonts w:ascii="仿宋" w:hAnsi="仿宋" w:eastAsia="仿宋" w:cs="仿宋"/>
          <w:spacing w:val="-34"/>
          <w:sz w:val="24"/>
          <w:szCs w:val="24"/>
        </w:rPr>
        <w:t xml:space="preserve"> </w:t>
      </w:r>
      <w:r>
        <w:rPr>
          <w:rFonts w:ascii="仿宋" w:hAnsi="仿宋" w:eastAsia="仿宋" w:cs="仿宋"/>
          <w:spacing w:val="-2"/>
          <w:sz w:val="24"/>
          <w:szCs w:val="24"/>
        </w:rPr>
        <w:t>1：专家调查问卷报告</w:t>
      </w:r>
      <w:r>
        <w:rPr>
          <w:rFonts w:ascii="仿宋" w:hAnsi="仿宋" w:eastAsia="仿宋" w:cs="仿宋"/>
          <w:spacing w:val="-88"/>
          <w:sz w:val="24"/>
          <w:szCs w:val="24"/>
        </w:rPr>
        <w:t xml:space="preserve"> </w:t>
      </w:r>
      <w:r>
        <w:rPr>
          <w:rFonts w:ascii="仿宋" w:hAnsi="仿宋" w:eastAsia="仿宋" w:cs="仿宋"/>
          <w:spacing w:val="-3"/>
          <w:sz w:val="24"/>
          <w:szCs w:val="24"/>
        </w:rPr>
        <w:t>”。</w:t>
      </w:r>
    </w:p>
    <w:p w14:paraId="41DB546C">
      <w:pPr>
        <w:spacing w:before="110" w:line="276" w:lineRule="auto"/>
        <w:ind w:left="505"/>
        <w:rPr>
          <w:rFonts w:ascii="仿宋" w:hAnsi="仿宋" w:eastAsia="仿宋" w:cs="仿宋"/>
          <w:sz w:val="24"/>
          <w:szCs w:val="24"/>
        </w:rPr>
      </w:pPr>
      <w:r>
        <w:rPr>
          <w:rFonts w:ascii="仿宋" w:hAnsi="仿宋" w:eastAsia="仿宋" w:cs="仿宋"/>
          <w:b/>
          <w:bCs/>
          <w:spacing w:val="-3"/>
          <w:sz w:val="24"/>
          <w:szCs w:val="24"/>
        </w:rPr>
        <w:t>（二）专家论证会意见的集中说明与处理</w:t>
      </w:r>
    </w:p>
    <w:p w14:paraId="0DA85FEC">
      <w:pPr>
        <w:spacing w:before="111" w:line="276" w:lineRule="auto"/>
        <w:ind w:left="22" w:right="62" w:firstLine="480"/>
        <w:jc w:val="both"/>
        <w:rPr>
          <w:rFonts w:ascii="仿宋" w:hAnsi="仿宋" w:eastAsia="仿宋" w:cs="仿宋"/>
          <w:sz w:val="24"/>
          <w:szCs w:val="24"/>
        </w:rPr>
      </w:pPr>
      <w:r>
        <w:rPr>
          <w:rFonts w:ascii="仿宋" w:hAnsi="仿宋" w:eastAsia="仿宋" w:cs="仿宋"/>
          <w:spacing w:val="-3"/>
          <w:sz w:val="24"/>
          <w:szCs w:val="24"/>
        </w:rPr>
        <w:t>在完成专家问卷调查意见汇总的基础上，项目工作组于2025</w:t>
      </w:r>
      <w:r>
        <w:rPr>
          <w:rFonts w:ascii="仿宋" w:hAnsi="仿宋" w:eastAsia="仿宋" w:cs="仿宋"/>
          <w:spacing w:val="-33"/>
          <w:sz w:val="24"/>
          <w:szCs w:val="24"/>
        </w:rPr>
        <w:t xml:space="preserve"> </w:t>
      </w:r>
      <w:r>
        <w:rPr>
          <w:rFonts w:ascii="仿宋" w:hAnsi="仿宋" w:eastAsia="仿宋" w:cs="仿宋"/>
          <w:spacing w:val="-3"/>
          <w:sz w:val="24"/>
          <w:szCs w:val="24"/>
        </w:rPr>
        <w:t>年</w:t>
      </w:r>
      <w:r>
        <w:rPr>
          <w:rFonts w:ascii="仿宋" w:hAnsi="仿宋" w:eastAsia="仿宋" w:cs="仿宋"/>
          <w:spacing w:val="-34"/>
          <w:sz w:val="24"/>
          <w:szCs w:val="24"/>
        </w:rPr>
        <w:t xml:space="preserve"> </w:t>
      </w:r>
      <w:r>
        <w:rPr>
          <w:rFonts w:ascii="仿宋" w:hAnsi="仿宋" w:eastAsia="仿宋" w:cs="仿宋"/>
          <w:spacing w:val="-3"/>
          <w:sz w:val="24"/>
          <w:szCs w:val="24"/>
        </w:rPr>
        <w:t>12</w:t>
      </w:r>
      <w:r>
        <w:rPr>
          <w:rFonts w:ascii="仿宋" w:hAnsi="仿宋" w:eastAsia="仿宋" w:cs="仿宋"/>
          <w:spacing w:val="-33"/>
          <w:sz w:val="24"/>
          <w:szCs w:val="24"/>
        </w:rPr>
        <w:t xml:space="preserve"> </w:t>
      </w:r>
      <w:r>
        <w:rPr>
          <w:rFonts w:ascii="仿宋" w:hAnsi="仿宋" w:eastAsia="仿宋" w:cs="仿宋"/>
          <w:spacing w:val="-3"/>
          <w:sz w:val="24"/>
          <w:szCs w:val="24"/>
        </w:rPr>
        <w:t>月</w:t>
      </w:r>
      <w:r>
        <w:rPr>
          <w:rFonts w:ascii="仿宋" w:hAnsi="仿宋" w:eastAsia="仿宋" w:cs="仿宋"/>
          <w:spacing w:val="-46"/>
          <w:sz w:val="24"/>
          <w:szCs w:val="24"/>
        </w:rPr>
        <w:t xml:space="preserve"> </w:t>
      </w:r>
      <w:r>
        <w:rPr>
          <w:rFonts w:ascii="仿宋" w:hAnsi="仿宋" w:eastAsia="仿宋" w:cs="仿宋"/>
          <w:spacing w:val="-3"/>
          <w:sz w:val="24"/>
          <w:szCs w:val="24"/>
        </w:rPr>
        <w:t>3 日召开《国际</w:t>
      </w:r>
      <w:r>
        <w:rPr>
          <w:rFonts w:ascii="仿宋" w:hAnsi="仿宋" w:eastAsia="仿宋" w:cs="仿宋"/>
          <w:spacing w:val="-1"/>
          <w:sz w:val="24"/>
          <w:szCs w:val="24"/>
        </w:rPr>
        <w:t>中医技术操作规范 儿科 第</w:t>
      </w:r>
      <w:r>
        <w:rPr>
          <w:rFonts w:ascii="仿宋" w:hAnsi="仿宋" w:eastAsia="仿宋" w:cs="仿宋"/>
          <w:spacing w:val="-47"/>
          <w:sz w:val="24"/>
          <w:szCs w:val="24"/>
        </w:rPr>
        <w:t xml:space="preserve"> </w:t>
      </w:r>
      <w:r>
        <w:rPr>
          <w:rFonts w:ascii="仿宋" w:hAnsi="仿宋" w:eastAsia="仿宋" w:cs="仿宋"/>
          <w:spacing w:val="-1"/>
          <w:sz w:val="24"/>
          <w:szCs w:val="24"/>
        </w:rPr>
        <w:t>5</w:t>
      </w:r>
      <w:r>
        <w:rPr>
          <w:rFonts w:ascii="仿宋" w:hAnsi="仿宋" w:eastAsia="仿宋" w:cs="仿宋"/>
          <w:spacing w:val="-43"/>
          <w:sz w:val="24"/>
          <w:szCs w:val="24"/>
        </w:rPr>
        <w:t xml:space="preserve"> </w:t>
      </w:r>
      <w:r>
        <w:rPr>
          <w:rFonts w:ascii="仿宋" w:hAnsi="仿宋" w:eastAsia="仿宋" w:cs="仿宋"/>
          <w:spacing w:val="-1"/>
          <w:sz w:val="24"/>
          <w:szCs w:val="24"/>
        </w:rPr>
        <w:t>部分：小儿拔罐疗法》</w:t>
      </w:r>
      <w:r>
        <w:rPr>
          <w:rFonts w:ascii="仿宋" w:hAnsi="仿宋" w:eastAsia="仿宋" w:cs="仿宋"/>
          <w:spacing w:val="-2"/>
          <w:sz w:val="24"/>
          <w:szCs w:val="24"/>
        </w:rPr>
        <w:t>专家论证会。参会人员为邀请论证会</w:t>
      </w:r>
      <w:r>
        <w:rPr>
          <w:rFonts w:ascii="仿宋" w:hAnsi="仿宋" w:eastAsia="仿宋" w:cs="仿宋"/>
          <w:spacing w:val="-1"/>
          <w:sz w:val="24"/>
          <w:szCs w:val="24"/>
        </w:rPr>
        <w:t>专家和项目组成员，包括了中华中医药学会儿科分会历届主任委员和世界中联儿科专业委员会会长等权威性专家，会议采取线下与线上相结合的方式进行，围绕国家标准向世界中</w:t>
      </w:r>
      <w:r>
        <w:rPr>
          <w:rFonts w:ascii="仿宋" w:hAnsi="仿宋" w:eastAsia="仿宋" w:cs="仿宋"/>
          <w:spacing w:val="3"/>
          <w:sz w:val="24"/>
          <w:szCs w:val="24"/>
        </w:rPr>
        <w:t>医药学会联合会（</w:t>
      </w:r>
      <w:r>
        <w:rPr>
          <w:rFonts w:ascii="仿宋" w:hAnsi="仿宋" w:eastAsia="仿宋" w:cs="仿宋"/>
          <w:sz w:val="24"/>
          <w:szCs w:val="24"/>
        </w:rPr>
        <w:t>WFCMS</w:t>
      </w:r>
      <w:r>
        <w:rPr>
          <w:rFonts w:ascii="仿宋" w:hAnsi="仿宋" w:eastAsia="仿宋" w:cs="仿宋"/>
          <w:spacing w:val="3"/>
          <w:sz w:val="24"/>
          <w:szCs w:val="24"/>
        </w:rPr>
        <w:t>）国际组织标准转化过程中涉</w:t>
      </w:r>
      <w:r>
        <w:rPr>
          <w:rFonts w:ascii="仿宋" w:hAnsi="仿宋" w:eastAsia="仿宋" w:cs="仿宋"/>
          <w:spacing w:val="2"/>
          <w:sz w:val="24"/>
          <w:szCs w:val="24"/>
        </w:rPr>
        <w:t>及的关键技术问题和争议条目，进</w:t>
      </w:r>
      <w:r>
        <w:rPr>
          <w:rFonts w:ascii="仿宋" w:hAnsi="仿宋" w:eastAsia="仿宋" w:cs="仿宋"/>
          <w:spacing w:val="-2"/>
          <w:sz w:val="24"/>
          <w:szCs w:val="24"/>
        </w:rPr>
        <w:t>行集中论证和决策。</w:t>
      </w:r>
    </w:p>
    <w:p w14:paraId="7BDD4A32">
      <w:pPr>
        <w:spacing w:line="276" w:lineRule="auto"/>
        <w:ind w:left="510"/>
        <w:rPr>
          <w:rFonts w:ascii="仿宋" w:hAnsi="仿宋" w:eastAsia="仿宋" w:cs="仿宋"/>
          <w:sz w:val="24"/>
          <w:szCs w:val="24"/>
        </w:rPr>
      </w:pPr>
      <w:r>
        <w:rPr>
          <w:rFonts w:ascii="仿宋" w:hAnsi="仿宋" w:eastAsia="仿宋" w:cs="仿宋"/>
          <w:b/>
          <w:bCs/>
          <w:spacing w:val="-4"/>
          <w:sz w:val="24"/>
          <w:szCs w:val="24"/>
        </w:rPr>
        <w:t>1</w:t>
      </w:r>
      <w:r>
        <w:rPr>
          <w:rFonts w:ascii="仿宋" w:hAnsi="仿宋" w:eastAsia="仿宋" w:cs="仿宋"/>
          <w:spacing w:val="-4"/>
          <w:sz w:val="24"/>
          <w:szCs w:val="24"/>
        </w:rPr>
        <w:t xml:space="preserve"> </w:t>
      </w:r>
      <w:r>
        <w:rPr>
          <w:rFonts w:ascii="仿宋" w:hAnsi="仿宋" w:eastAsia="仿宋" w:cs="仿宋"/>
          <w:b/>
          <w:bCs/>
          <w:spacing w:val="-4"/>
          <w:sz w:val="24"/>
          <w:szCs w:val="24"/>
        </w:rPr>
        <w:t>论证会的工作方式与定位</w:t>
      </w:r>
    </w:p>
    <w:p w14:paraId="6B4C1506">
      <w:pPr>
        <w:spacing w:before="116" w:line="276" w:lineRule="auto"/>
        <w:ind w:left="19" w:right="62" w:firstLine="489"/>
        <w:jc w:val="both"/>
        <w:rPr>
          <w:rFonts w:ascii="仿宋" w:hAnsi="仿宋" w:eastAsia="仿宋" w:cs="仿宋"/>
          <w:sz w:val="24"/>
          <w:szCs w:val="24"/>
        </w:rPr>
      </w:pPr>
      <w:r>
        <w:rPr>
          <w:rFonts w:ascii="仿宋" w:hAnsi="仿宋" w:eastAsia="仿宋" w:cs="仿宋"/>
          <w:spacing w:val="-1"/>
          <w:sz w:val="24"/>
          <w:szCs w:val="24"/>
        </w:rPr>
        <w:t>为提高会议效率并确保专家意见表达的充分性和客观性，本次专家论证会未对所有争议条目逐条进行现场表决或详细论证，而是采取“会前充分准备、会中重点说明、会后量</w:t>
      </w:r>
      <w:r>
        <w:rPr>
          <w:rFonts w:ascii="仿宋" w:hAnsi="仿宋" w:eastAsia="仿宋" w:cs="仿宋"/>
          <w:spacing w:val="-5"/>
          <w:sz w:val="24"/>
          <w:szCs w:val="24"/>
        </w:rPr>
        <w:t>化决策</w:t>
      </w:r>
      <w:r>
        <w:rPr>
          <w:rFonts w:ascii="仿宋" w:hAnsi="仿宋" w:eastAsia="仿宋" w:cs="仿宋"/>
          <w:spacing w:val="-87"/>
          <w:sz w:val="24"/>
          <w:szCs w:val="24"/>
        </w:rPr>
        <w:t xml:space="preserve"> </w:t>
      </w:r>
      <w:r>
        <w:rPr>
          <w:rFonts w:ascii="仿宋" w:hAnsi="仿宋" w:eastAsia="仿宋" w:cs="仿宋"/>
          <w:spacing w:val="-5"/>
          <w:sz w:val="24"/>
          <w:szCs w:val="24"/>
        </w:rPr>
        <w:t>”的工作模式。</w:t>
      </w:r>
    </w:p>
    <w:p w14:paraId="0023E672">
      <w:pPr>
        <w:spacing w:before="4" w:line="276" w:lineRule="auto"/>
        <w:ind w:left="23" w:firstLine="484"/>
        <w:jc w:val="both"/>
        <w:rPr>
          <w:rFonts w:ascii="仿宋" w:hAnsi="仿宋" w:eastAsia="仿宋" w:cs="仿宋"/>
          <w:sz w:val="24"/>
          <w:szCs w:val="24"/>
        </w:rPr>
      </w:pPr>
      <w:r>
        <w:rPr>
          <w:rFonts w:ascii="仿宋" w:hAnsi="仿宋" w:eastAsia="仿宋" w:cs="仿宋"/>
          <w:spacing w:val="-6"/>
          <w:sz w:val="24"/>
          <w:szCs w:val="24"/>
        </w:rPr>
        <w:t>会前，项目工作组已向全体专家发送完整的论证材料，包括：专家问卷调查总结报告；</w:t>
      </w:r>
      <w:r>
        <w:rPr>
          <w:rFonts w:ascii="仿宋" w:hAnsi="仿宋" w:eastAsia="仿宋" w:cs="仿宋"/>
          <w:sz w:val="24"/>
          <w:szCs w:val="24"/>
        </w:rPr>
        <w:t>专家论证会征求意见函（列出2</w:t>
      </w:r>
      <w:r>
        <w:rPr>
          <w:rFonts w:ascii="仿宋" w:hAnsi="仿宋" w:eastAsia="仿宋" w:cs="仿宋"/>
          <w:spacing w:val="-43"/>
          <w:sz w:val="24"/>
          <w:szCs w:val="24"/>
        </w:rPr>
        <w:t xml:space="preserve"> </w:t>
      </w:r>
      <w:r>
        <w:rPr>
          <w:rFonts w:ascii="仿宋" w:hAnsi="仿宋" w:eastAsia="仿宋" w:cs="仿宋"/>
          <w:sz w:val="24"/>
          <w:szCs w:val="24"/>
        </w:rPr>
        <w:t>项核心争议条目、开放性问题及项目组整合建议</w:t>
      </w:r>
      <w:r>
        <w:rPr>
          <w:rFonts w:ascii="仿宋" w:hAnsi="仿宋" w:eastAsia="仿宋" w:cs="仿宋"/>
          <w:spacing w:val="8"/>
          <w:sz w:val="24"/>
          <w:szCs w:val="24"/>
        </w:rPr>
        <w:t>）；</w:t>
      </w:r>
      <w:r>
        <w:rPr>
          <w:rFonts w:ascii="仿宋" w:hAnsi="仿宋" w:eastAsia="仿宋" w:cs="仿宋"/>
          <w:sz w:val="24"/>
          <w:szCs w:val="24"/>
        </w:rPr>
        <w:t>原国</w:t>
      </w:r>
      <w:r>
        <w:rPr>
          <w:rFonts w:ascii="仿宋" w:hAnsi="仿宋" w:eastAsia="仿宋" w:cs="仿宋"/>
          <w:spacing w:val="-1"/>
          <w:sz w:val="24"/>
          <w:szCs w:val="24"/>
        </w:rPr>
        <w:t>家标准文本。专家在会前已完成对争议条目的独立审阅，并对各条目进行初步判断。论证</w:t>
      </w:r>
      <w:r>
        <w:rPr>
          <w:rFonts w:ascii="仿宋" w:hAnsi="仿宋" w:eastAsia="仿宋" w:cs="仿宋"/>
          <w:sz w:val="24"/>
          <w:szCs w:val="24"/>
        </w:rPr>
        <w:t>会的主要任务是由项目工作组对争议焦点、不同修改方案及其技术背景进行集中说明，明</w:t>
      </w:r>
    </w:p>
    <w:p w14:paraId="4AE1B43B">
      <w:pPr>
        <w:spacing w:line="276" w:lineRule="auto"/>
        <w:rPr>
          <w:rFonts w:ascii="仿宋" w:hAnsi="仿宋" w:eastAsia="仿宋" w:cs="仿宋"/>
          <w:sz w:val="24"/>
          <w:szCs w:val="24"/>
        </w:rPr>
        <w:sectPr>
          <w:footerReference r:id="rId6" w:type="default"/>
          <w:pgSz w:w="11906" w:h="16839"/>
          <w:pgMar w:top="1431" w:right="1072" w:bottom="1362" w:left="1414" w:header="0" w:footer="1200" w:gutter="0"/>
          <w:cols w:space="720" w:num="1"/>
        </w:sectPr>
      </w:pPr>
    </w:p>
    <w:p w14:paraId="53E1C957">
      <w:pPr>
        <w:spacing w:before="102" w:line="276" w:lineRule="auto"/>
        <w:ind w:left="4" w:right="83" w:hanging="3"/>
        <w:rPr>
          <w:rFonts w:ascii="仿宋" w:hAnsi="仿宋" w:eastAsia="仿宋" w:cs="仿宋"/>
          <w:sz w:val="24"/>
          <w:szCs w:val="24"/>
        </w:rPr>
      </w:pPr>
      <w:r>
        <w:rPr>
          <w:rFonts w:ascii="仿宋" w:hAnsi="仿宋" w:eastAsia="仿宋" w:cs="仿宋"/>
          <w:spacing w:val="-1"/>
          <w:sz w:val="24"/>
          <w:szCs w:val="24"/>
        </w:rPr>
        <w:t>确各条目的技术要点、争议来源及可能的处理方向，为专家会后独立评分和书面反馈提供</w:t>
      </w:r>
      <w:r>
        <w:rPr>
          <w:rFonts w:ascii="仿宋" w:hAnsi="仿宋" w:eastAsia="仿宋" w:cs="仿宋"/>
          <w:spacing w:val="-3"/>
          <w:sz w:val="24"/>
          <w:szCs w:val="24"/>
        </w:rPr>
        <w:t>统一理解基础。</w:t>
      </w:r>
    </w:p>
    <w:p w14:paraId="649ACF7D">
      <w:pPr>
        <w:spacing w:line="276" w:lineRule="auto"/>
        <w:ind w:left="476"/>
        <w:rPr>
          <w:rFonts w:ascii="仿宋" w:hAnsi="仿宋" w:eastAsia="仿宋" w:cs="仿宋"/>
          <w:sz w:val="24"/>
          <w:szCs w:val="24"/>
        </w:rPr>
      </w:pPr>
      <w:r>
        <w:rPr>
          <w:rFonts w:ascii="仿宋" w:hAnsi="仿宋" w:eastAsia="仿宋" w:cs="仿宋"/>
          <w:b/>
          <w:bCs/>
          <w:spacing w:val="-3"/>
          <w:sz w:val="24"/>
          <w:szCs w:val="24"/>
        </w:rPr>
        <w:t>2</w:t>
      </w:r>
      <w:r>
        <w:rPr>
          <w:rFonts w:ascii="仿宋" w:hAnsi="仿宋" w:eastAsia="仿宋" w:cs="仿宋"/>
          <w:spacing w:val="-3"/>
          <w:sz w:val="24"/>
          <w:szCs w:val="24"/>
        </w:rPr>
        <w:t xml:space="preserve"> </w:t>
      </w:r>
      <w:r>
        <w:rPr>
          <w:rFonts w:ascii="仿宋" w:hAnsi="仿宋" w:eastAsia="仿宋" w:cs="仿宋"/>
          <w:b/>
          <w:bCs/>
          <w:spacing w:val="-3"/>
          <w:sz w:val="24"/>
          <w:szCs w:val="24"/>
        </w:rPr>
        <w:t>专家意见的形成与采集方式</w:t>
      </w:r>
    </w:p>
    <w:p w14:paraId="3BC196F9">
      <w:pPr>
        <w:spacing w:before="111" w:line="276" w:lineRule="auto"/>
        <w:ind w:right="17" w:firstLine="487"/>
        <w:jc w:val="both"/>
        <w:rPr>
          <w:rFonts w:ascii="仿宋" w:hAnsi="仿宋" w:eastAsia="仿宋" w:cs="仿宋"/>
          <w:sz w:val="24"/>
          <w:szCs w:val="24"/>
        </w:rPr>
      </w:pPr>
      <w:r>
        <w:rPr>
          <w:rFonts w:ascii="仿宋" w:hAnsi="仿宋" w:eastAsia="仿宋" w:cs="仿宋"/>
          <w:spacing w:val="-1"/>
          <w:sz w:val="24"/>
          <w:szCs w:val="24"/>
        </w:rPr>
        <w:t>会议过程中，专家围绕部分重点问题进行了方向性交流和原则性讨论，会议未对争议</w:t>
      </w:r>
      <w:r>
        <w:rPr>
          <w:rFonts w:ascii="仿宋" w:hAnsi="仿宋" w:eastAsia="仿宋" w:cs="仿宋"/>
          <w:spacing w:val="-7"/>
          <w:sz w:val="24"/>
          <w:szCs w:val="24"/>
        </w:rPr>
        <w:t>条目逐项形成现场决议。会议结束后，项目工作组按照既定程序，统一收回专家填写的《征</w:t>
      </w:r>
      <w:r>
        <w:rPr>
          <w:rFonts w:ascii="仿宋" w:hAnsi="仿宋" w:eastAsia="仿宋" w:cs="仿宋"/>
          <w:spacing w:val="-2"/>
          <w:sz w:val="24"/>
          <w:szCs w:val="24"/>
        </w:rPr>
        <w:t>求意见函》。专家在函中对各争议条目进行了量化打分（须选/可选）并附文字修改意见，</w:t>
      </w:r>
      <w:r>
        <w:rPr>
          <w:rFonts w:ascii="仿宋" w:hAnsi="仿宋" w:eastAsia="仿宋" w:cs="仿宋"/>
          <w:spacing w:val="-1"/>
          <w:sz w:val="24"/>
          <w:szCs w:val="24"/>
        </w:rPr>
        <w:t>形成了完整、可统计、可追溯的专家意见数据。</w:t>
      </w:r>
    </w:p>
    <w:p w14:paraId="6566D805">
      <w:pPr>
        <w:spacing w:line="276" w:lineRule="auto"/>
        <w:ind w:left="478"/>
        <w:rPr>
          <w:rFonts w:ascii="仿宋" w:hAnsi="仿宋" w:eastAsia="仿宋" w:cs="仿宋"/>
          <w:sz w:val="24"/>
          <w:szCs w:val="24"/>
        </w:rPr>
      </w:pPr>
      <w:r>
        <w:rPr>
          <w:rFonts w:ascii="仿宋" w:hAnsi="仿宋" w:eastAsia="仿宋" w:cs="仿宋"/>
          <w:b/>
          <w:bCs/>
          <w:spacing w:val="-3"/>
          <w:sz w:val="24"/>
          <w:szCs w:val="24"/>
        </w:rPr>
        <w:t>3</w:t>
      </w:r>
      <w:r>
        <w:rPr>
          <w:rFonts w:ascii="仿宋" w:hAnsi="仿宋" w:eastAsia="仿宋" w:cs="仿宋"/>
          <w:spacing w:val="-3"/>
          <w:sz w:val="24"/>
          <w:szCs w:val="24"/>
        </w:rPr>
        <w:t xml:space="preserve"> </w:t>
      </w:r>
      <w:r>
        <w:rPr>
          <w:rFonts w:ascii="仿宋" w:hAnsi="仿宋" w:eastAsia="仿宋" w:cs="仿宋"/>
          <w:b/>
          <w:bCs/>
          <w:spacing w:val="-3"/>
          <w:sz w:val="24"/>
          <w:szCs w:val="24"/>
        </w:rPr>
        <w:t>会后专家意见的统计分析与处理原则</w:t>
      </w:r>
    </w:p>
    <w:p w14:paraId="1DFB968F">
      <w:pPr>
        <w:spacing w:before="111" w:line="276" w:lineRule="auto"/>
        <w:ind w:right="83" w:firstLine="481"/>
        <w:rPr>
          <w:rFonts w:ascii="仿宋" w:hAnsi="仿宋" w:eastAsia="仿宋" w:cs="仿宋"/>
          <w:sz w:val="24"/>
          <w:szCs w:val="24"/>
        </w:rPr>
      </w:pPr>
      <w:r>
        <w:rPr>
          <w:rFonts w:ascii="仿宋" w:hAnsi="仿宋" w:eastAsia="仿宋" w:cs="仿宋"/>
          <w:spacing w:val="-1"/>
          <w:sz w:val="24"/>
          <w:szCs w:val="24"/>
        </w:rPr>
        <w:t>项目工作组在会议结束后，对回收的征求意见函进行系统整理和统计分析，作为本次</w:t>
      </w:r>
      <w:r>
        <w:rPr>
          <w:rFonts w:ascii="仿宋" w:hAnsi="仿宋" w:eastAsia="仿宋" w:cs="仿宋"/>
          <w:spacing w:val="-2"/>
          <w:sz w:val="24"/>
          <w:szCs w:val="24"/>
        </w:rPr>
        <w:t>标准修订的重要决策依据。</w:t>
      </w:r>
    </w:p>
    <w:p w14:paraId="4FDB1412">
      <w:pPr>
        <w:spacing w:before="2" w:line="276" w:lineRule="auto"/>
        <w:ind w:right="83" w:firstLine="481"/>
        <w:jc w:val="both"/>
        <w:rPr>
          <w:rFonts w:ascii="仿宋" w:hAnsi="仿宋" w:eastAsia="仿宋" w:cs="仿宋"/>
          <w:sz w:val="24"/>
          <w:szCs w:val="24"/>
        </w:rPr>
      </w:pPr>
      <w:r>
        <w:rPr>
          <w:rFonts w:ascii="仿宋" w:hAnsi="仿宋" w:eastAsia="仿宋" w:cs="仿宋"/>
          <w:spacing w:val="-1"/>
          <w:sz w:val="24"/>
          <w:szCs w:val="24"/>
        </w:rPr>
        <w:t>处理原则如下：对支持率明显较高、专家意见趋于一致的条目，直接采纳相应修改建议；对存在少量不同意见但不影响技术安全性和标准定位的条目，结合专家文字意见进行表述优化；对支持率不足或涉及技术成熟度、证据不足的条目，原则上暂缓纳入本次标准</w:t>
      </w:r>
      <w:r>
        <w:rPr>
          <w:rFonts w:ascii="仿宋" w:hAnsi="仿宋" w:eastAsia="仿宋" w:cs="仿宋"/>
          <w:spacing w:val="-4"/>
          <w:sz w:val="24"/>
          <w:szCs w:val="24"/>
        </w:rPr>
        <w:t>转化文本。</w:t>
      </w:r>
    </w:p>
    <w:p w14:paraId="2384C179">
      <w:pPr>
        <w:spacing w:before="3" w:line="276" w:lineRule="auto"/>
        <w:ind w:left="1" w:right="83" w:firstLine="483"/>
        <w:jc w:val="both"/>
        <w:rPr>
          <w:rFonts w:ascii="仿宋" w:hAnsi="仿宋" w:eastAsia="仿宋" w:cs="仿宋"/>
          <w:sz w:val="24"/>
          <w:szCs w:val="24"/>
        </w:rPr>
      </w:pPr>
      <w:r>
        <w:rPr>
          <w:rFonts w:ascii="仿宋" w:hAnsi="仿宋" w:eastAsia="仿宋" w:cs="仿宋"/>
          <w:spacing w:val="-1"/>
          <w:sz w:val="24"/>
          <w:szCs w:val="24"/>
        </w:rPr>
        <w:t>通过上述方式，专家论证会充分发挥了专家集体智慧的作用，使标准修订既体现专家共识，又保持决策过程的科学性和规范性。经专家论证会论证，专家一致认为本标准总体技术方案成熟，修改方向明确，可以作为国际组织标准转化文本的基础。</w:t>
      </w:r>
    </w:p>
    <w:p w14:paraId="78883E46">
      <w:pPr>
        <w:spacing w:before="1" w:line="276" w:lineRule="auto"/>
        <w:ind w:left="481"/>
        <w:rPr>
          <w:rFonts w:ascii="仿宋" w:hAnsi="仿宋" w:eastAsia="仿宋" w:cs="仿宋"/>
          <w:sz w:val="24"/>
          <w:szCs w:val="24"/>
        </w:rPr>
      </w:pPr>
      <w:r>
        <w:rPr>
          <w:rFonts w:ascii="仿宋" w:hAnsi="仿宋" w:eastAsia="仿宋" w:cs="仿宋"/>
          <w:spacing w:val="2"/>
          <w:sz w:val="24"/>
          <w:szCs w:val="24"/>
        </w:rPr>
        <w:t>详见“附件2：专家论证会会议纪要</w:t>
      </w:r>
      <w:r>
        <w:rPr>
          <w:rFonts w:ascii="仿宋" w:hAnsi="仿宋" w:eastAsia="仿宋" w:cs="仿宋"/>
          <w:spacing w:val="-80"/>
          <w:sz w:val="24"/>
          <w:szCs w:val="24"/>
        </w:rPr>
        <w:t xml:space="preserve"> </w:t>
      </w:r>
      <w:r>
        <w:rPr>
          <w:rFonts w:ascii="仿宋" w:hAnsi="仿宋" w:eastAsia="仿宋" w:cs="仿宋"/>
          <w:spacing w:val="2"/>
          <w:sz w:val="24"/>
          <w:szCs w:val="24"/>
        </w:rPr>
        <w:t>”。</w:t>
      </w:r>
    </w:p>
    <w:p w14:paraId="113368FD">
      <w:pPr>
        <w:spacing w:before="114" w:line="276" w:lineRule="auto"/>
        <w:ind w:left="485"/>
        <w:rPr>
          <w:rFonts w:ascii="仿宋" w:hAnsi="仿宋" w:eastAsia="仿宋" w:cs="仿宋"/>
          <w:sz w:val="24"/>
          <w:szCs w:val="24"/>
        </w:rPr>
      </w:pPr>
      <w:r>
        <w:rPr>
          <w:rFonts w:ascii="仿宋" w:hAnsi="仿宋" w:eastAsia="仿宋" w:cs="仿宋"/>
          <w:b/>
          <w:bCs/>
          <w:spacing w:val="-4"/>
          <w:sz w:val="24"/>
          <w:szCs w:val="24"/>
        </w:rPr>
        <w:t>（三）专家指导组审核</w:t>
      </w:r>
    </w:p>
    <w:p w14:paraId="45176A85">
      <w:pPr>
        <w:spacing w:before="113" w:line="276" w:lineRule="auto"/>
        <w:ind w:left="1" w:right="83" w:firstLine="480"/>
        <w:jc w:val="both"/>
        <w:rPr>
          <w:rFonts w:ascii="仿宋" w:hAnsi="仿宋" w:eastAsia="仿宋" w:cs="仿宋"/>
          <w:sz w:val="24"/>
          <w:szCs w:val="24"/>
        </w:rPr>
      </w:pPr>
      <w:r>
        <w:rPr>
          <w:rFonts w:ascii="仿宋" w:hAnsi="仿宋" w:eastAsia="仿宋" w:cs="仿宋"/>
          <w:spacing w:val="-1"/>
          <w:sz w:val="24"/>
          <w:szCs w:val="24"/>
        </w:rPr>
        <w:t>在完成专家问卷调查和专家论证会意见处理的基础上，项目工作组根据专家共识形成了《国际中医技术操作规范 儿科 第</w:t>
      </w:r>
      <w:r>
        <w:rPr>
          <w:rFonts w:ascii="仿宋" w:hAnsi="仿宋" w:eastAsia="仿宋" w:cs="仿宋"/>
          <w:spacing w:val="-46"/>
          <w:sz w:val="24"/>
          <w:szCs w:val="24"/>
        </w:rPr>
        <w:t xml:space="preserve"> </w:t>
      </w:r>
      <w:r>
        <w:rPr>
          <w:rFonts w:ascii="仿宋" w:hAnsi="仿宋" w:eastAsia="仿宋" w:cs="仿宋"/>
          <w:spacing w:val="-1"/>
          <w:sz w:val="24"/>
          <w:szCs w:val="24"/>
        </w:rPr>
        <w:t>5</w:t>
      </w:r>
      <w:r>
        <w:rPr>
          <w:rFonts w:ascii="仿宋" w:hAnsi="仿宋" w:eastAsia="仿宋" w:cs="仿宋"/>
          <w:spacing w:val="-44"/>
          <w:sz w:val="24"/>
          <w:szCs w:val="24"/>
        </w:rPr>
        <w:t xml:space="preserve"> </w:t>
      </w:r>
      <w:r>
        <w:rPr>
          <w:rFonts w:ascii="仿宋" w:hAnsi="仿宋" w:eastAsia="仿宋" w:cs="仿宋"/>
          <w:spacing w:val="-1"/>
          <w:sz w:val="24"/>
          <w:szCs w:val="24"/>
        </w:rPr>
        <w:t>部分：小儿拔</w:t>
      </w:r>
      <w:r>
        <w:rPr>
          <w:rFonts w:ascii="仿宋" w:hAnsi="仿宋" w:eastAsia="仿宋" w:cs="仿宋"/>
          <w:spacing w:val="-2"/>
          <w:sz w:val="24"/>
          <w:szCs w:val="24"/>
        </w:rPr>
        <w:t>罐疗法》草案初稿，并将该稿连同编</w:t>
      </w:r>
      <w:r>
        <w:rPr>
          <w:rFonts w:ascii="仿宋" w:hAnsi="仿宋" w:eastAsia="仿宋" w:cs="仿宋"/>
          <w:spacing w:val="-1"/>
          <w:sz w:val="24"/>
          <w:szCs w:val="24"/>
        </w:rPr>
        <w:t>制说明、专家意见汇总材料等一并提交专家指导组进行审核。</w:t>
      </w:r>
    </w:p>
    <w:p w14:paraId="422CEA6A">
      <w:pPr>
        <w:spacing w:before="4" w:line="276" w:lineRule="auto"/>
        <w:ind w:left="2" w:right="83" w:firstLine="480"/>
        <w:jc w:val="both"/>
        <w:rPr>
          <w:rFonts w:ascii="仿宋" w:hAnsi="仿宋" w:eastAsia="仿宋" w:cs="仿宋"/>
          <w:sz w:val="24"/>
          <w:szCs w:val="24"/>
        </w:rPr>
      </w:pPr>
      <w:r>
        <w:rPr>
          <w:rFonts w:ascii="仿宋" w:hAnsi="仿宋" w:eastAsia="仿宋" w:cs="仿宋"/>
          <w:spacing w:val="-1"/>
          <w:sz w:val="24"/>
          <w:szCs w:val="24"/>
        </w:rPr>
        <w:t>专家指导组从标准定位、技术边界、文本规范性及国际转化可行性等方面，对标准修改稿进行了整体审阅与把关。针对审核过程中提出的意见，项目工作组逐条进行研究和落实，相关修改均未涉及技术内容实质性调整，而是对标准的完整性、严谨性和可读性进行</w:t>
      </w:r>
      <w:r>
        <w:rPr>
          <w:rFonts w:ascii="仿宋" w:hAnsi="仿宋" w:eastAsia="仿宋" w:cs="仿宋"/>
          <w:spacing w:val="-3"/>
          <w:sz w:val="24"/>
          <w:szCs w:val="24"/>
        </w:rPr>
        <w:t>进一步完善。</w:t>
      </w:r>
    </w:p>
    <w:p w14:paraId="5CAD9AA4">
      <w:pPr>
        <w:spacing w:line="276" w:lineRule="auto"/>
        <w:ind w:left="2" w:firstLine="480"/>
        <w:rPr>
          <w:rFonts w:ascii="仿宋" w:hAnsi="仿宋" w:eastAsia="仿宋" w:cs="仿宋"/>
          <w:sz w:val="24"/>
          <w:szCs w:val="24"/>
        </w:rPr>
      </w:pPr>
      <w:r>
        <w:rPr>
          <w:rFonts w:ascii="仿宋" w:hAnsi="仿宋" w:eastAsia="仿宋" w:cs="仿宋"/>
          <w:spacing w:val="-1"/>
          <w:sz w:val="24"/>
          <w:szCs w:val="24"/>
        </w:rPr>
        <w:t>在充分吸收专家指导组审核意见的基础上，项目工作组对标准草案文本和编制说明进</w:t>
      </w:r>
      <w:r>
        <w:rPr>
          <w:rFonts w:ascii="仿宋" w:hAnsi="仿宋" w:eastAsia="仿宋" w:cs="仿宋"/>
          <w:spacing w:val="-5"/>
          <w:sz w:val="24"/>
          <w:szCs w:val="24"/>
        </w:rPr>
        <w:t>行了最终修改，形成了本标准的定稿文本，为后续履行国际组织标准报批程序奠定了基础。</w:t>
      </w:r>
    </w:p>
    <w:p w14:paraId="5E439216">
      <w:pPr>
        <w:spacing w:before="0" w:beforeLines="100" w:afterLines="100" w:line="276" w:lineRule="auto"/>
        <w:ind w:left="476"/>
        <w:outlineLvl w:val="0"/>
        <w:rPr>
          <w:rFonts w:ascii="黑体" w:hAnsi="黑体" w:eastAsia="黑体" w:cs="黑体"/>
          <w:b/>
          <w:bCs/>
          <w:spacing w:val="-4"/>
          <w:sz w:val="24"/>
          <w:szCs w:val="24"/>
        </w:rPr>
      </w:pPr>
      <w:bookmarkStart w:id="4" w:name="bookmark5"/>
      <w:bookmarkEnd w:id="4"/>
      <w:r>
        <w:rPr>
          <w:rFonts w:ascii="黑体" w:hAnsi="黑体" w:eastAsia="黑体" w:cs="黑体"/>
          <w:b/>
          <w:bCs/>
          <w:spacing w:val="-4"/>
          <w:sz w:val="24"/>
          <w:szCs w:val="24"/>
        </w:rPr>
        <w:t>五、作为国际组织标准的建议</w:t>
      </w:r>
    </w:p>
    <w:p w14:paraId="4A42126B">
      <w:pPr>
        <w:spacing w:before="109" w:line="276" w:lineRule="auto"/>
        <w:ind w:left="1" w:right="83" w:firstLine="478"/>
        <w:jc w:val="both"/>
        <w:rPr>
          <w:rFonts w:ascii="仿宋" w:hAnsi="仿宋" w:eastAsia="仿宋" w:cs="仿宋"/>
          <w:sz w:val="24"/>
          <w:szCs w:val="24"/>
        </w:rPr>
      </w:pPr>
      <w:r>
        <w:rPr>
          <w:rFonts w:ascii="仿宋" w:hAnsi="仿宋" w:eastAsia="仿宋" w:cs="仿宋"/>
          <w:spacing w:val="-1"/>
          <w:sz w:val="24"/>
          <w:szCs w:val="24"/>
        </w:rPr>
        <w:t>《国际中医技术操作规范 儿科 第</w:t>
      </w:r>
      <w:r>
        <w:rPr>
          <w:rFonts w:ascii="仿宋" w:hAnsi="仿宋" w:eastAsia="仿宋" w:cs="仿宋"/>
          <w:spacing w:val="-47"/>
          <w:sz w:val="24"/>
          <w:szCs w:val="24"/>
        </w:rPr>
        <w:t xml:space="preserve"> </w:t>
      </w:r>
      <w:r>
        <w:rPr>
          <w:rFonts w:ascii="仿宋" w:hAnsi="仿宋" w:eastAsia="仿宋" w:cs="仿宋"/>
          <w:spacing w:val="-1"/>
          <w:sz w:val="24"/>
          <w:szCs w:val="24"/>
        </w:rPr>
        <w:t>5</w:t>
      </w:r>
      <w:r>
        <w:rPr>
          <w:rFonts w:ascii="仿宋" w:hAnsi="仿宋" w:eastAsia="仿宋" w:cs="仿宋"/>
          <w:spacing w:val="-43"/>
          <w:sz w:val="24"/>
          <w:szCs w:val="24"/>
        </w:rPr>
        <w:t xml:space="preserve"> </w:t>
      </w:r>
      <w:r>
        <w:rPr>
          <w:rFonts w:ascii="仿宋" w:hAnsi="仿宋" w:eastAsia="仿宋" w:cs="仿宋"/>
          <w:spacing w:val="-1"/>
          <w:sz w:val="24"/>
          <w:szCs w:val="24"/>
        </w:rPr>
        <w:t>部分：小儿</w:t>
      </w:r>
      <w:r>
        <w:rPr>
          <w:rFonts w:ascii="仿宋" w:hAnsi="仿宋" w:eastAsia="仿宋" w:cs="仿宋"/>
          <w:spacing w:val="-2"/>
          <w:sz w:val="24"/>
          <w:szCs w:val="24"/>
        </w:rPr>
        <w:t>拔罐疗法》作为世界中医药学会联合会发布的国际组织标准，</w:t>
      </w:r>
      <w:r>
        <w:rPr>
          <w:rFonts w:ascii="仿宋" w:hAnsi="仿宋" w:eastAsia="仿宋" w:cs="仿宋"/>
          <w:spacing w:val="-64"/>
          <w:sz w:val="24"/>
          <w:szCs w:val="24"/>
        </w:rPr>
        <w:t xml:space="preserve"> </w:t>
      </w:r>
      <w:r>
        <w:rPr>
          <w:rFonts w:ascii="仿宋" w:hAnsi="仿宋" w:eastAsia="仿宋" w:cs="仿宋"/>
          <w:spacing w:val="-2"/>
          <w:sz w:val="24"/>
          <w:szCs w:val="24"/>
        </w:rPr>
        <w:t>旨在规范中医儿科临床中小儿拔罐疗法技术操作，为不</w:t>
      </w:r>
      <w:r>
        <w:rPr>
          <w:rFonts w:ascii="仿宋" w:hAnsi="仿宋" w:eastAsia="仿宋" w:cs="仿宋"/>
          <w:spacing w:val="-3"/>
          <w:sz w:val="24"/>
          <w:szCs w:val="24"/>
        </w:rPr>
        <w:t>同国家和</w:t>
      </w:r>
      <w:r>
        <w:rPr>
          <w:rFonts w:ascii="仿宋" w:hAnsi="仿宋" w:eastAsia="仿宋" w:cs="仿宋"/>
          <w:spacing w:val="-1"/>
          <w:sz w:val="24"/>
          <w:szCs w:val="24"/>
        </w:rPr>
        <w:t>地区开展中医儿科诊疗活动提供可参考、可借鉴的技术依据。</w:t>
      </w:r>
    </w:p>
    <w:p w14:paraId="501AF9B6">
      <w:pPr>
        <w:spacing w:before="3" w:line="276" w:lineRule="auto"/>
        <w:ind w:right="83" w:firstLine="480"/>
        <w:jc w:val="both"/>
        <w:rPr>
          <w:rFonts w:ascii="仿宋" w:hAnsi="仿宋" w:eastAsia="仿宋" w:cs="仿宋"/>
          <w:sz w:val="24"/>
          <w:szCs w:val="24"/>
        </w:rPr>
      </w:pPr>
      <w:r>
        <w:rPr>
          <w:rFonts w:ascii="仿宋" w:hAnsi="仿宋" w:eastAsia="仿宋" w:cs="仿宋"/>
          <w:spacing w:val="-1"/>
          <w:sz w:val="24"/>
          <w:szCs w:val="24"/>
        </w:rPr>
        <w:t>本标准不具有强制性，不作为医疗行为准入或执业资格认定依据，也不替代各国及地区现行法律法规、强制性标准或临床诊疗指南。标准的主要作用在于：规范中医儿科拔罐操作流程；提升相关技术操作的安全性和一致性；为临床实践、教学培训及国际交流提供</w:t>
      </w:r>
    </w:p>
    <w:p w14:paraId="4511DD07">
      <w:pPr>
        <w:spacing w:before="102" w:line="276" w:lineRule="auto"/>
        <w:ind w:left="15" w:right="83" w:hanging="8"/>
        <w:rPr>
          <w:rFonts w:ascii="仿宋" w:hAnsi="仿宋" w:eastAsia="仿宋" w:cs="仿宋"/>
          <w:sz w:val="24"/>
          <w:szCs w:val="24"/>
        </w:rPr>
      </w:pPr>
      <w:r>
        <w:rPr>
          <w:rFonts w:ascii="仿宋" w:hAnsi="仿宋" w:eastAsia="仿宋" w:cs="仿宋"/>
          <w:spacing w:val="-1"/>
          <w:sz w:val="24"/>
          <w:szCs w:val="24"/>
        </w:rPr>
        <w:t>统一的技术语言和操作框架。在具体应用过程中，各国和地区可结合自身法律法规、医疗管理制度及临床实际情况，对本标准内容进</w:t>
      </w:r>
      <w:r>
        <w:rPr>
          <w:rFonts w:ascii="仿宋" w:hAnsi="仿宋" w:eastAsia="仿宋" w:cs="仿宋"/>
          <w:spacing w:val="-2"/>
          <w:sz w:val="24"/>
          <w:szCs w:val="24"/>
        </w:rPr>
        <w:t>行合理选用。</w:t>
      </w:r>
    </w:p>
    <w:p w14:paraId="265386BC">
      <w:pPr>
        <w:spacing w:beforeLines="100" w:afterLines="100" w:line="276" w:lineRule="auto"/>
        <w:ind w:left="476"/>
        <w:outlineLvl w:val="0"/>
        <w:rPr>
          <w:rFonts w:ascii="黑体" w:hAnsi="黑体" w:eastAsia="黑体" w:cs="黑体"/>
          <w:b/>
          <w:bCs/>
          <w:spacing w:val="-4"/>
          <w:sz w:val="24"/>
          <w:szCs w:val="24"/>
        </w:rPr>
      </w:pPr>
      <w:bookmarkStart w:id="5" w:name="bookmark6"/>
      <w:bookmarkEnd w:id="5"/>
      <w:r>
        <w:rPr>
          <w:rFonts w:ascii="黑体" w:hAnsi="黑体" w:eastAsia="黑体" w:cs="黑体"/>
          <w:b/>
          <w:bCs/>
          <w:spacing w:val="-4"/>
          <w:sz w:val="24"/>
          <w:szCs w:val="24"/>
        </w:rPr>
        <w:t>六、贯彻标准的要求和措施建议</w:t>
      </w:r>
    </w:p>
    <w:p w14:paraId="3B684D20">
      <w:pPr>
        <w:spacing w:before="113" w:line="276" w:lineRule="auto"/>
        <w:ind w:left="5" w:right="83" w:firstLine="478"/>
        <w:rPr>
          <w:rFonts w:ascii="仿宋" w:hAnsi="仿宋" w:eastAsia="仿宋" w:cs="仿宋"/>
          <w:sz w:val="24"/>
          <w:szCs w:val="24"/>
        </w:rPr>
      </w:pPr>
      <w:r>
        <w:rPr>
          <w:rFonts w:ascii="仿宋" w:hAnsi="仿宋" w:eastAsia="仿宋" w:cs="仿宋"/>
          <w:spacing w:val="6"/>
          <w:sz w:val="24"/>
          <w:szCs w:val="24"/>
        </w:rPr>
        <w:t>本标准经世界中医药学会联合会审评批准并发布实施后，建议通过多种渠道开</w:t>
      </w:r>
      <w:r>
        <w:rPr>
          <w:rFonts w:ascii="仿宋" w:hAnsi="仿宋" w:eastAsia="仿宋" w:cs="仿宋"/>
          <w:spacing w:val="5"/>
          <w:sz w:val="24"/>
          <w:szCs w:val="24"/>
        </w:rPr>
        <w:t>展宣</w:t>
      </w:r>
      <w:r>
        <w:rPr>
          <w:rFonts w:ascii="仿宋" w:hAnsi="仿宋" w:eastAsia="仿宋" w:cs="仿宋"/>
          <w:spacing w:val="-1"/>
          <w:sz w:val="24"/>
          <w:szCs w:val="24"/>
        </w:rPr>
        <w:t>传、贯彻和应用工作，以促进标准在</w:t>
      </w:r>
      <w:r>
        <w:rPr>
          <w:rFonts w:hint="eastAsia" w:ascii="仿宋" w:hAnsi="仿宋" w:eastAsia="仿宋" w:cs="仿宋"/>
          <w:spacing w:val="-1"/>
          <w:sz w:val="24"/>
          <w:szCs w:val="24"/>
          <w:lang w:eastAsia="zh-CN"/>
        </w:rPr>
        <w:t>海内外</w:t>
      </w:r>
      <w:r>
        <w:rPr>
          <w:rFonts w:ascii="仿宋" w:hAnsi="仿宋" w:eastAsia="仿宋" w:cs="仿宋"/>
          <w:spacing w:val="-1"/>
          <w:sz w:val="24"/>
          <w:szCs w:val="24"/>
        </w:rPr>
        <w:t>中医儿科领域的推广和合理使用。</w:t>
      </w:r>
    </w:p>
    <w:p w14:paraId="4F089161">
      <w:pPr>
        <w:spacing w:before="2" w:line="276" w:lineRule="auto"/>
        <w:ind w:left="30" w:right="83" w:firstLine="457"/>
        <w:rPr>
          <w:rFonts w:ascii="仿宋" w:hAnsi="仿宋" w:eastAsia="仿宋" w:cs="仿宋"/>
          <w:sz w:val="24"/>
          <w:szCs w:val="24"/>
        </w:rPr>
      </w:pPr>
      <w:r>
        <w:rPr>
          <w:rFonts w:ascii="仿宋" w:hAnsi="仿宋" w:eastAsia="仿宋" w:cs="仿宋"/>
          <w:spacing w:val="1"/>
          <w:sz w:val="24"/>
          <w:szCs w:val="24"/>
        </w:rPr>
        <w:t>（1）</w:t>
      </w:r>
      <w:r>
        <w:rPr>
          <w:rFonts w:ascii="仿宋" w:hAnsi="仿宋" w:eastAsia="仿宋" w:cs="仿宋"/>
          <w:spacing w:val="-67"/>
          <w:sz w:val="24"/>
          <w:szCs w:val="24"/>
        </w:rPr>
        <w:t xml:space="preserve"> </w:t>
      </w:r>
      <w:r>
        <w:rPr>
          <w:rFonts w:ascii="仿宋" w:hAnsi="仿宋" w:eastAsia="仿宋" w:cs="仿宋"/>
          <w:spacing w:val="1"/>
          <w:sz w:val="24"/>
          <w:szCs w:val="24"/>
        </w:rPr>
        <w:t>由世界中医药学会联合会统筹组织标准的国际宣传与推广应用，并结合各成员</w:t>
      </w:r>
      <w:r>
        <w:rPr>
          <w:rFonts w:ascii="仿宋" w:hAnsi="仿宋" w:eastAsia="仿宋" w:cs="仿宋"/>
          <w:spacing w:val="-1"/>
          <w:sz w:val="24"/>
          <w:szCs w:val="24"/>
        </w:rPr>
        <w:t>国家和地区的实际情况，推动标准在中医儿科临床、教学</w:t>
      </w:r>
      <w:r>
        <w:rPr>
          <w:rFonts w:ascii="仿宋" w:hAnsi="仿宋" w:eastAsia="仿宋" w:cs="仿宋"/>
          <w:spacing w:val="-2"/>
          <w:sz w:val="24"/>
          <w:szCs w:val="24"/>
        </w:rPr>
        <w:t>和科研中的参考使用。</w:t>
      </w:r>
    </w:p>
    <w:p w14:paraId="56923DE0">
      <w:pPr>
        <w:spacing w:before="1" w:line="276" w:lineRule="auto"/>
        <w:ind w:left="4" w:firstLine="483"/>
        <w:rPr>
          <w:rFonts w:ascii="仿宋" w:hAnsi="仿宋" w:eastAsia="仿宋" w:cs="仿宋"/>
          <w:sz w:val="24"/>
          <w:szCs w:val="24"/>
        </w:rPr>
      </w:pPr>
      <w:r>
        <w:rPr>
          <w:rFonts w:ascii="仿宋" w:hAnsi="仿宋" w:eastAsia="仿宋" w:cs="仿宋"/>
          <w:spacing w:val="2"/>
          <w:sz w:val="24"/>
          <w:szCs w:val="24"/>
        </w:rPr>
        <w:t>（2）依托世界中医药学会联合会及儿科专业委员会等，组织开展标准解读和应用培</w:t>
      </w:r>
      <w:r>
        <w:rPr>
          <w:rFonts w:ascii="仿宋" w:hAnsi="仿宋" w:eastAsia="仿宋" w:cs="仿宋"/>
          <w:spacing w:val="-5"/>
          <w:sz w:val="24"/>
          <w:szCs w:val="24"/>
        </w:rPr>
        <w:t>训，重点面向中医儿科临床医师及相关专业技术人员，提升对标准内容和适用原则的理解。</w:t>
      </w:r>
    </w:p>
    <w:p w14:paraId="6E69F63A">
      <w:pPr>
        <w:spacing w:before="2" w:line="276" w:lineRule="auto"/>
        <w:ind w:left="4" w:right="83" w:firstLine="483"/>
        <w:rPr>
          <w:rFonts w:ascii="仿宋" w:hAnsi="仿宋" w:eastAsia="仿宋" w:cs="仿宋"/>
          <w:sz w:val="24"/>
          <w:szCs w:val="24"/>
        </w:rPr>
      </w:pPr>
      <w:r>
        <w:rPr>
          <w:rFonts w:ascii="仿宋" w:hAnsi="仿宋" w:eastAsia="仿宋" w:cs="仿宋"/>
          <w:spacing w:val="2"/>
          <w:sz w:val="24"/>
          <w:szCs w:val="24"/>
        </w:rPr>
        <w:t>（3）通过</w:t>
      </w:r>
      <w:r>
        <w:rPr>
          <w:rFonts w:hint="eastAsia" w:ascii="仿宋" w:hAnsi="仿宋" w:eastAsia="仿宋" w:cs="仿宋"/>
          <w:spacing w:val="2"/>
          <w:sz w:val="24"/>
          <w:szCs w:val="24"/>
          <w:lang w:eastAsia="zh-CN"/>
        </w:rPr>
        <w:t>海内外</w:t>
      </w:r>
      <w:r>
        <w:rPr>
          <w:rFonts w:ascii="仿宋" w:hAnsi="仿宋" w:eastAsia="仿宋" w:cs="仿宋"/>
          <w:spacing w:val="2"/>
          <w:sz w:val="24"/>
          <w:szCs w:val="24"/>
        </w:rPr>
        <w:t>中医药及相关医学学术会议、专题研讨会等形式，对本标准进行介</w:t>
      </w:r>
      <w:r>
        <w:rPr>
          <w:rFonts w:ascii="仿宋" w:hAnsi="仿宋" w:eastAsia="仿宋" w:cs="仿宋"/>
          <w:spacing w:val="-1"/>
          <w:sz w:val="24"/>
          <w:szCs w:val="24"/>
        </w:rPr>
        <w:t>绍和解读，促进学术界对小儿拔罐疗法技术规范化的共识形成。</w:t>
      </w:r>
    </w:p>
    <w:p w14:paraId="43275A2B">
      <w:pPr>
        <w:spacing w:before="2" w:line="276" w:lineRule="auto"/>
        <w:ind w:left="5" w:right="83" w:firstLine="482"/>
        <w:rPr>
          <w:rFonts w:ascii="仿宋" w:hAnsi="仿宋" w:eastAsia="仿宋" w:cs="仿宋"/>
          <w:sz w:val="24"/>
          <w:szCs w:val="24"/>
        </w:rPr>
      </w:pPr>
      <w:r>
        <w:rPr>
          <w:rFonts w:ascii="仿宋" w:hAnsi="仿宋" w:eastAsia="仿宋" w:cs="仿宋"/>
          <w:spacing w:val="2"/>
          <w:sz w:val="24"/>
          <w:szCs w:val="24"/>
        </w:rPr>
        <w:t>（4）在学术期刊及专业媒体上发表标准文本、编制说明及相关研究成果，扩大标准</w:t>
      </w:r>
      <w:r>
        <w:rPr>
          <w:rFonts w:ascii="仿宋" w:hAnsi="仿宋" w:eastAsia="仿宋" w:cs="仿宋"/>
          <w:spacing w:val="-1"/>
          <w:sz w:val="24"/>
          <w:szCs w:val="24"/>
        </w:rPr>
        <w:t>影响力，并在应用过程中持续收集反馈意见，为后续修订提供依据。</w:t>
      </w:r>
    </w:p>
    <w:p w14:paraId="14010DD7">
      <w:pPr>
        <w:spacing w:before="0" w:beforeLines="100" w:afterLines="100" w:line="276" w:lineRule="auto"/>
        <w:ind w:left="476"/>
        <w:outlineLvl w:val="0"/>
        <w:rPr>
          <w:rFonts w:ascii="黑体" w:hAnsi="黑体" w:eastAsia="黑体" w:cs="黑体"/>
          <w:b/>
          <w:bCs/>
          <w:spacing w:val="-4"/>
          <w:sz w:val="24"/>
          <w:szCs w:val="24"/>
        </w:rPr>
      </w:pPr>
      <w:bookmarkStart w:id="6" w:name="bookmark7"/>
      <w:bookmarkEnd w:id="6"/>
      <w:r>
        <w:rPr>
          <w:rFonts w:ascii="黑体" w:hAnsi="黑体" w:eastAsia="黑体" w:cs="黑体"/>
          <w:b/>
          <w:bCs/>
          <w:spacing w:val="-4"/>
          <w:sz w:val="24"/>
          <w:szCs w:val="24"/>
        </w:rPr>
        <w:t>七、应用时的促进和阻碍因素</w:t>
      </w:r>
    </w:p>
    <w:p w14:paraId="60304A8D">
      <w:pPr>
        <w:spacing w:before="109" w:line="276" w:lineRule="auto"/>
        <w:ind w:left="4" w:right="83" w:firstLine="479"/>
        <w:rPr>
          <w:rFonts w:ascii="仿宋" w:hAnsi="仿宋" w:eastAsia="仿宋" w:cs="仿宋"/>
          <w:sz w:val="24"/>
          <w:szCs w:val="24"/>
        </w:rPr>
      </w:pPr>
      <w:r>
        <w:rPr>
          <w:rFonts w:ascii="仿宋" w:hAnsi="仿宋" w:eastAsia="仿宋" w:cs="仿宋"/>
          <w:spacing w:val="-1"/>
          <w:sz w:val="24"/>
          <w:szCs w:val="24"/>
        </w:rPr>
        <w:t>本标准通过世界中医药学会联合会审评并发布后，将作为国际组织推荐性标准实施。在应用过程中，可借助世界中医药学会联合会的学术影响力，以及培训、会议和学术期刊等多种渠道，促进标准在</w:t>
      </w:r>
      <w:r>
        <w:rPr>
          <w:rFonts w:hint="eastAsia" w:ascii="仿宋" w:hAnsi="仿宋" w:eastAsia="仿宋" w:cs="仿宋"/>
          <w:spacing w:val="-1"/>
          <w:sz w:val="24"/>
          <w:szCs w:val="24"/>
          <w:lang w:eastAsia="zh-CN"/>
        </w:rPr>
        <w:t>海内外</w:t>
      </w:r>
      <w:r>
        <w:rPr>
          <w:rFonts w:ascii="仿宋" w:hAnsi="仿宋" w:eastAsia="仿宋" w:cs="仿宋"/>
          <w:spacing w:val="-1"/>
          <w:sz w:val="24"/>
          <w:szCs w:val="24"/>
        </w:rPr>
        <w:t>中医儿科领域的传播与应用。</w:t>
      </w:r>
    </w:p>
    <w:p w14:paraId="05FCDB4A">
      <w:pPr>
        <w:spacing w:before="4" w:line="276" w:lineRule="auto"/>
        <w:ind w:left="2" w:right="83" w:firstLine="508"/>
        <w:jc w:val="both"/>
        <w:rPr>
          <w:rFonts w:ascii="仿宋" w:hAnsi="仿宋" w:eastAsia="仿宋" w:cs="仿宋"/>
          <w:sz w:val="24"/>
          <w:szCs w:val="24"/>
        </w:rPr>
      </w:pPr>
      <w:r>
        <w:rPr>
          <w:rFonts w:ascii="仿宋" w:hAnsi="仿宋" w:eastAsia="仿宋" w:cs="仿宋"/>
          <w:spacing w:val="-1"/>
          <w:sz w:val="24"/>
          <w:szCs w:val="24"/>
        </w:rPr>
        <w:t>同时，也应充分认识到本标准在推广应用过程中</w:t>
      </w:r>
      <w:r>
        <w:rPr>
          <w:rFonts w:ascii="仿宋" w:hAnsi="仿宋" w:eastAsia="仿宋" w:cs="仿宋"/>
          <w:spacing w:val="-2"/>
          <w:sz w:val="24"/>
          <w:szCs w:val="24"/>
        </w:rPr>
        <w:t>可能面临的客观因素。一方面，不同</w:t>
      </w:r>
      <w:r>
        <w:rPr>
          <w:rFonts w:ascii="仿宋" w:hAnsi="仿宋" w:eastAsia="仿宋" w:cs="仿宋"/>
          <w:spacing w:val="-1"/>
          <w:sz w:val="24"/>
          <w:szCs w:val="24"/>
        </w:rPr>
        <w:t>国家和地区在中医药法律地位、医疗管理制度及临床实践模式方面存在差异；另一方面，中医儿科领域历来存在不同学术流派和个体经验，临床操作习惯不尽一致，可能在一定程</w:t>
      </w:r>
      <w:r>
        <w:rPr>
          <w:rFonts w:ascii="仿宋" w:hAnsi="仿宋" w:eastAsia="仿宋" w:cs="仿宋"/>
          <w:spacing w:val="-2"/>
          <w:sz w:val="24"/>
          <w:szCs w:val="24"/>
        </w:rPr>
        <w:t>度上影响标准的统一应用。</w:t>
      </w:r>
    </w:p>
    <w:p w14:paraId="358D8986">
      <w:pPr>
        <w:spacing w:before="2" w:line="276" w:lineRule="auto"/>
        <w:ind w:right="83" w:firstLine="493"/>
        <w:jc w:val="both"/>
        <w:rPr>
          <w:rFonts w:ascii="仿宋" w:hAnsi="仿宋" w:eastAsia="仿宋" w:cs="仿宋"/>
          <w:sz w:val="24"/>
          <w:szCs w:val="24"/>
        </w:rPr>
      </w:pPr>
      <w:r>
        <w:rPr>
          <w:rFonts w:ascii="仿宋" w:hAnsi="仿宋" w:eastAsia="仿宋" w:cs="仿宋"/>
          <w:spacing w:val="-1"/>
          <w:sz w:val="24"/>
          <w:szCs w:val="24"/>
        </w:rPr>
        <w:t>随着中医药国际交流的不断深化、中医儿科临床共识的逐步形成，以及对标准化理念认同度的提升，通过持续培训、示范应用和标准动态完善，本标准的可接受性和应用范围</w:t>
      </w:r>
      <w:r>
        <w:rPr>
          <w:rFonts w:ascii="仿宋" w:hAnsi="仿宋" w:eastAsia="仿宋" w:cs="仿宋"/>
          <w:spacing w:val="-2"/>
          <w:sz w:val="24"/>
          <w:szCs w:val="24"/>
        </w:rPr>
        <w:t>有望不断扩大。</w:t>
      </w:r>
    </w:p>
    <w:p w14:paraId="0798F25B">
      <w:pPr>
        <w:spacing w:before="0" w:beforeLines="100" w:afterLines="100" w:line="276" w:lineRule="auto"/>
        <w:ind w:left="476"/>
        <w:outlineLvl w:val="0"/>
        <w:rPr>
          <w:rFonts w:ascii="黑体" w:hAnsi="黑体" w:eastAsia="黑体" w:cs="黑体"/>
          <w:b/>
          <w:bCs/>
          <w:spacing w:val="-4"/>
          <w:sz w:val="24"/>
          <w:szCs w:val="24"/>
        </w:rPr>
      </w:pPr>
      <w:bookmarkStart w:id="7" w:name="bookmark8"/>
      <w:bookmarkEnd w:id="7"/>
      <w:r>
        <w:rPr>
          <w:rFonts w:ascii="黑体" w:hAnsi="黑体" w:eastAsia="黑体" w:cs="黑体"/>
          <w:b/>
          <w:bCs/>
          <w:spacing w:val="-4"/>
          <w:sz w:val="24"/>
          <w:szCs w:val="24"/>
        </w:rPr>
        <w:t>八、应当说明的其他事项</w:t>
      </w:r>
    </w:p>
    <w:p w14:paraId="4062F2DE">
      <w:pPr>
        <w:spacing w:before="114" w:line="276" w:lineRule="auto"/>
        <w:ind w:right="83" w:firstLine="486"/>
        <w:jc w:val="both"/>
        <w:rPr>
          <w:rFonts w:ascii="仿宋" w:hAnsi="仿宋" w:eastAsia="仿宋" w:cs="仿宋"/>
          <w:sz w:val="24"/>
          <w:szCs w:val="24"/>
        </w:rPr>
      </w:pPr>
      <w:r>
        <w:rPr>
          <w:rFonts w:ascii="仿宋" w:hAnsi="仿宋" w:eastAsia="仿宋" w:cs="仿宋"/>
          <w:spacing w:val="-1"/>
          <w:sz w:val="24"/>
          <w:szCs w:val="24"/>
        </w:rPr>
        <w:t>鉴于中医儿科临床实践的发展和相关技术方法的不断进步，建议在本标准发布实施后</w:t>
      </w:r>
      <w:r>
        <w:rPr>
          <w:rFonts w:ascii="仿宋" w:hAnsi="仿宋" w:eastAsia="仿宋" w:cs="仿宋"/>
          <w:spacing w:val="-3"/>
          <w:sz w:val="24"/>
          <w:szCs w:val="24"/>
        </w:rPr>
        <w:t>3～5</w:t>
      </w:r>
      <w:r>
        <w:rPr>
          <w:rFonts w:ascii="仿宋" w:hAnsi="仿宋" w:eastAsia="仿宋" w:cs="仿宋"/>
          <w:spacing w:val="-22"/>
          <w:sz w:val="24"/>
          <w:szCs w:val="24"/>
        </w:rPr>
        <w:t xml:space="preserve"> </w:t>
      </w:r>
      <w:r>
        <w:rPr>
          <w:rFonts w:ascii="仿宋" w:hAnsi="仿宋" w:eastAsia="仿宋" w:cs="仿宋"/>
          <w:spacing w:val="-3"/>
          <w:sz w:val="24"/>
          <w:szCs w:val="24"/>
        </w:rPr>
        <w:t>年，结合国际应用反馈、临床研究进展及安全性证据，对本标准进行系统评估，并视</w:t>
      </w:r>
      <w:r>
        <w:rPr>
          <w:rFonts w:ascii="仿宋" w:hAnsi="仿宋" w:eastAsia="仿宋" w:cs="仿宋"/>
          <w:sz w:val="24"/>
          <w:szCs w:val="24"/>
        </w:rPr>
        <w:t>情况开展补充、修订或更新工作，以保持标准</w:t>
      </w:r>
      <w:r>
        <w:rPr>
          <w:rFonts w:ascii="仿宋" w:hAnsi="仿宋" w:eastAsia="仿宋" w:cs="仿宋"/>
          <w:spacing w:val="-1"/>
          <w:sz w:val="24"/>
          <w:szCs w:val="24"/>
        </w:rPr>
        <w:t>内容的科学性、先进性和适用性。</w:t>
      </w:r>
    </w:p>
    <w:p w14:paraId="6BDB2BB6">
      <w:pPr>
        <w:spacing w:line="276" w:lineRule="auto"/>
        <w:rPr>
          <w:rFonts w:ascii="仿宋" w:hAnsi="仿宋" w:eastAsia="仿宋" w:cs="仿宋"/>
          <w:sz w:val="24"/>
          <w:szCs w:val="24"/>
        </w:rPr>
        <w:sectPr>
          <w:footerReference r:id="rId7" w:type="default"/>
          <w:pgSz w:w="11906" w:h="16839"/>
          <w:pgMar w:top="1431" w:right="1051" w:bottom="1362" w:left="1431" w:header="0" w:footer="1200" w:gutter="0"/>
          <w:cols w:space="720" w:num="1"/>
        </w:sectPr>
      </w:pPr>
    </w:p>
    <w:p w14:paraId="00FE209F">
      <w:pPr>
        <w:spacing w:before="0" w:beforeLines="100" w:afterLines="100" w:line="276" w:lineRule="auto"/>
        <w:ind w:left="476"/>
        <w:outlineLvl w:val="0"/>
        <w:rPr>
          <w:rFonts w:ascii="黑体" w:hAnsi="黑体" w:eastAsia="黑体" w:cs="黑体"/>
          <w:b/>
          <w:bCs/>
          <w:spacing w:val="-4"/>
          <w:sz w:val="24"/>
          <w:szCs w:val="24"/>
        </w:rPr>
      </w:pPr>
      <w:bookmarkStart w:id="8" w:name="bookmark9"/>
      <w:bookmarkEnd w:id="8"/>
      <w:r>
        <w:rPr>
          <w:rFonts w:ascii="黑体" w:hAnsi="黑体" w:eastAsia="黑体" w:cs="黑体"/>
          <w:b/>
          <w:bCs/>
          <w:spacing w:val="-4"/>
          <w:sz w:val="24"/>
          <w:szCs w:val="24"/>
        </w:rPr>
        <w:t>附件 1</w:t>
      </w:r>
      <w:r>
        <w:rPr>
          <w:rFonts w:hint="default" w:ascii="黑体" w:hAnsi="黑体" w:eastAsia="黑体" w:cs="黑体"/>
          <w:b/>
          <w:bCs/>
          <w:spacing w:val="-4"/>
          <w:sz w:val="24"/>
          <w:szCs w:val="24"/>
          <w:lang w:val="en-US" w:eastAsia="zh-CN"/>
        </w:rPr>
        <w:t xml:space="preserve"> </w:t>
      </w:r>
      <w:bookmarkStart w:id="9" w:name="bookmark12"/>
      <w:bookmarkEnd w:id="9"/>
      <w:r>
        <w:rPr>
          <w:rFonts w:ascii="黑体" w:hAnsi="黑体" w:eastAsia="黑体" w:cs="黑体"/>
          <w:b/>
          <w:bCs/>
          <w:spacing w:val="-4"/>
          <w:sz w:val="24"/>
          <w:szCs w:val="24"/>
        </w:rPr>
        <w:t>专家调查问卷报告</w:t>
      </w:r>
    </w:p>
    <w:p w14:paraId="043134F9">
      <w:pPr>
        <w:pStyle w:val="3"/>
        <w:spacing w:line="276" w:lineRule="auto"/>
      </w:pPr>
    </w:p>
    <w:p w14:paraId="75848A99">
      <w:pPr>
        <w:spacing w:before="78" w:line="276" w:lineRule="auto"/>
        <w:ind w:left="3716" w:right="1246" w:hanging="2057"/>
        <w:rPr>
          <w:rFonts w:ascii="黑体" w:hAnsi="黑体" w:eastAsia="黑体" w:cs="黑体"/>
          <w:sz w:val="24"/>
          <w:szCs w:val="24"/>
        </w:rPr>
      </w:pPr>
      <w:r>
        <w:rPr>
          <w:rFonts w:ascii="黑体" w:hAnsi="黑体" w:eastAsia="黑体" w:cs="黑体"/>
          <w:b/>
          <w:bCs/>
          <w:spacing w:val="-3"/>
          <w:sz w:val="24"/>
          <w:szCs w:val="24"/>
        </w:rPr>
        <w:t>《国际中医技术操作规范</w:t>
      </w:r>
      <w:r>
        <w:rPr>
          <w:rFonts w:ascii="黑体" w:hAnsi="黑体" w:eastAsia="黑体" w:cs="黑体"/>
          <w:spacing w:val="-3"/>
          <w:sz w:val="24"/>
          <w:szCs w:val="24"/>
        </w:rPr>
        <w:t xml:space="preserve">  </w:t>
      </w:r>
      <w:r>
        <w:rPr>
          <w:rFonts w:ascii="黑体" w:hAnsi="黑体" w:eastAsia="黑体" w:cs="黑体"/>
          <w:b/>
          <w:bCs/>
          <w:spacing w:val="-3"/>
          <w:sz w:val="24"/>
          <w:szCs w:val="24"/>
        </w:rPr>
        <w:t>儿科</w:t>
      </w:r>
      <w:r>
        <w:rPr>
          <w:rFonts w:ascii="黑体" w:hAnsi="黑体" w:eastAsia="黑体" w:cs="黑体"/>
          <w:spacing w:val="-3"/>
          <w:sz w:val="24"/>
          <w:szCs w:val="24"/>
        </w:rPr>
        <w:t xml:space="preserve">  </w:t>
      </w:r>
      <w:r>
        <w:rPr>
          <w:rFonts w:ascii="黑体" w:hAnsi="黑体" w:eastAsia="黑体" w:cs="黑体"/>
          <w:b/>
          <w:bCs/>
          <w:spacing w:val="-3"/>
          <w:sz w:val="24"/>
          <w:szCs w:val="24"/>
        </w:rPr>
        <w:t>第</w:t>
      </w:r>
      <w:r>
        <w:rPr>
          <w:rFonts w:ascii="黑体" w:hAnsi="黑体" w:eastAsia="黑体" w:cs="黑体"/>
          <w:spacing w:val="-39"/>
          <w:sz w:val="24"/>
          <w:szCs w:val="24"/>
        </w:rPr>
        <w:t xml:space="preserve"> </w:t>
      </w:r>
      <w:r>
        <w:rPr>
          <w:rFonts w:ascii="黑体" w:hAnsi="黑体" w:eastAsia="黑体" w:cs="黑体"/>
          <w:b/>
          <w:bCs/>
          <w:spacing w:val="-3"/>
          <w:sz w:val="24"/>
          <w:szCs w:val="24"/>
        </w:rPr>
        <w:t>5</w:t>
      </w:r>
      <w:r>
        <w:rPr>
          <w:rFonts w:ascii="黑体" w:hAnsi="黑体" w:eastAsia="黑体" w:cs="黑体"/>
          <w:spacing w:val="-44"/>
          <w:sz w:val="24"/>
          <w:szCs w:val="24"/>
        </w:rPr>
        <w:t xml:space="preserve"> </w:t>
      </w:r>
      <w:r>
        <w:rPr>
          <w:rFonts w:ascii="黑体" w:hAnsi="黑体" w:eastAsia="黑体" w:cs="黑体"/>
          <w:b/>
          <w:bCs/>
          <w:spacing w:val="-3"/>
          <w:sz w:val="24"/>
          <w:szCs w:val="24"/>
        </w:rPr>
        <w:t>部分：小儿拔罐疗法》专家调查问卷工作总结</w:t>
      </w:r>
    </w:p>
    <w:p w14:paraId="1E21BCAE">
      <w:pPr>
        <w:pStyle w:val="3"/>
        <w:spacing w:line="276" w:lineRule="auto"/>
      </w:pPr>
    </w:p>
    <w:p w14:paraId="1F8D7035">
      <w:pPr>
        <w:spacing w:before="78" w:line="276" w:lineRule="auto"/>
        <w:ind w:left="485"/>
        <w:rPr>
          <w:rFonts w:ascii="宋体" w:hAnsi="宋体" w:eastAsia="宋体" w:cs="宋体"/>
          <w:sz w:val="24"/>
          <w:szCs w:val="24"/>
        </w:rPr>
      </w:pPr>
      <w:r>
        <w:rPr>
          <w:rFonts w:ascii="宋体" w:hAnsi="宋体" w:eastAsia="宋体" w:cs="宋体"/>
          <w:b/>
          <w:bCs/>
          <w:spacing w:val="-4"/>
          <w:sz w:val="24"/>
          <w:szCs w:val="24"/>
        </w:rPr>
        <w:t>一、调查背景与目的</w:t>
      </w:r>
    </w:p>
    <w:p w14:paraId="4E9D815A">
      <w:pPr>
        <w:spacing w:before="142" w:line="276" w:lineRule="auto"/>
        <w:ind w:right="54" w:firstLine="426"/>
        <w:jc w:val="both"/>
        <w:rPr>
          <w:rFonts w:ascii="宋体" w:hAnsi="宋体" w:eastAsia="宋体" w:cs="宋体"/>
          <w:sz w:val="20"/>
          <w:szCs w:val="20"/>
        </w:rPr>
      </w:pPr>
      <w:r>
        <w:rPr>
          <w:rFonts w:ascii="宋体" w:hAnsi="宋体" w:eastAsia="宋体" w:cs="宋体"/>
          <w:spacing w:val="4"/>
          <w:sz w:val="20"/>
          <w:szCs w:val="20"/>
        </w:rPr>
        <w:t>《国际中医技术操作规范</w:t>
      </w:r>
      <w:r>
        <w:rPr>
          <w:rFonts w:ascii="宋体" w:hAnsi="宋体" w:eastAsia="宋体" w:cs="宋体"/>
          <w:spacing w:val="-20"/>
          <w:sz w:val="20"/>
          <w:szCs w:val="20"/>
        </w:rPr>
        <w:t xml:space="preserve"> </w:t>
      </w:r>
      <w:r>
        <w:rPr>
          <w:rFonts w:ascii="宋体" w:hAnsi="宋体" w:eastAsia="宋体" w:cs="宋体"/>
          <w:spacing w:val="4"/>
          <w:sz w:val="20"/>
          <w:szCs w:val="20"/>
        </w:rPr>
        <w:t>·儿科</w:t>
      </w:r>
      <w:r>
        <w:rPr>
          <w:rFonts w:ascii="宋体" w:hAnsi="宋体" w:eastAsia="宋体" w:cs="宋体"/>
          <w:spacing w:val="-18"/>
          <w:sz w:val="20"/>
          <w:szCs w:val="20"/>
        </w:rPr>
        <w:t xml:space="preserve"> </w:t>
      </w:r>
      <w:r>
        <w:rPr>
          <w:rFonts w:ascii="宋体" w:hAnsi="宋体" w:eastAsia="宋体" w:cs="宋体"/>
          <w:spacing w:val="4"/>
          <w:sz w:val="20"/>
          <w:szCs w:val="20"/>
        </w:rPr>
        <w:t>·小儿拔罐疗法》项目来源于</w:t>
      </w:r>
      <w:r>
        <w:rPr>
          <w:rFonts w:ascii="宋体" w:hAnsi="宋体" w:eastAsia="宋体" w:cs="宋体"/>
          <w:spacing w:val="3"/>
          <w:sz w:val="20"/>
          <w:szCs w:val="20"/>
        </w:rPr>
        <w:t>世界中医药学会联合会国际标准制修</w:t>
      </w:r>
      <w:r>
        <w:rPr>
          <w:rFonts w:ascii="宋体" w:hAnsi="宋体" w:eastAsia="宋体" w:cs="宋体"/>
          <w:spacing w:val="6"/>
          <w:sz w:val="20"/>
          <w:szCs w:val="20"/>
        </w:rPr>
        <w:t>订项目，基于中华人民共和国国家标准（指导性技术文件）《</w:t>
      </w:r>
      <w:r>
        <w:rPr>
          <w:rFonts w:ascii="宋体" w:hAnsi="宋体" w:eastAsia="宋体" w:cs="宋体"/>
          <w:sz w:val="20"/>
          <w:szCs w:val="20"/>
        </w:rPr>
        <w:t>GB</w:t>
      </w:r>
      <w:r>
        <w:rPr>
          <w:rFonts w:ascii="宋体" w:hAnsi="宋体" w:eastAsia="宋体" w:cs="宋体"/>
          <w:spacing w:val="6"/>
          <w:sz w:val="20"/>
          <w:szCs w:val="20"/>
        </w:rPr>
        <w:t>/Z40893.5-2021</w:t>
      </w:r>
      <w:r>
        <w:rPr>
          <w:rFonts w:ascii="宋体" w:hAnsi="宋体" w:eastAsia="宋体" w:cs="宋体"/>
          <w:spacing w:val="38"/>
          <w:sz w:val="20"/>
          <w:szCs w:val="20"/>
        </w:rPr>
        <w:t xml:space="preserve"> </w:t>
      </w:r>
      <w:r>
        <w:rPr>
          <w:rFonts w:ascii="宋体" w:hAnsi="宋体" w:eastAsia="宋体" w:cs="宋体"/>
          <w:spacing w:val="6"/>
          <w:sz w:val="20"/>
          <w:szCs w:val="20"/>
        </w:rPr>
        <w:t>中医技术操作规范 儿</w:t>
      </w:r>
      <w:r>
        <w:rPr>
          <w:rFonts w:ascii="宋体" w:hAnsi="宋体" w:eastAsia="宋体" w:cs="宋体"/>
          <w:spacing w:val="7"/>
          <w:sz w:val="20"/>
          <w:szCs w:val="20"/>
        </w:rPr>
        <w:t>科 第</w:t>
      </w:r>
      <w:r>
        <w:rPr>
          <w:rFonts w:ascii="宋体" w:hAnsi="宋体" w:eastAsia="宋体" w:cs="宋体"/>
          <w:spacing w:val="-19"/>
          <w:sz w:val="20"/>
          <w:szCs w:val="20"/>
        </w:rPr>
        <w:t xml:space="preserve"> </w:t>
      </w:r>
      <w:r>
        <w:rPr>
          <w:rFonts w:ascii="宋体" w:hAnsi="宋体" w:eastAsia="宋体" w:cs="宋体"/>
          <w:spacing w:val="7"/>
          <w:sz w:val="20"/>
          <w:szCs w:val="20"/>
        </w:rPr>
        <w:t>5</w:t>
      </w:r>
      <w:r>
        <w:rPr>
          <w:rFonts w:ascii="宋体" w:hAnsi="宋体" w:eastAsia="宋体" w:cs="宋体"/>
          <w:spacing w:val="-38"/>
          <w:sz w:val="20"/>
          <w:szCs w:val="20"/>
        </w:rPr>
        <w:t xml:space="preserve"> </w:t>
      </w:r>
      <w:r>
        <w:rPr>
          <w:rFonts w:ascii="宋体" w:hAnsi="宋体" w:eastAsia="宋体" w:cs="宋体"/>
          <w:spacing w:val="7"/>
          <w:sz w:val="20"/>
          <w:szCs w:val="20"/>
        </w:rPr>
        <w:t>部分：小儿拔罐疗法》，</w:t>
      </w:r>
      <w:r>
        <w:rPr>
          <w:rFonts w:ascii="宋体" w:hAnsi="宋体" w:eastAsia="宋体" w:cs="宋体"/>
          <w:spacing w:val="-57"/>
          <w:sz w:val="20"/>
          <w:szCs w:val="20"/>
        </w:rPr>
        <w:t xml:space="preserve"> </w:t>
      </w:r>
      <w:r>
        <w:rPr>
          <w:rFonts w:ascii="宋体" w:hAnsi="宋体" w:eastAsia="宋体" w:cs="宋体"/>
          <w:spacing w:val="7"/>
          <w:sz w:val="20"/>
          <w:szCs w:val="20"/>
        </w:rPr>
        <w:t>旨在将该标准转化为世界中联国际组织标准，</w:t>
      </w:r>
      <w:r>
        <w:rPr>
          <w:rFonts w:ascii="宋体" w:hAnsi="宋体" w:eastAsia="宋体" w:cs="宋体"/>
          <w:spacing w:val="-59"/>
          <w:sz w:val="20"/>
          <w:szCs w:val="20"/>
        </w:rPr>
        <w:t xml:space="preserve"> </w:t>
      </w:r>
      <w:r>
        <w:rPr>
          <w:rFonts w:ascii="宋体" w:hAnsi="宋体" w:eastAsia="宋体" w:cs="宋体"/>
          <w:spacing w:val="7"/>
          <w:sz w:val="20"/>
          <w:szCs w:val="20"/>
        </w:rPr>
        <w:t>以进一步规范小儿拔罐</w:t>
      </w:r>
      <w:r>
        <w:rPr>
          <w:rFonts w:ascii="宋体" w:hAnsi="宋体" w:eastAsia="宋体" w:cs="宋体"/>
          <w:spacing w:val="8"/>
          <w:sz w:val="20"/>
          <w:szCs w:val="20"/>
        </w:rPr>
        <w:t>疗法的规范、常用术语和相应操作的定义，阐述了上述罐具的</w:t>
      </w:r>
      <w:r>
        <w:rPr>
          <w:rFonts w:ascii="宋体" w:hAnsi="宋体" w:eastAsia="宋体" w:cs="宋体"/>
          <w:spacing w:val="7"/>
          <w:sz w:val="20"/>
          <w:szCs w:val="20"/>
        </w:rPr>
        <w:t>操作步骤与要求，单纯拔罐法、针罐法和</w:t>
      </w:r>
      <w:r>
        <w:rPr>
          <w:rFonts w:ascii="宋体" w:hAnsi="宋体" w:eastAsia="宋体" w:cs="宋体"/>
          <w:spacing w:val="8"/>
          <w:sz w:val="20"/>
          <w:szCs w:val="20"/>
        </w:rPr>
        <w:t>起罐法的操作步骤与要求，提出了小儿拔罐疗法的施术前准备</w:t>
      </w:r>
      <w:r>
        <w:rPr>
          <w:rFonts w:ascii="宋体" w:hAnsi="宋体" w:eastAsia="宋体" w:cs="宋体"/>
          <w:spacing w:val="7"/>
          <w:sz w:val="20"/>
          <w:szCs w:val="20"/>
        </w:rPr>
        <w:t>、施术方法、施术后处理、注意事项和禁</w:t>
      </w:r>
      <w:r>
        <w:rPr>
          <w:rFonts w:ascii="宋体" w:hAnsi="宋体" w:eastAsia="宋体" w:cs="宋体"/>
          <w:spacing w:val="8"/>
          <w:sz w:val="20"/>
          <w:szCs w:val="20"/>
        </w:rPr>
        <w:t>忌。本文件编写旨在构建中医儿科拔罐疗法的标准化操作技术，为</w:t>
      </w:r>
      <w:r>
        <w:rPr>
          <w:rFonts w:ascii="宋体" w:hAnsi="宋体" w:eastAsia="宋体" w:cs="宋体"/>
          <w:spacing w:val="7"/>
          <w:sz w:val="20"/>
          <w:szCs w:val="20"/>
        </w:rPr>
        <w:t>全球中医儿科医师提供安全、规范的</w:t>
      </w:r>
      <w:r>
        <w:rPr>
          <w:rFonts w:ascii="宋体" w:hAnsi="宋体" w:eastAsia="宋体" w:cs="宋体"/>
          <w:spacing w:val="9"/>
          <w:sz w:val="20"/>
          <w:szCs w:val="20"/>
        </w:rPr>
        <w:t>操作指南，促进中医儿科临床技术操作的标准化和国际化应用。</w:t>
      </w:r>
    </w:p>
    <w:p w14:paraId="0EC25C93">
      <w:pPr>
        <w:spacing w:line="276" w:lineRule="auto"/>
        <w:ind w:left="2" w:right="54" w:firstLine="420"/>
        <w:jc w:val="both"/>
        <w:rPr>
          <w:rFonts w:ascii="宋体" w:hAnsi="宋体" w:eastAsia="宋体" w:cs="宋体"/>
          <w:sz w:val="20"/>
          <w:szCs w:val="20"/>
        </w:rPr>
      </w:pPr>
      <w:r>
        <w:rPr>
          <w:rFonts w:ascii="宋体" w:hAnsi="宋体" w:eastAsia="宋体" w:cs="宋体"/>
          <w:spacing w:val="8"/>
          <w:sz w:val="20"/>
          <w:szCs w:val="20"/>
        </w:rPr>
        <w:t>为确保标准转化过程的科学性、规范性与国际</w:t>
      </w:r>
      <w:r>
        <w:rPr>
          <w:rFonts w:ascii="宋体" w:hAnsi="宋体" w:eastAsia="宋体" w:cs="宋体"/>
          <w:spacing w:val="7"/>
          <w:sz w:val="20"/>
          <w:szCs w:val="20"/>
        </w:rPr>
        <w:t>适配性，本研究通过专家问卷调查形式，广泛征求</w:t>
      </w:r>
      <w:r>
        <w:rPr>
          <w:rFonts w:hint="eastAsia" w:ascii="宋体" w:hAnsi="宋体" w:eastAsia="宋体" w:cs="宋体"/>
          <w:spacing w:val="7"/>
          <w:sz w:val="20"/>
          <w:szCs w:val="20"/>
          <w:lang w:eastAsia="zh-CN"/>
        </w:rPr>
        <w:t>海内外</w:t>
      </w:r>
      <w:r>
        <w:rPr>
          <w:rFonts w:ascii="宋体" w:hAnsi="宋体" w:eastAsia="宋体" w:cs="宋体"/>
          <w:spacing w:val="8"/>
          <w:sz w:val="20"/>
          <w:szCs w:val="20"/>
        </w:rPr>
        <w:t>中医儿科专家意见，分析专家对各技术条文的认同</w:t>
      </w:r>
      <w:r>
        <w:rPr>
          <w:rFonts w:ascii="宋体" w:hAnsi="宋体" w:eastAsia="宋体" w:cs="宋体"/>
          <w:spacing w:val="7"/>
          <w:sz w:val="20"/>
          <w:szCs w:val="20"/>
        </w:rPr>
        <w:t>度与修改建议，为国际标准文本的修订提供实证</w:t>
      </w:r>
      <w:r>
        <w:rPr>
          <w:rFonts w:ascii="宋体" w:hAnsi="宋体" w:eastAsia="宋体" w:cs="宋体"/>
          <w:spacing w:val="2"/>
          <w:sz w:val="20"/>
          <w:szCs w:val="20"/>
        </w:rPr>
        <w:t>依据。</w:t>
      </w:r>
    </w:p>
    <w:p w14:paraId="07ACE094">
      <w:pPr>
        <w:spacing w:line="276" w:lineRule="auto"/>
        <w:ind w:left="485"/>
        <w:rPr>
          <w:rFonts w:ascii="宋体" w:hAnsi="宋体" w:eastAsia="宋体" w:cs="宋体"/>
          <w:sz w:val="24"/>
          <w:szCs w:val="24"/>
        </w:rPr>
      </w:pPr>
      <w:r>
        <w:rPr>
          <w:rFonts w:ascii="宋体" w:hAnsi="宋体" w:eastAsia="宋体" w:cs="宋体"/>
          <w:b/>
          <w:bCs/>
          <w:spacing w:val="-3"/>
          <w:sz w:val="24"/>
          <w:szCs w:val="24"/>
        </w:rPr>
        <w:t>二、调查方法与专家信息分析</w:t>
      </w:r>
    </w:p>
    <w:p w14:paraId="0C72FFD1">
      <w:pPr>
        <w:spacing w:before="143" w:line="276" w:lineRule="auto"/>
        <w:ind w:left="436"/>
        <w:rPr>
          <w:rFonts w:ascii="宋体" w:hAnsi="宋体" w:eastAsia="宋体" w:cs="宋体"/>
          <w:sz w:val="20"/>
          <w:szCs w:val="20"/>
        </w:rPr>
      </w:pPr>
      <w:r>
        <w:rPr>
          <w:rFonts w:ascii="宋体" w:hAnsi="宋体" w:eastAsia="宋体" w:cs="宋体"/>
          <w:b/>
          <w:bCs/>
          <w:sz w:val="20"/>
          <w:szCs w:val="20"/>
        </w:rPr>
        <w:t>1</w:t>
      </w:r>
      <w:r>
        <w:rPr>
          <w:rFonts w:ascii="宋体" w:hAnsi="宋体" w:eastAsia="宋体" w:cs="宋体"/>
          <w:spacing w:val="-35"/>
          <w:sz w:val="20"/>
          <w:szCs w:val="20"/>
        </w:rPr>
        <w:t xml:space="preserve"> </w:t>
      </w:r>
      <w:r>
        <w:rPr>
          <w:rFonts w:ascii="宋体" w:hAnsi="宋体" w:eastAsia="宋体" w:cs="宋体"/>
          <w:b/>
          <w:bCs/>
          <w:sz w:val="20"/>
          <w:szCs w:val="20"/>
        </w:rPr>
        <w:t>调查方法</w:t>
      </w:r>
    </w:p>
    <w:p w14:paraId="493A25EF">
      <w:pPr>
        <w:spacing w:before="150" w:line="276" w:lineRule="auto"/>
        <w:ind w:right="54" w:firstLine="420"/>
        <w:rPr>
          <w:rFonts w:ascii="宋体" w:hAnsi="宋体" w:eastAsia="宋体" w:cs="宋体"/>
          <w:sz w:val="20"/>
          <w:szCs w:val="20"/>
        </w:rPr>
      </w:pPr>
      <w:r>
        <w:rPr>
          <w:rFonts w:ascii="宋体" w:hAnsi="宋体" w:eastAsia="宋体" w:cs="宋体"/>
          <w:spacing w:val="2"/>
          <w:sz w:val="20"/>
          <w:szCs w:val="20"/>
        </w:rPr>
        <w:t>本次调查采用线上问卷的形式进行，调研时间为</w:t>
      </w:r>
      <w:r>
        <w:rPr>
          <w:rFonts w:ascii="宋体" w:hAnsi="宋体" w:eastAsia="宋体" w:cs="宋体"/>
          <w:spacing w:val="-36"/>
          <w:sz w:val="20"/>
          <w:szCs w:val="20"/>
        </w:rPr>
        <w:t xml:space="preserve"> </w:t>
      </w:r>
      <w:r>
        <w:rPr>
          <w:rFonts w:ascii="宋体" w:hAnsi="宋体" w:eastAsia="宋体" w:cs="宋体"/>
          <w:spacing w:val="2"/>
          <w:sz w:val="20"/>
          <w:szCs w:val="20"/>
        </w:rPr>
        <w:t>2025</w:t>
      </w:r>
      <w:r>
        <w:rPr>
          <w:rFonts w:ascii="宋体" w:hAnsi="宋体" w:eastAsia="宋体" w:cs="宋体"/>
          <w:spacing w:val="-40"/>
          <w:sz w:val="20"/>
          <w:szCs w:val="20"/>
        </w:rPr>
        <w:t xml:space="preserve"> </w:t>
      </w:r>
      <w:r>
        <w:rPr>
          <w:rFonts w:ascii="宋体" w:hAnsi="宋体" w:eastAsia="宋体" w:cs="宋体"/>
          <w:spacing w:val="2"/>
          <w:sz w:val="20"/>
          <w:szCs w:val="20"/>
        </w:rPr>
        <w:t>年</w:t>
      </w:r>
      <w:r>
        <w:rPr>
          <w:rFonts w:ascii="宋体" w:hAnsi="宋体" w:eastAsia="宋体" w:cs="宋体"/>
          <w:spacing w:val="-24"/>
          <w:sz w:val="20"/>
          <w:szCs w:val="20"/>
        </w:rPr>
        <w:t xml:space="preserve"> </w:t>
      </w:r>
      <w:r>
        <w:rPr>
          <w:rFonts w:ascii="宋体" w:hAnsi="宋体" w:eastAsia="宋体" w:cs="宋体"/>
          <w:spacing w:val="2"/>
          <w:sz w:val="20"/>
          <w:szCs w:val="20"/>
        </w:rPr>
        <w:t>11</w:t>
      </w:r>
      <w:r>
        <w:rPr>
          <w:rFonts w:ascii="宋体" w:hAnsi="宋体" w:eastAsia="宋体" w:cs="宋体"/>
          <w:spacing w:val="-33"/>
          <w:sz w:val="20"/>
          <w:szCs w:val="20"/>
        </w:rPr>
        <w:t xml:space="preserve"> </w:t>
      </w:r>
      <w:r>
        <w:rPr>
          <w:rFonts w:ascii="宋体" w:hAnsi="宋体" w:eastAsia="宋体" w:cs="宋体"/>
          <w:spacing w:val="2"/>
          <w:sz w:val="20"/>
          <w:szCs w:val="20"/>
        </w:rPr>
        <w:t>月</w:t>
      </w:r>
      <w:r>
        <w:rPr>
          <w:rFonts w:ascii="宋体" w:hAnsi="宋体" w:eastAsia="宋体" w:cs="宋体"/>
          <w:spacing w:val="-38"/>
          <w:sz w:val="20"/>
          <w:szCs w:val="20"/>
        </w:rPr>
        <w:t xml:space="preserve"> </w:t>
      </w:r>
      <w:r>
        <w:rPr>
          <w:rFonts w:ascii="宋体" w:hAnsi="宋体" w:eastAsia="宋体" w:cs="宋体"/>
          <w:spacing w:val="2"/>
          <w:sz w:val="20"/>
          <w:szCs w:val="20"/>
        </w:rPr>
        <w:t>8 日至</w:t>
      </w:r>
      <w:r>
        <w:rPr>
          <w:rFonts w:ascii="宋体" w:hAnsi="宋体" w:eastAsia="宋体" w:cs="宋体"/>
          <w:spacing w:val="-24"/>
          <w:sz w:val="20"/>
          <w:szCs w:val="20"/>
        </w:rPr>
        <w:t xml:space="preserve"> </w:t>
      </w:r>
      <w:r>
        <w:rPr>
          <w:rFonts w:ascii="宋体" w:hAnsi="宋体" w:eastAsia="宋体" w:cs="宋体"/>
          <w:spacing w:val="2"/>
          <w:sz w:val="20"/>
          <w:szCs w:val="20"/>
        </w:rPr>
        <w:t>11</w:t>
      </w:r>
      <w:r>
        <w:rPr>
          <w:rFonts w:ascii="宋体" w:hAnsi="宋体" w:eastAsia="宋体" w:cs="宋体"/>
          <w:spacing w:val="-33"/>
          <w:sz w:val="20"/>
          <w:szCs w:val="20"/>
        </w:rPr>
        <w:t xml:space="preserve"> </w:t>
      </w:r>
      <w:r>
        <w:rPr>
          <w:rFonts w:ascii="宋体" w:hAnsi="宋体" w:eastAsia="宋体" w:cs="宋体"/>
          <w:spacing w:val="2"/>
          <w:sz w:val="20"/>
          <w:szCs w:val="20"/>
        </w:rPr>
        <w:t>月</w:t>
      </w:r>
      <w:r>
        <w:rPr>
          <w:rFonts w:ascii="宋体" w:hAnsi="宋体" w:eastAsia="宋体" w:cs="宋体"/>
          <w:spacing w:val="-37"/>
          <w:sz w:val="20"/>
          <w:szCs w:val="20"/>
        </w:rPr>
        <w:t xml:space="preserve"> </w:t>
      </w:r>
      <w:r>
        <w:rPr>
          <w:rFonts w:ascii="宋体" w:hAnsi="宋体" w:eastAsia="宋体" w:cs="宋体"/>
          <w:spacing w:val="2"/>
          <w:sz w:val="20"/>
          <w:szCs w:val="20"/>
        </w:rPr>
        <w:t xml:space="preserve">23 </w:t>
      </w:r>
      <w:r>
        <w:rPr>
          <w:rFonts w:ascii="宋体" w:hAnsi="宋体" w:eastAsia="宋体" w:cs="宋体"/>
          <w:spacing w:val="1"/>
          <w:sz w:val="20"/>
          <w:szCs w:val="20"/>
        </w:rPr>
        <w:t>日。问卷内容包括术</w:t>
      </w:r>
      <w:r>
        <w:rPr>
          <w:rFonts w:ascii="宋体" w:hAnsi="宋体" w:eastAsia="宋体" w:cs="宋体"/>
          <w:spacing w:val="10"/>
          <w:sz w:val="20"/>
          <w:szCs w:val="20"/>
        </w:rPr>
        <w:t>语定义、操作步骤、禁忌、注意事项、附录内容等</w:t>
      </w:r>
      <w:r>
        <w:rPr>
          <w:rFonts w:ascii="宋体" w:hAnsi="宋体" w:eastAsia="宋体" w:cs="宋体"/>
          <w:spacing w:val="-24"/>
          <w:sz w:val="20"/>
          <w:szCs w:val="20"/>
        </w:rPr>
        <w:t xml:space="preserve"> </w:t>
      </w:r>
      <w:r>
        <w:rPr>
          <w:rFonts w:ascii="宋体" w:hAnsi="宋体" w:eastAsia="宋体" w:cs="宋体"/>
          <w:spacing w:val="10"/>
          <w:sz w:val="20"/>
          <w:szCs w:val="20"/>
        </w:rPr>
        <w:t>11个主要条目，并设置开放性问题征集补</w:t>
      </w:r>
      <w:r>
        <w:rPr>
          <w:rFonts w:ascii="宋体" w:hAnsi="宋体" w:eastAsia="宋体" w:cs="宋体"/>
          <w:spacing w:val="9"/>
          <w:sz w:val="20"/>
          <w:szCs w:val="20"/>
        </w:rPr>
        <w:t>充意见。</w:t>
      </w:r>
    </w:p>
    <w:p w14:paraId="026B9A43">
      <w:pPr>
        <w:spacing w:line="276" w:lineRule="auto"/>
        <w:ind w:left="423"/>
        <w:rPr>
          <w:rFonts w:ascii="宋体" w:hAnsi="宋体" w:eastAsia="宋体" w:cs="宋体"/>
          <w:sz w:val="20"/>
          <w:szCs w:val="20"/>
        </w:rPr>
      </w:pPr>
      <w:r>
        <w:rPr>
          <w:rFonts w:ascii="宋体" w:hAnsi="宋体" w:eastAsia="宋体" w:cs="宋体"/>
          <w:b/>
          <w:bCs/>
          <w:spacing w:val="4"/>
          <w:sz w:val="20"/>
          <w:szCs w:val="20"/>
        </w:rPr>
        <w:t>2</w:t>
      </w:r>
      <w:r>
        <w:rPr>
          <w:rFonts w:ascii="宋体" w:hAnsi="宋体" w:eastAsia="宋体" w:cs="宋体"/>
          <w:spacing w:val="-34"/>
          <w:sz w:val="20"/>
          <w:szCs w:val="20"/>
        </w:rPr>
        <w:t xml:space="preserve"> </w:t>
      </w:r>
      <w:r>
        <w:rPr>
          <w:rFonts w:ascii="宋体" w:hAnsi="宋体" w:eastAsia="宋体" w:cs="宋体"/>
          <w:b/>
          <w:bCs/>
          <w:spacing w:val="4"/>
          <w:sz w:val="20"/>
          <w:szCs w:val="20"/>
        </w:rPr>
        <w:t>专家信息分析</w:t>
      </w:r>
    </w:p>
    <w:p w14:paraId="62BF6CF0">
      <w:pPr>
        <w:spacing w:before="153" w:line="276" w:lineRule="auto"/>
        <w:ind w:left="423"/>
        <w:rPr>
          <w:rFonts w:ascii="宋体" w:hAnsi="宋体" w:eastAsia="宋体" w:cs="宋体"/>
          <w:sz w:val="20"/>
          <w:szCs w:val="20"/>
        </w:rPr>
      </w:pPr>
      <w:r>
        <w:rPr>
          <w:rFonts w:ascii="宋体" w:hAnsi="宋体" w:eastAsia="宋体" w:cs="宋体"/>
          <w:b/>
          <w:bCs/>
          <w:spacing w:val="4"/>
          <w:sz w:val="20"/>
          <w:szCs w:val="20"/>
        </w:rPr>
        <w:t>2.1</w:t>
      </w:r>
      <w:r>
        <w:rPr>
          <w:rFonts w:ascii="宋体" w:hAnsi="宋体" w:eastAsia="宋体" w:cs="宋体"/>
          <w:spacing w:val="-35"/>
          <w:sz w:val="20"/>
          <w:szCs w:val="20"/>
        </w:rPr>
        <w:t xml:space="preserve"> </w:t>
      </w:r>
      <w:r>
        <w:rPr>
          <w:rFonts w:ascii="宋体" w:hAnsi="宋体" w:eastAsia="宋体" w:cs="宋体"/>
          <w:b/>
          <w:bCs/>
          <w:spacing w:val="4"/>
          <w:sz w:val="20"/>
          <w:szCs w:val="20"/>
        </w:rPr>
        <w:t>专家选取标准</w:t>
      </w:r>
    </w:p>
    <w:p w14:paraId="502A75BA">
      <w:pPr>
        <w:spacing w:before="153" w:line="276" w:lineRule="auto"/>
        <w:ind w:left="2" w:firstLine="417"/>
        <w:jc w:val="both"/>
        <w:rPr>
          <w:rFonts w:ascii="宋体" w:hAnsi="宋体" w:eastAsia="宋体" w:cs="宋体"/>
          <w:sz w:val="20"/>
          <w:szCs w:val="20"/>
        </w:rPr>
      </w:pPr>
      <w:r>
        <w:rPr>
          <w:rFonts w:ascii="宋体" w:hAnsi="宋体" w:eastAsia="宋体" w:cs="宋体"/>
          <w:spacing w:val="4"/>
          <w:sz w:val="20"/>
          <w:szCs w:val="20"/>
        </w:rPr>
        <w:t>选取专家的标准包括：①具备中医儿科或相关领域高级专业背景；②拥有丰富临床经验或教学经验，</w:t>
      </w:r>
      <w:r>
        <w:rPr>
          <w:rFonts w:ascii="宋体" w:hAnsi="宋体" w:eastAsia="宋体" w:cs="宋体"/>
          <w:spacing w:val="7"/>
          <w:sz w:val="20"/>
          <w:szCs w:val="20"/>
        </w:rPr>
        <w:t>从事本专业工作年限中国大陆专家均在</w:t>
      </w:r>
      <w:r>
        <w:rPr>
          <w:rFonts w:ascii="宋体" w:hAnsi="宋体" w:eastAsia="宋体" w:cs="宋体"/>
          <w:spacing w:val="-37"/>
          <w:sz w:val="20"/>
          <w:szCs w:val="20"/>
        </w:rPr>
        <w:t xml:space="preserve"> </w:t>
      </w:r>
      <w:r>
        <w:rPr>
          <w:rFonts w:ascii="宋体" w:hAnsi="宋体" w:eastAsia="宋体" w:cs="宋体"/>
          <w:spacing w:val="7"/>
          <w:sz w:val="20"/>
          <w:szCs w:val="20"/>
        </w:rPr>
        <w:t>20</w:t>
      </w:r>
      <w:r>
        <w:rPr>
          <w:rFonts w:ascii="宋体" w:hAnsi="宋体" w:eastAsia="宋体" w:cs="宋体"/>
          <w:spacing w:val="-37"/>
          <w:sz w:val="20"/>
          <w:szCs w:val="20"/>
        </w:rPr>
        <w:t xml:space="preserve"> </w:t>
      </w:r>
      <w:r>
        <w:rPr>
          <w:rFonts w:ascii="宋体" w:hAnsi="宋体" w:eastAsia="宋体" w:cs="宋体"/>
          <w:spacing w:val="7"/>
          <w:sz w:val="20"/>
          <w:szCs w:val="20"/>
        </w:rPr>
        <w:t>年以上、海外专家</w:t>
      </w:r>
      <w:r>
        <w:rPr>
          <w:rFonts w:ascii="宋体" w:hAnsi="宋体" w:eastAsia="宋体" w:cs="宋体"/>
          <w:spacing w:val="-38"/>
          <w:sz w:val="20"/>
          <w:szCs w:val="20"/>
        </w:rPr>
        <w:t xml:space="preserve"> </w:t>
      </w:r>
      <w:r>
        <w:rPr>
          <w:rFonts w:ascii="宋体" w:hAnsi="宋体" w:eastAsia="宋体" w:cs="宋体"/>
          <w:spacing w:val="7"/>
          <w:sz w:val="20"/>
          <w:szCs w:val="20"/>
        </w:rPr>
        <w:t>90%在</w:t>
      </w:r>
      <w:r>
        <w:rPr>
          <w:rFonts w:ascii="宋体" w:hAnsi="宋体" w:eastAsia="宋体" w:cs="宋体"/>
          <w:spacing w:val="-22"/>
          <w:sz w:val="20"/>
          <w:szCs w:val="20"/>
        </w:rPr>
        <w:t xml:space="preserve"> </w:t>
      </w:r>
      <w:r>
        <w:rPr>
          <w:rFonts w:ascii="宋体" w:hAnsi="宋体" w:eastAsia="宋体" w:cs="宋体"/>
          <w:spacing w:val="7"/>
          <w:sz w:val="20"/>
          <w:szCs w:val="20"/>
        </w:rPr>
        <w:t>10</w:t>
      </w:r>
      <w:r>
        <w:rPr>
          <w:rFonts w:ascii="宋体" w:hAnsi="宋体" w:eastAsia="宋体" w:cs="宋体"/>
          <w:spacing w:val="-39"/>
          <w:sz w:val="20"/>
          <w:szCs w:val="20"/>
        </w:rPr>
        <w:t xml:space="preserve"> </w:t>
      </w:r>
      <w:r>
        <w:rPr>
          <w:rFonts w:ascii="宋体" w:hAnsi="宋体" w:eastAsia="宋体" w:cs="宋体"/>
          <w:spacing w:val="6"/>
          <w:sz w:val="20"/>
          <w:szCs w:val="20"/>
        </w:rPr>
        <w:t>年以上；③熟悉中医儿科拔罐技</w:t>
      </w:r>
      <w:r>
        <w:rPr>
          <w:rFonts w:ascii="宋体" w:hAnsi="宋体" w:eastAsia="宋体" w:cs="宋体"/>
          <w:spacing w:val="7"/>
          <w:sz w:val="20"/>
          <w:szCs w:val="20"/>
        </w:rPr>
        <w:t>术；④覆盖不同国家和地区，</w:t>
      </w:r>
      <w:r>
        <w:rPr>
          <w:rFonts w:ascii="宋体" w:hAnsi="宋体" w:eastAsia="宋体" w:cs="宋体"/>
          <w:spacing w:val="-49"/>
          <w:sz w:val="20"/>
          <w:szCs w:val="20"/>
        </w:rPr>
        <w:t xml:space="preserve"> </w:t>
      </w:r>
      <w:r>
        <w:rPr>
          <w:rFonts w:ascii="宋体" w:hAnsi="宋体" w:eastAsia="宋体" w:cs="宋体"/>
          <w:spacing w:val="7"/>
          <w:sz w:val="20"/>
          <w:szCs w:val="20"/>
        </w:rPr>
        <w:t>以增强标准的国际代表性。</w:t>
      </w:r>
    </w:p>
    <w:p w14:paraId="1FE4437F">
      <w:pPr>
        <w:spacing w:line="276" w:lineRule="auto"/>
        <w:ind w:left="423"/>
        <w:rPr>
          <w:rFonts w:ascii="宋体" w:hAnsi="宋体" w:eastAsia="宋体" w:cs="宋体"/>
          <w:sz w:val="20"/>
          <w:szCs w:val="20"/>
        </w:rPr>
      </w:pPr>
      <w:r>
        <w:rPr>
          <w:rFonts w:ascii="宋体" w:hAnsi="宋体" w:eastAsia="宋体" w:cs="宋体"/>
          <w:b/>
          <w:bCs/>
          <w:spacing w:val="4"/>
          <w:sz w:val="20"/>
          <w:szCs w:val="20"/>
        </w:rPr>
        <w:t>2.2</w:t>
      </w:r>
      <w:r>
        <w:rPr>
          <w:rFonts w:ascii="宋体" w:hAnsi="宋体" w:eastAsia="宋体" w:cs="宋体"/>
          <w:spacing w:val="-35"/>
          <w:sz w:val="20"/>
          <w:szCs w:val="20"/>
        </w:rPr>
        <w:t xml:space="preserve"> </w:t>
      </w:r>
      <w:r>
        <w:rPr>
          <w:rFonts w:ascii="宋体" w:hAnsi="宋体" w:eastAsia="宋体" w:cs="宋体"/>
          <w:b/>
          <w:bCs/>
          <w:spacing w:val="4"/>
          <w:sz w:val="20"/>
          <w:szCs w:val="20"/>
        </w:rPr>
        <w:t>专家积极系数</w:t>
      </w:r>
    </w:p>
    <w:p w14:paraId="6FDB4CDB">
      <w:pPr>
        <w:spacing w:before="154" w:line="276" w:lineRule="auto"/>
        <w:ind w:left="2" w:right="56" w:firstLine="419"/>
        <w:rPr>
          <w:rFonts w:ascii="宋体" w:hAnsi="宋体" w:eastAsia="宋体" w:cs="宋体"/>
          <w:sz w:val="20"/>
          <w:szCs w:val="20"/>
        </w:rPr>
      </w:pPr>
      <w:r>
        <w:rPr>
          <w:rFonts w:ascii="宋体" w:hAnsi="宋体" w:eastAsia="宋体" w:cs="宋体"/>
          <w:spacing w:val="9"/>
          <w:sz w:val="20"/>
          <w:szCs w:val="20"/>
        </w:rPr>
        <w:t>本次调查问卷发放数</w:t>
      </w:r>
      <w:r>
        <w:rPr>
          <w:rFonts w:ascii="宋体" w:hAnsi="宋体" w:eastAsia="宋体" w:cs="宋体"/>
          <w:spacing w:val="-32"/>
          <w:sz w:val="20"/>
          <w:szCs w:val="20"/>
        </w:rPr>
        <w:t xml:space="preserve"> </w:t>
      </w:r>
      <w:r>
        <w:rPr>
          <w:rFonts w:ascii="宋体" w:hAnsi="宋体" w:eastAsia="宋体" w:cs="宋体"/>
          <w:spacing w:val="9"/>
          <w:sz w:val="20"/>
          <w:szCs w:val="20"/>
        </w:rPr>
        <w:t>30</w:t>
      </w:r>
      <w:r>
        <w:rPr>
          <w:rFonts w:ascii="宋体" w:hAnsi="宋体" w:eastAsia="宋体" w:cs="宋体"/>
          <w:spacing w:val="-38"/>
          <w:sz w:val="20"/>
          <w:szCs w:val="20"/>
        </w:rPr>
        <w:t xml:space="preserve"> </w:t>
      </w:r>
      <w:r>
        <w:rPr>
          <w:rFonts w:ascii="宋体" w:hAnsi="宋体" w:eastAsia="宋体" w:cs="宋体"/>
          <w:spacing w:val="9"/>
          <w:sz w:val="20"/>
          <w:szCs w:val="20"/>
        </w:rPr>
        <w:t>份，回收有效答卷数为</w:t>
      </w:r>
      <w:r>
        <w:rPr>
          <w:rFonts w:ascii="宋体" w:hAnsi="宋体" w:eastAsia="宋体" w:cs="宋体"/>
          <w:spacing w:val="-33"/>
          <w:sz w:val="20"/>
          <w:szCs w:val="20"/>
        </w:rPr>
        <w:t xml:space="preserve"> </w:t>
      </w:r>
      <w:r>
        <w:rPr>
          <w:rFonts w:ascii="宋体" w:hAnsi="宋体" w:eastAsia="宋体" w:cs="宋体"/>
          <w:spacing w:val="9"/>
          <w:sz w:val="20"/>
          <w:szCs w:val="20"/>
        </w:rPr>
        <w:t>3</w:t>
      </w:r>
      <w:r>
        <w:rPr>
          <w:rFonts w:ascii="宋体" w:hAnsi="宋体" w:eastAsia="宋体" w:cs="宋体"/>
          <w:spacing w:val="8"/>
          <w:sz w:val="20"/>
          <w:szCs w:val="20"/>
        </w:rPr>
        <w:t>0</w:t>
      </w:r>
      <w:r>
        <w:rPr>
          <w:rFonts w:ascii="宋体" w:hAnsi="宋体" w:eastAsia="宋体" w:cs="宋体"/>
          <w:spacing w:val="-38"/>
          <w:sz w:val="20"/>
          <w:szCs w:val="20"/>
        </w:rPr>
        <w:t xml:space="preserve"> </w:t>
      </w:r>
      <w:r>
        <w:rPr>
          <w:rFonts w:ascii="宋体" w:hAnsi="宋体" w:eastAsia="宋体" w:cs="宋体"/>
          <w:spacing w:val="8"/>
          <w:sz w:val="20"/>
          <w:szCs w:val="20"/>
        </w:rPr>
        <w:t>份，专家积极系数</w:t>
      </w:r>
      <w:r>
        <w:rPr>
          <w:rFonts w:ascii="宋体" w:hAnsi="宋体" w:eastAsia="宋体" w:cs="宋体"/>
          <w:spacing w:val="-21"/>
          <w:sz w:val="20"/>
          <w:szCs w:val="20"/>
        </w:rPr>
        <w:t xml:space="preserve"> </w:t>
      </w:r>
      <w:r>
        <w:rPr>
          <w:rFonts w:ascii="宋体" w:hAnsi="宋体" w:eastAsia="宋体" w:cs="宋体"/>
          <w:spacing w:val="8"/>
          <w:sz w:val="20"/>
          <w:szCs w:val="20"/>
        </w:rPr>
        <w:t>100%，本次调查专家积极系</w:t>
      </w:r>
      <w:r>
        <w:rPr>
          <w:rFonts w:ascii="宋体" w:hAnsi="宋体" w:eastAsia="宋体" w:cs="宋体"/>
          <w:spacing w:val="9"/>
          <w:sz w:val="20"/>
          <w:szCs w:val="20"/>
        </w:rPr>
        <w:t>数高（100%</w:t>
      </w:r>
      <w:r>
        <w:rPr>
          <w:rFonts w:ascii="宋体" w:hAnsi="宋体" w:eastAsia="宋体" w:cs="宋体"/>
          <w:spacing w:val="13"/>
          <w:sz w:val="20"/>
          <w:szCs w:val="20"/>
        </w:rPr>
        <w:t>），</w:t>
      </w:r>
      <w:r>
        <w:rPr>
          <w:rFonts w:ascii="宋体" w:hAnsi="宋体" w:eastAsia="宋体" w:cs="宋体"/>
          <w:spacing w:val="9"/>
          <w:sz w:val="20"/>
          <w:szCs w:val="20"/>
        </w:rPr>
        <w:t>专业结构合理，权威性强，</w:t>
      </w:r>
      <w:r>
        <w:rPr>
          <w:rFonts w:ascii="宋体" w:hAnsi="宋体" w:eastAsia="宋体" w:cs="宋体"/>
          <w:spacing w:val="8"/>
          <w:sz w:val="20"/>
          <w:szCs w:val="20"/>
        </w:rPr>
        <w:t>保障了调查结果的科学性与可靠性。</w:t>
      </w:r>
    </w:p>
    <w:p w14:paraId="27213970">
      <w:pPr>
        <w:spacing w:before="1" w:line="276" w:lineRule="auto"/>
        <w:ind w:left="423"/>
        <w:rPr>
          <w:rFonts w:ascii="宋体" w:hAnsi="宋体" w:eastAsia="宋体" w:cs="宋体"/>
          <w:sz w:val="20"/>
          <w:szCs w:val="20"/>
        </w:rPr>
      </w:pPr>
      <w:r>
        <w:rPr>
          <w:rFonts w:ascii="宋体" w:hAnsi="宋体" w:eastAsia="宋体" w:cs="宋体"/>
          <w:b/>
          <w:bCs/>
          <w:spacing w:val="5"/>
          <w:sz w:val="20"/>
          <w:szCs w:val="20"/>
        </w:rPr>
        <w:t>2.3</w:t>
      </w:r>
      <w:r>
        <w:rPr>
          <w:rFonts w:ascii="宋体" w:hAnsi="宋体" w:eastAsia="宋体" w:cs="宋体"/>
          <w:spacing w:val="-32"/>
          <w:sz w:val="20"/>
          <w:szCs w:val="20"/>
        </w:rPr>
        <w:t xml:space="preserve"> </w:t>
      </w:r>
      <w:r>
        <w:rPr>
          <w:rFonts w:ascii="宋体" w:hAnsi="宋体" w:eastAsia="宋体" w:cs="宋体"/>
          <w:b/>
          <w:bCs/>
          <w:spacing w:val="5"/>
          <w:sz w:val="20"/>
          <w:szCs w:val="20"/>
        </w:rPr>
        <w:t>专家权威性与代表性</w:t>
      </w:r>
    </w:p>
    <w:p w14:paraId="4F7802FF">
      <w:pPr>
        <w:spacing w:before="127" w:line="276" w:lineRule="auto"/>
        <w:ind w:left="117" w:firstLine="480"/>
        <w:jc w:val="both"/>
        <w:rPr>
          <w:rFonts w:ascii="宋体" w:hAnsi="宋体" w:eastAsia="宋体" w:cs="宋体"/>
          <w:sz w:val="20"/>
          <w:szCs w:val="20"/>
        </w:rPr>
      </w:pPr>
      <w:r>
        <w:rPr>
          <w:rFonts w:ascii="宋体" w:hAnsi="宋体" w:eastAsia="宋体" w:cs="宋体"/>
          <w:spacing w:val="8"/>
          <w:sz w:val="20"/>
          <w:szCs w:val="20"/>
        </w:rPr>
        <w:t>共有</w:t>
      </w:r>
      <w:r>
        <w:rPr>
          <w:rFonts w:ascii="宋体" w:hAnsi="宋体" w:eastAsia="宋体" w:cs="宋体"/>
          <w:spacing w:val="-26"/>
          <w:sz w:val="20"/>
          <w:szCs w:val="20"/>
        </w:rPr>
        <w:t xml:space="preserve"> </w:t>
      </w:r>
      <w:r>
        <w:rPr>
          <w:rFonts w:ascii="宋体" w:hAnsi="宋体" w:eastAsia="宋体" w:cs="宋体"/>
          <w:spacing w:val="8"/>
          <w:sz w:val="20"/>
          <w:szCs w:val="20"/>
        </w:rPr>
        <w:t>30</w:t>
      </w:r>
      <w:r>
        <w:rPr>
          <w:rFonts w:ascii="宋体" w:hAnsi="宋体" w:eastAsia="宋体" w:cs="宋体"/>
          <w:spacing w:val="-38"/>
          <w:sz w:val="20"/>
          <w:szCs w:val="20"/>
        </w:rPr>
        <w:t xml:space="preserve"> </w:t>
      </w:r>
      <w:r>
        <w:rPr>
          <w:rFonts w:ascii="宋体" w:hAnsi="宋体" w:eastAsia="宋体" w:cs="宋体"/>
          <w:spacing w:val="8"/>
          <w:sz w:val="20"/>
          <w:szCs w:val="20"/>
        </w:rPr>
        <w:t>位专家对小儿拔罐疗法相关条文提出建议，专家的选择兼顾了地域性、专业性、权威性。</w:t>
      </w:r>
      <w:r>
        <w:rPr>
          <w:rFonts w:ascii="宋体" w:hAnsi="宋体" w:eastAsia="宋体" w:cs="宋体"/>
          <w:spacing w:val="9"/>
          <w:sz w:val="20"/>
          <w:szCs w:val="20"/>
        </w:rPr>
        <w:t>专家来自中国、新加坡、加拿大、越南、马来西亚、泰国</w:t>
      </w:r>
      <w:r>
        <w:rPr>
          <w:rFonts w:ascii="宋体" w:hAnsi="宋体" w:eastAsia="宋体" w:cs="宋体"/>
          <w:spacing w:val="-19"/>
          <w:sz w:val="20"/>
          <w:szCs w:val="20"/>
        </w:rPr>
        <w:t xml:space="preserve"> </w:t>
      </w:r>
      <w:r>
        <w:rPr>
          <w:rFonts w:ascii="宋体" w:hAnsi="宋体" w:eastAsia="宋体" w:cs="宋体"/>
          <w:spacing w:val="9"/>
          <w:sz w:val="20"/>
          <w:szCs w:val="20"/>
        </w:rPr>
        <w:t>6</w:t>
      </w:r>
      <w:r>
        <w:rPr>
          <w:rFonts w:ascii="宋体" w:hAnsi="宋体" w:eastAsia="宋体" w:cs="宋体"/>
          <w:spacing w:val="-37"/>
          <w:sz w:val="20"/>
          <w:szCs w:val="20"/>
        </w:rPr>
        <w:t xml:space="preserve"> </w:t>
      </w:r>
      <w:r>
        <w:rPr>
          <w:rFonts w:ascii="宋体" w:hAnsi="宋体" w:eastAsia="宋体" w:cs="宋体"/>
          <w:spacing w:val="9"/>
          <w:sz w:val="20"/>
          <w:szCs w:val="20"/>
        </w:rPr>
        <w:t>个国家，其中中国专家有</w:t>
      </w:r>
      <w:r>
        <w:rPr>
          <w:rFonts w:ascii="宋体" w:hAnsi="宋体" w:eastAsia="宋体" w:cs="宋体"/>
          <w:spacing w:val="-35"/>
          <w:sz w:val="20"/>
          <w:szCs w:val="20"/>
        </w:rPr>
        <w:t xml:space="preserve"> </w:t>
      </w:r>
      <w:r>
        <w:rPr>
          <w:rFonts w:ascii="宋体" w:hAnsi="宋体" w:eastAsia="宋体" w:cs="宋体"/>
          <w:spacing w:val="9"/>
          <w:sz w:val="20"/>
          <w:szCs w:val="20"/>
        </w:rPr>
        <w:t>20</w:t>
      </w:r>
      <w:r>
        <w:rPr>
          <w:rFonts w:ascii="宋体" w:hAnsi="宋体" w:eastAsia="宋体" w:cs="宋体"/>
          <w:spacing w:val="-38"/>
          <w:sz w:val="20"/>
          <w:szCs w:val="20"/>
        </w:rPr>
        <w:t xml:space="preserve"> </w:t>
      </w:r>
      <w:r>
        <w:rPr>
          <w:rFonts w:ascii="宋体" w:hAnsi="宋体" w:eastAsia="宋体" w:cs="宋体"/>
          <w:spacing w:val="9"/>
          <w:sz w:val="20"/>
          <w:szCs w:val="20"/>
        </w:rPr>
        <w:t>位，新加坡</w:t>
      </w:r>
      <w:r>
        <w:rPr>
          <w:rFonts w:ascii="宋体" w:hAnsi="宋体" w:eastAsia="宋体" w:cs="宋体"/>
          <w:spacing w:val="-34"/>
          <w:sz w:val="20"/>
          <w:szCs w:val="20"/>
        </w:rPr>
        <w:t xml:space="preserve"> </w:t>
      </w:r>
      <w:r>
        <w:rPr>
          <w:rFonts w:ascii="宋体" w:hAnsi="宋体" w:eastAsia="宋体" w:cs="宋体"/>
          <w:spacing w:val="9"/>
          <w:sz w:val="20"/>
          <w:szCs w:val="20"/>
        </w:rPr>
        <w:t>2</w:t>
      </w:r>
      <w:r>
        <w:rPr>
          <w:rFonts w:ascii="宋体" w:hAnsi="宋体" w:eastAsia="宋体" w:cs="宋体"/>
          <w:spacing w:val="7"/>
          <w:sz w:val="20"/>
          <w:szCs w:val="20"/>
        </w:rPr>
        <w:t>位，马来西亚</w:t>
      </w:r>
      <w:r>
        <w:rPr>
          <w:rFonts w:ascii="宋体" w:hAnsi="宋体" w:eastAsia="宋体" w:cs="宋体"/>
          <w:spacing w:val="-33"/>
          <w:sz w:val="20"/>
          <w:szCs w:val="20"/>
        </w:rPr>
        <w:t xml:space="preserve"> </w:t>
      </w:r>
      <w:r>
        <w:rPr>
          <w:rFonts w:ascii="宋体" w:hAnsi="宋体" w:eastAsia="宋体" w:cs="宋体"/>
          <w:spacing w:val="7"/>
          <w:sz w:val="20"/>
          <w:szCs w:val="20"/>
        </w:rPr>
        <w:t>2</w:t>
      </w:r>
      <w:r>
        <w:rPr>
          <w:rFonts w:ascii="宋体" w:hAnsi="宋体" w:eastAsia="宋体" w:cs="宋体"/>
          <w:spacing w:val="-38"/>
          <w:sz w:val="20"/>
          <w:szCs w:val="20"/>
        </w:rPr>
        <w:t xml:space="preserve"> </w:t>
      </w:r>
      <w:r>
        <w:rPr>
          <w:rFonts w:ascii="宋体" w:hAnsi="宋体" w:eastAsia="宋体" w:cs="宋体"/>
          <w:spacing w:val="7"/>
          <w:sz w:val="20"/>
          <w:szCs w:val="20"/>
        </w:rPr>
        <w:t>位，加拿大</w:t>
      </w:r>
      <w:r>
        <w:rPr>
          <w:rFonts w:ascii="宋体" w:hAnsi="宋体" w:eastAsia="宋体" w:cs="宋体"/>
          <w:spacing w:val="-37"/>
          <w:sz w:val="20"/>
          <w:szCs w:val="20"/>
        </w:rPr>
        <w:t xml:space="preserve"> </w:t>
      </w:r>
      <w:r>
        <w:rPr>
          <w:rFonts w:ascii="宋体" w:hAnsi="宋体" w:eastAsia="宋体" w:cs="宋体"/>
          <w:spacing w:val="7"/>
          <w:sz w:val="20"/>
          <w:szCs w:val="20"/>
        </w:rPr>
        <w:t>2</w:t>
      </w:r>
      <w:r>
        <w:rPr>
          <w:rFonts w:ascii="宋体" w:hAnsi="宋体" w:eastAsia="宋体" w:cs="宋体"/>
          <w:spacing w:val="-38"/>
          <w:sz w:val="20"/>
          <w:szCs w:val="20"/>
        </w:rPr>
        <w:t xml:space="preserve"> </w:t>
      </w:r>
      <w:r>
        <w:rPr>
          <w:rFonts w:ascii="宋体" w:hAnsi="宋体" w:eastAsia="宋体" w:cs="宋体"/>
          <w:spacing w:val="7"/>
          <w:sz w:val="20"/>
          <w:szCs w:val="20"/>
        </w:rPr>
        <w:t>位，越南</w:t>
      </w:r>
      <w:r>
        <w:rPr>
          <w:rFonts w:ascii="宋体" w:hAnsi="宋体" w:eastAsia="宋体" w:cs="宋体"/>
          <w:spacing w:val="-34"/>
          <w:sz w:val="20"/>
          <w:szCs w:val="20"/>
        </w:rPr>
        <w:t xml:space="preserve"> </w:t>
      </w:r>
      <w:r>
        <w:rPr>
          <w:rFonts w:ascii="宋体" w:hAnsi="宋体" w:eastAsia="宋体" w:cs="宋体"/>
          <w:spacing w:val="7"/>
          <w:sz w:val="20"/>
          <w:szCs w:val="20"/>
        </w:rPr>
        <w:t>2</w:t>
      </w:r>
      <w:r>
        <w:rPr>
          <w:rFonts w:ascii="宋体" w:hAnsi="宋体" w:eastAsia="宋体" w:cs="宋体"/>
          <w:spacing w:val="-38"/>
          <w:sz w:val="20"/>
          <w:szCs w:val="20"/>
        </w:rPr>
        <w:t xml:space="preserve"> </w:t>
      </w:r>
      <w:r>
        <w:rPr>
          <w:rFonts w:ascii="宋体" w:hAnsi="宋体" w:eastAsia="宋体" w:cs="宋体"/>
          <w:spacing w:val="7"/>
          <w:sz w:val="20"/>
          <w:szCs w:val="20"/>
        </w:rPr>
        <w:t>位，泰国</w:t>
      </w:r>
      <w:r>
        <w:rPr>
          <w:rFonts w:ascii="宋体" w:hAnsi="宋体" w:eastAsia="宋体" w:cs="宋体"/>
          <w:spacing w:val="-37"/>
          <w:sz w:val="20"/>
          <w:szCs w:val="20"/>
        </w:rPr>
        <w:t xml:space="preserve"> </w:t>
      </w:r>
      <w:r>
        <w:rPr>
          <w:rFonts w:ascii="宋体" w:hAnsi="宋体" w:eastAsia="宋体" w:cs="宋体"/>
          <w:spacing w:val="7"/>
          <w:sz w:val="20"/>
          <w:szCs w:val="20"/>
        </w:rPr>
        <w:t>2</w:t>
      </w:r>
      <w:r>
        <w:rPr>
          <w:rFonts w:ascii="宋体" w:hAnsi="宋体" w:eastAsia="宋体" w:cs="宋体"/>
          <w:spacing w:val="-38"/>
          <w:sz w:val="20"/>
          <w:szCs w:val="20"/>
        </w:rPr>
        <w:t xml:space="preserve"> </w:t>
      </w:r>
      <w:r>
        <w:rPr>
          <w:rFonts w:ascii="宋体" w:hAnsi="宋体" w:eastAsia="宋体" w:cs="宋体"/>
          <w:spacing w:val="7"/>
          <w:sz w:val="20"/>
          <w:szCs w:val="20"/>
        </w:rPr>
        <w:t>位，覆盖范围广泛，具有较强的地域代表性。</w:t>
      </w:r>
      <w:r>
        <w:rPr>
          <w:rFonts w:ascii="宋体" w:hAnsi="宋体" w:eastAsia="宋体" w:cs="宋体"/>
          <w:spacing w:val="11"/>
          <w:sz w:val="20"/>
          <w:szCs w:val="20"/>
        </w:rPr>
        <w:t>本研究选取的专家均为中医儿科及相关领域的资深从业者，包括国内高等中医药院校教授、主任</w:t>
      </w:r>
      <w:r>
        <w:rPr>
          <w:rFonts w:ascii="宋体" w:hAnsi="宋体" w:eastAsia="宋体" w:cs="宋体"/>
          <w:spacing w:val="8"/>
          <w:sz w:val="20"/>
          <w:szCs w:val="20"/>
        </w:rPr>
        <w:t>医师，海外中医医疗及教学机构的专家学者等，均具备丰</w:t>
      </w:r>
      <w:r>
        <w:rPr>
          <w:rFonts w:ascii="宋体" w:hAnsi="宋体" w:eastAsia="宋体" w:cs="宋体"/>
          <w:spacing w:val="7"/>
          <w:sz w:val="20"/>
          <w:szCs w:val="20"/>
        </w:rPr>
        <w:t>富的临床、科研、教学经验，其意见可充分反</w:t>
      </w:r>
      <w:r>
        <w:rPr>
          <w:rFonts w:ascii="宋体" w:hAnsi="宋体" w:eastAsia="宋体" w:cs="宋体"/>
          <w:spacing w:val="5"/>
          <w:sz w:val="20"/>
          <w:szCs w:val="20"/>
        </w:rPr>
        <w:t>映</w:t>
      </w:r>
      <w:r>
        <w:rPr>
          <w:rFonts w:hint="eastAsia" w:ascii="宋体" w:hAnsi="宋体" w:eastAsia="宋体" w:cs="宋体"/>
          <w:spacing w:val="5"/>
          <w:sz w:val="20"/>
          <w:szCs w:val="20"/>
          <w:lang w:eastAsia="zh-CN"/>
        </w:rPr>
        <w:t>海内外</w:t>
      </w:r>
      <w:r>
        <w:rPr>
          <w:rFonts w:ascii="宋体" w:hAnsi="宋体" w:eastAsia="宋体" w:cs="宋体"/>
          <w:spacing w:val="5"/>
          <w:sz w:val="20"/>
          <w:szCs w:val="20"/>
        </w:rPr>
        <w:t>中医儿科领域高级专家对小儿拔罐疗法的专业见解。30</w:t>
      </w:r>
      <w:r>
        <w:rPr>
          <w:rFonts w:ascii="宋体" w:hAnsi="宋体" w:eastAsia="宋体" w:cs="宋体"/>
          <w:spacing w:val="-22"/>
          <w:sz w:val="20"/>
          <w:szCs w:val="20"/>
        </w:rPr>
        <w:t xml:space="preserve"> </w:t>
      </w:r>
      <w:r>
        <w:rPr>
          <w:rFonts w:ascii="宋体" w:hAnsi="宋体" w:eastAsia="宋体" w:cs="宋体"/>
          <w:spacing w:val="5"/>
          <w:sz w:val="20"/>
          <w:szCs w:val="20"/>
        </w:rPr>
        <w:t>名专家的所在国家/地区、年龄、学历、</w:t>
      </w:r>
      <w:r>
        <w:rPr>
          <w:rFonts w:ascii="宋体" w:hAnsi="宋体" w:eastAsia="宋体" w:cs="宋体"/>
          <w:spacing w:val="7"/>
          <w:sz w:val="20"/>
          <w:szCs w:val="20"/>
        </w:rPr>
        <w:t>职称、研究生导师、专业分布及工作年限等情况见表</w:t>
      </w:r>
      <w:r>
        <w:rPr>
          <w:rFonts w:ascii="宋体" w:hAnsi="宋体" w:eastAsia="宋体" w:cs="宋体"/>
          <w:spacing w:val="-16"/>
          <w:sz w:val="20"/>
          <w:szCs w:val="20"/>
        </w:rPr>
        <w:t xml:space="preserve"> </w:t>
      </w:r>
      <w:r>
        <w:rPr>
          <w:rFonts w:ascii="宋体" w:hAnsi="宋体" w:eastAsia="宋体" w:cs="宋体"/>
          <w:spacing w:val="7"/>
          <w:sz w:val="20"/>
          <w:szCs w:val="20"/>
        </w:rPr>
        <w:t>1-表</w:t>
      </w:r>
      <w:r>
        <w:rPr>
          <w:rFonts w:ascii="宋体" w:hAnsi="宋体" w:eastAsia="宋体" w:cs="宋体"/>
          <w:spacing w:val="-32"/>
          <w:sz w:val="20"/>
          <w:szCs w:val="20"/>
        </w:rPr>
        <w:t xml:space="preserve"> </w:t>
      </w:r>
      <w:r>
        <w:rPr>
          <w:rFonts w:ascii="宋体" w:hAnsi="宋体" w:eastAsia="宋体" w:cs="宋体"/>
          <w:spacing w:val="7"/>
          <w:sz w:val="20"/>
          <w:szCs w:val="20"/>
        </w:rPr>
        <w:t>7。</w:t>
      </w:r>
    </w:p>
    <w:p w14:paraId="0BCD11D0">
      <w:pPr>
        <w:spacing w:line="276" w:lineRule="auto"/>
        <w:ind w:left="3137"/>
        <w:rPr>
          <w:rFonts w:ascii="宋体" w:hAnsi="宋体" w:eastAsia="宋体" w:cs="宋体"/>
          <w:spacing w:val="6"/>
          <w:sz w:val="20"/>
          <w:szCs w:val="20"/>
        </w:rPr>
      </w:pPr>
    </w:p>
    <w:p w14:paraId="1B33881F">
      <w:pPr>
        <w:spacing w:line="276" w:lineRule="auto"/>
        <w:ind w:left="3137"/>
        <w:rPr>
          <w:rFonts w:ascii="宋体" w:hAnsi="宋体" w:eastAsia="宋体" w:cs="宋体"/>
          <w:sz w:val="20"/>
          <w:szCs w:val="20"/>
        </w:rPr>
      </w:pPr>
      <w:r>
        <w:rPr>
          <w:rFonts w:ascii="宋体" w:hAnsi="宋体" w:eastAsia="宋体" w:cs="宋体"/>
          <w:spacing w:val="6"/>
          <w:sz w:val="20"/>
          <w:szCs w:val="20"/>
        </w:rPr>
        <w:t>表</w:t>
      </w:r>
      <w:r>
        <w:rPr>
          <w:rFonts w:ascii="宋体" w:hAnsi="宋体" w:eastAsia="宋体" w:cs="宋体"/>
          <w:spacing w:val="-18"/>
          <w:sz w:val="20"/>
          <w:szCs w:val="20"/>
        </w:rPr>
        <w:t xml:space="preserve"> </w:t>
      </w:r>
      <w:r>
        <w:rPr>
          <w:rFonts w:ascii="宋体" w:hAnsi="宋体" w:eastAsia="宋体" w:cs="宋体"/>
          <w:spacing w:val="6"/>
          <w:sz w:val="20"/>
          <w:szCs w:val="20"/>
        </w:rPr>
        <w:t>1 专家所在国家 /</w:t>
      </w:r>
      <w:r>
        <w:rPr>
          <w:rFonts w:ascii="宋体" w:hAnsi="宋体" w:eastAsia="宋体" w:cs="宋体"/>
          <w:spacing w:val="12"/>
          <w:sz w:val="20"/>
          <w:szCs w:val="20"/>
        </w:rPr>
        <w:t xml:space="preserve"> </w:t>
      </w:r>
      <w:r>
        <w:rPr>
          <w:rFonts w:ascii="宋体" w:hAnsi="宋体" w:eastAsia="宋体" w:cs="宋体"/>
          <w:spacing w:val="6"/>
          <w:sz w:val="20"/>
          <w:szCs w:val="20"/>
        </w:rPr>
        <w:t>地区分布情况</w:t>
      </w:r>
    </w:p>
    <w:p w14:paraId="67252341">
      <w:pPr>
        <w:spacing w:line="276" w:lineRule="auto"/>
      </w:pPr>
    </w:p>
    <w:tbl>
      <w:tblPr>
        <w:tblStyle w:val="9"/>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58"/>
        <w:gridCol w:w="2506"/>
        <w:gridCol w:w="3831"/>
      </w:tblGrid>
      <w:tr w14:paraId="01C03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rPr>
        <w:tc>
          <w:tcPr>
            <w:tcW w:w="1958" w:type="dxa"/>
            <w:vAlign w:val="top"/>
          </w:tcPr>
          <w:p w14:paraId="6BC9C072">
            <w:pPr>
              <w:spacing w:before="146" w:line="276" w:lineRule="auto"/>
              <w:ind w:left="137"/>
              <w:rPr>
                <w:rFonts w:ascii="宋体" w:hAnsi="宋体" w:eastAsia="宋体" w:cs="宋体"/>
                <w:sz w:val="20"/>
                <w:szCs w:val="20"/>
              </w:rPr>
            </w:pPr>
            <w:r>
              <w:rPr>
                <w:rFonts w:ascii="宋体" w:hAnsi="宋体" w:eastAsia="宋体" w:cs="宋体"/>
                <w:spacing w:val="2"/>
                <w:sz w:val="20"/>
                <w:szCs w:val="20"/>
              </w:rPr>
              <w:t>国家/地区</w:t>
            </w:r>
          </w:p>
        </w:tc>
        <w:tc>
          <w:tcPr>
            <w:tcW w:w="2506" w:type="dxa"/>
            <w:vAlign w:val="top"/>
          </w:tcPr>
          <w:p w14:paraId="30B1C761">
            <w:pPr>
              <w:spacing w:before="146" w:line="276" w:lineRule="auto"/>
              <w:ind w:left="925"/>
              <w:rPr>
                <w:rFonts w:ascii="宋体" w:hAnsi="宋体" w:eastAsia="宋体" w:cs="宋体"/>
                <w:sz w:val="20"/>
                <w:szCs w:val="20"/>
              </w:rPr>
            </w:pPr>
            <w:r>
              <w:rPr>
                <w:rFonts w:ascii="宋体" w:hAnsi="宋体" w:eastAsia="宋体" w:cs="宋体"/>
                <w:spacing w:val="3"/>
                <w:sz w:val="20"/>
                <w:szCs w:val="20"/>
              </w:rPr>
              <w:t>人数</w:t>
            </w:r>
          </w:p>
        </w:tc>
        <w:tc>
          <w:tcPr>
            <w:tcW w:w="3831" w:type="dxa"/>
            <w:vAlign w:val="top"/>
          </w:tcPr>
          <w:p w14:paraId="5D79CC6B">
            <w:pPr>
              <w:spacing w:before="146" w:line="276" w:lineRule="auto"/>
              <w:ind w:left="1189"/>
              <w:rPr>
                <w:rFonts w:ascii="宋体" w:hAnsi="宋体" w:eastAsia="宋体" w:cs="宋体"/>
                <w:sz w:val="20"/>
                <w:szCs w:val="20"/>
              </w:rPr>
            </w:pPr>
            <w:r>
              <w:rPr>
                <w:rFonts w:ascii="宋体" w:hAnsi="宋体" w:eastAsia="宋体" w:cs="宋体"/>
                <w:spacing w:val="4"/>
                <w:sz w:val="20"/>
                <w:szCs w:val="20"/>
              </w:rPr>
              <w:t>百分比</w:t>
            </w:r>
          </w:p>
        </w:tc>
      </w:tr>
      <w:tr w14:paraId="47295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1958" w:type="dxa"/>
            <w:vAlign w:val="top"/>
          </w:tcPr>
          <w:p w14:paraId="5DFE798E">
            <w:pPr>
              <w:spacing w:before="143" w:line="276" w:lineRule="auto"/>
              <w:ind w:left="136"/>
              <w:rPr>
                <w:rFonts w:ascii="宋体" w:hAnsi="宋体" w:eastAsia="宋体" w:cs="宋体"/>
                <w:sz w:val="20"/>
                <w:szCs w:val="20"/>
              </w:rPr>
            </w:pPr>
            <w:r>
              <w:rPr>
                <w:rFonts w:ascii="宋体" w:hAnsi="宋体" w:eastAsia="宋体" w:cs="宋体"/>
                <w:spacing w:val="-5"/>
                <w:sz w:val="20"/>
                <w:szCs w:val="20"/>
              </w:rPr>
              <w:t>中国</w:t>
            </w:r>
          </w:p>
        </w:tc>
        <w:tc>
          <w:tcPr>
            <w:tcW w:w="2506" w:type="dxa"/>
            <w:vAlign w:val="top"/>
          </w:tcPr>
          <w:p w14:paraId="138EB99C">
            <w:pPr>
              <w:spacing w:before="143" w:line="276" w:lineRule="auto"/>
              <w:ind w:left="925"/>
              <w:rPr>
                <w:rFonts w:ascii="宋体" w:hAnsi="宋体" w:eastAsia="宋体" w:cs="宋体"/>
                <w:sz w:val="20"/>
                <w:szCs w:val="20"/>
              </w:rPr>
            </w:pPr>
            <w:r>
              <w:rPr>
                <w:rFonts w:ascii="宋体" w:hAnsi="宋体" w:eastAsia="宋体" w:cs="宋体"/>
                <w:spacing w:val="-1"/>
                <w:position w:val="1"/>
                <w:sz w:val="20"/>
                <w:szCs w:val="20"/>
              </w:rPr>
              <w:t>20</w:t>
            </w:r>
          </w:p>
        </w:tc>
        <w:tc>
          <w:tcPr>
            <w:tcW w:w="3831" w:type="dxa"/>
            <w:vAlign w:val="top"/>
          </w:tcPr>
          <w:p w14:paraId="403AB91F">
            <w:pPr>
              <w:spacing w:before="143" w:line="276" w:lineRule="auto"/>
              <w:ind w:left="1183"/>
              <w:rPr>
                <w:rFonts w:ascii="宋体" w:hAnsi="宋体" w:eastAsia="宋体" w:cs="宋体"/>
                <w:sz w:val="20"/>
                <w:szCs w:val="20"/>
              </w:rPr>
            </w:pPr>
            <w:r>
              <w:rPr>
                <w:rFonts w:ascii="宋体" w:hAnsi="宋体" w:eastAsia="宋体" w:cs="宋体"/>
                <w:spacing w:val="3"/>
                <w:position w:val="1"/>
                <w:sz w:val="20"/>
                <w:szCs w:val="20"/>
              </w:rPr>
              <w:t>66.67%</w:t>
            </w:r>
          </w:p>
        </w:tc>
      </w:tr>
      <w:tr w14:paraId="71821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8" w:hRule="atLeast"/>
        </w:trPr>
        <w:tc>
          <w:tcPr>
            <w:tcW w:w="1958" w:type="dxa"/>
            <w:vAlign w:val="top"/>
          </w:tcPr>
          <w:p w14:paraId="54D0D683">
            <w:pPr>
              <w:spacing w:before="106" w:line="276" w:lineRule="auto"/>
              <w:ind w:left="115"/>
              <w:rPr>
                <w:rFonts w:ascii="宋体" w:hAnsi="宋体" w:eastAsia="宋体" w:cs="宋体"/>
                <w:sz w:val="20"/>
                <w:szCs w:val="20"/>
              </w:rPr>
            </w:pPr>
            <w:r>
              <w:rPr>
                <w:rFonts w:ascii="宋体" w:hAnsi="宋体" w:eastAsia="宋体" w:cs="宋体"/>
                <w:spacing w:val="5"/>
                <w:sz w:val="20"/>
                <w:szCs w:val="20"/>
              </w:rPr>
              <w:t>泰国</w:t>
            </w:r>
          </w:p>
        </w:tc>
        <w:tc>
          <w:tcPr>
            <w:tcW w:w="2506" w:type="dxa"/>
            <w:vAlign w:val="top"/>
          </w:tcPr>
          <w:p w14:paraId="622C7281">
            <w:pPr>
              <w:spacing w:before="106" w:line="276" w:lineRule="auto"/>
              <w:ind w:left="925"/>
              <w:rPr>
                <w:rFonts w:ascii="宋体" w:hAnsi="宋体" w:eastAsia="宋体" w:cs="宋体"/>
                <w:sz w:val="20"/>
                <w:szCs w:val="20"/>
              </w:rPr>
            </w:pPr>
            <w:r>
              <w:rPr>
                <w:rFonts w:ascii="宋体" w:hAnsi="宋体" w:eastAsia="宋体" w:cs="宋体"/>
                <w:position w:val="1"/>
                <w:sz w:val="20"/>
                <w:szCs w:val="20"/>
              </w:rPr>
              <w:t>2</w:t>
            </w:r>
          </w:p>
        </w:tc>
        <w:tc>
          <w:tcPr>
            <w:tcW w:w="3831" w:type="dxa"/>
            <w:vAlign w:val="top"/>
          </w:tcPr>
          <w:p w14:paraId="17C531F7">
            <w:pPr>
              <w:spacing w:before="106" w:line="276" w:lineRule="auto"/>
              <w:ind w:left="1183"/>
              <w:rPr>
                <w:rFonts w:ascii="宋体" w:hAnsi="宋体" w:eastAsia="宋体" w:cs="宋体"/>
                <w:sz w:val="20"/>
                <w:szCs w:val="20"/>
              </w:rPr>
            </w:pPr>
            <w:r>
              <w:rPr>
                <w:rFonts w:ascii="宋体" w:hAnsi="宋体" w:eastAsia="宋体" w:cs="宋体"/>
                <w:spacing w:val="2"/>
                <w:position w:val="1"/>
                <w:sz w:val="20"/>
                <w:szCs w:val="20"/>
              </w:rPr>
              <w:t>6.67%</w:t>
            </w:r>
          </w:p>
        </w:tc>
      </w:tr>
      <w:tr w14:paraId="4A4B3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1958" w:type="dxa"/>
            <w:vAlign w:val="top"/>
          </w:tcPr>
          <w:p w14:paraId="07340061">
            <w:pPr>
              <w:spacing w:before="109" w:line="276" w:lineRule="auto"/>
              <w:ind w:left="117"/>
              <w:rPr>
                <w:rFonts w:ascii="宋体" w:hAnsi="宋体" w:eastAsia="宋体" w:cs="宋体"/>
                <w:sz w:val="20"/>
                <w:szCs w:val="20"/>
              </w:rPr>
            </w:pPr>
            <w:r>
              <w:rPr>
                <w:rFonts w:ascii="宋体" w:hAnsi="宋体" w:eastAsia="宋体" w:cs="宋体"/>
                <w:spacing w:val="6"/>
                <w:sz w:val="20"/>
                <w:szCs w:val="20"/>
              </w:rPr>
              <w:t>新加坡</w:t>
            </w:r>
          </w:p>
        </w:tc>
        <w:tc>
          <w:tcPr>
            <w:tcW w:w="2506" w:type="dxa"/>
            <w:vAlign w:val="top"/>
          </w:tcPr>
          <w:p w14:paraId="21103CB9">
            <w:pPr>
              <w:spacing w:before="109" w:line="276" w:lineRule="auto"/>
              <w:ind w:left="925"/>
              <w:rPr>
                <w:rFonts w:ascii="宋体" w:hAnsi="宋体" w:eastAsia="宋体" w:cs="宋体"/>
                <w:sz w:val="20"/>
                <w:szCs w:val="20"/>
              </w:rPr>
            </w:pPr>
            <w:r>
              <w:rPr>
                <w:rFonts w:ascii="宋体" w:hAnsi="宋体" w:eastAsia="宋体" w:cs="宋体"/>
                <w:position w:val="1"/>
                <w:sz w:val="20"/>
                <w:szCs w:val="20"/>
              </w:rPr>
              <w:t>2</w:t>
            </w:r>
          </w:p>
        </w:tc>
        <w:tc>
          <w:tcPr>
            <w:tcW w:w="3831" w:type="dxa"/>
            <w:vAlign w:val="top"/>
          </w:tcPr>
          <w:p w14:paraId="10E462B1">
            <w:pPr>
              <w:spacing w:before="109" w:line="276" w:lineRule="auto"/>
              <w:ind w:left="1183"/>
              <w:rPr>
                <w:rFonts w:ascii="宋体" w:hAnsi="宋体" w:eastAsia="宋体" w:cs="宋体"/>
                <w:sz w:val="20"/>
                <w:szCs w:val="20"/>
              </w:rPr>
            </w:pPr>
            <w:r>
              <w:rPr>
                <w:rFonts w:ascii="宋体" w:hAnsi="宋体" w:eastAsia="宋体" w:cs="宋体"/>
                <w:spacing w:val="2"/>
                <w:position w:val="1"/>
                <w:sz w:val="20"/>
                <w:szCs w:val="20"/>
              </w:rPr>
              <w:t>6.67%</w:t>
            </w:r>
          </w:p>
        </w:tc>
      </w:tr>
      <w:tr w14:paraId="4B364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1958" w:type="dxa"/>
            <w:vAlign w:val="top"/>
          </w:tcPr>
          <w:p w14:paraId="60C60BB7">
            <w:pPr>
              <w:spacing w:before="111" w:line="276" w:lineRule="auto"/>
              <w:ind w:left="123"/>
              <w:rPr>
                <w:rFonts w:ascii="宋体" w:hAnsi="宋体" w:eastAsia="宋体" w:cs="宋体"/>
                <w:sz w:val="20"/>
                <w:szCs w:val="20"/>
              </w:rPr>
            </w:pPr>
            <w:r>
              <w:rPr>
                <w:rFonts w:ascii="宋体" w:hAnsi="宋体" w:eastAsia="宋体" w:cs="宋体"/>
                <w:spacing w:val="5"/>
                <w:sz w:val="20"/>
                <w:szCs w:val="20"/>
              </w:rPr>
              <w:t>马来西亚</w:t>
            </w:r>
          </w:p>
        </w:tc>
        <w:tc>
          <w:tcPr>
            <w:tcW w:w="2506" w:type="dxa"/>
            <w:vAlign w:val="top"/>
          </w:tcPr>
          <w:p w14:paraId="3C81482B">
            <w:pPr>
              <w:spacing w:before="111" w:line="276" w:lineRule="auto"/>
              <w:ind w:left="925"/>
              <w:rPr>
                <w:rFonts w:ascii="宋体" w:hAnsi="宋体" w:eastAsia="宋体" w:cs="宋体"/>
                <w:sz w:val="20"/>
                <w:szCs w:val="20"/>
              </w:rPr>
            </w:pPr>
            <w:r>
              <w:rPr>
                <w:rFonts w:ascii="宋体" w:hAnsi="宋体" w:eastAsia="宋体" w:cs="宋体"/>
                <w:position w:val="1"/>
                <w:sz w:val="20"/>
                <w:szCs w:val="20"/>
              </w:rPr>
              <w:t>2</w:t>
            </w:r>
          </w:p>
        </w:tc>
        <w:tc>
          <w:tcPr>
            <w:tcW w:w="3831" w:type="dxa"/>
            <w:vAlign w:val="top"/>
          </w:tcPr>
          <w:p w14:paraId="69C08FDB">
            <w:pPr>
              <w:spacing w:before="111" w:line="276" w:lineRule="auto"/>
              <w:ind w:left="1183"/>
              <w:rPr>
                <w:rFonts w:ascii="宋体" w:hAnsi="宋体" w:eastAsia="宋体" w:cs="宋体"/>
                <w:sz w:val="20"/>
                <w:szCs w:val="20"/>
              </w:rPr>
            </w:pPr>
            <w:r>
              <w:rPr>
                <w:rFonts w:ascii="宋体" w:hAnsi="宋体" w:eastAsia="宋体" w:cs="宋体"/>
                <w:spacing w:val="2"/>
                <w:position w:val="1"/>
                <w:sz w:val="20"/>
                <w:szCs w:val="20"/>
              </w:rPr>
              <w:t>6.67%</w:t>
            </w:r>
          </w:p>
        </w:tc>
      </w:tr>
      <w:tr w14:paraId="51DB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8" w:hRule="atLeast"/>
        </w:trPr>
        <w:tc>
          <w:tcPr>
            <w:tcW w:w="1958" w:type="dxa"/>
            <w:vAlign w:val="top"/>
          </w:tcPr>
          <w:p w14:paraId="13F84958">
            <w:pPr>
              <w:spacing w:before="115" w:line="276" w:lineRule="auto"/>
              <w:ind w:left="116"/>
              <w:rPr>
                <w:rFonts w:ascii="宋体" w:hAnsi="宋体" w:eastAsia="宋体" w:cs="宋体"/>
                <w:sz w:val="20"/>
                <w:szCs w:val="20"/>
              </w:rPr>
            </w:pPr>
            <w:r>
              <w:rPr>
                <w:rFonts w:ascii="宋体" w:hAnsi="宋体" w:eastAsia="宋体" w:cs="宋体"/>
                <w:spacing w:val="6"/>
                <w:sz w:val="20"/>
                <w:szCs w:val="20"/>
              </w:rPr>
              <w:t>加拿大</w:t>
            </w:r>
          </w:p>
        </w:tc>
        <w:tc>
          <w:tcPr>
            <w:tcW w:w="2506" w:type="dxa"/>
            <w:vAlign w:val="top"/>
          </w:tcPr>
          <w:p w14:paraId="04CC196E">
            <w:pPr>
              <w:spacing w:before="116" w:line="276" w:lineRule="auto"/>
              <w:ind w:left="925"/>
              <w:rPr>
                <w:rFonts w:ascii="宋体" w:hAnsi="宋体" w:eastAsia="宋体" w:cs="宋体"/>
                <w:sz w:val="20"/>
                <w:szCs w:val="20"/>
              </w:rPr>
            </w:pPr>
            <w:r>
              <w:rPr>
                <w:rFonts w:ascii="宋体" w:hAnsi="宋体" w:eastAsia="宋体" w:cs="宋体"/>
                <w:position w:val="1"/>
                <w:sz w:val="20"/>
                <w:szCs w:val="20"/>
              </w:rPr>
              <w:t>2</w:t>
            </w:r>
          </w:p>
        </w:tc>
        <w:tc>
          <w:tcPr>
            <w:tcW w:w="3831" w:type="dxa"/>
            <w:vAlign w:val="top"/>
          </w:tcPr>
          <w:p w14:paraId="325FF68F">
            <w:pPr>
              <w:spacing w:before="116" w:line="276" w:lineRule="auto"/>
              <w:ind w:left="1183"/>
              <w:rPr>
                <w:rFonts w:ascii="宋体" w:hAnsi="宋体" w:eastAsia="宋体" w:cs="宋体"/>
                <w:sz w:val="20"/>
                <w:szCs w:val="20"/>
              </w:rPr>
            </w:pPr>
            <w:r>
              <w:rPr>
                <w:rFonts w:ascii="宋体" w:hAnsi="宋体" w:eastAsia="宋体" w:cs="宋体"/>
                <w:spacing w:val="2"/>
                <w:position w:val="1"/>
                <w:sz w:val="20"/>
                <w:szCs w:val="20"/>
              </w:rPr>
              <w:t>6.67%</w:t>
            </w:r>
          </w:p>
        </w:tc>
      </w:tr>
      <w:tr w14:paraId="4FAEF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1" w:hRule="atLeast"/>
        </w:trPr>
        <w:tc>
          <w:tcPr>
            <w:tcW w:w="1958" w:type="dxa"/>
            <w:vAlign w:val="top"/>
          </w:tcPr>
          <w:p w14:paraId="23D61297">
            <w:pPr>
              <w:spacing w:before="119" w:line="276" w:lineRule="auto"/>
              <w:ind w:left="115"/>
              <w:rPr>
                <w:rFonts w:ascii="宋体" w:hAnsi="宋体" w:eastAsia="宋体" w:cs="宋体"/>
                <w:sz w:val="20"/>
                <w:szCs w:val="20"/>
              </w:rPr>
            </w:pPr>
            <w:r>
              <w:rPr>
                <w:rFonts w:ascii="宋体" w:hAnsi="宋体" w:eastAsia="宋体" w:cs="宋体"/>
                <w:spacing w:val="5"/>
                <w:sz w:val="20"/>
                <w:szCs w:val="20"/>
              </w:rPr>
              <w:t>越南</w:t>
            </w:r>
          </w:p>
        </w:tc>
        <w:tc>
          <w:tcPr>
            <w:tcW w:w="2506" w:type="dxa"/>
            <w:vAlign w:val="top"/>
          </w:tcPr>
          <w:p w14:paraId="05CD4A6B">
            <w:pPr>
              <w:spacing w:before="118" w:line="276" w:lineRule="auto"/>
              <w:ind w:left="925"/>
              <w:rPr>
                <w:rFonts w:ascii="宋体" w:hAnsi="宋体" w:eastAsia="宋体" w:cs="宋体"/>
                <w:sz w:val="20"/>
                <w:szCs w:val="20"/>
              </w:rPr>
            </w:pPr>
            <w:r>
              <w:rPr>
                <w:rFonts w:ascii="宋体" w:hAnsi="宋体" w:eastAsia="宋体" w:cs="宋体"/>
                <w:sz w:val="20"/>
                <w:szCs w:val="20"/>
              </w:rPr>
              <w:t>2</w:t>
            </w:r>
          </w:p>
        </w:tc>
        <w:tc>
          <w:tcPr>
            <w:tcW w:w="3831" w:type="dxa"/>
            <w:vAlign w:val="top"/>
          </w:tcPr>
          <w:p w14:paraId="7E3B6756">
            <w:pPr>
              <w:spacing w:before="118" w:line="276" w:lineRule="auto"/>
              <w:ind w:left="1183"/>
              <w:rPr>
                <w:rFonts w:ascii="宋体" w:hAnsi="宋体" w:eastAsia="宋体" w:cs="宋体"/>
                <w:sz w:val="20"/>
                <w:szCs w:val="20"/>
              </w:rPr>
            </w:pPr>
            <w:r>
              <w:rPr>
                <w:rFonts w:ascii="宋体" w:hAnsi="宋体" w:eastAsia="宋体" w:cs="宋体"/>
                <w:spacing w:val="2"/>
                <w:sz w:val="20"/>
                <w:szCs w:val="20"/>
              </w:rPr>
              <w:t>6.67%</w:t>
            </w:r>
          </w:p>
        </w:tc>
      </w:tr>
    </w:tbl>
    <w:p w14:paraId="7893EAF6">
      <w:pPr>
        <w:spacing w:before="141" w:line="276" w:lineRule="auto"/>
        <w:ind w:left="3715"/>
        <w:rPr>
          <w:rFonts w:ascii="宋体" w:hAnsi="宋体" w:eastAsia="宋体" w:cs="宋体"/>
          <w:sz w:val="20"/>
          <w:szCs w:val="20"/>
        </w:rPr>
      </w:pPr>
      <w:r>
        <w:rPr>
          <w:rFonts w:ascii="宋体" w:hAnsi="宋体" w:eastAsia="宋体" w:cs="宋体"/>
          <w:spacing w:val="7"/>
          <w:sz w:val="20"/>
          <w:szCs w:val="20"/>
        </w:rPr>
        <w:t>表</w:t>
      </w:r>
      <w:r>
        <w:rPr>
          <w:rFonts w:ascii="宋体" w:hAnsi="宋体" w:eastAsia="宋体" w:cs="宋体"/>
          <w:spacing w:val="-37"/>
          <w:sz w:val="20"/>
          <w:szCs w:val="20"/>
        </w:rPr>
        <w:t xml:space="preserve"> </w:t>
      </w:r>
      <w:r>
        <w:rPr>
          <w:rFonts w:ascii="宋体" w:hAnsi="宋体" w:eastAsia="宋体" w:cs="宋体"/>
          <w:spacing w:val="7"/>
          <w:sz w:val="20"/>
          <w:szCs w:val="20"/>
        </w:rPr>
        <w:t>2 专家年龄分布情况</w:t>
      </w:r>
    </w:p>
    <w:p w14:paraId="25B04C0A">
      <w:pPr>
        <w:spacing w:line="276" w:lineRule="auto"/>
      </w:pPr>
    </w:p>
    <w:tbl>
      <w:tblPr>
        <w:tblStyle w:val="9"/>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39"/>
        <w:gridCol w:w="2424"/>
        <w:gridCol w:w="3832"/>
      </w:tblGrid>
      <w:tr w14:paraId="2A64C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atLeast"/>
        </w:trPr>
        <w:tc>
          <w:tcPr>
            <w:tcW w:w="2039" w:type="dxa"/>
            <w:vAlign w:val="top"/>
          </w:tcPr>
          <w:p w14:paraId="3C0E6531">
            <w:pPr>
              <w:spacing w:before="144" w:line="276" w:lineRule="auto"/>
              <w:ind w:left="117"/>
              <w:rPr>
                <w:rFonts w:ascii="宋体" w:hAnsi="宋体" w:eastAsia="宋体" w:cs="宋体"/>
                <w:sz w:val="20"/>
                <w:szCs w:val="20"/>
              </w:rPr>
            </w:pPr>
            <w:r>
              <w:rPr>
                <w:rFonts w:ascii="宋体" w:hAnsi="宋体" w:eastAsia="宋体" w:cs="宋体"/>
                <w:spacing w:val="7"/>
                <w:sz w:val="20"/>
                <w:szCs w:val="20"/>
              </w:rPr>
              <w:t>年龄区间</w:t>
            </w:r>
          </w:p>
        </w:tc>
        <w:tc>
          <w:tcPr>
            <w:tcW w:w="2424" w:type="dxa"/>
            <w:vAlign w:val="top"/>
          </w:tcPr>
          <w:p w14:paraId="6BF56324">
            <w:pPr>
              <w:spacing w:before="144" w:line="276" w:lineRule="auto"/>
              <w:ind w:left="844"/>
              <w:rPr>
                <w:rFonts w:ascii="宋体" w:hAnsi="宋体" w:eastAsia="宋体" w:cs="宋体"/>
                <w:sz w:val="20"/>
                <w:szCs w:val="20"/>
              </w:rPr>
            </w:pPr>
            <w:r>
              <w:rPr>
                <w:rFonts w:ascii="宋体" w:hAnsi="宋体" w:eastAsia="宋体" w:cs="宋体"/>
                <w:spacing w:val="3"/>
                <w:sz w:val="20"/>
                <w:szCs w:val="20"/>
              </w:rPr>
              <w:t>人数</w:t>
            </w:r>
          </w:p>
        </w:tc>
        <w:tc>
          <w:tcPr>
            <w:tcW w:w="3832" w:type="dxa"/>
            <w:vAlign w:val="top"/>
          </w:tcPr>
          <w:p w14:paraId="10B23875">
            <w:pPr>
              <w:spacing w:before="145" w:line="276" w:lineRule="auto"/>
              <w:ind w:left="1190"/>
              <w:rPr>
                <w:rFonts w:ascii="宋体" w:hAnsi="宋体" w:eastAsia="宋体" w:cs="宋体"/>
                <w:sz w:val="20"/>
                <w:szCs w:val="20"/>
              </w:rPr>
            </w:pPr>
            <w:r>
              <w:rPr>
                <w:rFonts w:ascii="宋体" w:hAnsi="宋体" w:eastAsia="宋体" w:cs="宋体"/>
                <w:spacing w:val="4"/>
                <w:sz w:val="20"/>
                <w:szCs w:val="20"/>
              </w:rPr>
              <w:t>百分比</w:t>
            </w:r>
          </w:p>
        </w:tc>
      </w:tr>
      <w:tr w14:paraId="7FCDB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trPr>
        <w:tc>
          <w:tcPr>
            <w:tcW w:w="2039" w:type="dxa"/>
            <w:vAlign w:val="top"/>
          </w:tcPr>
          <w:p w14:paraId="352A4577">
            <w:pPr>
              <w:spacing w:before="146" w:line="276" w:lineRule="auto"/>
              <w:ind w:left="115"/>
              <w:rPr>
                <w:rFonts w:ascii="宋体" w:hAnsi="宋体" w:eastAsia="宋体" w:cs="宋体"/>
                <w:sz w:val="20"/>
                <w:szCs w:val="20"/>
              </w:rPr>
            </w:pPr>
            <w:r>
              <w:rPr>
                <w:rFonts w:ascii="宋体" w:hAnsi="宋体" w:eastAsia="宋体" w:cs="宋体"/>
                <w:spacing w:val="3"/>
                <w:position w:val="1"/>
                <w:sz w:val="20"/>
                <w:szCs w:val="20"/>
              </w:rPr>
              <w:t>40-49</w:t>
            </w:r>
          </w:p>
        </w:tc>
        <w:tc>
          <w:tcPr>
            <w:tcW w:w="2424" w:type="dxa"/>
            <w:vAlign w:val="top"/>
          </w:tcPr>
          <w:p w14:paraId="03FFD0CF">
            <w:pPr>
              <w:spacing w:before="146" w:line="276" w:lineRule="auto"/>
              <w:ind w:left="843"/>
              <w:rPr>
                <w:rFonts w:ascii="宋体" w:hAnsi="宋体" w:eastAsia="宋体" w:cs="宋体"/>
                <w:sz w:val="20"/>
                <w:szCs w:val="20"/>
              </w:rPr>
            </w:pPr>
            <w:r>
              <w:rPr>
                <w:rFonts w:ascii="宋体" w:hAnsi="宋体" w:eastAsia="宋体" w:cs="宋体"/>
                <w:position w:val="1"/>
                <w:sz w:val="20"/>
                <w:szCs w:val="20"/>
              </w:rPr>
              <w:t>8</w:t>
            </w:r>
          </w:p>
        </w:tc>
        <w:tc>
          <w:tcPr>
            <w:tcW w:w="3832" w:type="dxa"/>
            <w:vAlign w:val="top"/>
          </w:tcPr>
          <w:p w14:paraId="07363459">
            <w:pPr>
              <w:spacing w:before="146" w:line="276" w:lineRule="auto"/>
              <w:ind w:left="1185"/>
              <w:rPr>
                <w:rFonts w:ascii="宋体" w:hAnsi="宋体" w:eastAsia="宋体" w:cs="宋体"/>
                <w:sz w:val="20"/>
                <w:szCs w:val="20"/>
              </w:rPr>
            </w:pPr>
            <w:r>
              <w:rPr>
                <w:rFonts w:ascii="宋体" w:hAnsi="宋体" w:eastAsia="宋体" w:cs="宋体"/>
                <w:spacing w:val="3"/>
                <w:position w:val="1"/>
                <w:sz w:val="20"/>
                <w:szCs w:val="20"/>
              </w:rPr>
              <w:t>26.67%</w:t>
            </w:r>
          </w:p>
        </w:tc>
      </w:tr>
      <w:tr w14:paraId="640FC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rPr>
        <w:tc>
          <w:tcPr>
            <w:tcW w:w="2039" w:type="dxa"/>
            <w:vAlign w:val="top"/>
          </w:tcPr>
          <w:p w14:paraId="34BD2A5A">
            <w:pPr>
              <w:spacing w:before="119" w:line="276" w:lineRule="auto"/>
              <w:ind w:left="120"/>
              <w:rPr>
                <w:rFonts w:ascii="宋体" w:hAnsi="宋体" w:eastAsia="宋体" w:cs="宋体"/>
                <w:sz w:val="20"/>
                <w:szCs w:val="20"/>
              </w:rPr>
            </w:pPr>
            <w:r>
              <w:rPr>
                <w:rFonts w:ascii="宋体" w:hAnsi="宋体" w:eastAsia="宋体" w:cs="宋体"/>
                <w:spacing w:val="2"/>
                <w:sz w:val="20"/>
                <w:szCs w:val="20"/>
              </w:rPr>
              <w:t>50-59</w:t>
            </w:r>
            <w:r>
              <w:rPr>
                <w:rFonts w:ascii="宋体" w:hAnsi="宋体" w:eastAsia="宋体" w:cs="宋体"/>
                <w:spacing w:val="-34"/>
                <w:sz w:val="20"/>
                <w:szCs w:val="20"/>
              </w:rPr>
              <w:t xml:space="preserve"> </w:t>
            </w:r>
            <w:r>
              <w:rPr>
                <w:rFonts w:ascii="宋体" w:hAnsi="宋体" w:eastAsia="宋体" w:cs="宋体"/>
                <w:spacing w:val="2"/>
                <w:sz w:val="20"/>
                <w:szCs w:val="20"/>
              </w:rPr>
              <w:t>岁</w:t>
            </w:r>
          </w:p>
        </w:tc>
        <w:tc>
          <w:tcPr>
            <w:tcW w:w="2424" w:type="dxa"/>
            <w:vAlign w:val="top"/>
          </w:tcPr>
          <w:p w14:paraId="7EC49D7A">
            <w:pPr>
              <w:spacing w:before="119" w:line="276" w:lineRule="auto"/>
              <w:ind w:left="857"/>
              <w:rPr>
                <w:rFonts w:ascii="宋体" w:hAnsi="宋体" w:eastAsia="宋体" w:cs="宋体"/>
                <w:sz w:val="20"/>
                <w:szCs w:val="20"/>
              </w:rPr>
            </w:pPr>
            <w:r>
              <w:rPr>
                <w:rFonts w:ascii="宋体" w:hAnsi="宋体" w:eastAsia="宋体" w:cs="宋体"/>
                <w:spacing w:val="-7"/>
                <w:position w:val="1"/>
                <w:sz w:val="20"/>
                <w:szCs w:val="20"/>
              </w:rPr>
              <w:t>12</w:t>
            </w:r>
          </w:p>
        </w:tc>
        <w:tc>
          <w:tcPr>
            <w:tcW w:w="3832" w:type="dxa"/>
            <w:vAlign w:val="top"/>
          </w:tcPr>
          <w:p w14:paraId="521A224C">
            <w:pPr>
              <w:spacing w:before="119" w:line="276" w:lineRule="auto"/>
              <w:ind w:left="1182"/>
              <w:rPr>
                <w:rFonts w:ascii="宋体" w:hAnsi="宋体" w:eastAsia="宋体" w:cs="宋体"/>
                <w:sz w:val="20"/>
                <w:szCs w:val="20"/>
              </w:rPr>
            </w:pPr>
            <w:r>
              <w:rPr>
                <w:rFonts w:ascii="宋体" w:hAnsi="宋体" w:eastAsia="宋体" w:cs="宋体"/>
                <w:spacing w:val="1"/>
                <w:position w:val="1"/>
                <w:sz w:val="20"/>
                <w:szCs w:val="20"/>
              </w:rPr>
              <w:t>40%</w:t>
            </w:r>
          </w:p>
        </w:tc>
      </w:tr>
      <w:tr w14:paraId="3B55F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5" w:hRule="atLeast"/>
        </w:trPr>
        <w:tc>
          <w:tcPr>
            <w:tcW w:w="2039" w:type="dxa"/>
            <w:vAlign w:val="top"/>
          </w:tcPr>
          <w:p w14:paraId="034EFBB8">
            <w:pPr>
              <w:spacing w:before="112" w:line="276" w:lineRule="auto"/>
              <w:ind w:left="118"/>
              <w:rPr>
                <w:rFonts w:ascii="宋体" w:hAnsi="宋体" w:eastAsia="宋体" w:cs="宋体"/>
                <w:sz w:val="20"/>
                <w:szCs w:val="20"/>
              </w:rPr>
            </w:pPr>
            <w:r>
              <w:rPr>
                <w:rFonts w:ascii="宋体" w:hAnsi="宋体" w:eastAsia="宋体" w:cs="宋体"/>
                <w:spacing w:val="2"/>
                <w:sz w:val="20"/>
                <w:szCs w:val="20"/>
              </w:rPr>
              <w:t>60-69</w:t>
            </w:r>
            <w:r>
              <w:rPr>
                <w:rFonts w:ascii="宋体" w:hAnsi="宋体" w:eastAsia="宋体" w:cs="宋体"/>
                <w:spacing w:val="-32"/>
                <w:sz w:val="20"/>
                <w:szCs w:val="20"/>
              </w:rPr>
              <w:t xml:space="preserve"> </w:t>
            </w:r>
            <w:r>
              <w:rPr>
                <w:rFonts w:ascii="宋体" w:hAnsi="宋体" w:eastAsia="宋体" w:cs="宋体"/>
                <w:spacing w:val="2"/>
                <w:sz w:val="20"/>
                <w:szCs w:val="20"/>
              </w:rPr>
              <w:t>岁</w:t>
            </w:r>
          </w:p>
        </w:tc>
        <w:tc>
          <w:tcPr>
            <w:tcW w:w="2424" w:type="dxa"/>
            <w:vAlign w:val="top"/>
          </w:tcPr>
          <w:p w14:paraId="503ACC29">
            <w:pPr>
              <w:spacing w:before="112" w:line="276" w:lineRule="auto"/>
              <w:ind w:left="841"/>
              <w:rPr>
                <w:rFonts w:ascii="宋体" w:hAnsi="宋体" w:eastAsia="宋体" w:cs="宋体"/>
                <w:sz w:val="20"/>
                <w:szCs w:val="20"/>
              </w:rPr>
            </w:pPr>
            <w:r>
              <w:rPr>
                <w:rFonts w:ascii="宋体" w:hAnsi="宋体" w:eastAsia="宋体" w:cs="宋体"/>
                <w:position w:val="1"/>
                <w:sz w:val="20"/>
                <w:szCs w:val="20"/>
              </w:rPr>
              <w:t>4</w:t>
            </w:r>
          </w:p>
        </w:tc>
        <w:tc>
          <w:tcPr>
            <w:tcW w:w="3832" w:type="dxa"/>
            <w:vAlign w:val="top"/>
          </w:tcPr>
          <w:p w14:paraId="649E9A99">
            <w:pPr>
              <w:spacing w:before="112" w:line="276" w:lineRule="auto"/>
              <w:ind w:left="1198"/>
              <w:rPr>
                <w:rFonts w:ascii="宋体" w:hAnsi="宋体" w:eastAsia="宋体" w:cs="宋体"/>
                <w:sz w:val="20"/>
                <w:szCs w:val="20"/>
              </w:rPr>
            </w:pPr>
            <w:r>
              <w:rPr>
                <w:rFonts w:ascii="宋体" w:hAnsi="宋体" w:eastAsia="宋体" w:cs="宋体"/>
                <w:spacing w:val="1"/>
                <w:position w:val="1"/>
                <w:sz w:val="20"/>
                <w:szCs w:val="20"/>
              </w:rPr>
              <w:t>13.33%</w:t>
            </w:r>
          </w:p>
        </w:tc>
      </w:tr>
      <w:tr w14:paraId="52A1E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1" w:hRule="atLeast"/>
        </w:trPr>
        <w:tc>
          <w:tcPr>
            <w:tcW w:w="2039" w:type="dxa"/>
            <w:vAlign w:val="top"/>
          </w:tcPr>
          <w:p w14:paraId="1DFA7EE8">
            <w:pPr>
              <w:spacing w:before="118" w:line="276" w:lineRule="auto"/>
              <w:ind w:left="121"/>
              <w:rPr>
                <w:rFonts w:ascii="宋体" w:hAnsi="宋体" w:eastAsia="宋体" w:cs="宋体"/>
                <w:sz w:val="20"/>
                <w:szCs w:val="20"/>
              </w:rPr>
            </w:pPr>
            <w:r>
              <w:rPr>
                <w:rFonts w:ascii="宋体" w:hAnsi="宋体" w:eastAsia="宋体" w:cs="宋体"/>
                <w:spacing w:val="3"/>
                <w:sz w:val="20"/>
                <w:szCs w:val="20"/>
              </w:rPr>
              <w:t>70</w:t>
            </w:r>
            <w:r>
              <w:rPr>
                <w:rFonts w:ascii="宋体" w:hAnsi="宋体" w:eastAsia="宋体" w:cs="宋体"/>
                <w:spacing w:val="-33"/>
                <w:sz w:val="20"/>
                <w:szCs w:val="20"/>
              </w:rPr>
              <w:t xml:space="preserve"> </w:t>
            </w:r>
            <w:r>
              <w:rPr>
                <w:rFonts w:ascii="宋体" w:hAnsi="宋体" w:eastAsia="宋体" w:cs="宋体"/>
                <w:spacing w:val="3"/>
                <w:sz w:val="20"/>
                <w:szCs w:val="20"/>
              </w:rPr>
              <w:t>岁及以上</w:t>
            </w:r>
          </w:p>
        </w:tc>
        <w:tc>
          <w:tcPr>
            <w:tcW w:w="2424" w:type="dxa"/>
            <w:vAlign w:val="top"/>
          </w:tcPr>
          <w:p w14:paraId="57662229">
            <w:pPr>
              <w:spacing w:before="118" w:line="276" w:lineRule="auto"/>
              <w:ind w:left="844"/>
              <w:rPr>
                <w:rFonts w:ascii="宋体" w:hAnsi="宋体" w:eastAsia="宋体" w:cs="宋体"/>
                <w:sz w:val="20"/>
                <w:szCs w:val="20"/>
              </w:rPr>
            </w:pPr>
            <w:r>
              <w:rPr>
                <w:rFonts w:ascii="宋体" w:hAnsi="宋体" w:eastAsia="宋体" w:cs="宋体"/>
                <w:sz w:val="20"/>
                <w:szCs w:val="20"/>
              </w:rPr>
              <w:t>2</w:t>
            </w:r>
          </w:p>
        </w:tc>
        <w:tc>
          <w:tcPr>
            <w:tcW w:w="3832" w:type="dxa"/>
            <w:vAlign w:val="top"/>
          </w:tcPr>
          <w:p w14:paraId="75D71C47">
            <w:pPr>
              <w:spacing w:before="118" w:line="276" w:lineRule="auto"/>
              <w:ind w:left="1184"/>
              <w:rPr>
                <w:rFonts w:ascii="宋体" w:hAnsi="宋体" w:eastAsia="宋体" w:cs="宋体"/>
                <w:sz w:val="20"/>
                <w:szCs w:val="20"/>
              </w:rPr>
            </w:pPr>
            <w:r>
              <w:rPr>
                <w:rFonts w:ascii="宋体" w:hAnsi="宋体" w:eastAsia="宋体" w:cs="宋体"/>
                <w:spacing w:val="2"/>
                <w:sz w:val="20"/>
                <w:szCs w:val="20"/>
              </w:rPr>
              <w:t>6.67%</w:t>
            </w:r>
          </w:p>
        </w:tc>
      </w:tr>
    </w:tbl>
    <w:p w14:paraId="4E3D4116">
      <w:pPr>
        <w:spacing w:before="141" w:line="276" w:lineRule="auto"/>
        <w:ind w:left="3401"/>
        <w:rPr>
          <w:rFonts w:ascii="宋体" w:hAnsi="宋体" w:eastAsia="宋体" w:cs="宋体"/>
          <w:sz w:val="20"/>
          <w:szCs w:val="20"/>
        </w:rPr>
      </w:pPr>
      <w:r>
        <w:rPr>
          <w:rFonts w:ascii="宋体" w:hAnsi="宋体" w:eastAsia="宋体" w:cs="宋体"/>
          <w:spacing w:val="7"/>
          <w:sz w:val="20"/>
          <w:szCs w:val="20"/>
        </w:rPr>
        <w:t>表</w:t>
      </w:r>
      <w:r>
        <w:rPr>
          <w:rFonts w:ascii="宋体" w:hAnsi="宋体" w:eastAsia="宋体" w:cs="宋体"/>
          <w:spacing w:val="-27"/>
          <w:sz w:val="20"/>
          <w:szCs w:val="20"/>
        </w:rPr>
        <w:t xml:space="preserve"> </w:t>
      </w:r>
      <w:r>
        <w:rPr>
          <w:rFonts w:ascii="宋体" w:hAnsi="宋体" w:eastAsia="宋体" w:cs="宋体"/>
          <w:spacing w:val="7"/>
          <w:sz w:val="20"/>
          <w:szCs w:val="20"/>
        </w:rPr>
        <w:t>3 专家学历、学位分布情况</w:t>
      </w:r>
    </w:p>
    <w:p w14:paraId="1E1CCBB8">
      <w:pPr>
        <w:spacing w:line="276" w:lineRule="auto"/>
      </w:pPr>
    </w:p>
    <w:tbl>
      <w:tblPr>
        <w:tblStyle w:val="9"/>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63"/>
        <w:gridCol w:w="2501"/>
        <w:gridCol w:w="3831"/>
      </w:tblGrid>
      <w:tr w14:paraId="39500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1963" w:type="dxa"/>
            <w:vAlign w:val="top"/>
          </w:tcPr>
          <w:p w14:paraId="58B8805B">
            <w:pPr>
              <w:spacing w:before="144" w:line="276" w:lineRule="auto"/>
              <w:ind w:left="120"/>
              <w:rPr>
                <w:rFonts w:ascii="宋体" w:hAnsi="宋体" w:eastAsia="宋体" w:cs="宋体"/>
                <w:sz w:val="20"/>
                <w:szCs w:val="20"/>
              </w:rPr>
            </w:pPr>
            <w:r>
              <w:rPr>
                <w:rFonts w:ascii="宋体" w:hAnsi="宋体" w:eastAsia="宋体" w:cs="宋体"/>
                <w:spacing w:val="6"/>
                <w:sz w:val="20"/>
                <w:szCs w:val="20"/>
              </w:rPr>
              <w:t>学历/学位</w:t>
            </w:r>
          </w:p>
        </w:tc>
        <w:tc>
          <w:tcPr>
            <w:tcW w:w="2501" w:type="dxa"/>
            <w:vAlign w:val="top"/>
          </w:tcPr>
          <w:p w14:paraId="5FEB9B27">
            <w:pPr>
              <w:spacing w:before="144" w:line="276" w:lineRule="auto"/>
              <w:ind w:left="920"/>
              <w:rPr>
                <w:rFonts w:ascii="宋体" w:hAnsi="宋体" w:eastAsia="宋体" w:cs="宋体"/>
                <w:sz w:val="20"/>
                <w:szCs w:val="20"/>
              </w:rPr>
            </w:pPr>
            <w:r>
              <w:rPr>
                <w:rFonts w:ascii="宋体" w:hAnsi="宋体" w:eastAsia="宋体" w:cs="宋体"/>
                <w:spacing w:val="3"/>
                <w:sz w:val="20"/>
                <w:szCs w:val="20"/>
              </w:rPr>
              <w:t>人数</w:t>
            </w:r>
          </w:p>
        </w:tc>
        <w:tc>
          <w:tcPr>
            <w:tcW w:w="3831" w:type="dxa"/>
            <w:vAlign w:val="top"/>
          </w:tcPr>
          <w:p w14:paraId="1AC5EE23">
            <w:pPr>
              <w:spacing w:before="145" w:line="276" w:lineRule="auto"/>
              <w:ind w:left="1189"/>
              <w:rPr>
                <w:rFonts w:ascii="宋体" w:hAnsi="宋体" w:eastAsia="宋体" w:cs="宋体"/>
                <w:sz w:val="20"/>
                <w:szCs w:val="20"/>
              </w:rPr>
            </w:pPr>
            <w:r>
              <w:rPr>
                <w:rFonts w:ascii="宋体" w:hAnsi="宋体" w:eastAsia="宋体" w:cs="宋体"/>
                <w:spacing w:val="4"/>
                <w:sz w:val="20"/>
                <w:szCs w:val="20"/>
              </w:rPr>
              <w:t>百分比</w:t>
            </w:r>
          </w:p>
        </w:tc>
      </w:tr>
      <w:tr w14:paraId="6352A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1963" w:type="dxa"/>
            <w:vAlign w:val="top"/>
          </w:tcPr>
          <w:p w14:paraId="1E25EC65">
            <w:pPr>
              <w:spacing w:before="147" w:line="276" w:lineRule="auto"/>
              <w:ind w:left="117"/>
              <w:rPr>
                <w:rFonts w:ascii="宋体" w:hAnsi="宋体" w:eastAsia="宋体" w:cs="宋体"/>
                <w:sz w:val="20"/>
                <w:szCs w:val="20"/>
              </w:rPr>
            </w:pPr>
            <w:r>
              <w:rPr>
                <w:rFonts w:ascii="宋体" w:hAnsi="宋体" w:eastAsia="宋体" w:cs="宋体"/>
                <w:spacing w:val="4"/>
                <w:sz w:val="20"/>
                <w:szCs w:val="20"/>
              </w:rPr>
              <w:t>本科</w:t>
            </w:r>
          </w:p>
        </w:tc>
        <w:tc>
          <w:tcPr>
            <w:tcW w:w="2501" w:type="dxa"/>
            <w:vAlign w:val="top"/>
          </w:tcPr>
          <w:p w14:paraId="2B89AFE2">
            <w:pPr>
              <w:spacing w:before="147" w:line="276" w:lineRule="auto"/>
              <w:ind w:left="920"/>
              <w:rPr>
                <w:rFonts w:ascii="宋体" w:hAnsi="宋体" w:eastAsia="宋体" w:cs="宋体"/>
                <w:sz w:val="20"/>
                <w:szCs w:val="20"/>
              </w:rPr>
            </w:pPr>
            <w:r>
              <w:rPr>
                <w:rFonts w:ascii="宋体" w:hAnsi="宋体" w:eastAsia="宋体" w:cs="宋体"/>
                <w:position w:val="1"/>
                <w:sz w:val="20"/>
                <w:szCs w:val="20"/>
              </w:rPr>
              <w:t>2</w:t>
            </w:r>
          </w:p>
        </w:tc>
        <w:tc>
          <w:tcPr>
            <w:tcW w:w="3831" w:type="dxa"/>
            <w:vAlign w:val="top"/>
          </w:tcPr>
          <w:p w14:paraId="6B440E3B">
            <w:pPr>
              <w:spacing w:before="147" w:line="276" w:lineRule="auto"/>
              <w:ind w:left="1183"/>
              <w:rPr>
                <w:rFonts w:ascii="宋体" w:hAnsi="宋体" w:eastAsia="宋体" w:cs="宋体"/>
                <w:sz w:val="20"/>
                <w:szCs w:val="20"/>
              </w:rPr>
            </w:pPr>
            <w:r>
              <w:rPr>
                <w:rFonts w:ascii="宋体" w:hAnsi="宋体" w:eastAsia="宋体" w:cs="宋体"/>
                <w:spacing w:val="2"/>
                <w:position w:val="1"/>
                <w:sz w:val="20"/>
                <w:szCs w:val="20"/>
              </w:rPr>
              <w:t>6.67%</w:t>
            </w:r>
          </w:p>
        </w:tc>
      </w:tr>
      <w:tr w14:paraId="74F72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2" w:hRule="atLeast"/>
        </w:trPr>
        <w:tc>
          <w:tcPr>
            <w:tcW w:w="1963" w:type="dxa"/>
            <w:vAlign w:val="top"/>
          </w:tcPr>
          <w:p w14:paraId="63060F97">
            <w:pPr>
              <w:spacing w:before="110" w:line="276" w:lineRule="auto"/>
              <w:ind w:left="117"/>
              <w:rPr>
                <w:rFonts w:ascii="宋体" w:hAnsi="宋体" w:eastAsia="宋体" w:cs="宋体"/>
                <w:sz w:val="20"/>
                <w:szCs w:val="20"/>
              </w:rPr>
            </w:pPr>
            <w:r>
              <w:rPr>
                <w:rFonts w:ascii="宋体" w:hAnsi="宋体" w:eastAsia="宋体" w:cs="宋体"/>
                <w:spacing w:val="4"/>
                <w:sz w:val="20"/>
                <w:szCs w:val="20"/>
              </w:rPr>
              <w:t>硕士</w:t>
            </w:r>
          </w:p>
        </w:tc>
        <w:tc>
          <w:tcPr>
            <w:tcW w:w="2501" w:type="dxa"/>
            <w:vAlign w:val="top"/>
          </w:tcPr>
          <w:p w14:paraId="66370AD3">
            <w:pPr>
              <w:spacing w:before="110" w:line="276" w:lineRule="auto"/>
              <w:ind w:left="933"/>
              <w:rPr>
                <w:rFonts w:ascii="宋体" w:hAnsi="宋体" w:eastAsia="宋体" w:cs="宋体"/>
                <w:sz w:val="20"/>
                <w:szCs w:val="20"/>
              </w:rPr>
            </w:pPr>
            <w:r>
              <w:rPr>
                <w:rFonts w:ascii="宋体" w:hAnsi="宋体" w:eastAsia="宋体" w:cs="宋体"/>
                <w:spacing w:val="-7"/>
                <w:position w:val="1"/>
                <w:sz w:val="20"/>
                <w:szCs w:val="20"/>
              </w:rPr>
              <w:t>10</w:t>
            </w:r>
          </w:p>
        </w:tc>
        <w:tc>
          <w:tcPr>
            <w:tcW w:w="3831" w:type="dxa"/>
            <w:vAlign w:val="top"/>
          </w:tcPr>
          <w:p w14:paraId="60D3C282">
            <w:pPr>
              <w:spacing w:before="110" w:line="276" w:lineRule="auto"/>
              <w:ind w:left="1186"/>
              <w:rPr>
                <w:rFonts w:ascii="宋体" w:hAnsi="宋体" w:eastAsia="宋体" w:cs="宋体"/>
                <w:sz w:val="20"/>
                <w:szCs w:val="20"/>
              </w:rPr>
            </w:pPr>
            <w:r>
              <w:rPr>
                <w:rFonts w:ascii="宋体" w:hAnsi="宋体" w:eastAsia="宋体" w:cs="宋体"/>
                <w:spacing w:val="2"/>
                <w:position w:val="1"/>
                <w:sz w:val="20"/>
                <w:szCs w:val="20"/>
              </w:rPr>
              <w:t>33.33%</w:t>
            </w:r>
          </w:p>
        </w:tc>
      </w:tr>
      <w:tr w14:paraId="3E679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trPr>
        <w:tc>
          <w:tcPr>
            <w:tcW w:w="1963" w:type="dxa"/>
            <w:vAlign w:val="top"/>
          </w:tcPr>
          <w:p w14:paraId="3F0C1150">
            <w:pPr>
              <w:spacing w:before="116" w:line="276" w:lineRule="auto"/>
              <w:ind w:left="117"/>
              <w:rPr>
                <w:rFonts w:ascii="宋体" w:hAnsi="宋体" w:eastAsia="宋体" w:cs="宋体"/>
                <w:sz w:val="20"/>
                <w:szCs w:val="20"/>
              </w:rPr>
            </w:pPr>
            <w:r>
              <w:rPr>
                <w:rFonts w:ascii="宋体" w:hAnsi="宋体" w:eastAsia="宋体" w:cs="宋体"/>
                <w:spacing w:val="4"/>
                <w:sz w:val="20"/>
                <w:szCs w:val="20"/>
              </w:rPr>
              <w:t>博士</w:t>
            </w:r>
          </w:p>
        </w:tc>
        <w:tc>
          <w:tcPr>
            <w:tcW w:w="2501" w:type="dxa"/>
            <w:vAlign w:val="top"/>
          </w:tcPr>
          <w:p w14:paraId="34B8AB29">
            <w:pPr>
              <w:spacing w:before="116" w:line="276" w:lineRule="auto"/>
              <w:ind w:left="933"/>
              <w:rPr>
                <w:rFonts w:ascii="宋体" w:hAnsi="宋体" w:eastAsia="宋体" w:cs="宋体"/>
                <w:sz w:val="20"/>
                <w:szCs w:val="20"/>
              </w:rPr>
            </w:pPr>
            <w:r>
              <w:rPr>
                <w:rFonts w:ascii="宋体" w:hAnsi="宋体" w:eastAsia="宋体" w:cs="宋体"/>
                <w:spacing w:val="-7"/>
                <w:sz w:val="20"/>
                <w:szCs w:val="20"/>
              </w:rPr>
              <w:t>18</w:t>
            </w:r>
          </w:p>
        </w:tc>
        <w:tc>
          <w:tcPr>
            <w:tcW w:w="3831" w:type="dxa"/>
            <w:vAlign w:val="top"/>
          </w:tcPr>
          <w:p w14:paraId="7060BC8C">
            <w:pPr>
              <w:spacing w:before="116" w:line="276" w:lineRule="auto"/>
              <w:ind w:left="1183"/>
              <w:rPr>
                <w:rFonts w:ascii="宋体" w:hAnsi="宋体" w:eastAsia="宋体" w:cs="宋体"/>
                <w:sz w:val="20"/>
                <w:szCs w:val="20"/>
              </w:rPr>
            </w:pPr>
            <w:r>
              <w:rPr>
                <w:rFonts w:ascii="宋体" w:hAnsi="宋体" w:eastAsia="宋体" w:cs="宋体"/>
                <w:spacing w:val="3"/>
                <w:sz w:val="20"/>
                <w:szCs w:val="20"/>
              </w:rPr>
              <w:t>60.00%</w:t>
            </w:r>
          </w:p>
        </w:tc>
      </w:tr>
    </w:tbl>
    <w:p w14:paraId="50A94D88">
      <w:pPr>
        <w:spacing w:before="143" w:line="276" w:lineRule="auto"/>
        <w:ind w:left="3295"/>
        <w:rPr>
          <w:rFonts w:ascii="宋体" w:hAnsi="宋体" w:eastAsia="宋体" w:cs="宋体"/>
          <w:sz w:val="20"/>
          <w:szCs w:val="20"/>
        </w:rPr>
      </w:pPr>
      <w:r>
        <w:rPr>
          <w:rFonts w:ascii="宋体" w:hAnsi="宋体" w:eastAsia="宋体" w:cs="宋体"/>
          <w:spacing w:val="8"/>
          <w:sz w:val="20"/>
          <w:szCs w:val="20"/>
        </w:rPr>
        <w:t>表</w:t>
      </w:r>
      <w:r>
        <w:rPr>
          <w:rFonts w:ascii="宋体" w:hAnsi="宋体" w:eastAsia="宋体" w:cs="宋体"/>
          <w:spacing w:val="-41"/>
          <w:sz w:val="20"/>
          <w:szCs w:val="20"/>
        </w:rPr>
        <w:t xml:space="preserve"> </w:t>
      </w:r>
      <w:r>
        <w:rPr>
          <w:rFonts w:ascii="宋体" w:hAnsi="宋体" w:eastAsia="宋体" w:cs="宋体"/>
          <w:spacing w:val="8"/>
          <w:sz w:val="20"/>
          <w:szCs w:val="20"/>
        </w:rPr>
        <w:t>4 专家专业技术职称分布情况</w:t>
      </w:r>
    </w:p>
    <w:p w14:paraId="6E7A372F">
      <w:pPr>
        <w:spacing w:line="276" w:lineRule="auto"/>
        <w:rPr>
          <w:rFonts w:ascii="Arial"/>
          <w:sz w:val="2"/>
        </w:rPr>
      </w:pPr>
    </w:p>
    <w:tbl>
      <w:tblPr>
        <w:tblStyle w:val="9"/>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14"/>
        <w:gridCol w:w="2449"/>
        <w:gridCol w:w="3832"/>
      </w:tblGrid>
      <w:tr w14:paraId="03409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rPr>
        <w:tc>
          <w:tcPr>
            <w:tcW w:w="2014" w:type="dxa"/>
            <w:vAlign w:val="top"/>
          </w:tcPr>
          <w:p w14:paraId="76BE2CA7">
            <w:pPr>
              <w:spacing w:before="145" w:line="276" w:lineRule="auto"/>
              <w:ind w:left="117"/>
              <w:rPr>
                <w:rFonts w:ascii="宋体" w:hAnsi="宋体" w:eastAsia="宋体" w:cs="宋体"/>
                <w:sz w:val="20"/>
                <w:szCs w:val="20"/>
              </w:rPr>
            </w:pPr>
            <w:r>
              <w:rPr>
                <w:rFonts w:ascii="宋体" w:hAnsi="宋体" w:eastAsia="宋体" w:cs="宋体"/>
                <w:spacing w:val="4"/>
                <w:sz w:val="20"/>
                <w:szCs w:val="20"/>
              </w:rPr>
              <w:t>职称</w:t>
            </w:r>
          </w:p>
        </w:tc>
        <w:tc>
          <w:tcPr>
            <w:tcW w:w="2449" w:type="dxa"/>
            <w:vAlign w:val="top"/>
          </w:tcPr>
          <w:p w14:paraId="27A9EAD3">
            <w:pPr>
              <w:spacing w:before="145" w:line="276" w:lineRule="auto"/>
              <w:ind w:left="869"/>
              <w:rPr>
                <w:rFonts w:ascii="宋体" w:hAnsi="宋体" w:eastAsia="宋体" w:cs="宋体"/>
                <w:sz w:val="20"/>
                <w:szCs w:val="20"/>
              </w:rPr>
            </w:pPr>
            <w:r>
              <w:rPr>
                <w:rFonts w:ascii="宋体" w:hAnsi="宋体" w:eastAsia="宋体" w:cs="宋体"/>
                <w:spacing w:val="3"/>
                <w:sz w:val="20"/>
                <w:szCs w:val="20"/>
              </w:rPr>
              <w:t>人数</w:t>
            </w:r>
          </w:p>
        </w:tc>
        <w:tc>
          <w:tcPr>
            <w:tcW w:w="3832" w:type="dxa"/>
            <w:vAlign w:val="top"/>
          </w:tcPr>
          <w:p w14:paraId="757C9DC1">
            <w:pPr>
              <w:spacing w:before="146" w:line="276" w:lineRule="auto"/>
              <w:ind w:left="1190"/>
              <w:rPr>
                <w:rFonts w:ascii="宋体" w:hAnsi="宋体" w:eastAsia="宋体" w:cs="宋体"/>
                <w:sz w:val="20"/>
                <w:szCs w:val="20"/>
              </w:rPr>
            </w:pPr>
            <w:r>
              <w:rPr>
                <w:rFonts w:ascii="宋体" w:hAnsi="宋体" w:eastAsia="宋体" w:cs="宋体"/>
                <w:spacing w:val="4"/>
                <w:sz w:val="20"/>
                <w:szCs w:val="20"/>
              </w:rPr>
              <w:t>百分比</w:t>
            </w:r>
          </w:p>
        </w:tc>
      </w:tr>
      <w:tr w14:paraId="156DE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trPr>
        <w:tc>
          <w:tcPr>
            <w:tcW w:w="2014" w:type="dxa"/>
            <w:vAlign w:val="top"/>
          </w:tcPr>
          <w:p w14:paraId="4BC98840">
            <w:pPr>
              <w:spacing w:before="145" w:line="276" w:lineRule="auto"/>
              <w:ind w:left="119"/>
              <w:rPr>
                <w:rFonts w:ascii="宋体" w:hAnsi="宋体" w:eastAsia="宋体" w:cs="宋体"/>
                <w:sz w:val="20"/>
                <w:szCs w:val="20"/>
              </w:rPr>
            </w:pPr>
            <w:r>
              <w:rPr>
                <w:rFonts w:ascii="宋体" w:hAnsi="宋体" w:eastAsia="宋体" w:cs="宋体"/>
                <w:spacing w:val="3"/>
                <w:sz w:val="20"/>
                <w:szCs w:val="20"/>
              </w:rPr>
              <w:t>教授</w:t>
            </w:r>
          </w:p>
        </w:tc>
        <w:tc>
          <w:tcPr>
            <w:tcW w:w="2449" w:type="dxa"/>
            <w:vAlign w:val="top"/>
          </w:tcPr>
          <w:p w14:paraId="58063E7C">
            <w:pPr>
              <w:spacing w:before="145" w:line="276" w:lineRule="auto"/>
              <w:ind w:left="882"/>
              <w:rPr>
                <w:rFonts w:ascii="宋体" w:hAnsi="宋体" w:eastAsia="宋体" w:cs="宋体"/>
                <w:sz w:val="20"/>
                <w:szCs w:val="20"/>
              </w:rPr>
            </w:pPr>
            <w:r>
              <w:rPr>
                <w:rFonts w:ascii="宋体" w:hAnsi="宋体" w:eastAsia="宋体" w:cs="宋体"/>
                <w:spacing w:val="-7"/>
                <w:position w:val="1"/>
                <w:sz w:val="20"/>
                <w:szCs w:val="20"/>
              </w:rPr>
              <w:t>13</w:t>
            </w:r>
          </w:p>
        </w:tc>
        <w:tc>
          <w:tcPr>
            <w:tcW w:w="3832" w:type="dxa"/>
            <w:vAlign w:val="top"/>
          </w:tcPr>
          <w:p w14:paraId="59B7B4AF">
            <w:pPr>
              <w:spacing w:before="145" w:line="276" w:lineRule="auto"/>
              <w:ind w:left="1182"/>
              <w:rPr>
                <w:rFonts w:ascii="宋体" w:hAnsi="宋体" w:eastAsia="宋体" w:cs="宋体"/>
                <w:sz w:val="20"/>
                <w:szCs w:val="20"/>
              </w:rPr>
            </w:pPr>
            <w:r>
              <w:rPr>
                <w:rFonts w:ascii="宋体" w:hAnsi="宋体" w:eastAsia="宋体" w:cs="宋体"/>
                <w:spacing w:val="3"/>
                <w:position w:val="1"/>
                <w:sz w:val="20"/>
                <w:szCs w:val="20"/>
              </w:rPr>
              <w:t>43.33%</w:t>
            </w:r>
          </w:p>
        </w:tc>
      </w:tr>
      <w:tr w14:paraId="1790E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2014" w:type="dxa"/>
            <w:vAlign w:val="top"/>
          </w:tcPr>
          <w:p w14:paraId="12B55439">
            <w:pPr>
              <w:spacing w:before="103" w:line="276" w:lineRule="auto"/>
              <w:ind w:left="120"/>
              <w:rPr>
                <w:rFonts w:ascii="宋体" w:hAnsi="宋体" w:eastAsia="宋体" w:cs="宋体"/>
                <w:sz w:val="20"/>
                <w:szCs w:val="20"/>
              </w:rPr>
            </w:pPr>
            <w:r>
              <w:rPr>
                <w:rFonts w:ascii="宋体" w:hAnsi="宋体" w:eastAsia="宋体" w:cs="宋体"/>
                <w:spacing w:val="5"/>
                <w:sz w:val="20"/>
                <w:szCs w:val="20"/>
              </w:rPr>
              <w:t>副教授</w:t>
            </w:r>
          </w:p>
        </w:tc>
        <w:tc>
          <w:tcPr>
            <w:tcW w:w="2449" w:type="dxa"/>
            <w:vAlign w:val="top"/>
          </w:tcPr>
          <w:p w14:paraId="09DE0F98">
            <w:pPr>
              <w:spacing w:before="103" w:line="276" w:lineRule="auto"/>
              <w:ind w:left="882"/>
              <w:rPr>
                <w:rFonts w:ascii="宋体" w:hAnsi="宋体" w:eastAsia="宋体" w:cs="宋体"/>
                <w:sz w:val="20"/>
                <w:szCs w:val="20"/>
              </w:rPr>
            </w:pPr>
            <w:r>
              <w:rPr>
                <w:rFonts w:ascii="宋体" w:hAnsi="宋体" w:eastAsia="宋体" w:cs="宋体"/>
                <w:position w:val="1"/>
                <w:sz w:val="20"/>
                <w:szCs w:val="20"/>
              </w:rPr>
              <w:t>1</w:t>
            </w:r>
          </w:p>
        </w:tc>
        <w:tc>
          <w:tcPr>
            <w:tcW w:w="3832" w:type="dxa"/>
            <w:vAlign w:val="top"/>
          </w:tcPr>
          <w:p w14:paraId="4C16DD96">
            <w:pPr>
              <w:spacing w:before="103" w:line="276" w:lineRule="auto"/>
              <w:ind w:left="1187"/>
              <w:rPr>
                <w:rFonts w:ascii="宋体" w:hAnsi="宋体" w:eastAsia="宋体" w:cs="宋体"/>
                <w:sz w:val="20"/>
                <w:szCs w:val="20"/>
              </w:rPr>
            </w:pPr>
            <w:r>
              <w:rPr>
                <w:rFonts w:ascii="宋体" w:hAnsi="宋体" w:eastAsia="宋体" w:cs="宋体"/>
                <w:spacing w:val="2"/>
                <w:position w:val="1"/>
                <w:sz w:val="20"/>
                <w:szCs w:val="20"/>
              </w:rPr>
              <w:t>3.33%</w:t>
            </w:r>
          </w:p>
        </w:tc>
      </w:tr>
      <w:tr w14:paraId="5DAD4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2014" w:type="dxa"/>
            <w:vAlign w:val="top"/>
          </w:tcPr>
          <w:p w14:paraId="02FB668B">
            <w:pPr>
              <w:spacing w:before="108" w:line="276" w:lineRule="auto"/>
              <w:ind w:left="118"/>
              <w:rPr>
                <w:rFonts w:ascii="宋体" w:hAnsi="宋体" w:eastAsia="宋体" w:cs="宋体"/>
                <w:sz w:val="20"/>
                <w:szCs w:val="20"/>
              </w:rPr>
            </w:pPr>
            <w:r>
              <w:rPr>
                <w:rFonts w:ascii="宋体" w:hAnsi="宋体" w:eastAsia="宋体" w:cs="宋体"/>
                <w:spacing w:val="6"/>
                <w:sz w:val="20"/>
                <w:szCs w:val="20"/>
              </w:rPr>
              <w:t>主任医师</w:t>
            </w:r>
          </w:p>
        </w:tc>
        <w:tc>
          <w:tcPr>
            <w:tcW w:w="2449" w:type="dxa"/>
            <w:vAlign w:val="top"/>
          </w:tcPr>
          <w:p w14:paraId="63A95125">
            <w:pPr>
              <w:spacing w:before="108" w:line="276" w:lineRule="auto"/>
              <w:ind w:left="868"/>
              <w:rPr>
                <w:rFonts w:ascii="宋体" w:hAnsi="宋体" w:eastAsia="宋体" w:cs="宋体"/>
                <w:sz w:val="20"/>
                <w:szCs w:val="20"/>
              </w:rPr>
            </w:pPr>
            <w:r>
              <w:rPr>
                <w:rFonts w:ascii="宋体" w:hAnsi="宋体" w:eastAsia="宋体" w:cs="宋体"/>
                <w:position w:val="1"/>
                <w:sz w:val="20"/>
                <w:szCs w:val="20"/>
              </w:rPr>
              <w:t>8</w:t>
            </w:r>
          </w:p>
        </w:tc>
        <w:tc>
          <w:tcPr>
            <w:tcW w:w="3832" w:type="dxa"/>
            <w:vAlign w:val="top"/>
          </w:tcPr>
          <w:p w14:paraId="1B0480F7">
            <w:pPr>
              <w:spacing w:before="108" w:line="276" w:lineRule="auto"/>
              <w:ind w:left="1185"/>
              <w:rPr>
                <w:rFonts w:ascii="宋体" w:hAnsi="宋体" w:eastAsia="宋体" w:cs="宋体"/>
                <w:sz w:val="20"/>
                <w:szCs w:val="20"/>
              </w:rPr>
            </w:pPr>
            <w:r>
              <w:rPr>
                <w:rFonts w:ascii="宋体" w:hAnsi="宋体" w:eastAsia="宋体" w:cs="宋体"/>
                <w:spacing w:val="3"/>
                <w:position w:val="1"/>
                <w:sz w:val="20"/>
                <w:szCs w:val="20"/>
              </w:rPr>
              <w:t>26.67%</w:t>
            </w:r>
          </w:p>
        </w:tc>
      </w:tr>
      <w:tr w14:paraId="5C05A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2014" w:type="dxa"/>
            <w:vAlign w:val="top"/>
          </w:tcPr>
          <w:p w14:paraId="5F8B5999">
            <w:pPr>
              <w:spacing w:before="112" w:line="276" w:lineRule="auto"/>
              <w:ind w:left="120"/>
              <w:rPr>
                <w:rFonts w:ascii="宋体" w:hAnsi="宋体" w:eastAsia="宋体" w:cs="宋体"/>
                <w:sz w:val="20"/>
                <w:szCs w:val="20"/>
              </w:rPr>
            </w:pPr>
            <w:r>
              <w:rPr>
                <w:rFonts w:ascii="宋体" w:hAnsi="宋体" w:eastAsia="宋体" w:cs="宋体"/>
                <w:spacing w:val="7"/>
                <w:sz w:val="20"/>
                <w:szCs w:val="20"/>
              </w:rPr>
              <w:t>副主任医师</w:t>
            </w:r>
          </w:p>
        </w:tc>
        <w:tc>
          <w:tcPr>
            <w:tcW w:w="2449" w:type="dxa"/>
            <w:vAlign w:val="top"/>
          </w:tcPr>
          <w:p w14:paraId="2AD8F6BA">
            <w:pPr>
              <w:spacing w:before="112" w:line="276" w:lineRule="auto"/>
              <w:ind w:left="882"/>
              <w:rPr>
                <w:rFonts w:ascii="宋体" w:hAnsi="宋体" w:eastAsia="宋体" w:cs="宋体"/>
                <w:sz w:val="20"/>
                <w:szCs w:val="20"/>
              </w:rPr>
            </w:pPr>
            <w:r>
              <w:rPr>
                <w:rFonts w:ascii="宋体" w:hAnsi="宋体" w:eastAsia="宋体" w:cs="宋体"/>
                <w:position w:val="1"/>
                <w:sz w:val="20"/>
                <w:szCs w:val="20"/>
              </w:rPr>
              <w:t>1</w:t>
            </w:r>
          </w:p>
        </w:tc>
        <w:tc>
          <w:tcPr>
            <w:tcW w:w="3832" w:type="dxa"/>
            <w:vAlign w:val="top"/>
          </w:tcPr>
          <w:p w14:paraId="1D5139FF">
            <w:pPr>
              <w:spacing w:before="112" w:line="276" w:lineRule="auto"/>
              <w:ind w:left="1187"/>
              <w:rPr>
                <w:rFonts w:ascii="宋体" w:hAnsi="宋体" w:eastAsia="宋体" w:cs="宋体"/>
                <w:sz w:val="20"/>
                <w:szCs w:val="20"/>
              </w:rPr>
            </w:pPr>
            <w:r>
              <w:rPr>
                <w:rFonts w:ascii="宋体" w:hAnsi="宋体" w:eastAsia="宋体" w:cs="宋体"/>
                <w:spacing w:val="2"/>
                <w:position w:val="1"/>
                <w:sz w:val="20"/>
                <w:szCs w:val="20"/>
              </w:rPr>
              <w:t>3.33%</w:t>
            </w:r>
          </w:p>
        </w:tc>
      </w:tr>
      <w:tr w14:paraId="3C2D2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2014" w:type="dxa"/>
            <w:vAlign w:val="top"/>
          </w:tcPr>
          <w:p w14:paraId="25AC66C3">
            <w:pPr>
              <w:spacing w:before="114" w:line="276" w:lineRule="auto"/>
              <w:ind w:left="116"/>
              <w:rPr>
                <w:rFonts w:ascii="宋体" w:hAnsi="宋体" w:eastAsia="宋体" w:cs="宋体"/>
                <w:sz w:val="20"/>
                <w:szCs w:val="20"/>
              </w:rPr>
            </w:pPr>
            <w:r>
              <w:rPr>
                <w:rFonts w:ascii="宋体" w:hAnsi="宋体" w:eastAsia="宋体" w:cs="宋体"/>
                <w:spacing w:val="6"/>
                <w:sz w:val="20"/>
                <w:szCs w:val="20"/>
              </w:rPr>
              <w:t>研究员</w:t>
            </w:r>
          </w:p>
        </w:tc>
        <w:tc>
          <w:tcPr>
            <w:tcW w:w="2449" w:type="dxa"/>
            <w:vAlign w:val="top"/>
          </w:tcPr>
          <w:p w14:paraId="384608FE">
            <w:pPr>
              <w:spacing w:before="114" w:line="276" w:lineRule="auto"/>
              <w:ind w:left="882"/>
              <w:rPr>
                <w:rFonts w:ascii="宋体" w:hAnsi="宋体" w:eastAsia="宋体" w:cs="宋体"/>
                <w:sz w:val="20"/>
                <w:szCs w:val="20"/>
              </w:rPr>
            </w:pPr>
            <w:r>
              <w:rPr>
                <w:rFonts w:ascii="宋体" w:hAnsi="宋体" w:eastAsia="宋体" w:cs="宋体"/>
                <w:position w:val="1"/>
                <w:sz w:val="20"/>
                <w:szCs w:val="20"/>
              </w:rPr>
              <w:t>1</w:t>
            </w:r>
          </w:p>
        </w:tc>
        <w:tc>
          <w:tcPr>
            <w:tcW w:w="3832" w:type="dxa"/>
            <w:vAlign w:val="top"/>
          </w:tcPr>
          <w:p w14:paraId="6F590900">
            <w:pPr>
              <w:spacing w:before="114" w:line="276" w:lineRule="auto"/>
              <w:ind w:left="1187"/>
              <w:rPr>
                <w:rFonts w:ascii="宋体" w:hAnsi="宋体" w:eastAsia="宋体" w:cs="宋体"/>
                <w:sz w:val="20"/>
                <w:szCs w:val="20"/>
              </w:rPr>
            </w:pPr>
            <w:r>
              <w:rPr>
                <w:rFonts w:ascii="宋体" w:hAnsi="宋体" w:eastAsia="宋体" w:cs="宋体"/>
                <w:spacing w:val="2"/>
                <w:position w:val="1"/>
                <w:sz w:val="20"/>
                <w:szCs w:val="20"/>
              </w:rPr>
              <w:t>3.33%</w:t>
            </w:r>
          </w:p>
        </w:tc>
      </w:tr>
      <w:tr w14:paraId="41EC4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trPr>
        <w:tc>
          <w:tcPr>
            <w:tcW w:w="2014" w:type="dxa"/>
            <w:vAlign w:val="top"/>
          </w:tcPr>
          <w:p w14:paraId="2C03BC57">
            <w:pPr>
              <w:spacing w:before="119" w:line="276" w:lineRule="auto"/>
              <w:ind w:left="120"/>
              <w:rPr>
                <w:rFonts w:ascii="宋体" w:hAnsi="宋体" w:eastAsia="宋体" w:cs="宋体"/>
                <w:sz w:val="20"/>
                <w:szCs w:val="20"/>
              </w:rPr>
            </w:pPr>
            <w:r>
              <w:rPr>
                <w:rFonts w:ascii="宋体" w:hAnsi="宋体" w:eastAsia="宋体" w:cs="宋体"/>
                <w:spacing w:val="7"/>
                <w:sz w:val="20"/>
                <w:szCs w:val="20"/>
              </w:rPr>
              <w:t>外籍中医师</w:t>
            </w:r>
          </w:p>
        </w:tc>
        <w:tc>
          <w:tcPr>
            <w:tcW w:w="2449" w:type="dxa"/>
            <w:vAlign w:val="top"/>
          </w:tcPr>
          <w:p w14:paraId="774BAFBF">
            <w:pPr>
              <w:spacing w:before="119" w:line="276" w:lineRule="auto"/>
              <w:ind w:left="869"/>
              <w:rPr>
                <w:rFonts w:ascii="宋体" w:hAnsi="宋体" w:eastAsia="宋体" w:cs="宋体"/>
                <w:sz w:val="20"/>
                <w:szCs w:val="20"/>
              </w:rPr>
            </w:pPr>
            <w:r>
              <w:rPr>
                <w:rFonts w:ascii="宋体" w:hAnsi="宋体" w:eastAsia="宋体" w:cs="宋体"/>
                <w:sz w:val="20"/>
                <w:szCs w:val="20"/>
              </w:rPr>
              <w:t>6</w:t>
            </w:r>
          </w:p>
        </w:tc>
        <w:tc>
          <w:tcPr>
            <w:tcW w:w="3832" w:type="dxa"/>
            <w:vAlign w:val="top"/>
          </w:tcPr>
          <w:p w14:paraId="10E28EA4">
            <w:pPr>
              <w:spacing w:before="119" w:line="276" w:lineRule="auto"/>
              <w:ind w:left="1185"/>
              <w:rPr>
                <w:rFonts w:ascii="宋体" w:hAnsi="宋体" w:eastAsia="宋体" w:cs="宋体"/>
                <w:sz w:val="20"/>
                <w:szCs w:val="20"/>
              </w:rPr>
            </w:pPr>
            <w:r>
              <w:rPr>
                <w:rFonts w:ascii="宋体" w:hAnsi="宋体" w:eastAsia="宋体" w:cs="宋体"/>
                <w:spacing w:val="3"/>
                <w:sz w:val="20"/>
                <w:szCs w:val="20"/>
              </w:rPr>
              <w:t>20.00%</w:t>
            </w:r>
          </w:p>
        </w:tc>
      </w:tr>
    </w:tbl>
    <w:p w14:paraId="2C017C95">
      <w:pPr>
        <w:spacing w:before="141" w:line="276" w:lineRule="auto"/>
        <w:ind w:left="3610"/>
        <w:rPr>
          <w:rFonts w:ascii="宋体" w:hAnsi="宋体" w:eastAsia="宋体" w:cs="宋体"/>
          <w:sz w:val="20"/>
          <w:szCs w:val="20"/>
        </w:rPr>
      </w:pPr>
      <w:r>
        <w:rPr>
          <w:rFonts w:ascii="宋体" w:hAnsi="宋体" w:eastAsia="宋体" w:cs="宋体"/>
          <w:spacing w:val="7"/>
          <w:sz w:val="20"/>
          <w:szCs w:val="20"/>
        </w:rPr>
        <w:t>表</w:t>
      </w:r>
      <w:r>
        <w:rPr>
          <w:rFonts w:ascii="宋体" w:hAnsi="宋体" w:eastAsia="宋体" w:cs="宋体"/>
          <w:spacing w:val="-31"/>
          <w:sz w:val="20"/>
          <w:szCs w:val="20"/>
        </w:rPr>
        <w:t xml:space="preserve"> </w:t>
      </w:r>
      <w:r>
        <w:rPr>
          <w:rFonts w:ascii="宋体" w:hAnsi="宋体" w:eastAsia="宋体" w:cs="宋体"/>
          <w:spacing w:val="7"/>
          <w:sz w:val="20"/>
          <w:szCs w:val="20"/>
        </w:rPr>
        <w:t>5 专家研究生导师情况</w:t>
      </w:r>
    </w:p>
    <w:p w14:paraId="0901691A">
      <w:pPr>
        <w:spacing w:line="276" w:lineRule="auto"/>
      </w:pPr>
    </w:p>
    <w:tbl>
      <w:tblPr>
        <w:tblStyle w:val="9"/>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07"/>
        <w:gridCol w:w="2558"/>
        <w:gridCol w:w="3830"/>
      </w:tblGrid>
      <w:tr w14:paraId="764BD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907" w:type="dxa"/>
            <w:vAlign w:val="top"/>
          </w:tcPr>
          <w:p w14:paraId="04E5D158">
            <w:pPr>
              <w:spacing w:before="144" w:line="276" w:lineRule="auto"/>
              <w:ind w:left="122"/>
              <w:rPr>
                <w:rFonts w:ascii="宋体" w:hAnsi="宋体" w:eastAsia="宋体" w:cs="宋体"/>
                <w:sz w:val="20"/>
                <w:szCs w:val="20"/>
              </w:rPr>
            </w:pPr>
            <w:r>
              <w:rPr>
                <w:rFonts w:ascii="宋体" w:hAnsi="宋体" w:eastAsia="宋体" w:cs="宋体"/>
                <w:spacing w:val="5"/>
                <w:sz w:val="20"/>
                <w:szCs w:val="20"/>
              </w:rPr>
              <w:t>导师类型</w:t>
            </w:r>
          </w:p>
        </w:tc>
        <w:tc>
          <w:tcPr>
            <w:tcW w:w="2558" w:type="dxa"/>
            <w:vAlign w:val="top"/>
          </w:tcPr>
          <w:p w14:paraId="7BC6DC6A">
            <w:pPr>
              <w:spacing w:before="144" w:line="276" w:lineRule="auto"/>
              <w:ind w:left="976"/>
              <w:rPr>
                <w:rFonts w:ascii="宋体" w:hAnsi="宋体" w:eastAsia="宋体" w:cs="宋体"/>
                <w:sz w:val="20"/>
                <w:szCs w:val="20"/>
              </w:rPr>
            </w:pPr>
            <w:r>
              <w:rPr>
                <w:rFonts w:ascii="宋体" w:hAnsi="宋体" w:eastAsia="宋体" w:cs="宋体"/>
                <w:spacing w:val="3"/>
                <w:sz w:val="20"/>
                <w:szCs w:val="20"/>
              </w:rPr>
              <w:t>人数</w:t>
            </w:r>
          </w:p>
        </w:tc>
        <w:tc>
          <w:tcPr>
            <w:tcW w:w="3830" w:type="dxa"/>
            <w:vAlign w:val="top"/>
          </w:tcPr>
          <w:p w14:paraId="7518D853">
            <w:pPr>
              <w:spacing w:before="144" w:line="276" w:lineRule="auto"/>
              <w:ind w:left="1188"/>
              <w:rPr>
                <w:rFonts w:ascii="宋体" w:hAnsi="宋体" w:eastAsia="宋体" w:cs="宋体"/>
                <w:sz w:val="20"/>
                <w:szCs w:val="20"/>
              </w:rPr>
            </w:pPr>
            <w:r>
              <w:rPr>
                <w:rFonts w:ascii="宋体" w:hAnsi="宋体" w:eastAsia="宋体" w:cs="宋体"/>
                <w:spacing w:val="4"/>
                <w:sz w:val="20"/>
                <w:szCs w:val="20"/>
              </w:rPr>
              <w:t>百分比</w:t>
            </w:r>
          </w:p>
        </w:tc>
      </w:tr>
      <w:tr w14:paraId="2532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1907" w:type="dxa"/>
            <w:vAlign w:val="top"/>
          </w:tcPr>
          <w:p w14:paraId="29858218">
            <w:pPr>
              <w:spacing w:before="153" w:line="276" w:lineRule="auto"/>
              <w:ind w:left="117"/>
              <w:rPr>
                <w:rFonts w:ascii="宋体" w:hAnsi="宋体" w:eastAsia="宋体" w:cs="宋体"/>
                <w:sz w:val="20"/>
                <w:szCs w:val="20"/>
              </w:rPr>
            </w:pPr>
            <w:r>
              <w:rPr>
                <w:rFonts w:ascii="宋体" w:hAnsi="宋体" w:eastAsia="宋体" w:cs="宋体"/>
                <w:spacing w:val="4"/>
                <w:sz w:val="20"/>
                <w:szCs w:val="20"/>
              </w:rPr>
              <w:t>博导</w:t>
            </w:r>
          </w:p>
        </w:tc>
        <w:tc>
          <w:tcPr>
            <w:tcW w:w="2558" w:type="dxa"/>
            <w:vAlign w:val="top"/>
          </w:tcPr>
          <w:p w14:paraId="18956F3E">
            <w:pPr>
              <w:spacing w:before="153" w:line="276" w:lineRule="auto"/>
              <w:ind w:left="989"/>
              <w:rPr>
                <w:rFonts w:ascii="宋体" w:hAnsi="宋体" w:eastAsia="宋体" w:cs="宋体"/>
                <w:sz w:val="20"/>
                <w:szCs w:val="20"/>
              </w:rPr>
            </w:pPr>
            <w:r>
              <w:rPr>
                <w:rFonts w:ascii="宋体" w:hAnsi="宋体" w:eastAsia="宋体" w:cs="宋体"/>
                <w:spacing w:val="-7"/>
                <w:sz w:val="20"/>
                <w:szCs w:val="20"/>
              </w:rPr>
              <w:t>10</w:t>
            </w:r>
          </w:p>
        </w:tc>
        <w:tc>
          <w:tcPr>
            <w:tcW w:w="3830" w:type="dxa"/>
            <w:vAlign w:val="top"/>
          </w:tcPr>
          <w:p w14:paraId="11C80CE2">
            <w:pPr>
              <w:spacing w:before="153" w:line="276" w:lineRule="auto"/>
              <w:ind w:left="1185"/>
              <w:rPr>
                <w:rFonts w:ascii="宋体" w:hAnsi="宋体" w:eastAsia="宋体" w:cs="宋体"/>
                <w:sz w:val="20"/>
                <w:szCs w:val="20"/>
              </w:rPr>
            </w:pPr>
            <w:r>
              <w:rPr>
                <w:rFonts w:ascii="宋体" w:hAnsi="宋体" w:eastAsia="宋体" w:cs="宋体"/>
                <w:spacing w:val="2"/>
                <w:sz w:val="20"/>
                <w:szCs w:val="20"/>
              </w:rPr>
              <w:t>33.33%</w:t>
            </w:r>
          </w:p>
        </w:tc>
      </w:tr>
    </w:tbl>
    <w:p w14:paraId="049F7DE2">
      <w:pPr>
        <w:pStyle w:val="3"/>
        <w:spacing w:line="276" w:lineRule="auto"/>
        <w:rPr>
          <w:sz w:val="8"/>
        </w:rPr>
      </w:pPr>
    </w:p>
    <w:p w14:paraId="72B89C87">
      <w:pPr>
        <w:spacing w:line="276" w:lineRule="auto"/>
        <w:rPr>
          <w:sz w:val="8"/>
          <w:szCs w:val="8"/>
        </w:rPr>
        <w:sectPr>
          <w:footerReference r:id="rId8" w:type="default"/>
          <w:pgSz w:w="11906" w:h="16839"/>
          <w:pgMar w:top="1431" w:right="1063" w:bottom="1362" w:left="1310" w:header="0" w:footer="1200" w:gutter="0"/>
          <w:cols w:space="720" w:num="1"/>
        </w:sectPr>
      </w:pPr>
    </w:p>
    <w:tbl>
      <w:tblPr>
        <w:tblStyle w:val="9"/>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98"/>
        <w:gridCol w:w="2202"/>
        <w:gridCol w:w="3995"/>
      </w:tblGrid>
      <w:tr w14:paraId="4F4E0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rPr>
        <w:tc>
          <w:tcPr>
            <w:tcW w:w="2098" w:type="dxa"/>
            <w:vAlign w:val="top"/>
          </w:tcPr>
          <w:p w14:paraId="784F39BD">
            <w:pPr>
              <w:spacing w:before="144" w:line="276" w:lineRule="auto"/>
              <w:ind w:left="117"/>
              <w:rPr>
                <w:rFonts w:ascii="宋体" w:hAnsi="宋体" w:eastAsia="宋体" w:cs="宋体"/>
                <w:sz w:val="20"/>
                <w:szCs w:val="20"/>
              </w:rPr>
            </w:pPr>
            <w:r>
              <w:rPr>
                <w:rFonts w:ascii="宋体" w:hAnsi="宋体" w:eastAsia="宋体" w:cs="宋体"/>
                <w:spacing w:val="4"/>
                <w:sz w:val="20"/>
                <w:szCs w:val="20"/>
              </w:rPr>
              <w:t>硕导</w:t>
            </w:r>
          </w:p>
        </w:tc>
        <w:tc>
          <w:tcPr>
            <w:tcW w:w="2202" w:type="dxa"/>
            <w:vAlign w:val="top"/>
          </w:tcPr>
          <w:p w14:paraId="3375CD93">
            <w:pPr>
              <w:spacing w:before="144" w:line="276" w:lineRule="auto"/>
              <w:ind w:left="784"/>
              <w:rPr>
                <w:rFonts w:ascii="宋体" w:hAnsi="宋体" w:eastAsia="宋体" w:cs="宋体"/>
                <w:sz w:val="20"/>
                <w:szCs w:val="20"/>
              </w:rPr>
            </w:pPr>
            <w:r>
              <w:rPr>
                <w:rFonts w:ascii="宋体" w:hAnsi="宋体" w:eastAsia="宋体" w:cs="宋体"/>
                <w:position w:val="1"/>
                <w:sz w:val="20"/>
                <w:szCs w:val="20"/>
              </w:rPr>
              <w:t>9</w:t>
            </w:r>
          </w:p>
        </w:tc>
        <w:tc>
          <w:tcPr>
            <w:tcW w:w="3995" w:type="dxa"/>
            <w:vAlign w:val="top"/>
          </w:tcPr>
          <w:p w14:paraId="6E9EDDA3">
            <w:pPr>
              <w:spacing w:before="144" w:line="276" w:lineRule="auto"/>
              <w:ind w:left="1350"/>
              <w:rPr>
                <w:rFonts w:ascii="宋体" w:hAnsi="宋体" w:eastAsia="宋体" w:cs="宋体"/>
                <w:sz w:val="20"/>
                <w:szCs w:val="20"/>
              </w:rPr>
            </w:pPr>
            <w:r>
              <w:rPr>
                <w:rFonts w:ascii="宋体" w:hAnsi="宋体" w:eastAsia="宋体" w:cs="宋体"/>
                <w:spacing w:val="1"/>
                <w:position w:val="1"/>
                <w:sz w:val="20"/>
                <w:szCs w:val="20"/>
              </w:rPr>
              <w:t>30%</w:t>
            </w:r>
          </w:p>
        </w:tc>
      </w:tr>
      <w:tr w14:paraId="66B19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2098" w:type="dxa"/>
            <w:vAlign w:val="top"/>
          </w:tcPr>
          <w:p w14:paraId="44DFE086">
            <w:pPr>
              <w:spacing w:before="112" w:line="276" w:lineRule="auto"/>
              <w:ind w:left="119"/>
              <w:rPr>
                <w:rFonts w:ascii="宋体" w:hAnsi="宋体" w:eastAsia="宋体" w:cs="宋体"/>
                <w:sz w:val="20"/>
                <w:szCs w:val="20"/>
              </w:rPr>
            </w:pPr>
            <w:r>
              <w:rPr>
                <w:rFonts w:ascii="宋体" w:hAnsi="宋体" w:eastAsia="宋体" w:cs="宋体"/>
                <w:spacing w:val="7"/>
                <w:sz w:val="20"/>
                <w:szCs w:val="20"/>
              </w:rPr>
              <w:t>非研究生导师</w:t>
            </w:r>
          </w:p>
        </w:tc>
        <w:tc>
          <w:tcPr>
            <w:tcW w:w="2202" w:type="dxa"/>
            <w:vAlign w:val="top"/>
          </w:tcPr>
          <w:p w14:paraId="30AFACD2">
            <w:pPr>
              <w:spacing w:before="112" w:line="276" w:lineRule="auto"/>
              <w:ind w:left="798"/>
              <w:rPr>
                <w:rFonts w:ascii="宋体" w:hAnsi="宋体" w:eastAsia="宋体" w:cs="宋体"/>
                <w:sz w:val="20"/>
                <w:szCs w:val="20"/>
              </w:rPr>
            </w:pPr>
            <w:r>
              <w:rPr>
                <w:rFonts w:ascii="宋体" w:hAnsi="宋体" w:eastAsia="宋体" w:cs="宋体"/>
                <w:spacing w:val="-7"/>
                <w:sz w:val="20"/>
                <w:szCs w:val="20"/>
              </w:rPr>
              <w:t>11</w:t>
            </w:r>
          </w:p>
        </w:tc>
        <w:tc>
          <w:tcPr>
            <w:tcW w:w="3995" w:type="dxa"/>
            <w:vAlign w:val="top"/>
          </w:tcPr>
          <w:p w14:paraId="28816CE2">
            <w:pPr>
              <w:spacing w:before="112" w:line="276" w:lineRule="auto"/>
              <w:ind w:left="1350"/>
              <w:rPr>
                <w:rFonts w:ascii="宋体" w:hAnsi="宋体" w:eastAsia="宋体" w:cs="宋体"/>
                <w:sz w:val="20"/>
                <w:szCs w:val="20"/>
              </w:rPr>
            </w:pPr>
            <w:r>
              <w:rPr>
                <w:rFonts w:ascii="宋体" w:hAnsi="宋体" w:eastAsia="宋体" w:cs="宋体"/>
                <w:spacing w:val="2"/>
                <w:sz w:val="20"/>
                <w:szCs w:val="20"/>
              </w:rPr>
              <w:t>36.67%</w:t>
            </w:r>
          </w:p>
        </w:tc>
      </w:tr>
    </w:tbl>
    <w:p w14:paraId="6EC61E1E">
      <w:pPr>
        <w:spacing w:before="141" w:line="276" w:lineRule="auto"/>
        <w:ind w:left="3715"/>
        <w:rPr>
          <w:rFonts w:ascii="宋体" w:hAnsi="宋体" w:eastAsia="宋体" w:cs="宋体"/>
          <w:sz w:val="20"/>
          <w:szCs w:val="20"/>
        </w:rPr>
      </w:pPr>
      <w:r>
        <w:rPr>
          <w:rFonts w:ascii="宋体" w:hAnsi="宋体" w:eastAsia="宋体" w:cs="宋体"/>
          <w:spacing w:val="7"/>
          <w:sz w:val="20"/>
          <w:szCs w:val="20"/>
        </w:rPr>
        <w:t>表</w:t>
      </w:r>
      <w:r>
        <w:rPr>
          <w:rFonts w:ascii="宋体" w:hAnsi="宋体" w:eastAsia="宋体" w:cs="宋体"/>
          <w:spacing w:val="-38"/>
          <w:sz w:val="20"/>
          <w:szCs w:val="20"/>
        </w:rPr>
        <w:t xml:space="preserve"> </w:t>
      </w:r>
      <w:r>
        <w:rPr>
          <w:rFonts w:ascii="宋体" w:hAnsi="宋体" w:eastAsia="宋体" w:cs="宋体"/>
          <w:spacing w:val="7"/>
          <w:sz w:val="20"/>
          <w:szCs w:val="20"/>
        </w:rPr>
        <w:t>6 专家专业分布情况</w:t>
      </w:r>
    </w:p>
    <w:p w14:paraId="109244B6">
      <w:pPr>
        <w:spacing w:line="276" w:lineRule="auto"/>
        <w:rPr>
          <w:rFonts w:ascii="Arial"/>
          <w:sz w:val="2"/>
        </w:rPr>
      </w:pPr>
    </w:p>
    <w:tbl>
      <w:tblPr>
        <w:tblStyle w:val="9"/>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327"/>
        <w:gridCol w:w="2136"/>
        <w:gridCol w:w="3832"/>
      </w:tblGrid>
      <w:tr w14:paraId="5B43A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rPr>
        <w:tc>
          <w:tcPr>
            <w:tcW w:w="2327" w:type="dxa"/>
            <w:vAlign w:val="top"/>
          </w:tcPr>
          <w:p w14:paraId="532390C5">
            <w:pPr>
              <w:spacing w:before="145" w:line="276" w:lineRule="auto"/>
              <w:ind w:left="117"/>
              <w:rPr>
                <w:rFonts w:ascii="宋体" w:hAnsi="宋体" w:eastAsia="宋体" w:cs="宋体"/>
                <w:sz w:val="20"/>
                <w:szCs w:val="20"/>
              </w:rPr>
            </w:pPr>
            <w:r>
              <w:rPr>
                <w:rFonts w:ascii="宋体" w:hAnsi="宋体" w:eastAsia="宋体" w:cs="宋体"/>
                <w:spacing w:val="4"/>
                <w:sz w:val="20"/>
                <w:szCs w:val="20"/>
              </w:rPr>
              <w:t>专业</w:t>
            </w:r>
          </w:p>
        </w:tc>
        <w:tc>
          <w:tcPr>
            <w:tcW w:w="2136" w:type="dxa"/>
            <w:vAlign w:val="top"/>
          </w:tcPr>
          <w:p w14:paraId="46725E68">
            <w:pPr>
              <w:spacing w:before="144" w:line="276" w:lineRule="auto"/>
              <w:ind w:left="556"/>
              <w:rPr>
                <w:rFonts w:ascii="宋体" w:hAnsi="宋体" w:eastAsia="宋体" w:cs="宋体"/>
                <w:sz w:val="20"/>
                <w:szCs w:val="20"/>
              </w:rPr>
            </w:pPr>
            <w:r>
              <w:rPr>
                <w:rFonts w:ascii="宋体" w:hAnsi="宋体" w:eastAsia="宋体" w:cs="宋体"/>
                <w:spacing w:val="3"/>
                <w:sz w:val="20"/>
                <w:szCs w:val="20"/>
              </w:rPr>
              <w:t>人数</w:t>
            </w:r>
          </w:p>
        </w:tc>
        <w:tc>
          <w:tcPr>
            <w:tcW w:w="3832" w:type="dxa"/>
            <w:vAlign w:val="top"/>
          </w:tcPr>
          <w:p w14:paraId="2FCE0D9A">
            <w:pPr>
              <w:spacing w:before="145" w:line="276" w:lineRule="auto"/>
              <w:ind w:left="1190"/>
              <w:rPr>
                <w:rFonts w:ascii="宋体" w:hAnsi="宋体" w:eastAsia="宋体" w:cs="宋体"/>
                <w:sz w:val="20"/>
                <w:szCs w:val="20"/>
              </w:rPr>
            </w:pPr>
            <w:r>
              <w:rPr>
                <w:rFonts w:ascii="宋体" w:hAnsi="宋体" w:eastAsia="宋体" w:cs="宋体"/>
                <w:spacing w:val="4"/>
                <w:sz w:val="20"/>
                <w:szCs w:val="20"/>
              </w:rPr>
              <w:t>百分比</w:t>
            </w:r>
          </w:p>
        </w:tc>
      </w:tr>
      <w:tr w14:paraId="62675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trPr>
        <w:tc>
          <w:tcPr>
            <w:tcW w:w="2327" w:type="dxa"/>
            <w:vAlign w:val="top"/>
          </w:tcPr>
          <w:p w14:paraId="571FB5A7">
            <w:pPr>
              <w:spacing w:before="145" w:line="276" w:lineRule="auto"/>
              <w:ind w:left="136"/>
              <w:rPr>
                <w:rFonts w:ascii="宋体" w:hAnsi="宋体" w:eastAsia="宋体" w:cs="宋体"/>
                <w:sz w:val="20"/>
                <w:szCs w:val="20"/>
              </w:rPr>
            </w:pPr>
            <w:r>
              <w:rPr>
                <w:rFonts w:ascii="宋体" w:hAnsi="宋体" w:eastAsia="宋体" w:cs="宋体"/>
                <w:spacing w:val="4"/>
                <w:sz w:val="20"/>
                <w:szCs w:val="20"/>
              </w:rPr>
              <w:t>中医儿科学</w:t>
            </w:r>
          </w:p>
        </w:tc>
        <w:tc>
          <w:tcPr>
            <w:tcW w:w="2136" w:type="dxa"/>
            <w:vAlign w:val="top"/>
          </w:tcPr>
          <w:p w14:paraId="31250A37">
            <w:pPr>
              <w:spacing w:before="145" w:line="276" w:lineRule="auto"/>
              <w:ind w:left="569"/>
              <w:rPr>
                <w:rFonts w:ascii="宋体" w:hAnsi="宋体" w:eastAsia="宋体" w:cs="宋体"/>
                <w:sz w:val="20"/>
                <w:szCs w:val="20"/>
              </w:rPr>
            </w:pPr>
            <w:r>
              <w:rPr>
                <w:rFonts w:ascii="宋体" w:hAnsi="宋体" w:eastAsia="宋体" w:cs="宋体"/>
                <w:spacing w:val="-7"/>
                <w:position w:val="1"/>
                <w:sz w:val="20"/>
                <w:szCs w:val="20"/>
              </w:rPr>
              <w:t>14</w:t>
            </w:r>
          </w:p>
        </w:tc>
        <w:tc>
          <w:tcPr>
            <w:tcW w:w="3832" w:type="dxa"/>
            <w:vAlign w:val="top"/>
          </w:tcPr>
          <w:p w14:paraId="75E27803">
            <w:pPr>
              <w:spacing w:before="145" w:line="276" w:lineRule="auto"/>
              <w:ind w:left="1182"/>
              <w:rPr>
                <w:rFonts w:ascii="宋体" w:hAnsi="宋体" w:eastAsia="宋体" w:cs="宋体"/>
                <w:sz w:val="20"/>
                <w:szCs w:val="20"/>
              </w:rPr>
            </w:pPr>
            <w:r>
              <w:rPr>
                <w:rFonts w:ascii="宋体" w:hAnsi="宋体" w:eastAsia="宋体" w:cs="宋体"/>
                <w:spacing w:val="3"/>
                <w:position w:val="1"/>
                <w:sz w:val="20"/>
                <w:szCs w:val="20"/>
              </w:rPr>
              <w:t>46.67%</w:t>
            </w:r>
          </w:p>
        </w:tc>
      </w:tr>
      <w:tr w14:paraId="79B67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5" w:hRule="atLeast"/>
        </w:trPr>
        <w:tc>
          <w:tcPr>
            <w:tcW w:w="2327" w:type="dxa"/>
            <w:vAlign w:val="top"/>
          </w:tcPr>
          <w:p w14:paraId="3FD9CD8D">
            <w:pPr>
              <w:spacing w:before="105" w:line="276" w:lineRule="auto"/>
              <w:ind w:left="136"/>
              <w:rPr>
                <w:rFonts w:ascii="宋体" w:hAnsi="宋体" w:eastAsia="宋体" w:cs="宋体"/>
                <w:sz w:val="20"/>
                <w:szCs w:val="20"/>
              </w:rPr>
            </w:pPr>
            <w:r>
              <w:rPr>
                <w:rFonts w:ascii="宋体" w:hAnsi="宋体" w:eastAsia="宋体" w:cs="宋体"/>
                <w:spacing w:val="6"/>
                <w:sz w:val="20"/>
                <w:szCs w:val="20"/>
              </w:rPr>
              <w:t>中西医结合儿科学</w:t>
            </w:r>
          </w:p>
        </w:tc>
        <w:tc>
          <w:tcPr>
            <w:tcW w:w="2136" w:type="dxa"/>
            <w:vAlign w:val="top"/>
          </w:tcPr>
          <w:p w14:paraId="46263F4D">
            <w:pPr>
              <w:spacing w:before="106" w:line="276" w:lineRule="auto"/>
              <w:ind w:left="556"/>
              <w:rPr>
                <w:rFonts w:ascii="宋体" w:hAnsi="宋体" w:eastAsia="宋体" w:cs="宋体"/>
                <w:sz w:val="20"/>
                <w:szCs w:val="20"/>
              </w:rPr>
            </w:pPr>
            <w:r>
              <w:rPr>
                <w:rFonts w:ascii="宋体" w:hAnsi="宋体" w:eastAsia="宋体" w:cs="宋体"/>
                <w:position w:val="1"/>
                <w:sz w:val="20"/>
                <w:szCs w:val="20"/>
              </w:rPr>
              <w:t>2</w:t>
            </w:r>
          </w:p>
        </w:tc>
        <w:tc>
          <w:tcPr>
            <w:tcW w:w="3832" w:type="dxa"/>
            <w:vAlign w:val="top"/>
          </w:tcPr>
          <w:p w14:paraId="5CB0C225">
            <w:pPr>
              <w:spacing w:before="106" w:line="276" w:lineRule="auto"/>
              <w:ind w:left="1184"/>
              <w:rPr>
                <w:rFonts w:ascii="宋体" w:hAnsi="宋体" w:eastAsia="宋体" w:cs="宋体"/>
                <w:sz w:val="20"/>
                <w:szCs w:val="20"/>
              </w:rPr>
            </w:pPr>
            <w:r>
              <w:rPr>
                <w:rFonts w:ascii="宋体" w:hAnsi="宋体" w:eastAsia="宋体" w:cs="宋体"/>
                <w:spacing w:val="2"/>
                <w:position w:val="1"/>
                <w:sz w:val="20"/>
                <w:szCs w:val="20"/>
              </w:rPr>
              <w:t>6.67%</w:t>
            </w:r>
          </w:p>
        </w:tc>
      </w:tr>
      <w:tr w14:paraId="38D71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2327" w:type="dxa"/>
            <w:vAlign w:val="top"/>
          </w:tcPr>
          <w:p w14:paraId="0B01FC6C">
            <w:pPr>
              <w:spacing w:before="109" w:line="276" w:lineRule="auto"/>
              <w:ind w:left="116"/>
              <w:rPr>
                <w:rFonts w:ascii="宋体" w:hAnsi="宋体" w:eastAsia="宋体" w:cs="宋体"/>
                <w:sz w:val="20"/>
                <w:szCs w:val="20"/>
              </w:rPr>
            </w:pPr>
            <w:r>
              <w:rPr>
                <w:rFonts w:ascii="宋体" w:hAnsi="宋体" w:eastAsia="宋体" w:cs="宋体"/>
                <w:spacing w:val="7"/>
                <w:sz w:val="20"/>
                <w:szCs w:val="20"/>
              </w:rPr>
              <w:t>针灸推拿</w:t>
            </w:r>
          </w:p>
        </w:tc>
        <w:tc>
          <w:tcPr>
            <w:tcW w:w="2136" w:type="dxa"/>
            <w:vAlign w:val="top"/>
          </w:tcPr>
          <w:p w14:paraId="649D79CE">
            <w:pPr>
              <w:spacing w:before="109" w:line="276" w:lineRule="auto"/>
              <w:ind w:left="555"/>
              <w:rPr>
                <w:rFonts w:ascii="宋体" w:hAnsi="宋体" w:eastAsia="宋体" w:cs="宋体"/>
                <w:sz w:val="20"/>
                <w:szCs w:val="20"/>
              </w:rPr>
            </w:pPr>
            <w:r>
              <w:rPr>
                <w:rFonts w:ascii="宋体" w:hAnsi="宋体" w:eastAsia="宋体" w:cs="宋体"/>
                <w:position w:val="1"/>
                <w:sz w:val="20"/>
                <w:szCs w:val="20"/>
              </w:rPr>
              <w:t>9</w:t>
            </w:r>
          </w:p>
        </w:tc>
        <w:tc>
          <w:tcPr>
            <w:tcW w:w="3832" w:type="dxa"/>
            <w:vAlign w:val="top"/>
          </w:tcPr>
          <w:p w14:paraId="2D8AD021">
            <w:pPr>
              <w:spacing w:before="109" w:line="276" w:lineRule="auto"/>
              <w:ind w:left="1187"/>
              <w:rPr>
                <w:rFonts w:ascii="宋体" w:hAnsi="宋体" w:eastAsia="宋体" w:cs="宋体"/>
                <w:sz w:val="20"/>
                <w:szCs w:val="20"/>
              </w:rPr>
            </w:pPr>
            <w:r>
              <w:rPr>
                <w:rFonts w:ascii="宋体" w:hAnsi="宋体" w:eastAsia="宋体" w:cs="宋体"/>
                <w:position w:val="1"/>
                <w:sz w:val="20"/>
                <w:szCs w:val="20"/>
              </w:rPr>
              <w:t>30%</w:t>
            </w:r>
          </w:p>
        </w:tc>
      </w:tr>
      <w:tr w14:paraId="3719C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5" w:hRule="atLeast"/>
        </w:trPr>
        <w:tc>
          <w:tcPr>
            <w:tcW w:w="2327" w:type="dxa"/>
            <w:vAlign w:val="top"/>
          </w:tcPr>
          <w:p w14:paraId="7001191B">
            <w:pPr>
              <w:spacing w:before="114" w:line="276" w:lineRule="auto"/>
              <w:ind w:left="136"/>
              <w:rPr>
                <w:rFonts w:ascii="宋体" w:hAnsi="宋体" w:eastAsia="宋体" w:cs="宋体"/>
                <w:sz w:val="20"/>
                <w:szCs w:val="20"/>
              </w:rPr>
            </w:pPr>
            <w:r>
              <w:rPr>
                <w:rFonts w:ascii="宋体" w:hAnsi="宋体" w:eastAsia="宋体" w:cs="宋体"/>
                <w:spacing w:val="4"/>
                <w:sz w:val="20"/>
                <w:szCs w:val="20"/>
              </w:rPr>
              <w:t>中医文献学</w:t>
            </w:r>
          </w:p>
        </w:tc>
        <w:tc>
          <w:tcPr>
            <w:tcW w:w="2136" w:type="dxa"/>
            <w:vAlign w:val="top"/>
          </w:tcPr>
          <w:p w14:paraId="652ABB56">
            <w:pPr>
              <w:spacing w:before="114" w:line="276" w:lineRule="auto"/>
              <w:ind w:left="569"/>
              <w:rPr>
                <w:rFonts w:ascii="宋体" w:hAnsi="宋体" w:eastAsia="宋体" w:cs="宋体"/>
                <w:sz w:val="20"/>
                <w:szCs w:val="20"/>
              </w:rPr>
            </w:pPr>
            <w:r>
              <w:rPr>
                <w:rFonts w:ascii="宋体" w:hAnsi="宋体" w:eastAsia="宋体" w:cs="宋体"/>
                <w:position w:val="1"/>
                <w:sz w:val="20"/>
                <w:szCs w:val="20"/>
              </w:rPr>
              <w:t>1</w:t>
            </w:r>
          </w:p>
        </w:tc>
        <w:tc>
          <w:tcPr>
            <w:tcW w:w="3832" w:type="dxa"/>
            <w:vAlign w:val="top"/>
          </w:tcPr>
          <w:p w14:paraId="43072030">
            <w:pPr>
              <w:spacing w:before="114" w:line="276" w:lineRule="auto"/>
              <w:ind w:left="1187"/>
              <w:rPr>
                <w:rFonts w:ascii="宋体" w:hAnsi="宋体" w:eastAsia="宋体" w:cs="宋体"/>
                <w:sz w:val="20"/>
                <w:szCs w:val="20"/>
              </w:rPr>
            </w:pPr>
            <w:r>
              <w:rPr>
                <w:rFonts w:ascii="宋体" w:hAnsi="宋体" w:eastAsia="宋体" w:cs="宋体"/>
                <w:spacing w:val="2"/>
                <w:position w:val="1"/>
                <w:sz w:val="20"/>
                <w:szCs w:val="20"/>
              </w:rPr>
              <w:t>3.33%</w:t>
            </w:r>
          </w:p>
        </w:tc>
      </w:tr>
      <w:tr w14:paraId="29B80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trPr>
        <w:tc>
          <w:tcPr>
            <w:tcW w:w="2327" w:type="dxa"/>
            <w:vAlign w:val="top"/>
          </w:tcPr>
          <w:p w14:paraId="1E9878CB">
            <w:pPr>
              <w:spacing w:before="119" w:line="276" w:lineRule="auto"/>
              <w:ind w:left="122"/>
              <w:rPr>
                <w:rFonts w:ascii="宋体" w:hAnsi="宋体" w:eastAsia="宋体" w:cs="宋体"/>
                <w:sz w:val="20"/>
                <w:szCs w:val="20"/>
              </w:rPr>
            </w:pPr>
            <w:r>
              <w:rPr>
                <w:rFonts w:ascii="宋体" w:hAnsi="宋体" w:eastAsia="宋体" w:cs="宋体"/>
                <w:spacing w:val="7"/>
                <w:sz w:val="20"/>
                <w:szCs w:val="20"/>
              </w:rPr>
              <w:t>小儿针灸推拿</w:t>
            </w:r>
          </w:p>
        </w:tc>
        <w:tc>
          <w:tcPr>
            <w:tcW w:w="2136" w:type="dxa"/>
            <w:vAlign w:val="top"/>
          </w:tcPr>
          <w:p w14:paraId="38668486">
            <w:pPr>
              <w:spacing w:before="119" w:line="276" w:lineRule="auto"/>
              <w:ind w:left="553"/>
              <w:rPr>
                <w:rFonts w:ascii="宋体" w:hAnsi="宋体" w:eastAsia="宋体" w:cs="宋体"/>
                <w:sz w:val="20"/>
                <w:szCs w:val="20"/>
              </w:rPr>
            </w:pPr>
            <w:r>
              <w:rPr>
                <w:rFonts w:ascii="宋体" w:hAnsi="宋体" w:eastAsia="宋体" w:cs="宋体"/>
                <w:sz w:val="20"/>
                <w:szCs w:val="20"/>
              </w:rPr>
              <w:t>4</w:t>
            </w:r>
          </w:p>
        </w:tc>
        <w:tc>
          <w:tcPr>
            <w:tcW w:w="3832" w:type="dxa"/>
            <w:vAlign w:val="top"/>
          </w:tcPr>
          <w:p w14:paraId="3C7A5947">
            <w:pPr>
              <w:spacing w:before="119" w:line="276" w:lineRule="auto"/>
              <w:ind w:left="1198"/>
              <w:rPr>
                <w:rFonts w:ascii="宋体" w:hAnsi="宋体" w:eastAsia="宋体" w:cs="宋体"/>
                <w:sz w:val="20"/>
                <w:szCs w:val="20"/>
              </w:rPr>
            </w:pPr>
            <w:r>
              <w:rPr>
                <w:rFonts w:ascii="宋体" w:hAnsi="宋体" w:eastAsia="宋体" w:cs="宋体"/>
                <w:spacing w:val="1"/>
                <w:sz w:val="20"/>
                <w:szCs w:val="20"/>
              </w:rPr>
              <w:t>13.33%</w:t>
            </w:r>
          </w:p>
        </w:tc>
      </w:tr>
    </w:tbl>
    <w:p w14:paraId="13E699C7">
      <w:pPr>
        <w:spacing w:before="141" w:line="276" w:lineRule="auto"/>
        <w:ind w:left="3190"/>
        <w:rPr>
          <w:rFonts w:ascii="宋体" w:hAnsi="宋体" w:eastAsia="宋体" w:cs="宋体"/>
          <w:sz w:val="20"/>
          <w:szCs w:val="20"/>
        </w:rPr>
      </w:pPr>
      <w:r>
        <w:rPr>
          <w:rFonts w:ascii="宋体" w:hAnsi="宋体" w:eastAsia="宋体" w:cs="宋体"/>
          <w:spacing w:val="8"/>
          <w:sz w:val="20"/>
          <w:szCs w:val="20"/>
        </w:rPr>
        <w:t>表</w:t>
      </w:r>
      <w:r>
        <w:rPr>
          <w:rFonts w:ascii="宋体" w:hAnsi="宋体" w:eastAsia="宋体" w:cs="宋体"/>
          <w:spacing w:val="-35"/>
          <w:sz w:val="20"/>
          <w:szCs w:val="20"/>
        </w:rPr>
        <w:t xml:space="preserve"> </w:t>
      </w:r>
      <w:r>
        <w:rPr>
          <w:rFonts w:ascii="宋体" w:hAnsi="宋体" w:eastAsia="宋体" w:cs="宋体"/>
          <w:spacing w:val="8"/>
          <w:sz w:val="20"/>
          <w:szCs w:val="20"/>
        </w:rPr>
        <w:t>7 专家从事本专业工作年限情况</w:t>
      </w:r>
    </w:p>
    <w:p w14:paraId="38202B62">
      <w:pPr>
        <w:spacing w:line="276" w:lineRule="auto"/>
        <w:rPr>
          <w:rFonts w:ascii="Arial"/>
          <w:sz w:val="2"/>
        </w:rPr>
      </w:pPr>
    </w:p>
    <w:tbl>
      <w:tblPr>
        <w:tblStyle w:val="9"/>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14"/>
        <w:gridCol w:w="2349"/>
        <w:gridCol w:w="3832"/>
      </w:tblGrid>
      <w:tr w14:paraId="669E9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rPr>
        <w:tc>
          <w:tcPr>
            <w:tcW w:w="2114" w:type="dxa"/>
            <w:vAlign w:val="top"/>
          </w:tcPr>
          <w:p w14:paraId="0643763A">
            <w:pPr>
              <w:spacing w:before="144" w:line="276" w:lineRule="auto"/>
              <w:ind w:left="119"/>
              <w:rPr>
                <w:rFonts w:ascii="宋体" w:hAnsi="宋体" w:eastAsia="宋体" w:cs="宋体"/>
                <w:sz w:val="20"/>
                <w:szCs w:val="20"/>
              </w:rPr>
            </w:pPr>
            <w:r>
              <w:rPr>
                <w:rFonts w:ascii="宋体" w:hAnsi="宋体" w:eastAsia="宋体" w:cs="宋体"/>
                <w:spacing w:val="7"/>
                <w:sz w:val="20"/>
                <w:szCs w:val="20"/>
              </w:rPr>
              <w:t>工作年限区间</w:t>
            </w:r>
          </w:p>
        </w:tc>
        <w:tc>
          <w:tcPr>
            <w:tcW w:w="2349" w:type="dxa"/>
            <w:vAlign w:val="top"/>
          </w:tcPr>
          <w:p w14:paraId="482EBE78">
            <w:pPr>
              <w:spacing w:before="144" w:line="276" w:lineRule="auto"/>
              <w:ind w:left="769"/>
              <w:rPr>
                <w:rFonts w:ascii="宋体" w:hAnsi="宋体" w:eastAsia="宋体" w:cs="宋体"/>
                <w:sz w:val="20"/>
                <w:szCs w:val="20"/>
              </w:rPr>
            </w:pPr>
            <w:r>
              <w:rPr>
                <w:rFonts w:ascii="宋体" w:hAnsi="宋体" w:eastAsia="宋体" w:cs="宋体"/>
                <w:spacing w:val="3"/>
                <w:sz w:val="20"/>
                <w:szCs w:val="20"/>
              </w:rPr>
              <w:t>人数</w:t>
            </w:r>
          </w:p>
        </w:tc>
        <w:tc>
          <w:tcPr>
            <w:tcW w:w="3832" w:type="dxa"/>
            <w:vAlign w:val="top"/>
          </w:tcPr>
          <w:p w14:paraId="542E8E03">
            <w:pPr>
              <w:spacing w:before="145" w:line="276" w:lineRule="auto"/>
              <w:ind w:left="1190"/>
              <w:rPr>
                <w:rFonts w:ascii="宋体" w:hAnsi="宋体" w:eastAsia="宋体" w:cs="宋体"/>
                <w:sz w:val="20"/>
                <w:szCs w:val="20"/>
              </w:rPr>
            </w:pPr>
            <w:r>
              <w:rPr>
                <w:rFonts w:ascii="宋体" w:hAnsi="宋体" w:eastAsia="宋体" w:cs="宋体"/>
                <w:spacing w:val="4"/>
                <w:sz w:val="20"/>
                <w:szCs w:val="20"/>
              </w:rPr>
              <w:t>百分比</w:t>
            </w:r>
          </w:p>
        </w:tc>
      </w:tr>
      <w:tr w14:paraId="23D40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trPr>
        <w:tc>
          <w:tcPr>
            <w:tcW w:w="2114" w:type="dxa"/>
            <w:vAlign w:val="top"/>
          </w:tcPr>
          <w:p w14:paraId="416C7B21">
            <w:pPr>
              <w:spacing w:before="144" w:line="276" w:lineRule="auto"/>
              <w:ind w:left="120"/>
              <w:rPr>
                <w:rFonts w:ascii="宋体" w:hAnsi="宋体" w:eastAsia="宋体" w:cs="宋体"/>
                <w:sz w:val="20"/>
                <w:szCs w:val="20"/>
              </w:rPr>
            </w:pPr>
            <w:r>
              <w:rPr>
                <w:rFonts w:ascii="宋体" w:hAnsi="宋体" w:eastAsia="宋体" w:cs="宋体"/>
                <w:sz w:val="20"/>
                <w:szCs w:val="20"/>
              </w:rPr>
              <w:t>5-9</w:t>
            </w:r>
            <w:r>
              <w:rPr>
                <w:rFonts w:ascii="宋体" w:hAnsi="宋体" w:eastAsia="宋体" w:cs="宋体"/>
                <w:spacing w:val="15"/>
                <w:sz w:val="20"/>
                <w:szCs w:val="20"/>
              </w:rPr>
              <w:t xml:space="preserve"> </w:t>
            </w:r>
            <w:r>
              <w:rPr>
                <w:rFonts w:ascii="宋体" w:hAnsi="宋体" w:eastAsia="宋体" w:cs="宋体"/>
                <w:sz w:val="20"/>
                <w:szCs w:val="20"/>
              </w:rPr>
              <w:t>年</w:t>
            </w:r>
          </w:p>
        </w:tc>
        <w:tc>
          <w:tcPr>
            <w:tcW w:w="2349" w:type="dxa"/>
            <w:vAlign w:val="top"/>
          </w:tcPr>
          <w:p w14:paraId="3914D9EB">
            <w:pPr>
              <w:spacing w:before="144" w:line="276" w:lineRule="auto"/>
              <w:ind w:left="782"/>
              <w:rPr>
                <w:rFonts w:ascii="宋体" w:hAnsi="宋体" w:eastAsia="宋体" w:cs="宋体"/>
                <w:sz w:val="20"/>
                <w:szCs w:val="20"/>
              </w:rPr>
            </w:pPr>
            <w:r>
              <w:rPr>
                <w:rFonts w:ascii="宋体" w:hAnsi="宋体" w:eastAsia="宋体" w:cs="宋体"/>
                <w:position w:val="1"/>
                <w:sz w:val="20"/>
                <w:szCs w:val="20"/>
              </w:rPr>
              <w:t>1</w:t>
            </w:r>
          </w:p>
        </w:tc>
        <w:tc>
          <w:tcPr>
            <w:tcW w:w="3832" w:type="dxa"/>
            <w:vAlign w:val="top"/>
          </w:tcPr>
          <w:p w14:paraId="4924DEAF">
            <w:pPr>
              <w:spacing w:before="144" w:line="276" w:lineRule="auto"/>
              <w:ind w:left="1187"/>
              <w:rPr>
                <w:rFonts w:ascii="宋体" w:hAnsi="宋体" w:eastAsia="宋体" w:cs="宋体"/>
                <w:sz w:val="20"/>
                <w:szCs w:val="20"/>
              </w:rPr>
            </w:pPr>
            <w:r>
              <w:rPr>
                <w:rFonts w:ascii="宋体" w:hAnsi="宋体" w:eastAsia="宋体" w:cs="宋体"/>
                <w:spacing w:val="2"/>
                <w:position w:val="1"/>
                <w:sz w:val="20"/>
                <w:szCs w:val="20"/>
              </w:rPr>
              <w:t>3.33%</w:t>
            </w:r>
          </w:p>
        </w:tc>
      </w:tr>
      <w:tr w14:paraId="094C9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2114" w:type="dxa"/>
            <w:vAlign w:val="top"/>
          </w:tcPr>
          <w:p w14:paraId="6CB06615">
            <w:pPr>
              <w:spacing w:before="105" w:line="276" w:lineRule="auto"/>
              <w:ind w:left="132"/>
              <w:rPr>
                <w:rFonts w:ascii="宋体" w:hAnsi="宋体" w:eastAsia="宋体" w:cs="宋体"/>
                <w:sz w:val="20"/>
                <w:szCs w:val="20"/>
              </w:rPr>
            </w:pPr>
            <w:r>
              <w:rPr>
                <w:rFonts w:ascii="宋体" w:hAnsi="宋体" w:eastAsia="宋体" w:cs="宋体"/>
                <w:sz w:val="20"/>
                <w:szCs w:val="20"/>
              </w:rPr>
              <w:t>10-19</w:t>
            </w:r>
            <w:r>
              <w:rPr>
                <w:rFonts w:ascii="宋体" w:hAnsi="宋体" w:eastAsia="宋体" w:cs="宋体"/>
                <w:spacing w:val="13"/>
                <w:sz w:val="20"/>
                <w:szCs w:val="20"/>
              </w:rPr>
              <w:t xml:space="preserve"> </w:t>
            </w:r>
            <w:r>
              <w:rPr>
                <w:rFonts w:ascii="宋体" w:hAnsi="宋体" w:eastAsia="宋体" w:cs="宋体"/>
                <w:sz w:val="20"/>
                <w:szCs w:val="20"/>
              </w:rPr>
              <w:t>年</w:t>
            </w:r>
          </w:p>
        </w:tc>
        <w:tc>
          <w:tcPr>
            <w:tcW w:w="2349" w:type="dxa"/>
            <w:vAlign w:val="top"/>
          </w:tcPr>
          <w:p w14:paraId="49311603">
            <w:pPr>
              <w:spacing w:before="105" w:line="276" w:lineRule="auto"/>
              <w:ind w:left="772"/>
              <w:rPr>
                <w:rFonts w:ascii="宋体" w:hAnsi="宋体" w:eastAsia="宋体" w:cs="宋体"/>
                <w:sz w:val="20"/>
                <w:szCs w:val="20"/>
              </w:rPr>
            </w:pPr>
            <w:r>
              <w:rPr>
                <w:rFonts w:ascii="宋体" w:hAnsi="宋体" w:eastAsia="宋体" w:cs="宋体"/>
                <w:position w:val="1"/>
                <w:sz w:val="20"/>
                <w:szCs w:val="20"/>
              </w:rPr>
              <w:t>7</w:t>
            </w:r>
          </w:p>
        </w:tc>
        <w:tc>
          <w:tcPr>
            <w:tcW w:w="3832" w:type="dxa"/>
            <w:vAlign w:val="top"/>
          </w:tcPr>
          <w:p w14:paraId="492F0352">
            <w:pPr>
              <w:spacing w:before="105" w:line="276" w:lineRule="auto"/>
              <w:ind w:left="1185"/>
              <w:rPr>
                <w:rFonts w:ascii="宋体" w:hAnsi="宋体" w:eastAsia="宋体" w:cs="宋体"/>
                <w:sz w:val="20"/>
                <w:szCs w:val="20"/>
              </w:rPr>
            </w:pPr>
            <w:r>
              <w:rPr>
                <w:rFonts w:ascii="宋体" w:hAnsi="宋体" w:eastAsia="宋体" w:cs="宋体"/>
                <w:spacing w:val="3"/>
                <w:position w:val="1"/>
                <w:sz w:val="20"/>
                <w:szCs w:val="20"/>
              </w:rPr>
              <w:t>23.33%</w:t>
            </w:r>
          </w:p>
        </w:tc>
      </w:tr>
      <w:tr w14:paraId="6575F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2114" w:type="dxa"/>
            <w:vAlign w:val="top"/>
          </w:tcPr>
          <w:p w14:paraId="6C0D22BB">
            <w:pPr>
              <w:spacing w:before="107" w:line="276" w:lineRule="auto"/>
              <w:ind w:left="119"/>
              <w:rPr>
                <w:rFonts w:ascii="宋体" w:hAnsi="宋体" w:eastAsia="宋体" w:cs="宋体"/>
                <w:sz w:val="20"/>
                <w:szCs w:val="20"/>
              </w:rPr>
            </w:pPr>
            <w:r>
              <w:rPr>
                <w:rFonts w:ascii="宋体" w:hAnsi="宋体" w:eastAsia="宋体" w:cs="宋体"/>
                <w:spacing w:val="2"/>
                <w:sz w:val="20"/>
                <w:szCs w:val="20"/>
              </w:rPr>
              <w:t>20-29</w:t>
            </w:r>
            <w:r>
              <w:rPr>
                <w:rFonts w:ascii="宋体" w:hAnsi="宋体" w:eastAsia="宋体" w:cs="宋体"/>
                <w:spacing w:val="14"/>
                <w:sz w:val="20"/>
                <w:szCs w:val="20"/>
              </w:rPr>
              <w:t xml:space="preserve"> </w:t>
            </w:r>
            <w:r>
              <w:rPr>
                <w:rFonts w:ascii="宋体" w:hAnsi="宋体" w:eastAsia="宋体" w:cs="宋体"/>
                <w:spacing w:val="2"/>
                <w:sz w:val="20"/>
                <w:szCs w:val="20"/>
              </w:rPr>
              <w:t>年</w:t>
            </w:r>
          </w:p>
        </w:tc>
        <w:tc>
          <w:tcPr>
            <w:tcW w:w="2349" w:type="dxa"/>
            <w:vAlign w:val="top"/>
          </w:tcPr>
          <w:p w14:paraId="260F599C">
            <w:pPr>
              <w:spacing w:before="107" w:line="276" w:lineRule="auto"/>
              <w:ind w:left="769"/>
              <w:rPr>
                <w:rFonts w:ascii="宋体" w:hAnsi="宋体" w:eastAsia="宋体" w:cs="宋体"/>
                <w:sz w:val="20"/>
                <w:szCs w:val="20"/>
              </w:rPr>
            </w:pPr>
            <w:r>
              <w:rPr>
                <w:rFonts w:ascii="宋体" w:hAnsi="宋体" w:eastAsia="宋体" w:cs="宋体"/>
                <w:position w:val="1"/>
                <w:sz w:val="20"/>
                <w:szCs w:val="20"/>
              </w:rPr>
              <w:t>6</w:t>
            </w:r>
          </w:p>
        </w:tc>
        <w:tc>
          <w:tcPr>
            <w:tcW w:w="3832" w:type="dxa"/>
            <w:vAlign w:val="top"/>
          </w:tcPr>
          <w:p w14:paraId="425A569C">
            <w:pPr>
              <w:spacing w:before="107" w:line="276" w:lineRule="auto"/>
              <w:ind w:left="1185"/>
              <w:rPr>
                <w:rFonts w:ascii="宋体" w:hAnsi="宋体" w:eastAsia="宋体" w:cs="宋体"/>
                <w:sz w:val="20"/>
                <w:szCs w:val="20"/>
              </w:rPr>
            </w:pPr>
            <w:r>
              <w:rPr>
                <w:rFonts w:ascii="宋体" w:hAnsi="宋体" w:eastAsia="宋体" w:cs="宋体"/>
                <w:position w:val="1"/>
                <w:sz w:val="20"/>
                <w:szCs w:val="20"/>
              </w:rPr>
              <w:t>20%</w:t>
            </w:r>
          </w:p>
        </w:tc>
      </w:tr>
      <w:tr w14:paraId="4A068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2114" w:type="dxa"/>
            <w:vAlign w:val="top"/>
          </w:tcPr>
          <w:p w14:paraId="666A64ED">
            <w:pPr>
              <w:spacing w:before="112" w:line="276" w:lineRule="auto"/>
              <w:ind w:left="120"/>
              <w:rPr>
                <w:rFonts w:ascii="宋体" w:hAnsi="宋体" w:eastAsia="宋体" w:cs="宋体"/>
                <w:sz w:val="20"/>
                <w:szCs w:val="20"/>
              </w:rPr>
            </w:pPr>
            <w:r>
              <w:rPr>
                <w:rFonts w:ascii="宋体" w:hAnsi="宋体" w:eastAsia="宋体" w:cs="宋体"/>
                <w:spacing w:val="2"/>
                <w:sz w:val="20"/>
                <w:szCs w:val="20"/>
              </w:rPr>
              <w:t>30-39</w:t>
            </w:r>
            <w:r>
              <w:rPr>
                <w:rFonts w:ascii="宋体" w:hAnsi="宋体" w:eastAsia="宋体" w:cs="宋体"/>
                <w:spacing w:val="13"/>
                <w:sz w:val="20"/>
                <w:szCs w:val="20"/>
              </w:rPr>
              <w:t xml:space="preserve"> </w:t>
            </w:r>
            <w:r>
              <w:rPr>
                <w:rFonts w:ascii="宋体" w:hAnsi="宋体" w:eastAsia="宋体" w:cs="宋体"/>
                <w:spacing w:val="2"/>
                <w:sz w:val="20"/>
                <w:szCs w:val="20"/>
              </w:rPr>
              <w:t>年</w:t>
            </w:r>
          </w:p>
        </w:tc>
        <w:tc>
          <w:tcPr>
            <w:tcW w:w="2349" w:type="dxa"/>
            <w:vAlign w:val="top"/>
          </w:tcPr>
          <w:p w14:paraId="5B5F342B">
            <w:pPr>
              <w:spacing w:before="112" w:line="276" w:lineRule="auto"/>
              <w:ind w:left="782"/>
              <w:rPr>
                <w:rFonts w:ascii="宋体" w:hAnsi="宋体" w:eastAsia="宋体" w:cs="宋体"/>
                <w:sz w:val="20"/>
                <w:szCs w:val="20"/>
              </w:rPr>
            </w:pPr>
            <w:r>
              <w:rPr>
                <w:rFonts w:ascii="宋体" w:hAnsi="宋体" w:eastAsia="宋体" w:cs="宋体"/>
                <w:spacing w:val="-7"/>
                <w:position w:val="1"/>
                <w:sz w:val="20"/>
                <w:szCs w:val="20"/>
              </w:rPr>
              <w:t>13</w:t>
            </w:r>
          </w:p>
        </w:tc>
        <w:tc>
          <w:tcPr>
            <w:tcW w:w="3832" w:type="dxa"/>
            <w:vAlign w:val="top"/>
          </w:tcPr>
          <w:p w14:paraId="06DFF172">
            <w:pPr>
              <w:spacing w:before="112" w:line="276" w:lineRule="auto"/>
              <w:ind w:left="1182"/>
              <w:rPr>
                <w:rFonts w:ascii="宋体" w:hAnsi="宋体" w:eastAsia="宋体" w:cs="宋体"/>
                <w:sz w:val="20"/>
                <w:szCs w:val="20"/>
              </w:rPr>
            </w:pPr>
            <w:r>
              <w:rPr>
                <w:rFonts w:ascii="宋体" w:hAnsi="宋体" w:eastAsia="宋体" w:cs="宋体"/>
                <w:spacing w:val="3"/>
                <w:position w:val="1"/>
                <w:sz w:val="20"/>
                <w:szCs w:val="20"/>
              </w:rPr>
              <w:t>43.33%</w:t>
            </w:r>
          </w:p>
        </w:tc>
      </w:tr>
      <w:tr w14:paraId="398D0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2114" w:type="dxa"/>
            <w:vAlign w:val="top"/>
          </w:tcPr>
          <w:p w14:paraId="0F4D3E93">
            <w:pPr>
              <w:spacing w:before="116" w:line="276" w:lineRule="auto"/>
              <w:ind w:left="115"/>
              <w:rPr>
                <w:rFonts w:ascii="宋体" w:hAnsi="宋体" w:eastAsia="宋体" w:cs="宋体"/>
                <w:sz w:val="20"/>
                <w:szCs w:val="20"/>
              </w:rPr>
            </w:pPr>
            <w:r>
              <w:rPr>
                <w:rFonts w:ascii="宋体" w:hAnsi="宋体" w:eastAsia="宋体" w:cs="宋体"/>
                <w:spacing w:val="2"/>
                <w:sz w:val="20"/>
                <w:szCs w:val="20"/>
              </w:rPr>
              <w:t>40-49</w:t>
            </w:r>
            <w:r>
              <w:rPr>
                <w:rFonts w:ascii="宋体" w:hAnsi="宋体" w:eastAsia="宋体" w:cs="宋体"/>
                <w:spacing w:val="-36"/>
                <w:sz w:val="20"/>
                <w:szCs w:val="20"/>
              </w:rPr>
              <w:t xml:space="preserve"> </w:t>
            </w:r>
            <w:r>
              <w:rPr>
                <w:rFonts w:ascii="宋体" w:hAnsi="宋体" w:eastAsia="宋体" w:cs="宋体"/>
                <w:spacing w:val="2"/>
                <w:sz w:val="20"/>
                <w:szCs w:val="20"/>
              </w:rPr>
              <w:t>年</w:t>
            </w:r>
          </w:p>
        </w:tc>
        <w:tc>
          <w:tcPr>
            <w:tcW w:w="2349" w:type="dxa"/>
            <w:vAlign w:val="top"/>
          </w:tcPr>
          <w:p w14:paraId="73AC367E">
            <w:pPr>
              <w:spacing w:before="116" w:line="276" w:lineRule="auto"/>
              <w:ind w:left="769"/>
              <w:rPr>
                <w:rFonts w:ascii="宋体" w:hAnsi="宋体" w:eastAsia="宋体" w:cs="宋体"/>
                <w:sz w:val="20"/>
                <w:szCs w:val="20"/>
              </w:rPr>
            </w:pPr>
            <w:r>
              <w:rPr>
                <w:rFonts w:ascii="宋体" w:hAnsi="宋体" w:eastAsia="宋体" w:cs="宋体"/>
                <w:position w:val="1"/>
                <w:sz w:val="20"/>
                <w:szCs w:val="20"/>
              </w:rPr>
              <w:t>2</w:t>
            </w:r>
          </w:p>
        </w:tc>
        <w:tc>
          <w:tcPr>
            <w:tcW w:w="3832" w:type="dxa"/>
            <w:vAlign w:val="top"/>
          </w:tcPr>
          <w:p w14:paraId="34321204">
            <w:pPr>
              <w:spacing w:before="116" w:line="276" w:lineRule="auto"/>
              <w:ind w:left="1184"/>
              <w:rPr>
                <w:rFonts w:ascii="宋体" w:hAnsi="宋体" w:eastAsia="宋体" w:cs="宋体"/>
                <w:sz w:val="20"/>
                <w:szCs w:val="20"/>
              </w:rPr>
            </w:pPr>
            <w:r>
              <w:rPr>
                <w:rFonts w:ascii="宋体" w:hAnsi="宋体" w:eastAsia="宋体" w:cs="宋体"/>
                <w:spacing w:val="2"/>
                <w:position w:val="1"/>
                <w:sz w:val="20"/>
                <w:szCs w:val="20"/>
              </w:rPr>
              <w:t>6.67%</w:t>
            </w:r>
          </w:p>
        </w:tc>
      </w:tr>
      <w:tr w14:paraId="367E5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trPr>
        <w:tc>
          <w:tcPr>
            <w:tcW w:w="2114" w:type="dxa"/>
            <w:vAlign w:val="top"/>
          </w:tcPr>
          <w:p w14:paraId="4C90B25D">
            <w:pPr>
              <w:spacing w:before="118" w:line="276" w:lineRule="auto"/>
              <w:ind w:left="120"/>
              <w:rPr>
                <w:rFonts w:ascii="宋体" w:hAnsi="宋体" w:eastAsia="宋体" w:cs="宋体"/>
                <w:sz w:val="20"/>
                <w:szCs w:val="20"/>
              </w:rPr>
            </w:pPr>
            <w:r>
              <w:rPr>
                <w:rFonts w:ascii="宋体" w:hAnsi="宋体" w:eastAsia="宋体" w:cs="宋体"/>
                <w:spacing w:val="4"/>
                <w:sz w:val="20"/>
                <w:szCs w:val="20"/>
              </w:rPr>
              <w:t>50</w:t>
            </w:r>
            <w:r>
              <w:rPr>
                <w:rFonts w:ascii="宋体" w:hAnsi="宋体" w:eastAsia="宋体" w:cs="宋体"/>
                <w:spacing w:val="-38"/>
                <w:sz w:val="20"/>
                <w:szCs w:val="20"/>
              </w:rPr>
              <w:t xml:space="preserve"> </w:t>
            </w:r>
            <w:r>
              <w:rPr>
                <w:rFonts w:ascii="宋体" w:hAnsi="宋体" w:eastAsia="宋体" w:cs="宋体"/>
                <w:spacing w:val="4"/>
                <w:sz w:val="20"/>
                <w:szCs w:val="20"/>
              </w:rPr>
              <w:t>年及以上</w:t>
            </w:r>
          </w:p>
        </w:tc>
        <w:tc>
          <w:tcPr>
            <w:tcW w:w="2349" w:type="dxa"/>
            <w:vAlign w:val="top"/>
          </w:tcPr>
          <w:p w14:paraId="794DFEAE">
            <w:pPr>
              <w:spacing w:before="118" w:line="276" w:lineRule="auto"/>
              <w:ind w:left="782"/>
              <w:rPr>
                <w:rFonts w:ascii="宋体" w:hAnsi="宋体" w:eastAsia="宋体" w:cs="宋体"/>
                <w:sz w:val="20"/>
                <w:szCs w:val="20"/>
              </w:rPr>
            </w:pPr>
            <w:r>
              <w:rPr>
                <w:rFonts w:ascii="宋体" w:hAnsi="宋体" w:eastAsia="宋体" w:cs="宋体"/>
                <w:sz w:val="20"/>
                <w:szCs w:val="20"/>
              </w:rPr>
              <w:t>1</w:t>
            </w:r>
          </w:p>
        </w:tc>
        <w:tc>
          <w:tcPr>
            <w:tcW w:w="3832" w:type="dxa"/>
            <w:vAlign w:val="top"/>
          </w:tcPr>
          <w:p w14:paraId="4783FE23">
            <w:pPr>
              <w:spacing w:before="118" w:line="276" w:lineRule="auto"/>
              <w:ind w:left="1187"/>
              <w:rPr>
                <w:rFonts w:ascii="宋体" w:hAnsi="宋体" w:eastAsia="宋体" w:cs="宋体"/>
                <w:sz w:val="20"/>
                <w:szCs w:val="20"/>
              </w:rPr>
            </w:pPr>
            <w:r>
              <w:rPr>
                <w:rFonts w:ascii="宋体" w:hAnsi="宋体" w:eastAsia="宋体" w:cs="宋体"/>
                <w:spacing w:val="2"/>
                <w:sz w:val="20"/>
                <w:szCs w:val="20"/>
              </w:rPr>
              <w:t>3.33%</w:t>
            </w:r>
          </w:p>
        </w:tc>
      </w:tr>
    </w:tbl>
    <w:p w14:paraId="2BA750DF">
      <w:pPr>
        <w:spacing w:before="140" w:line="276" w:lineRule="auto"/>
        <w:ind w:left="539"/>
        <w:rPr>
          <w:rFonts w:ascii="宋体" w:hAnsi="宋体" w:eastAsia="宋体" w:cs="宋体"/>
          <w:sz w:val="20"/>
          <w:szCs w:val="20"/>
        </w:rPr>
      </w:pPr>
      <w:r>
        <w:rPr>
          <w:rFonts w:ascii="宋体" w:hAnsi="宋体" w:eastAsia="宋体" w:cs="宋体"/>
          <w:spacing w:val="9"/>
          <w:sz w:val="20"/>
          <w:szCs w:val="20"/>
        </w:rPr>
        <w:t>综上，本次咨询专家权威程度高、地域代表性强、积极程度高，咨询结果可信度高。</w:t>
      </w:r>
    </w:p>
    <w:p w14:paraId="50A187AF">
      <w:pPr>
        <w:spacing w:before="128" w:line="276" w:lineRule="auto"/>
        <w:ind w:left="597"/>
        <w:rPr>
          <w:rFonts w:ascii="宋体" w:hAnsi="宋体" w:eastAsia="宋体" w:cs="宋体"/>
          <w:sz w:val="24"/>
          <w:szCs w:val="24"/>
        </w:rPr>
      </w:pPr>
      <w:r>
        <w:rPr>
          <w:rFonts w:ascii="宋体" w:hAnsi="宋体" w:eastAsia="宋体" w:cs="宋体"/>
          <w:b/>
          <w:bCs/>
          <w:spacing w:val="-3"/>
          <w:sz w:val="24"/>
          <w:szCs w:val="24"/>
        </w:rPr>
        <w:t>三、专家调查问卷统计结果</w:t>
      </w:r>
    </w:p>
    <w:p w14:paraId="28265D77">
      <w:pPr>
        <w:spacing w:before="141" w:line="276" w:lineRule="auto"/>
        <w:ind w:left="552"/>
        <w:rPr>
          <w:rFonts w:ascii="宋体" w:hAnsi="宋体" w:eastAsia="宋体" w:cs="宋体"/>
          <w:sz w:val="20"/>
          <w:szCs w:val="20"/>
        </w:rPr>
      </w:pPr>
      <w:r>
        <w:rPr>
          <w:rFonts w:ascii="宋体" w:hAnsi="宋体" w:eastAsia="宋体" w:cs="宋体"/>
          <w:b/>
          <w:bCs/>
          <w:spacing w:val="1"/>
          <w:sz w:val="20"/>
          <w:szCs w:val="20"/>
        </w:rPr>
        <w:t>1</w:t>
      </w:r>
      <w:r>
        <w:rPr>
          <w:rFonts w:ascii="宋体" w:hAnsi="宋体" w:eastAsia="宋体" w:cs="宋体"/>
          <w:spacing w:val="-39"/>
          <w:sz w:val="20"/>
          <w:szCs w:val="20"/>
        </w:rPr>
        <w:t xml:space="preserve"> </w:t>
      </w:r>
      <w:r>
        <w:rPr>
          <w:rFonts w:ascii="宋体" w:hAnsi="宋体" w:eastAsia="宋体" w:cs="宋体"/>
          <w:b/>
          <w:bCs/>
          <w:spacing w:val="1"/>
          <w:sz w:val="20"/>
          <w:szCs w:val="20"/>
        </w:rPr>
        <w:t>评分方法</w:t>
      </w:r>
    </w:p>
    <w:p w14:paraId="7157ACBA">
      <w:pPr>
        <w:spacing w:before="151" w:line="276" w:lineRule="auto"/>
        <w:jc w:val="right"/>
        <w:rPr>
          <w:rFonts w:ascii="宋体" w:hAnsi="宋体" w:eastAsia="宋体" w:cs="宋体"/>
          <w:sz w:val="20"/>
          <w:szCs w:val="20"/>
        </w:rPr>
      </w:pPr>
      <w:r>
        <w:pict>
          <v:shape id="_x0000_s1030" o:spid="_x0000_s1030" o:spt="202" type="#_x0000_t202" style="position:absolute;left:0pt;margin-left:48.5pt;margin-top:13.7pt;height:14.1pt;width:9.1pt;z-index:251662336;mso-width-relative:page;mso-height-relative:page;" filled="f" stroked="f" coordsize="21600,21600">
            <v:path/>
            <v:fill on="f" focussize="0,0"/>
            <v:stroke on="f"/>
            <v:imagedata o:title=""/>
            <o:lock v:ext="edit" aspectratio="f"/>
            <v:textbox inset="0mm,0mm,0mm,0mm">
              <w:txbxContent>
                <w:p w14:paraId="1CDA4703">
                  <w:pPr>
                    <w:pStyle w:val="3"/>
                    <w:tabs>
                      <w:tab w:val="left" w:pos="161"/>
                    </w:tabs>
                    <w:spacing w:before="19"/>
                    <w:ind w:left="20"/>
                  </w:pPr>
                  <w:r>
                    <w:rPr>
                      <w:u w:val="single" w:color="auto"/>
                    </w:rPr>
                    <w:tab/>
                  </w:r>
                </w:p>
              </w:txbxContent>
            </v:textbox>
          </v:shape>
        </w:pict>
      </w:r>
      <w:r>
        <w:rPr>
          <w:rFonts w:ascii="宋体" w:hAnsi="宋体" w:eastAsia="宋体" w:cs="宋体"/>
          <w:spacing w:val="10"/>
          <w:sz w:val="20"/>
          <w:szCs w:val="20"/>
        </w:rPr>
        <w:t>问卷应用</w:t>
      </w:r>
      <w:r>
        <w:rPr>
          <w:rFonts w:ascii="宋体" w:hAnsi="宋体" w:eastAsia="宋体" w:cs="宋体"/>
          <w:sz w:val="20"/>
          <w:szCs w:val="20"/>
        </w:rPr>
        <w:t>Excel</w:t>
      </w:r>
      <w:r>
        <w:rPr>
          <w:rFonts w:ascii="宋体" w:hAnsi="宋体" w:eastAsia="宋体" w:cs="宋体"/>
          <w:spacing w:val="10"/>
          <w:sz w:val="20"/>
          <w:szCs w:val="20"/>
        </w:rPr>
        <w:t>表进行每一条目数据的整理与统计处理，计算专家意见的集中程度和协调程度，采</w:t>
      </w:r>
    </w:p>
    <w:p w14:paraId="11E613A5">
      <w:pPr>
        <w:spacing w:before="193" w:line="276" w:lineRule="auto"/>
        <w:ind w:left="118"/>
        <w:rPr>
          <w:rFonts w:ascii="宋体" w:hAnsi="宋体" w:eastAsia="宋体" w:cs="宋体"/>
          <w:sz w:val="20"/>
          <w:szCs w:val="20"/>
        </w:rPr>
      </w:pPr>
      <w:r>
        <w:rPr>
          <w:rFonts w:ascii="宋体" w:hAnsi="宋体" w:eastAsia="宋体" w:cs="宋体"/>
          <w:spacing w:val="8"/>
          <w:sz w:val="20"/>
          <w:szCs w:val="20"/>
        </w:rPr>
        <w:t>用均值（</w:t>
      </w:r>
      <w:r>
        <w:rPr>
          <w:rFonts w:ascii="宋体" w:hAnsi="宋体" w:eastAsia="宋体" w:cs="宋体"/>
          <w:spacing w:val="-19"/>
          <w:sz w:val="20"/>
          <w:szCs w:val="20"/>
        </w:rPr>
        <w:t xml:space="preserve"> </w:t>
      </w:r>
      <w:r>
        <w:rPr>
          <w:rFonts w:ascii="Times New Roman" w:hAnsi="Times New Roman" w:eastAsia="Times New Roman" w:cs="Times New Roman"/>
          <w:i/>
          <w:iCs/>
          <w:spacing w:val="8"/>
          <w:sz w:val="25"/>
          <w:szCs w:val="25"/>
        </w:rPr>
        <w:t>x</w:t>
      </w:r>
      <w:r>
        <w:rPr>
          <w:rFonts w:ascii="Times New Roman" w:hAnsi="Times New Roman" w:eastAsia="Times New Roman" w:cs="Times New Roman"/>
          <w:i/>
          <w:iCs/>
          <w:spacing w:val="39"/>
          <w:sz w:val="25"/>
          <w:szCs w:val="25"/>
        </w:rPr>
        <w:t xml:space="preserve"> </w:t>
      </w:r>
      <w:r>
        <w:rPr>
          <w:rFonts w:ascii="宋体" w:hAnsi="宋体" w:eastAsia="宋体" w:cs="宋体"/>
          <w:spacing w:val="8"/>
          <w:sz w:val="20"/>
          <w:szCs w:val="20"/>
        </w:rPr>
        <w:t>）、不重要百分比（R）、等级和（S）、变异系数（</w:t>
      </w:r>
      <w:r>
        <w:rPr>
          <w:rFonts w:ascii="宋体" w:hAnsi="宋体" w:eastAsia="宋体" w:cs="宋体"/>
          <w:sz w:val="20"/>
          <w:szCs w:val="20"/>
        </w:rPr>
        <w:t>CV</w:t>
      </w:r>
      <w:r>
        <w:rPr>
          <w:rFonts w:ascii="宋体" w:hAnsi="宋体" w:eastAsia="宋体" w:cs="宋体"/>
          <w:spacing w:val="8"/>
          <w:sz w:val="20"/>
          <w:szCs w:val="20"/>
        </w:rPr>
        <w:t>）等指标进行相关统计</w:t>
      </w:r>
      <w:r>
        <w:rPr>
          <w:rFonts w:ascii="宋体" w:hAnsi="宋体" w:eastAsia="宋体" w:cs="宋体"/>
          <w:spacing w:val="7"/>
          <w:sz w:val="20"/>
          <w:szCs w:val="20"/>
        </w:rPr>
        <w:t>分析。</w:t>
      </w:r>
    </w:p>
    <w:p w14:paraId="6BA69CB3">
      <w:pPr>
        <w:spacing w:before="154" w:line="276" w:lineRule="auto"/>
        <w:ind w:left="552"/>
        <w:rPr>
          <w:rFonts w:ascii="宋体" w:hAnsi="宋体" w:eastAsia="宋体" w:cs="宋体"/>
          <w:sz w:val="20"/>
          <w:szCs w:val="20"/>
        </w:rPr>
      </w:pPr>
      <w:r>
        <w:rPr>
          <w:rFonts w:ascii="宋体" w:hAnsi="宋体" w:eastAsia="宋体" w:cs="宋体"/>
          <w:b/>
          <w:bCs/>
          <w:spacing w:val="4"/>
          <w:sz w:val="20"/>
          <w:szCs w:val="20"/>
        </w:rPr>
        <w:t>1.1</w:t>
      </w:r>
      <w:r>
        <w:rPr>
          <w:rFonts w:ascii="宋体" w:hAnsi="宋体" w:eastAsia="宋体" w:cs="宋体"/>
          <w:spacing w:val="-33"/>
          <w:sz w:val="20"/>
          <w:szCs w:val="20"/>
        </w:rPr>
        <w:t xml:space="preserve"> </w:t>
      </w:r>
      <w:r>
        <w:rPr>
          <w:rFonts w:ascii="宋体" w:hAnsi="宋体" w:eastAsia="宋体" w:cs="宋体"/>
          <w:b/>
          <w:bCs/>
          <w:spacing w:val="4"/>
          <w:sz w:val="20"/>
          <w:szCs w:val="20"/>
        </w:rPr>
        <w:t>指标含义及计算方法</w:t>
      </w:r>
    </w:p>
    <w:p w14:paraId="24E3E6E4">
      <w:pPr>
        <w:spacing w:before="151" w:line="276" w:lineRule="auto"/>
        <w:ind w:left="118" w:firstLine="8"/>
        <w:rPr>
          <w:rFonts w:ascii="宋体" w:hAnsi="宋体" w:eastAsia="宋体" w:cs="宋体"/>
          <w:sz w:val="20"/>
          <w:szCs w:val="20"/>
        </w:rPr>
      </w:pPr>
      <w:r>
        <w:rPr>
          <w:rFonts w:ascii="宋体" w:hAnsi="宋体" w:eastAsia="宋体" w:cs="宋体"/>
          <w:spacing w:val="9"/>
          <w:sz w:val="20"/>
          <w:szCs w:val="20"/>
        </w:rPr>
        <w:t>（1）各项指标赋值出现的频数（f</w:t>
      </w:r>
      <w:r>
        <w:rPr>
          <w:rFonts w:ascii="宋体" w:hAnsi="宋体" w:eastAsia="宋体" w:cs="宋体"/>
          <w:spacing w:val="8"/>
          <w:sz w:val="20"/>
          <w:szCs w:val="20"/>
        </w:rPr>
        <w:t>）</w:t>
      </w:r>
      <w:r>
        <w:rPr>
          <w:rFonts w:ascii="宋体" w:hAnsi="宋体" w:eastAsia="宋体" w:cs="宋体"/>
          <w:spacing w:val="-59"/>
          <w:sz w:val="20"/>
          <w:szCs w:val="20"/>
        </w:rPr>
        <w:t xml:space="preserve"> </w:t>
      </w:r>
      <w:r>
        <w:rPr>
          <w:rFonts w:ascii="宋体" w:hAnsi="宋体" w:eastAsia="宋体" w:cs="宋体"/>
          <w:spacing w:val="8"/>
          <w:sz w:val="20"/>
          <w:szCs w:val="20"/>
        </w:rPr>
        <w:t>：</w:t>
      </w:r>
      <w:r>
        <w:rPr>
          <w:rFonts w:ascii="宋体" w:hAnsi="宋体" w:eastAsia="宋体" w:cs="宋体"/>
          <w:spacing w:val="9"/>
          <w:sz w:val="20"/>
          <w:szCs w:val="20"/>
        </w:rPr>
        <w:t>即专家对各项信息的赋值0、1</w:t>
      </w:r>
      <w:r>
        <w:rPr>
          <w:rFonts w:ascii="宋体" w:hAnsi="宋体" w:eastAsia="宋体" w:cs="宋体"/>
          <w:spacing w:val="-20"/>
          <w:sz w:val="20"/>
          <w:szCs w:val="20"/>
        </w:rPr>
        <w:t xml:space="preserve"> </w:t>
      </w:r>
      <w:r>
        <w:rPr>
          <w:rFonts w:ascii="宋体" w:hAnsi="宋体" w:eastAsia="宋体" w:cs="宋体"/>
          <w:spacing w:val="9"/>
          <w:sz w:val="20"/>
          <w:szCs w:val="20"/>
        </w:rPr>
        <w:t>出现的次数。在本项研究中，答</w:t>
      </w:r>
      <w:r>
        <w:rPr>
          <w:rFonts w:ascii="宋体" w:hAnsi="宋体" w:eastAsia="宋体" w:cs="宋体"/>
          <w:spacing w:val="6"/>
          <w:sz w:val="20"/>
          <w:szCs w:val="20"/>
        </w:rPr>
        <w:t>卷打√</w:t>
      </w:r>
      <w:r>
        <w:rPr>
          <w:rFonts w:ascii="宋体" w:hAnsi="宋体" w:eastAsia="宋体" w:cs="宋体"/>
          <w:spacing w:val="-72"/>
          <w:sz w:val="20"/>
          <w:szCs w:val="20"/>
        </w:rPr>
        <w:t xml:space="preserve"> </w:t>
      </w:r>
      <w:r>
        <w:rPr>
          <w:rFonts w:ascii="宋体" w:hAnsi="宋体" w:eastAsia="宋体" w:cs="宋体"/>
          <w:spacing w:val="6"/>
          <w:sz w:val="20"/>
          <w:szCs w:val="20"/>
        </w:rPr>
        <w:t>的信</w:t>
      </w:r>
      <w:r>
        <w:rPr>
          <w:rFonts w:ascii="宋体" w:hAnsi="宋体" w:eastAsia="宋体" w:cs="宋体"/>
          <w:spacing w:val="6"/>
          <w:sz w:val="20"/>
          <w:szCs w:val="20"/>
          <w:u w:val="single" w:color="auto"/>
        </w:rPr>
        <w:t>息以</w:t>
      </w:r>
      <w:r>
        <w:rPr>
          <w:rFonts w:ascii="宋体" w:hAnsi="宋体" w:eastAsia="宋体" w:cs="宋体"/>
          <w:spacing w:val="-21"/>
          <w:sz w:val="20"/>
          <w:szCs w:val="20"/>
        </w:rPr>
        <w:t xml:space="preserve"> </w:t>
      </w:r>
      <w:r>
        <w:rPr>
          <w:rFonts w:ascii="宋体" w:hAnsi="宋体" w:eastAsia="宋体" w:cs="宋体"/>
          <w:spacing w:val="6"/>
          <w:sz w:val="20"/>
          <w:szCs w:val="20"/>
        </w:rPr>
        <w:t>1</w:t>
      </w:r>
      <w:r>
        <w:rPr>
          <w:rFonts w:ascii="宋体" w:hAnsi="宋体" w:eastAsia="宋体" w:cs="宋体"/>
          <w:spacing w:val="-36"/>
          <w:sz w:val="20"/>
          <w:szCs w:val="20"/>
        </w:rPr>
        <w:t xml:space="preserve"> </w:t>
      </w:r>
      <w:r>
        <w:rPr>
          <w:rFonts w:ascii="宋体" w:hAnsi="宋体" w:eastAsia="宋体" w:cs="宋体"/>
          <w:spacing w:val="6"/>
          <w:sz w:val="20"/>
          <w:szCs w:val="20"/>
        </w:rPr>
        <w:t>分计，未打√</w:t>
      </w:r>
      <w:r>
        <w:rPr>
          <w:rFonts w:ascii="宋体" w:hAnsi="宋体" w:eastAsia="宋体" w:cs="宋体"/>
          <w:spacing w:val="-72"/>
          <w:sz w:val="20"/>
          <w:szCs w:val="20"/>
        </w:rPr>
        <w:t xml:space="preserve"> </w:t>
      </w:r>
      <w:r>
        <w:rPr>
          <w:rFonts w:ascii="宋体" w:hAnsi="宋体" w:eastAsia="宋体" w:cs="宋体"/>
          <w:spacing w:val="6"/>
          <w:sz w:val="20"/>
          <w:szCs w:val="20"/>
        </w:rPr>
        <w:t>的信息以0</w:t>
      </w:r>
      <w:r>
        <w:rPr>
          <w:rFonts w:ascii="宋体" w:hAnsi="宋体" w:eastAsia="宋体" w:cs="宋体"/>
          <w:spacing w:val="-36"/>
          <w:sz w:val="20"/>
          <w:szCs w:val="20"/>
        </w:rPr>
        <w:t xml:space="preserve"> </w:t>
      </w:r>
      <w:r>
        <w:rPr>
          <w:rFonts w:ascii="宋体" w:hAnsi="宋体" w:eastAsia="宋体" w:cs="宋体"/>
          <w:spacing w:val="6"/>
          <w:sz w:val="20"/>
          <w:szCs w:val="20"/>
        </w:rPr>
        <w:t>分计。</w:t>
      </w:r>
    </w:p>
    <w:p w14:paraId="2A639BBA">
      <w:pPr>
        <w:spacing w:before="1" w:line="276" w:lineRule="auto"/>
        <w:ind w:left="126"/>
        <w:rPr>
          <w:rFonts w:ascii="宋体" w:hAnsi="宋体" w:eastAsia="宋体" w:cs="宋体"/>
          <w:sz w:val="20"/>
          <w:szCs w:val="20"/>
        </w:rPr>
      </w:pPr>
      <w:r>
        <w:rPr>
          <w:rFonts w:ascii="宋体" w:hAnsi="宋体" w:eastAsia="宋体" w:cs="宋体"/>
          <w:spacing w:val="6"/>
          <w:sz w:val="20"/>
          <w:szCs w:val="20"/>
        </w:rPr>
        <w:t>（2）均值（</w:t>
      </w:r>
      <w:r>
        <w:rPr>
          <w:rFonts w:ascii="宋体" w:hAnsi="宋体" w:eastAsia="宋体" w:cs="宋体"/>
          <w:spacing w:val="-16"/>
          <w:sz w:val="20"/>
          <w:szCs w:val="20"/>
        </w:rPr>
        <w:t xml:space="preserve"> </w:t>
      </w:r>
      <w:r>
        <w:rPr>
          <w:rFonts w:ascii="Times New Roman" w:hAnsi="Times New Roman" w:eastAsia="Times New Roman" w:cs="Times New Roman"/>
          <w:i/>
          <w:iCs/>
          <w:spacing w:val="6"/>
          <w:sz w:val="25"/>
          <w:szCs w:val="25"/>
        </w:rPr>
        <w:t>x</w:t>
      </w:r>
      <w:r>
        <w:rPr>
          <w:rFonts w:ascii="Times New Roman" w:hAnsi="Times New Roman" w:eastAsia="Times New Roman" w:cs="Times New Roman"/>
          <w:i/>
          <w:iCs/>
          <w:spacing w:val="39"/>
          <w:sz w:val="25"/>
          <w:szCs w:val="25"/>
        </w:rPr>
        <w:t xml:space="preserve"> </w:t>
      </w:r>
      <w:r>
        <w:rPr>
          <w:rFonts w:ascii="宋体" w:hAnsi="宋体" w:eastAsia="宋体" w:cs="宋体"/>
          <w:spacing w:val="6"/>
          <w:sz w:val="20"/>
          <w:szCs w:val="20"/>
        </w:rPr>
        <w:t>）的计算方法：即计数对象得分的平均值。</w:t>
      </w:r>
    </w:p>
    <w:p w14:paraId="4CA5F4D8">
      <w:pPr>
        <w:spacing w:before="151" w:line="276" w:lineRule="auto"/>
        <w:ind w:left="126"/>
        <w:rPr>
          <w:rFonts w:ascii="宋体" w:hAnsi="宋体" w:eastAsia="宋体" w:cs="宋体"/>
          <w:sz w:val="20"/>
          <w:szCs w:val="20"/>
        </w:rPr>
      </w:pPr>
      <w:r>
        <w:rPr>
          <w:rFonts w:ascii="宋体" w:hAnsi="宋体" w:eastAsia="宋体" w:cs="宋体"/>
          <w:spacing w:val="9"/>
          <w:sz w:val="20"/>
          <w:szCs w:val="20"/>
        </w:rPr>
        <w:t>（3）不重要百分比（R</w:t>
      </w:r>
      <w:r>
        <w:rPr>
          <w:rFonts w:ascii="宋体" w:hAnsi="宋体" w:eastAsia="宋体" w:cs="宋体"/>
          <w:spacing w:val="22"/>
          <w:sz w:val="20"/>
          <w:szCs w:val="20"/>
        </w:rPr>
        <w:t>）：</w:t>
      </w:r>
      <w:r>
        <w:rPr>
          <w:rFonts w:ascii="宋体" w:hAnsi="宋体" w:eastAsia="宋体" w:cs="宋体"/>
          <w:spacing w:val="9"/>
          <w:sz w:val="20"/>
          <w:szCs w:val="20"/>
        </w:rPr>
        <w:t>即专家对各项信息赋值为0</w:t>
      </w:r>
      <w:r>
        <w:rPr>
          <w:rFonts w:ascii="宋体" w:hAnsi="宋体" w:eastAsia="宋体" w:cs="宋体"/>
          <w:spacing w:val="-20"/>
          <w:sz w:val="20"/>
          <w:szCs w:val="20"/>
        </w:rPr>
        <w:t xml:space="preserve"> </w:t>
      </w:r>
      <w:r>
        <w:rPr>
          <w:rFonts w:ascii="宋体" w:hAnsi="宋体" w:eastAsia="宋体" w:cs="宋体"/>
          <w:spacing w:val="9"/>
          <w:sz w:val="20"/>
          <w:szCs w:val="20"/>
        </w:rPr>
        <w:t>的频数与参评专</w:t>
      </w:r>
      <w:r>
        <w:rPr>
          <w:rFonts w:ascii="宋体" w:hAnsi="宋体" w:eastAsia="宋体" w:cs="宋体"/>
          <w:spacing w:val="8"/>
          <w:sz w:val="20"/>
          <w:szCs w:val="20"/>
        </w:rPr>
        <w:t>家总个数的比值。</w:t>
      </w:r>
    </w:p>
    <w:p w14:paraId="0AFCF92F">
      <w:pPr>
        <w:spacing w:before="141" w:line="276" w:lineRule="auto"/>
        <w:ind w:left="1671"/>
        <w:rPr>
          <w:rFonts w:ascii="宋体" w:hAnsi="宋体" w:eastAsia="宋体" w:cs="宋体"/>
          <w:sz w:val="28"/>
          <w:szCs w:val="28"/>
        </w:rPr>
      </w:pPr>
      <w:r>
        <w:rPr>
          <w:rFonts w:ascii="Times New Roman" w:hAnsi="Times New Roman" w:eastAsia="Times New Roman" w:cs="Times New Roman"/>
          <w:spacing w:val="-5"/>
          <w:sz w:val="28"/>
          <w:szCs w:val="28"/>
        </w:rPr>
        <w:t>0</w:t>
      </w:r>
      <w:r>
        <w:rPr>
          <w:rFonts w:ascii="宋体" w:hAnsi="宋体" w:eastAsia="宋体" w:cs="宋体"/>
          <w:spacing w:val="-5"/>
          <w:sz w:val="28"/>
          <w:szCs w:val="28"/>
        </w:rPr>
        <w:t>的频数</w:t>
      </w:r>
    </w:p>
    <w:p w14:paraId="6D887294">
      <w:pPr>
        <w:spacing w:before="1" w:line="276" w:lineRule="auto"/>
        <w:ind w:left="736"/>
        <w:rPr>
          <w:rFonts w:ascii="宋体" w:hAnsi="宋体" w:eastAsia="宋体" w:cs="宋体"/>
          <w:sz w:val="20"/>
          <w:szCs w:val="20"/>
        </w:rPr>
      </w:pPr>
      <w:r>
        <w:pict>
          <v:shape id="_x0000_s1031" o:spid="_x0000_s1031" o:spt="202" type="#_x0000_t202" style="position:absolute;left:0pt;margin-left:49.5pt;margin-top:4.45pt;height:18.85pt;width:115.2pt;z-index:251660288;mso-width-relative:page;mso-height-relative:page;" filled="f" stroked="f" coordsize="21600,21600">
            <v:path/>
            <v:fill on="f" focussize="0,0"/>
            <v:stroke on="f"/>
            <v:imagedata o:title=""/>
            <o:lock v:ext="edit" aspectratio="f"/>
            <v:textbox inset="0mm,0mm,0mm,0mm">
              <w:txbxContent>
                <w:p w14:paraId="06BD8F63">
                  <w:pPr>
                    <w:spacing w:before="20" w:line="222" w:lineRule="auto"/>
                    <w:ind w:left="20"/>
                    <w:rPr>
                      <w:rFonts w:ascii="宋体" w:hAnsi="宋体" w:eastAsia="宋体" w:cs="宋体"/>
                      <w:sz w:val="28"/>
                      <w:szCs w:val="28"/>
                    </w:rPr>
                  </w:pPr>
                  <w:r>
                    <w:rPr>
                      <w:rFonts w:ascii="宋体" w:hAnsi="宋体" w:eastAsia="宋体" w:cs="宋体"/>
                      <w:spacing w:val="2"/>
                      <w:sz w:val="28"/>
                      <w:szCs w:val="28"/>
                    </w:rPr>
                    <w:t>该项信息的总频数</w:t>
                  </w:r>
                </w:p>
              </w:txbxContent>
            </v:textbox>
          </v:shape>
        </w:pict>
      </w:r>
      <w:r>
        <w:rPr>
          <w:rFonts w:ascii="宋体" w:hAnsi="宋体" w:eastAsia="宋体" w:cs="宋体"/>
          <w:spacing w:val="-3"/>
          <w:sz w:val="20"/>
          <w:szCs w:val="20"/>
        </w:rPr>
        <w:t>R=</w:t>
      </w:r>
      <w:r>
        <w:rPr>
          <w:rFonts w:ascii="宋体" w:hAnsi="宋体" w:eastAsia="宋体" w:cs="宋体"/>
          <w:spacing w:val="-57"/>
          <w:sz w:val="20"/>
          <w:szCs w:val="20"/>
        </w:rPr>
        <w:t xml:space="preserve"> </w:t>
      </w:r>
      <w:r>
        <w:rPr>
          <w:rFonts w:ascii="宋体" w:hAnsi="宋体" w:eastAsia="宋体" w:cs="宋体"/>
          <w:strike/>
          <w:spacing w:val="-3"/>
          <w:sz w:val="20"/>
          <w:szCs w:val="20"/>
        </w:rPr>
        <w:t xml:space="preserve">                        </w:t>
      </w:r>
      <w:r>
        <w:rPr>
          <w:rFonts w:ascii="宋体" w:hAnsi="宋体" w:eastAsia="宋体" w:cs="宋体"/>
          <w:spacing w:val="-3"/>
          <w:sz w:val="20"/>
          <w:szCs w:val="20"/>
        </w:rPr>
        <w:t xml:space="preserve">   ×</w:t>
      </w:r>
      <w:r>
        <w:rPr>
          <w:rFonts w:ascii="宋体" w:hAnsi="宋体" w:eastAsia="宋体" w:cs="宋体"/>
          <w:spacing w:val="-74"/>
          <w:sz w:val="20"/>
          <w:szCs w:val="20"/>
        </w:rPr>
        <w:t xml:space="preserve"> </w:t>
      </w:r>
      <w:r>
        <w:rPr>
          <w:rFonts w:ascii="宋体" w:hAnsi="宋体" w:eastAsia="宋体" w:cs="宋体"/>
          <w:spacing w:val="-4"/>
          <w:sz w:val="20"/>
          <w:szCs w:val="20"/>
        </w:rPr>
        <w:t>100﹪</w:t>
      </w:r>
    </w:p>
    <w:p w14:paraId="703BD86B">
      <w:pPr>
        <w:pStyle w:val="3"/>
        <w:spacing w:line="276" w:lineRule="auto"/>
      </w:pPr>
    </w:p>
    <w:p w14:paraId="74E2C30C">
      <w:pPr>
        <w:spacing w:before="65" w:line="276" w:lineRule="auto"/>
        <w:ind w:left="126"/>
        <w:rPr>
          <w:rFonts w:ascii="宋体" w:hAnsi="宋体" w:eastAsia="宋体" w:cs="宋体"/>
          <w:sz w:val="20"/>
          <w:szCs w:val="20"/>
        </w:rPr>
      </w:pPr>
      <w:r>
        <w:rPr>
          <w:rFonts w:ascii="宋体" w:hAnsi="宋体" w:eastAsia="宋体" w:cs="宋体"/>
          <w:spacing w:val="7"/>
          <w:sz w:val="20"/>
          <w:szCs w:val="20"/>
        </w:rPr>
        <w:t>（4）等级和（S</w:t>
      </w:r>
      <w:r>
        <w:rPr>
          <w:rFonts w:ascii="宋体" w:hAnsi="宋体" w:eastAsia="宋体" w:cs="宋体"/>
          <w:spacing w:val="26"/>
          <w:sz w:val="20"/>
          <w:szCs w:val="20"/>
        </w:rPr>
        <w:t>）：</w:t>
      </w:r>
      <w:r>
        <w:rPr>
          <w:rFonts w:ascii="宋体" w:hAnsi="宋体" w:eastAsia="宋体" w:cs="宋体"/>
          <w:spacing w:val="7"/>
          <w:sz w:val="20"/>
          <w:szCs w:val="20"/>
        </w:rPr>
        <w:t>即为专家对各项信息的赋值的代数和。</w:t>
      </w:r>
    </w:p>
    <w:p w14:paraId="2BBFD70E">
      <w:pPr>
        <w:spacing w:before="142" w:line="276" w:lineRule="auto"/>
        <w:jc w:val="right"/>
        <w:rPr>
          <w:rFonts w:ascii="宋体" w:hAnsi="宋体" w:eastAsia="宋体" w:cs="宋体"/>
          <w:sz w:val="20"/>
          <w:szCs w:val="20"/>
        </w:rPr>
      </w:pPr>
      <w:r>
        <w:rPr>
          <w:rFonts w:ascii="宋体" w:hAnsi="宋体" w:eastAsia="宋体" w:cs="宋体"/>
          <w:spacing w:val="9"/>
          <w:sz w:val="20"/>
          <w:szCs w:val="20"/>
        </w:rPr>
        <w:t>（5）变异系数（</w:t>
      </w:r>
      <w:r>
        <w:rPr>
          <w:rFonts w:ascii="宋体" w:hAnsi="宋体" w:eastAsia="宋体" w:cs="宋体"/>
          <w:b/>
          <w:bCs/>
          <w:sz w:val="20"/>
          <w:szCs w:val="20"/>
        </w:rPr>
        <w:t>CV</w:t>
      </w:r>
      <w:r>
        <w:rPr>
          <w:rFonts w:ascii="宋体" w:hAnsi="宋体" w:eastAsia="宋体" w:cs="宋体"/>
          <w:spacing w:val="25"/>
          <w:sz w:val="20"/>
          <w:szCs w:val="20"/>
        </w:rPr>
        <w:t>）：</w:t>
      </w:r>
      <w:r>
        <w:rPr>
          <w:rFonts w:ascii="宋体" w:hAnsi="宋体" w:eastAsia="宋体" w:cs="宋体"/>
          <w:spacing w:val="9"/>
          <w:sz w:val="20"/>
          <w:szCs w:val="20"/>
        </w:rPr>
        <w:t>多用于观察指标单位不同时，或均数相差较大时，它实质上是一个相对变异指</w:t>
      </w:r>
    </w:p>
    <w:p w14:paraId="37E72612">
      <w:pPr>
        <w:spacing w:before="265" w:line="276" w:lineRule="auto"/>
        <w:ind w:left="117"/>
        <w:rPr>
          <w:rFonts w:ascii="宋体" w:hAnsi="宋体" w:eastAsia="宋体" w:cs="宋体"/>
          <w:sz w:val="20"/>
          <w:szCs w:val="20"/>
        </w:rPr>
      </w:pPr>
      <w:r>
        <w:pict>
          <v:shape id="_x0000_s1032" o:spid="_x0000_s1032" o:spt="202" type="#_x0000_t202" style="position:absolute;left:0pt;margin-left:96.5pt;margin-top:7.3pt;height:9.85pt;width:133.2pt;z-index:251661312;mso-width-relative:page;mso-height-relative:page;" filled="f" stroked="f" coordsize="21600,21600">
            <v:path/>
            <v:fill on="f" focussize="0,0"/>
            <v:stroke on="f"/>
            <v:imagedata o:title=""/>
            <o:lock v:ext="edit" aspectratio="f"/>
            <v:textbox inset="0mm,0mm,0mm,0mm">
              <w:txbxContent>
                <w:p w14:paraId="1518B467">
                  <w:pPr>
                    <w:spacing w:before="19" w:line="157" w:lineRule="exact"/>
                    <w:ind w:left="20"/>
                    <w:rPr>
                      <w:rFonts w:ascii="Times New Roman" w:hAnsi="Times New Roman" w:eastAsia="Times New Roman" w:cs="Times New Roman"/>
                      <w:sz w:val="22"/>
                      <w:szCs w:val="22"/>
                    </w:rPr>
                  </w:pPr>
                  <w:r>
                    <w:rPr>
                      <w:rFonts w:ascii="Times New Roman" w:hAnsi="Times New Roman" w:eastAsia="Times New Roman" w:cs="Times New Roman"/>
                      <w:i/>
                      <w:iCs/>
                      <w:spacing w:val="9"/>
                      <w:position w:val="-3"/>
                      <w:sz w:val="22"/>
                      <w:szCs w:val="22"/>
                    </w:rPr>
                    <w:t>S</w:t>
                  </w:r>
                  <w:r>
                    <w:rPr>
                      <w:rFonts w:ascii="Times New Roman" w:hAnsi="Times New Roman" w:eastAsia="Times New Roman" w:cs="Times New Roman"/>
                      <w:i/>
                      <w:iCs/>
                      <w:spacing w:val="1"/>
                      <w:position w:val="-3"/>
                      <w:sz w:val="22"/>
                      <w:szCs w:val="22"/>
                    </w:rPr>
                    <w:t xml:space="preserve">                                          </w:t>
                  </w:r>
                  <w:r>
                    <w:rPr>
                      <w:rFonts w:ascii="Times New Roman" w:hAnsi="Times New Roman" w:eastAsia="Times New Roman" w:cs="Times New Roman"/>
                      <w:i/>
                      <w:iCs/>
                      <w:strike/>
                      <w:spacing w:val="3"/>
                      <w:position w:val="-3"/>
                      <w:sz w:val="22"/>
                      <w:szCs w:val="22"/>
                    </w:rPr>
                    <w:t xml:space="preserve">   </w:t>
                  </w:r>
                </w:p>
              </w:txbxContent>
            </v:textbox>
          </v:shape>
        </w:pict>
      </w:r>
      <w:r>
        <w:rPr>
          <w:rFonts w:ascii="宋体" w:hAnsi="宋体" w:eastAsia="宋体" w:cs="宋体"/>
          <w:spacing w:val="4"/>
          <w:sz w:val="20"/>
          <w:szCs w:val="20"/>
        </w:rPr>
        <w:t>标。计算公式：</w:t>
      </w:r>
      <w:r>
        <w:rPr>
          <w:rFonts w:ascii="宋体" w:hAnsi="宋体" w:eastAsia="宋体" w:cs="宋体"/>
          <w:sz w:val="20"/>
          <w:szCs w:val="20"/>
        </w:rPr>
        <w:t>CV</w:t>
      </w:r>
      <w:r>
        <w:rPr>
          <w:rFonts w:ascii="宋体" w:hAnsi="宋体" w:eastAsia="宋体" w:cs="宋体"/>
          <w:spacing w:val="4"/>
          <w:sz w:val="20"/>
          <w:szCs w:val="20"/>
        </w:rPr>
        <w:t>=</w:t>
      </w:r>
      <w:r>
        <w:rPr>
          <w:rFonts w:ascii="宋体" w:hAnsi="宋体" w:eastAsia="宋体" w:cs="宋体"/>
          <w:spacing w:val="-66"/>
          <w:sz w:val="20"/>
          <w:szCs w:val="20"/>
        </w:rPr>
        <w:t xml:space="preserve"> </w:t>
      </w:r>
      <w:r>
        <w:rPr>
          <w:rFonts w:ascii="宋体" w:hAnsi="宋体" w:eastAsia="宋体" w:cs="宋体"/>
          <w:strike/>
          <w:spacing w:val="-72"/>
          <w:sz w:val="20"/>
          <w:szCs w:val="20"/>
        </w:rPr>
        <w:t xml:space="preserve"> </w:t>
      </w:r>
      <w:r>
        <w:rPr>
          <w:rFonts w:ascii="宋体" w:hAnsi="宋体" w:eastAsia="宋体" w:cs="宋体"/>
          <w:strike/>
          <w:spacing w:val="10"/>
          <w:sz w:val="20"/>
          <w:szCs w:val="20"/>
          <w:u w:val="single" w:color="auto"/>
        </w:rPr>
        <w:t xml:space="preserve"> </w:t>
      </w:r>
      <w:r>
        <w:rPr>
          <w:rFonts w:ascii="宋体" w:hAnsi="宋体" w:eastAsia="宋体" w:cs="宋体"/>
          <w:strike/>
          <w:spacing w:val="-71"/>
          <w:sz w:val="20"/>
          <w:szCs w:val="20"/>
        </w:rPr>
        <w:t xml:space="preserve"> </w:t>
      </w:r>
      <w:r>
        <w:rPr>
          <w:rFonts w:ascii="宋体" w:hAnsi="宋体" w:eastAsia="宋体" w:cs="宋体"/>
          <w:spacing w:val="-22"/>
          <w:sz w:val="20"/>
          <w:szCs w:val="20"/>
        </w:rPr>
        <w:t xml:space="preserve"> </w:t>
      </w:r>
      <w:r>
        <w:rPr>
          <w:rFonts w:ascii="宋体" w:hAnsi="宋体" w:eastAsia="宋体" w:cs="宋体"/>
          <w:spacing w:val="4"/>
          <w:sz w:val="20"/>
          <w:szCs w:val="20"/>
        </w:rPr>
        <w:t>×</w:t>
      </w:r>
      <w:r>
        <w:rPr>
          <w:rFonts w:ascii="宋体" w:hAnsi="宋体" w:eastAsia="宋体" w:cs="宋体"/>
          <w:spacing w:val="-77"/>
          <w:sz w:val="20"/>
          <w:szCs w:val="20"/>
        </w:rPr>
        <w:t xml:space="preserve"> </w:t>
      </w:r>
      <w:r>
        <w:rPr>
          <w:rFonts w:ascii="宋体" w:hAnsi="宋体" w:eastAsia="宋体" w:cs="宋体"/>
          <w:spacing w:val="4"/>
          <w:sz w:val="20"/>
          <w:szCs w:val="20"/>
        </w:rPr>
        <w:t>100﹪</w:t>
      </w:r>
      <w:r>
        <w:rPr>
          <w:rFonts w:ascii="宋体" w:hAnsi="宋体" w:eastAsia="宋体" w:cs="宋体"/>
          <w:spacing w:val="-45"/>
          <w:sz w:val="20"/>
          <w:szCs w:val="20"/>
        </w:rPr>
        <w:t xml:space="preserve"> </w:t>
      </w:r>
      <w:r>
        <w:rPr>
          <w:rFonts w:ascii="宋体" w:hAnsi="宋体" w:eastAsia="宋体" w:cs="宋体"/>
          <w:spacing w:val="4"/>
          <w:sz w:val="20"/>
          <w:szCs w:val="20"/>
        </w:rPr>
        <w:t>(S</w:t>
      </w:r>
      <w:r>
        <w:rPr>
          <w:rFonts w:ascii="宋体" w:hAnsi="宋体" w:eastAsia="宋体" w:cs="宋体"/>
          <w:spacing w:val="-41"/>
          <w:sz w:val="20"/>
          <w:szCs w:val="20"/>
        </w:rPr>
        <w:t xml:space="preserve"> </w:t>
      </w:r>
      <w:r>
        <w:rPr>
          <w:rFonts w:ascii="宋体" w:hAnsi="宋体" w:eastAsia="宋体" w:cs="宋体"/>
          <w:spacing w:val="4"/>
          <w:sz w:val="20"/>
          <w:szCs w:val="20"/>
        </w:rPr>
        <w:t>代表标准差，</w:t>
      </w:r>
      <w:r>
        <w:rPr>
          <w:rFonts w:ascii="宋体" w:hAnsi="宋体" w:eastAsia="宋体" w:cs="宋体"/>
          <w:spacing w:val="-43"/>
          <w:sz w:val="20"/>
          <w:szCs w:val="20"/>
        </w:rPr>
        <w:t xml:space="preserve"> </w:t>
      </w:r>
      <w:r>
        <w:rPr>
          <w:rFonts w:ascii="Times New Roman" w:hAnsi="Times New Roman" w:eastAsia="Times New Roman" w:cs="Times New Roman"/>
          <w:i/>
          <w:iCs/>
          <w:spacing w:val="4"/>
          <w:sz w:val="25"/>
          <w:szCs w:val="25"/>
        </w:rPr>
        <w:t xml:space="preserve">x </w:t>
      </w:r>
      <w:r>
        <w:rPr>
          <w:rFonts w:ascii="宋体" w:hAnsi="宋体" w:eastAsia="宋体" w:cs="宋体"/>
          <w:spacing w:val="4"/>
          <w:sz w:val="20"/>
          <w:szCs w:val="20"/>
        </w:rPr>
        <w:t>代表</w:t>
      </w:r>
      <w:r>
        <w:rPr>
          <w:rFonts w:ascii="宋体" w:hAnsi="宋体" w:eastAsia="宋体" w:cs="宋体"/>
          <w:spacing w:val="3"/>
          <w:sz w:val="20"/>
          <w:szCs w:val="20"/>
        </w:rPr>
        <w:t>均数)</w:t>
      </w:r>
    </w:p>
    <w:p w14:paraId="543F1150">
      <w:pPr>
        <w:spacing w:before="44" w:line="276" w:lineRule="auto"/>
        <w:ind w:left="1959"/>
        <w:rPr>
          <w:rFonts w:ascii="Times New Roman" w:hAnsi="Times New Roman" w:eastAsia="Times New Roman" w:cs="Times New Roman"/>
          <w:sz w:val="22"/>
          <w:szCs w:val="22"/>
        </w:rPr>
      </w:pPr>
      <w:r>
        <w:rPr>
          <w:rFonts w:ascii="Times New Roman" w:hAnsi="Times New Roman" w:eastAsia="Times New Roman" w:cs="Times New Roman"/>
          <w:i/>
          <w:iCs/>
          <w:spacing w:val="8"/>
          <w:sz w:val="22"/>
          <w:szCs w:val="22"/>
        </w:rPr>
        <w:t>x</w:t>
      </w:r>
    </w:p>
    <w:p w14:paraId="54C121F5">
      <w:pPr>
        <w:spacing w:before="115" w:line="276" w:lineRule="auto"/>
        <w:ind w:left="117"/>
        <w:rPr>
          <w:rFonts w:ascii="宋体" w:hAnsi="宋体" w:eastAsia="宋体" w:cs="宋体"/>
          <w:sz w:val="20"/>
          <w:szCs w:val="20"/>
        </w:rPr>
      </w:pPr>
      <w:r>
        <w:rPr>
          <w:rFonts w:ascii="宋体" w:hAnsi="宋体" w:eastAsia="宋体" w:cs="宋体"/>
          <w:spacing w:val="7"/>
          <w:sz w:val="20"/>
          <w:szCs w:val="20"/>
        </w:rPr>
        <w:t>（5）标准差（</w:t>
      </w:r>
      <w:r>
        <w:rPr>
          <w:rFonts w:ascii="宋体" w:hAnsi="宋体" w:eastAsia="宋体" w:cs="宋体"/>
          <w:b/>
          <w:bCs/>
          <w:spacing w:val="7"/>
          <w:sz w:val="20"/>
          <w:szCs w:val="20"/>
        </w:rPr>
        <w:t>S</w:t>
      </w:r>
      <w:r>
        <w:rPr>
          <w:rFonts w:ascii="宋体" w:hAnsi="宋体" w:eastAsia="宋体" w:cs="宋体"/>
          <w:spacing w:val="10"/>
          <w:sz w:val="20"/>
          <w:szCs w:val="20"/>
        </w:rPr>
        <w:t>）：</w:t>
      </w:r>
      <w:r>
        <w:rPr>
          <w:rFonts w:ascii="宋体" w:hAnsi="宋体" w:eastAsia="宋体" w:cs="宋体"/>
          <w:spacing w:val="7"/>
          <w:sz w:val="20"/>
          <w:szCs w:val="20"/>
        </w:rPr>
        <w:t>是方差的正平方根，其量纲与原变量值相同。方差也称均方差，反映一组数据的平</w:t>
      </w:r>
      <w:r>
        <w:rPr>
          <w:rFonts w:ascii="宋体" w:hAnsi="宋体" w:eastAsia="宋体" w:cs="宋体"/>
          <w:spacing w:val="8"/>
          <w:sz w:val="20"/>
          <w:szCs w:val="20"/>
        </w:rPr>
        <w:t>均离散水平。计算公式如下：</w:t>
      </w:r>
    </w:p>
    <w:p w14:paraId="20E22A0C">
      <w:pPr>
        <w:spacing w:before="183" w:line="276" w:lineRule="auto"/>
        <w:ind w:firstLine="948"/>
      </w:pPr>
      <w:r>
        <w:rPr>
          <w:position w:val="-21"/>
        </w:rPr>
        <w:drawing>
          <wp:inline distT="0" distB="0" distL="0" distR="0">
            <wp:extent cx="1828165" cy="624840"/>
            <wp:effectExtent l="0" t="0" r="635" b="381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7"/>
                    <a:stretch>
                      <a:fillRect/>
                    </a:stretch>
                  </pic:blipFill>
                  <pic:spPr>
                    <a:xfrm>
                      <a:off x="0" y="0"/>
                      <a:ext cx="1828799" cy="624840"/>
                    </a:xfrm>
                    <a:prstGeom prst="rect">
                      <a:avLst/>
                    </a:prstGeom>
                  </pic:spPr>
                </pic:pic>
              </a:graphicData>
            </a:graphic>
          </wp:inline>
        </w:drawing>
      </w:r>
    </w:p>
    <w:p w14:paraId="44187228">
      <w:pPr>
        <w:keepNext w:val="0"/>
        <w:keepLines w:val="0"/>
        <w:pageBreakBefore w:val="0"/>
        <w:widowControl/>
        <w:kinsoku w:val="0"/>
        <w:wordWrap/>
        <w:overflowPunct/>
        <w:topLinePunct w:val="0"/>
        <w:autoSpaceDE w:val="0"/>
        <w:autoSpaceDN w:val="0"/>
        <w:bidi w:val="0"/>
        <w:adjustRightInd w:val="0"/>
        <w:snapToGrid w:val="0"/>
        <w:spacing w:before="160" w:line="276" w:lineRule="auto"/>
        <w:ind w:left="550"/>
        <w:textAlignment w:val="baseline"/>
        <w:rPr>
          <w:rFonts w:ascii="宋体" w:hAnsi="宋体" w:eastAsia="宋体" w:cs="宋体"/>
          <w:sz w:val="20"/>
          <w:szCs w:val="20"/>
        </w:rPr>
      </w:pPr>
      <w:r>
        <w:rPr>
          <w:rFonts w:ascii="宋体" w:hAnsi="宋体" w:eastAsia="宋体" w:cs="宋体"/>
          <w:b/>
          <w:bCs/>
          <w:spacing w:val="3"/>
          <w:sz w:val="20"/>
          <w:szCs w:val="20"/>
        </w:rPr>
        <w:t>1.2</w:t>
      </w:r>
      <w:r>
        <w:rPr>
          <w:rFonts w:ascii="宋体" w:hAnsi="宋体" w:eastAsia="宋体" w:cs="宋体"/>
          <w:spacing w:val="-27"/>
          <w:sz w:val="20"/>
          <w:szCs w:val="20"/>
        </w:rPr>
        <w:t xml:space="preserve"> </w:t>
      </w:r>
      <w:r>
        <w:rPr>
          <w:rFonts w:ascii="宋体" w:hAnsi="宋体" w:eastAsia="宋体" w:cs="宋体"/>
          <w:b/>
          <w:bCs/>
          <w:spacing w:val="3"/>
          <w:sz w:val="20"/>
          <w:szCs w:val="20"/>
        </w:rPr>
        <w:t>统计结果处理方案</w:t>
      </w:r>
    </w:p>
    <w:p w14:paraId="35053926">
      <w:pPr>
        <w:spacing w:before="150" w:line="276" w:lineRule="auto"/>
        <w:ind w:left="120" w:right="108" w:firstLine="420"/>
        <w:rPr>
          <w:rFonts w:ascii="宋体" w:hAnsi="宋体" w:eastAsia="宋体" w:cs="宋体"/>
          <w:sz w:val="20"/>
          <w:szCs w:val="20"/>
        </w:rPr>
      </w:pPr>
      <w:r>
        <w:rPr>
          <w:rFonts w:ascii="宋体" w:hAnsi="宋体" w:eastAsia="宋体" w:cs="宋体"/>
          <w:spacing w:val="8"/>
          <w:sz w:val="20"/>
          <w:szCs w:val="20"/>
        </w:rPr>
        <w:t>统计结果原则上保留超过</w:t>
      </w:r>
      <w:r>
        <w:rPr>
          <w:rFonts w:ascii="宋体" w:hAnsi="宋体" w:eastAsia="宋体" w:cs="宋体"/>
          <w:spacing w:val="-34"/>
          <w:sz w:val="20"/>
          <w:szCs w:val="20"/>
        </w:rPr>
        <w:t xml:space="preserve"> </w:t>
      </w:r>
      <w:r>
        <w:rPr>
          <w:rFonts w:ascii="宋体" w:hAnsi="宋体" w:eastAsia="宋体" w:cs="宋体"/>
          <w:spacing w:val="8"/>
          <w:sz w:val="20"/>
          <w:szCs w:val="20"/>
        </w:rPr>
        <w:t>50%的专家认可的选项内容，即等级和大于答卷总数一半者，作为直接接</w:t>
      </w:r>
      <w:r>
        <w:rPr>
          <w:rFonts w:ascii="宋体" w:hAnsi="宋体" w:eastAsia="宋体" w:cs="宋体"/>
          <w:spacing w:val="7"/>
          <w:sz w:val="20"/>
          <w:szCs w:val="20"/>
        </w:rPr>
        <w:t>受修改意见的条目选项。</w:t>
      </w:r>
    </w:p>
    <w:p w14:paraId="2CB6AE5A">
      <w:pPr>
        <w:spacing w:before="1" w:line="276" w:lineRule="auto"/>
        <w:ind w:left="117" w:right="108" w:firstLine="417"/>
        <w:rPr>
          <w:rFonts w:ascii="宋体" w:hAnsi="宋体" w:eastAsia="宋体" w:cs="宋体"/>
          <w:sz w:val="20"/>
          <w:szCs w:val="20"/>
        </w:rPr>
      </w:pPr>
      <w:r>
        <w:rPr>
          <w:rFonts w:ascii="宋体" w:hAnsi="宋体" w:eastAsia="宋体" w:cs="宋体"/>
          <w:spacing w:val="9"/>
          <w:sz w:val="20"/>
          <w:szCs w:val="20"/>
        </w:rPr>
        <w:t>将等级和没有大于答卷总数一半的条目（尤其是有多个选项</w:t>
      </w:r>
      <w:r>
        <w:rPr>
          <w:rFonts w:ascii="宋体" w:hAnsi="宋体" w:eastAsia="宋体" w:cs="宋体"/>
          <w:spacing w:val="8"/>
          <w:sz w:val="20"/>
          <w:szCs w:val="20"/>
        </w:rPr>
        <w:t>的条目较易于出现这种情况</w:t>
      </w:r>
      <w:r>
        <w:rPr>
          <w:rFonts w:ascii="宋体" w:hAnsi="宋体" w:eastAsia="宋体" w:cs="宋体"/>
          <w:spacing w:val="-15"/>
          <w:sz w:val="20"/>
          <w:szCs w:val="20"/>
        </w:rPr>
        <w:t>），</w:t>
      </w:r>
      <w:r>
        <w:rPr>
          <w:rFonts w:ascii="宋体" w:hAnsi="宋体" w:eastAsia="宋体" w:cs="宋体"/>
          <w:spacing w:val="8"/>
          <w:sz w:val="20"/>
          <w:szCs w:val="20"/>
        </w:rPr>
        <w:t>如实记</w:t>
      </w:r>
      <w:r>
        <w:rPr>
          <w:rFonts w:ascii="宋体" w:hAnsi="宋体" w:eastAsia="宋体" w:cs="宋体"/>
          <w:spacing w:val="9"/>
          <w:sz w:val="20"/>
          <w:szCs w:val="20"/>
        </w:rPr>
        <w:t>录每个条目各选项得分的均值数，准备提交专家论证会，作为需重点讨论的问题。</w:t>
      </w:r>
    </w:p>
    <w:p w14:paraId="29DD01CB">
      <w:pPr>
        <w:spacing w:before="1" w:line="276" w:lineRule="auto"/>
        <w:ind w:left="539"/>
        <w:rPr>
          <w:rFonts w:ascii="宋体" w:hAnsi="宋体" w:eastAsia="宋体" w:cs="宋体"/>
          <w:sz w:val="20"/>
          <w:szCs w:val="20"/>
        </w:rPr>
      </w:pPr>
      <w:r>
        <w:rPr>
          <w:rFonts w:ascii="宋体" w:hAnsi="宋体" w:eastAsia="宋体" w:cs="宋体"/>
          <w:b/>
          <w:bCs/>
          <w:spacing w:val="1"/>
          <w:sz w:val="20"/>
          <w:szCs w:val="20"/>
        </w:rPr>
        <w:t>2</w:t>
      </w:r>
      <w:r>
        <w:rPr>
          <w:rFonts w:ascii="宋体" w:hAnsi="宋体" w:eastAsia="宋体" w:cs="宋体"/>
          <w:spacing w:val="40"/>
          <w:sz w:val="20"/>
          <w:szCs w:val="20"/>
        </w:rPr>
        <w:t xml:space="preserve"> </w:t>
      </w:r>
      <w:r>
        <w:rPr>
          <w:rFonts w:ascii="宋体" w:hAnsi="宋体" w:eastAsia="宋体" w:cs="宋体"/>
          <w:b/>
          <w:bCs/>
          <w:spacing w:val="1"/>
          <w:sz w:val="20"/>
          <w:szCs w:val="20"/>
        </w:rPr>
        <w:t>问卷调查结果</w:t>
      </w:r>
    </w:p>
    <w:p w14:paraId="16580F1C">
      <w:pPr>
        <w:spacing w:before="153" w:line="276" w:lineRule="auto"/>
        <w:ind w:left="539"/>
        <w:rPr>
          <w:rFonts w:ascii="宋体" w:hAnsi="宋体" w:eastAsia="宋体" w:cs="宋体"/>
          <w:sz w:val="20"/>
          <w:szCs w:val="20"/>
        </w:rPr>
      </w:pPr>
      <w:r>
        <w:rPr>
          <w:rFonts w:ascii="宋体" w:hAnsi="宋体" w:eastAsia="宋体" w:cs="宋体"/>
          <w:b/>
          <w:bCs/>
          <w:spacing w:val="5"/>
          <w:sz w:val="20"/>
          <w:szCs w:val="20"/>
        </w:rPr>
        <w:t>2.1</w:t>
      </w:r>
      <w:r>
        <w:rPr>
          <w:rFonts w:ascii="宋体" w:hAnsi="宋体" w:eastAsia="宋体" w:cs="宋体"/>
          <w:spacing w:val="5"/>
          <w:sz w:val="20"/>
          <w:szCs w:val="20"/>
        </w:rPr>
        <w:t xml:space="preserve"> </w:t>
      </w:r>
      <w:r>
        <w:rPr>
          <w:rFonts w:ascii="宋体" w:hAnsi="宋体" w:eastAsia="宋体" w:cs="宋体"/>
          <w:b/>
          <w:bCs/>
          <w:spacing w:val="5"/>
          <w:sz w:val="20"/>
          <w:szCs w:val="20"/>
        </w:rPr>
        <w:t>火罐定义调查结果</w:t>
      </w:r>
    </w:p>
    <w:p w14:paraId="2E277515">
      <w:pPr>
        <w:spacing w:before="151" w:line="276" w:lineRule="auto"/>
        <w:ind w:left="3929"/>
        <w:rPr>
          <w:rFonts w:ascii="宋体" w:hAnsi="宋体" w:eastAsia="宋体" w:cs="宋体"/>
          <w:sz w:val="20"/>
          <w:szCs w:val="20"/>
        </w:rPr>
      </w:pPr>
      <w:r>
        <w:rPr>
          <w:rFonts w:ascii="宋体" w:hAnsi="宋体" w:eastAsia="宋体" w:cs="宋体"/>
          <w:spacing w:val="7"/>
          <w:sz w:val="20"/>
          <w:szCs w:val="20"/>
        </w:rPr>
        <w:t>表 8</w:t>
      </w:r>
      <w:r>
        <w:rPr>
          <w:rFonts w:ascii="宋体" w:hAnsi="宋体" w:eastAsia="宋体" w:cs="宋体"/>
          <w:spacing w:val="18"/>
          <w:sz w:val="20"/>
          <w:szCs w:val="20"/>
        </w:rPr>
        <w:t xml:space="preserve"> </w:t>
      </w:r>
      <w:r>
        <w:rPr>
          <w:rFonts w:ascii="宋体" w:hAnsi="宋体" w:eastAsia="宋体" w:cs="宋体"/>
          <w:spacing w:val="7"/>
          <w:sz w:val="20"/>
          <w:szCs w:val="20"/>
        </w:rPr>
        <w:t>火罐定义调查结果</w:t>
      </w:r>
    </w:p>
    <w:p w14:paraId="483E1C5A">
      <w:pPr>
        <w:spacing w:line="276" w:lineRule="auto"/>
      </w:pPr>
    </w:p>
    <w:tbl>
      <w:tblPr>
        <w:tblStyle w:val="9"/>
        <w:tblW w:w="95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710"/>
        <w:gridCol w:w="635"/>
        <w:gridCol w:w="858"/>
        <w:gridCol w:w="417"/>
        <w:gridCol w:w="949"/>
      </w:tblGrid>
      <w:tr w14:paraId="61B29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rPr>
        <w:tc>
          <w:tcPr>
            <w:tcW w:w="6710" w:type="dxa"/>
            <w:vAlign w:val="top"/>
          </w:tcPr>
          <w:p w14:paraId="04C3046C">
            <w:pPr>
              <w:spacing w:before="146" w:line="276" w:lineRule="auto"/>
              <w:ind w:left="3151"/>
              <w:rPr>
                <w:rFonts w:ascii="宋体" w:hAnsi="宋体" w:eastAsia="宋体" w:cs="宋体"/>
                <w:sz w:val="20"/>
                <w:szCs w:val="20"/>
              </w:rPr>
            </w:pPr>
            <w:r>
              <w:rPr>
                <w:rFonts w:ascii="宋体" w:hAnsi="宋体" w:eastAsia="宋体" w:cs="宋体"/>
                <w:spacing w:val="5"/>
                <w:sz w:val="20"/>
                <w:szCs w:val="20"/>
              </w:rPr>
              <w:t>选项</w:t>
            </w:r>
          </w:p>
        </w:tc>
        <w:tc>
          <w:tcPr>
            <w:tcW w:w="635" w:type="dxa"/>
            <w:vAlign w:val="top"/>
          </w:tcPr>
          <w:p w14:paraId="462FD238">
            <w:pPr>
              <w:spacing w:before="208" w:line="276" w:lineRule="auto"/>
              <w:ind w:left="248"/>
              <w:rPr>
                <w:rFonts w:ascii="Times New Roman" w:hAnsi="Times New Roman" w:eastAsia="Times New Roman" w:cs="Times New Roman"/>
                <w:sz w:val="25"/>
                <w:szCs w:val="25"/>
              </w:rPr>
            </w:pPr>
            <w:r>
              <w:rPr>
                <w:rFonts w:ascii="Times New Roman" w:hAnsi="Times New Roman" w:eastAsia="Times New Roman" w:cs="Times New Roman"/>
                <w:i/>
                <w:iCs/>
                <w:spacing w:val="9"/>
                <w:sz w:val="25"/>
                <w:szCs w:val="25"/>
              </w:rPr>
              <w:t>x</w:t>
            </w:r>
          </w:p>
        </w:tc>
        <w:tc>
          <w:tcPr>
            <w:tcW w:w="858" w:type="dxa"/>
            <w:vAlign w:val="top"/>
          </w:tcPr>
          <w:p w14:paraId="5B9AA685">
            <w:pPr>
              <w:spacing w:before="181" w:line="276" w:lineRule="auto"/>
              <w:ind w:left="377"/>
              <w:rPr>
                <w:rFonts w:ascii="宋体" w:hAnsi="宋体" w:eastAsia="宋体" w:cs="宋体"/>
                <w:sz w:val="20"/>
                <w:szCs w:val="20"/>
              </w:rPr>
            </w:pPr>
            <w:r>
              <w:rPr>
                <w:rFonts w:ascii="宋体" w:hAnsi="宋体" w:eastAsia="宋体" w:cs="宋体"/>
                <w:sz w:val="20"/>
                <w:szCs w:val="20"/>
              </w:rPr>
              <w:t>R</w:t>
            </w:r>
          </w:p>
        </w:tc>
        <w:tc>
          <w:tcPr>
            <w:tcW w:w="417" w:type="dxa"/>
            <w:vAlign w:val="top"/>
          </w:tcPr>
          <w:p w14:paraId="728E543C">
            <w:pPr>
              <w:spacing w:before="179" w:line="276" w:lineRule="auto"/>
              <w:ind w:left="158"/>
              <w:rPr>
                <w:rFonts w:ascii="宋体" w:hAnsi="宋体" w:eastAsia="宋体" w:cs="宋体"/>
                <w:sz w:val="20"/>
                <w:szCs w:val="20"/>
              </w:rPr>
            </w:pPr>
            <w:r>
              <w:rPr>
                <w:rFonts w:ascii="宋体" w:hAnsi="宋体" w:eastAsia="宋体" w:cs="宋体"/>
                <w:sz w:val="20"/>
                <w:szCs w:val="20"/>
              </w:rPr>
              <w:t>S</w:t>
            </w:r>
          </w:p>
        </w:tc>
        <w:tc>
          <w:tcPr>
            <w:tcW w:w="949" w:type="dxa"/>
            <w:vAlign w:val="top"/>
          </w:tcPr>
          <w:p w14:paraId="7D1D3B8B">
            <w:pPr>
              <w:spacing w:before="179" w:line="276" w:lineRule="auto"/>
              <w:ind w:left="374"/>
              <w:rPr>
                <w:rFonts w:ascii="宋体" w:hAnsi="宋体" w:eastAsia="宋体" w:cs="宋体"/>
                <w:sz w:val="20"/>
                <w:szCs w:val="20"/>
              </w:rPr>
            </w:pPr>
            <w:r>
              <w:rPr>
                <w:rFonts w:ascii="宋体" w:hAnsi="宋体" w:eastAsia="宋体" w:cs="宋体"/>
                <w:spacing w:val="1"/>
                <w:sz w:val="20"/>
                <w:szCs w:val="20"/>
              </w:rPr>
              <w:t>CV</w:t>
            </w:r>
          </w:p>
        </w:tc>
      </w:tr>
      <w:tr w14:paraId="29FAE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25" w:hRule="atLeast"/>
        </w:trPr>
        <w:tc>
          <w:tcPr>
            <w:tcW w:w="6710" w:type="dxa"/>
            <w:vAlign w:val="top"/>
          </w:tcPr>
          <w:p w14:paraId="6CEEEF9B">
            <w:pPr>
              <w:spacing w:before="146" w:line="276" w:lineRule="auto"/>
              <w:ind w:left="115" w:right="107" w:hanging="5"/>
              <w:jc w:val="both"/>
              <w:rPr>
                <w:rFonts w:ascii="宋体" w:hAnsi="宋体" w:eastAsia="宋体" w:cs="宋体"/>
                <w:sz w:val="20"/>
                <w:szCs w:val="20"/>
              </w:rPr>
            </w:pPr>
            <w:r>
              <w:rPr>
                <w:rFonts w:ascii="宋体" w:hAnsi="宋体" w:eastAsia="宋体" w:cs="宋体"/>
                <w:spacing w:val="16"/>
                <w:sz w:val="20"/>
                <w:szCs w:val="20"/>
              </w:rPr>
              <w:t>A.火罐是利用乙醇等燃烧时产生的热力使罐内的气体</w:t>
            </w:r>
            <w:r>
              <w:rPr>
                <w:rFonts w:ascii="宋体" w:hAnsi="宋体" w:eastAsia="宋体" w:cs="宋体"/>
                <w:spacing w:val="15"/>
                <w:sz w:val="20"/>
                <w:szCs w:val="20"/>
              </w:rPr>
              <w:t>膨胀而排出罐内</w:t>
            </w:r>
            <w:r>
              <w:rPr>
                <w:rFonts w:ascii="宋体" w:hAnsi="宋体" w:eastAsia="宋体" w:cs="宋体"/>
                <w:spacing w:val="7"/>
                <w:sz w:val="20"/>
                <w:szCs w:val="20"/>
              </w:rPr>
              <w:t>部分空气，使罐内气压低于罐外大气压（统称负压）</w:t>
            </w:r>
            <w:r>
              <w:rPr>
                <w:rFonts w:ascii="Times New Roman" w:hAnsi="Times New Roman" w:eastAsia="Times New Roman" w:cs="Times New Roman"/>
                <w:spacing w:val="7"/>
                <w:sz w:val="20"/>
                <w:szCs w:val="20"/>
              </w:rPr>
              <w:t>,</w:t>
            </w:r>
            <w:r>
              <w:rPr>
                <w:rFonts w:ascii="宋体" w:hAnsi="宋体" w:eastAsia="宋体" w:cs="宋体"/>
                <w:spacing w:val="7"/>
                <w:sz w:val="20"/>
                <w:szCs w:val="20"/>
              </w:rPr>
              <w:t>然后将罐吸附于施</w:t>
            </w:r>
            <w:r>
              <w:rPr>
                <w:rFonts w:ascii="宋体" w:hAnsi="宋体" w:eastAsia="宋体" w:cs="宋体"/>
                <w:spacing w:val="9"/>
                <w:sz w:val="20"/>
                <w:szCs w:val="20"/>
              </w:rPr>
              <w:t>术部位的皮肤上。火罐法吸拔力的大小与罐具的大小、罐内燃火的温度和方式、扣罐的时机与速度等因素有关，临床上可根据治疗需要灵活掌</w:t>
            </w:r>
            <w:r>
              <w:rPr>
                <w:rFonts w:ascii="宋体" w:hAnsi="宋体" w:eastAsia="宋体" w:cs="宋体"/>
                <w:spacing w:val="8"/>
                <w:sz w:val="20"/>
                <w:szCs w:val="20"/>
              </w:rPr>
              <w:t>握。（出处：全国中医药行业高等教育“十四五</w:t>
            </w:r>
            <w:r>
              <w:rPr>
                <w:rFonts w:ascii="宋体" w:hAnsi="宋体" w:eastAsia="宋体" w:cs="宋体"/>
                <w:spacing w:val="-65"/>
                <w:sz w:val="20"/>
                <w:szCs w:val="20"/>
              </w:rPr>
              <w:t xml:space="preserve"> </w:t>
            </w:r>
            <w:r>
              <w:rPr>
                <w:rFonts w:ascii="宋体" w:hAnsi="宋体" w:eastAsia="宋体" w:cs="宋体"/>
                <w:spacing w:val="8"/>
                <w:sz w:val="20"/>
                <w:szCs w:val="20"/>
              </w:rPr>
              <w:t>”创新教材《中医拔罐疗法》，主编：陈泽林，中国中医药出版社，</w:t>
            </w:r>
            <w:r>
              <w:rPr>
                <w:rFonts w:ascii="Times New Roman" w:hAnsi="Times New Roman" w:eastAsia="Times New Roman" w:cs="Times New Roman"/>
                <w:spacing w:val="8"/>
                <w:sz w:val="20"/>
                <w:szCs w:val="20"/>
              </w:rPr>
              <w:t>2023</w:t>
            </w:r>
            <w:r>
              <w:rPr>
                <w:rFonts w:ascii="宋体" w:hAnsi="宋体" w:eastAsia="宋体" w:cs="宋体"/>
                <w:spacing w:val="8"/>
                <w:sz w:val="20"/>
                <w:szCs w:val="20"/>
              </w:rPr>
              <w:t>）</w:t>
            </w:r>
          </w:p>
        </w:tc>
        <w:tc>
          <w:tcPr>
            <w:tcW w:w="635" w:type="dxa"/>
            <w:vAlign w:val="top"/>
          </w:tcPr>
          <w:p w14:paraId="487FE0BA">
            <w:pPr>
              <w:spacing w:before="143" w:line="276" w:lineRule="auto"/>
              <w:ind w:left="118"/>
              <w:rPr>
                <w:rFonts w:ascii="宋体" w:hAnsi="宋体" w:eastAsia="宋体" w:cs="宋体"/>
                <w:sz w:val="20"/>
                <w:szCs w:val="20"/>
              </w:rPr>
            </w:pPr>
            <w:r>
              <w:rPr>
                <w:rFonts w:ascii="宋体" w:hAnsi="宋体" w:eastAsia="宋体" w:cs="宋体"/>
                <w:spacing w:val="2"/>
                <w:position w:val="1"/>
                <w:sz w:val="20"/>
                <w:szCs w:val="20"/>
              </w:rPr>
              <w:t>0.47</w:t>
            </w:r>
          </w:p>
        </w:tc>
        <w:tc>
          <w:tcPr>
            <w:tcW w:w="858" w:type="dxa"/>
            <w:vAlign w:val="top"/>
          </w:tcPr>
          <w:p w14:paraId="0F5F9E59">
            <w:pPr>
              <w:spacing w:before="143" w:line="276" w:lineRule="auto"/>
              <w:ind w:left="122"/>
              <w:rPr>
                <w:rFonts w:ascii="宋体" w:hAnsi="宋体" w:eastAsia="宋体" w:cs="宋体"/>
                <w:sz w:val="20"/>
                <w:szCs w:val="20"/>
              </w:rPr>
            </w:pPr>
            <w:r>
              <w:rPr>
                <w:rFonts w:ascii="宋体" w:hAnsi="宋体" w:eastAsia="宋体" w:cs="宋体"/>
                <w:spacing w:val="2"/>
                <w:position w:val="1"/>
                <w:sz w:val="20"/>
                <w:szCs w:val="20"/>
              </w:rPr>
              <w:t>53.00%</w:t>
            </w:r>
          </w:p>
        </w:tc>
        <w:tc>
          <w:tcPr>
            <w:tcW w:w="417" w:type="dxa"/>
            <w:vAlign w:val="top"/>
          </w:tcPr>
          <w:p w14:paraId="4816F895">
            <w:pPr>
              <w:spacing w:before="143" w:line="276" w:lineRule="auto"/>
              <w:ind w:left="122"/>
              <w:rPr>
                <w:rFonts w:ascii="宋体" w:hAnsi="宋体" w:eastAsia="宋体" w:cs="宋体"/>
                <w:sz w:val="20"/>
                <w:szCs w:val="20"/>
              </w:rPr>
            </w:pPr>
            <w:r>
              <w:rPr>
                <w:rFonts w:ascii="宋体" w:hAnsi="宋体" w:eastAsia="宋体" w:cs="宋体"/>
                <w:spacing w:val="-7"/>
                <w:position w:val="1"/>
                <w:sz w:val="20"/>
                <w:szCs w:val="20"/>
              </w:rPr>
              <w:t>14</w:t>
            </w:r>
          </w:p>
        </w:tc>
        <w:tc>
          <w:tcPr>
            <w:tcW w:w="949" w:type="dxa"/>
            <w:vAlign w:val="top"/>
          </w:tcPr>
          <w:p w14:paraId="7F2067CB">
            <w:pPr>
              <w:spacing w:before="143" w:line="276" w:lineRule="auto"/>
              <w:ind w:left="130"/>
              <w:rPr>
                <w:rFonts w:ascii="宋体" w:hAnsi="宋体" w:eastAsia="宋体" w:cs="宋体"/>
                <w:sz w:val="20"/>
                <w:szCs w:val="20"/>
              </w:rPr>
            </w:pPr>
            <w:r>
              <w:rPr>
                <w:rFonts w:ascii="宋体" w:hAnsi="宋体" w:eastAsia="宋体" w:cs="宋体"/>
                <w:spacing w:val="1"/>
                <w:position w:val="1"/>
                <w:sz w:val="20"/>
                <w:szCs w:val="20"/>
              </w:rPr>
              <w:t>107.96%</w:t>
            </w:r>
          </w:p>
        </w:tc>
      </w:tr>
      <w:tr w14:paraId="3A2C8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trPr>
        <w:tc>
          <w:tcPr>
            <w:tcW w:w="6710" w:type="dxa"/>
            <w:vAlign w:val="top"/>
          </w:tcPr>
          <w:p w14:paraId="05CF09B4">
            <w:pPr>
              <w:spacing w:before="118" w:line="276" w:lineRule="auto"/>
              <w:ind w:left="111"/>
              <w:rPr>
                <w:rFonts w:ascii="宋体" w:hAnsi="宋体" w:eastAsia="宋体" w:cs="宋体"/>
                <w:sz w:val="20"/>
                <w:szCs w:val="20"/>
              </w:rPr>
            </w:pPr>
            <w:r>
              <w:rPr>
                <w:rFonts w:ascii="宋体" w:hAnsi="宋体" w:eastAsia="宋体" w:cs="宋体"/>
                <w:spacing w:val="7"/>
                <w:sz w:val="20"/>
                <w:szCs w:val="20"/>
              </w:rPr>
              <w:t>B.沿用国家标准原文。</w:t>
            </w:r>
          </w:p>
        </w:tc>
        <w:tc>
          <w:tcPr>
            <w:tcW w:w="635" w:type="dxa"/>
            <w:vAlign w:val="top"/>
          </w:tcPr>
          <w:p w14:paraId="38F1E57A">
            <w:pPr>
              <w:spacing w:before="118" w:line="276" w:lineRule="auto"/>
              <w:ind w:left="118"/>
              <w:rPr>
                <w:rFonts w:ascii="宋体" w:hAnsi="宋体" w:eastAsia="宋体" w:cs="宋体"/>
                <w:sz w:val="20"/>
                <w:szCs w:val="20"/>
              </w:rPr>
            </w:pPr>
            <w:r>
              <w:rPr>
                <w:rFonts w:ascii="宋体" w:hAnsi="宋体" w:eastAsia="宋体" w:cs="宋体"/>
                <w:spacing w:val="2"/>
                <w:sz w:val="20"/>
                <w:szCs w:val="20"/>
              </w:rPr>
              <w:t>0.53</w:t>
            </w:r>
          </w:p>
        </w:tc>
        <w:tc>
          <w:tcPr>
            <w:tcW w:w="858" w:type="dxa"/>
            <w:vAlign w:val="top"/>
          </w:tcPr>
          <w:p w14:paraId="05BF476D">
            <w:pPr>
              <w:spacing w:before="118" w:line="276" w:lineRule="auto"/>
              <w:ind w:left="117"/>
              <w:rPr>
                <w:rFonts w:ascii="宋体" w:hAnsi="宋体" w:eastAsia="宋体" w:cs="宋体"/>
                <w:sz w:val="20"/>
                <w:szCs w:val="20"/>
              </w:rPr>
            </w:pPr>
            <w:r>
              <w:rPr>
                <w:rFonts w:ascii="宋体" w:hAnsi="宋体" w:eastAsia="宋体" w:cs="宋体"/>
                <w:spacing w:val="3"/>
                <w:sz w:val="20"/>
                <w:szCs w:val="20"/>
              </w:rPr>
              <w:t>47.00%</w:t>
            </w:r>
          </w:p>
        </w:tc>
        <w:tc>
          <w:tcPr>
            <w:tcW w:w="417" w:type="dxa"/>
            <w:vAlign w:val="top"/>
          </w:tcPr>
          <w:p w14:paraId="189EFEF5">
            <w:pPr>
              <w:spacing w:before="118" w:line="276" w:lineRule="auto"/>
              <w:ind w:left="122"/>
              <w:rPr>
                <w:rFonts w:ascii="宋体" w:hAnsi="宋体" w:eastAsia="宋体" w:cs="宋体"/>
                <w:sz w:val="20"/>
                <w:szCs w:val="20"/>
              </w:rPr>
            </w:pPr>
            <w:r>
              <w:rPr>
                <w:rFonts w:ascii="宋体" w:hAnsi="宋体" w:eastAsia="宋体" w:cs="宋体"/>
                <w:spacing w:val="-7"/>
                <w:sz w:val="20"/>
                <w:szCs w:val="20"/>
              </w:rPr>
              <w:t>16</w:t>
            </w:r>
          </w:p>
        </w:tc>
        <w:tc>
          <w:tcPr>
            <w:tcW w:w="949" w:type="dxa"/>
            <w:vAlign w:val="top"/>
          </w:tcPr>
          <w:p w14:paraId="46BDF85C">
            <w:pPr>
              <w:spacing w:before="118" w:line="276" w:lineRule="auto"/>
              <w:ind w:left="115"/>
              <w:rPr>
                <w:rFonts w:ascii="宋体" w:hAnsi="宋体" w:eastAsia="宋体" w:cs="宋体"/>
                <w:sz w:val="20"/>
                <w:szCs w:val="20"/>
              </w:rPr>
            </w:pPr>
            <w:r>
              <w:rPr>
                <w:rFonts w:ascii="宋体" w:hAnsi="宋体" w:eastAsia="宋体" w:cs="宋体"/>
                <w:spacing w:val="3"/>
                <w:sz w:val="20"/>
                <w:szCs w:val="20"/>
              </w:rPr>
              <w:t>95.74%</w:t>
            </w:r>
          </w:p>
        </w:tc>
      </w:tr>
    </w:tbl>
    <w:p w14:paraId="4B3A6C6F">
      <w:pPr>
        <w:spacing w:before="143" w:line="276" w:lineRule="auto"/>
        <w:ind w:left="539"/>
        <w:rPr>
          <w:rFonts w:ascii="宋体" w:hAnsi="宋体" w:eastAsia="宋体" w:cs="宋体"/>
          <w:sz w:val="20"/>
          <w:szCs w:val="20"/>
        </w:rPr>
      </w:pPr>
      <w:r>
        <w:rPr>
          <w:rFonts w:ascii="宋体" w:hAnsi="宋体" w:eastAsia="宋体" w:cs="宋体"/>
          <w:b/>
          <w:bCs/>
          <w:spacing w:val="5"/>
          <w:sz w:val="20"/>
          <w:szCs w:val="20"/>
        </w:rPr>
        <w:t>2.2</w:t>
      </w:r>
      <w:r>
        <w:rPr>
          <w:rFonts w:ascii="宋体" w:hAnsi="宋体" w:eastAsia="宋体" w:cs="宋体"/>
          <w:spacing w:val="5"/>
          <w:sz w:val="20"/>
          <w:szCs w:val="20"/>
        </w:rPr>
        <w:t xml:space="preserve"> </w:t>
      </w:r>
      <w:r>
        <w:rPr>
          <w:rFonts w:ascii="宋体" w:hAnsi="宋体" w:eastAsia="宋体" w:cs="宋体"/>
          <w:b/>
          <w:bCs/>
          <w:spacing w:val="5"/>
          <w:sz w:val="20"/>
          <w:szCs w:val="20"/>
        </w:rPr>
        <w:t>罐具型号选择</w:t>
      </w:r>
    </w:p>
    <w:p w14:paraId="50987D05">
      <w:pPr>
        <w:spacing w:before="151" w:line="276" w:lineRule="auto"/>
        <w:ind w:left="3718"/>
        <w:rPr>
          <w:rFonts w:ascii="宋体" w:hAnsi="宋体" w:eastAsia="宋体" w:cs="宋体"/>
          <w:sz w:val="20"/>
          <w:szCs w:val="20"/>
        </w:rPr>
      </w:pPr>
      <w:r>
        <w:rPr>
          <w:rFonts w:ascii="宋体" w:hAnsi="宋体" w:eastAsia="宋体" w:cs="宋体"/>
          <w:spacing w:val="7"/>
          <w:sz w:val="20"/>
          <w:szCs w:val="20"/>
        </w:rPr>
        <w:t>表 9</w:t>
      </w:r>
      <w:r>
        <w:rPr>
          <w:rFonts w:ascii="宋体" w:hAnsi="宋体" w:eastAsia="宋体" w:cs="宋体"/>
          <w:spacing w:val="24"/>
          <w:sz w:val="20"/>
          <w:szCs w:val="20"/>
        </w:rPr>
        <w:t xml:space="preserve"> </w:t>
      </w:r>
      <w:r>
        <w:rPr>
          <w:rFonts w:ascii="宋体" w:hAnsi="宋体" w:eastAsia="宋体" w:cs="宋体"/>
          <w:spacing w:val="7"/>
          <w:sz w:val="20"/>
          <w:szCs w:val="20"/>
        </w:rPr>
        <w:t>罐具型号选择调查结果</w:t>
      </w:r>
    </w:p>
    <w:p w14:paraId="5F45701D">
      <w:pPr>
        <w:spacing w:line="276" w:lineRule="auto"/>
        <w:rPr>
          <w:rFonts w:ascii="Arial"/>
          <w:sz w:val="2"/>
        </w:rPr>
      </w:pPr>
    </w:p>
    <w:tbl>
      <w:tblPr>
        <w:tblStyle w:val="9"/>
        <w:tblW w:w="95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711"/>
        <w:gridCol w:w="635"/>
        <w:gridCol w:w="849"/>
        <w:gridCol w:w="423"/>
        <w:gridCol w:w="952"/>
      </w:tblGrid>
      <w:tr w14:paraId="33428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rPr>
        <w:tc>
          <w:tcPr>
            <w:tcW w:w="6711" w:type="dxa"/>
            <w:vAlign w:val="top"/>
          </w:tcPr>
          <w:p w14:paraId="37855BE9">
            <w:pPr>
              <w:spacing w:before="144" w:line="276" w:lineRule="auto"/>
              <w:ind w:left="3151"/>
              <w:rPr>
                <w:rFonts w:ascii="宋体" w:hAnsi="宋体" w:eastAsia="宋体" w:cs="宋体"/>
                <w:sz w:val="20"/>
                <w:szCs w:val="20"/>
              </w:rPr>
            </w:pPr>
            <w:r>
              <w:rPr>
                <w:rFonts w:ascii="宋体" w:hAnsi="宋体" w:eastAsia="宋体" w:cs="宋体"/>
                <w:spacing w:val="5"/>
                <w:sz w:val="20"/>
                <w:szCs w:val="20"/>
              </w:rPr>
              <w:t>选项</w:t>
            </w:r>
          </w:p>
        </w:tc>
        <w:tc>
          <w:tcPr>
            <w:tcW w:w="635" w:type="dxa"/>
            <w:vAlign w:val="top"/>
          </w:tcPr>
          <w:p w14:paraId="41AD5AD7">
            <w:pPr>
              <w:spacing w:before="208" w:line="276" w:lineRule="auto"/>
              <w:ind w:left="247"/>
              <w:rPr>
                <w:rFonts w:ascii="Times New Roman" w:hAnsi="Times New Roman" w:eastAsia="Times New Roman" w:cs="Times New Roman"/>
                <w:sz w:val="25"/>
                <w:szCs w:val="25"/>
              </w:rPr>
            </w:pPr>
            <w:r>
              <w:rPr>
                <w:rFonts w:ascii="Times New Roman" w:hAnsi="Times New Roman" w:eastAsia="Times New Roman" w:cs="Times New Roman"/>
                <w:i/>
                <w:iCs/>
                <w:spacing w:val="9"/>
                <w:sz w:val="25"/>
                <w:szCs w:val="25"/>
              </w:rPr>
              <w:t>x</w:t>
            </w:r>
          </w:p>
        </w:tc>
        <w:tc>
          <w:tcPr>
            <w:tcW w:w="849" w:type="dxa"/>
            <w:vAlign w:val="top"/>
          </w:tcPr>
          <w:p w14:paraId="7534A8A0">
            <w:pPr>
              <w:spacing w:before="179" w:line="276" w:lineRule="auto"/>
              <w:ind w:left="376"/>
              <w:rPr>
                <w:rFonts w:ascii="宋体" w:hAnsi="宋体" w:eastAsia="宋体" w:cs="宋体"/>
                <w:sz w:val="20"/>
                <w:szCs w:val="20"/>
              </w:rPr>
            </w:pPr>
            <w:r>
              <w:rPr>
                <w:rFonts w:ascii="宋体" w:hAnsi="宋体" w:eastAsia="宋体" w:cs="宋体"/>
                <w:sz w:val="20"/>
                <w:szCs w:val="20"/>
              </w:rPr>
              <w:t>R</w:t>
            </w:r>
          </w:p>
        </w:tc>
        <w:tc>
          <w:tcPr>
            <w:tcW w:w="423" w:type="dxa"/>
            <w:vAlign w:val="top"/>
          </w:tcPr>
          <w:p w14:paraId="4D61087C">
            <w:pPr>
              <w:spacing w:before="177" w:line="276" w:lineRule="auto"/>
              <w:ind w:left="166"/>
              <w:rPr>
                <w:rFonts w:ascii="宋体" w:hAnsi="宋体" w:eastAsia="宋体" w:cs="宋体"/>
                <w:sz w:val="20"/>
                <w:szCs w:val="20"/>
              </w:rPr>
            </w:pPr>
            <w:r>
              <w:rPr>
                <w:rFonts w:ascii="宋体" w:hAnsi="宋体" w:eastAsia="宋体" w:cs="宋体"/>
                <w:sz w:val="20"/>
                <w:szCs w:val="20"/>
              </w:rPr>
              <w:t>S</w:t>
            </w:r>
          </w:p>
        </w:tc>
        <w:tc>
          <w:tcPr>
            <w:tcW w:w="952" w:type="dxa"/>
            <w:vAlign w:val="top"/>
          </w:tcPr>
          <w:p w14:paraId="0F7E2CE1">
            <w:pPr>
              <w:spacing w:before="177" w:line="276" w:lineRule="auto"/>
              <w:ind w:left="376"/>
              <w:rPr>
                <w:rFonts w:ascii="宋体" w:hAnsi="宋体" w:eastAsia="宋体" w:cs="宋体"/>
                <w:sz w:val="20"/>
                <w:szCs w:val="20"/>
              </w:rPr>
            </w:pPr>
            <w:r>
              <w:rPr>
                <w:rFonts w:ascii="宋体" w:hAnsi="宋体" w:eastAsia="宋体" w:cs="宋体"/>
                <w:spacing w:val="1"/>
                <w:sz w:val="20"/>
                <w:szCs w:val="20"/>
              </w:rPr>
              <w:t>CV</w:t>
            </w:r>
          </w:p>
        </w:tc>
      </w:tr>
      <w:tr w14:paraId="117CF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38" w:hRule="atLeast"/>
        </w:trPr>
        <w:tc>
          <w:tcPr>
            <w:tcW w:w="6711" w:type="dxa"/>
            <w:vAlign w:val="top"/>
          </w:tcPr>
          <w:p w14:paraId="66CA5D50">
            <w:pPr>
              <w:spacing w:before="145" w:line="276" w:lineRule="auto"/>
              <w:ind w:left="115" w:right="109" w:hanging="5"/>
              <w:jc w:val="both"/>
              <w:rPr>
                <w:rFonts w:ascii="宋体" w:hAnsi="宋体" w:eastAsia="宋体" w:cs="宋体"/>
                <w:sz w:val="20"/>
                <w:szCs w:val="20"/>
              </w:rPr>
            </w:pPr>
            <w:r>
              <w:rPr>
                <w:rFonts w:ascii="宋体" w:hAnsi="宋体" w:eastAsia="宋体" w:cs="宋体"/>
                <w:spacing w:val="9"/>
                <w:sz w:val="20"/>
                <w:szCs w:val="20"/>
              </w:rPr>
              <w:t>A. 依据患儿年龄或身高体重选择罐器，学龄前以</w:t>
            </w:r>
            <w:r>
              <w:rPr>
                <w:rFonts w:ascii="宋体" w:hAnsi="宋体" w:eastAsia="宋体" w:cs="宋体"/>
                <w:spacing w:val="-34"/>
                <w:sz w:val="20"/>
                <w:szCs w:val="20"/>
              </w:rPr>
              <w:t xml:space="preserve"> </w:t>
            </w:r>
            <w:r>
              <w:rPr>
                <w:rFonts w:ascii="Times New Roman" w:hAnsi="Times New Roman" w:eastAsia="Times New Roman" w:cs="Times New Roman"/>
                <w:spacing w:val="8"/>
                <w:sz w:val="20"/>
                <w:szCs w:val="20"/>
              </w:rPr>
              <w:t>5</w:t>
            </w:r>
            <w:r>
              <w:rPr>
                <w:rFonts w:ascii="Times New Roman" w:hAnsi="Times New Roman" w:eastAsia="Times New Roman" w:cs="Times New Roman"/>
                <w:spacing w:val="17"/>
                <w:sz w:val="20"/>
                <w:szCs w:val="20"/>
              </w:rPr>
              <w:t xml:space="preserve"> </w:t>
            </w:r>
            <w:r>
              <w:rPr>
                <w:rFonts w:ascii="宋体" w:hAnsi="宋体" w:eastAsia="宋体" w:cs="宋体"/>
                <w:spacing w:val="8"/>
                <w:sz w:val="20"/>
                <w:szCs w:val="20"/>
              </w:rPr>
              <w:t>号罐为主，</w:t>
            </w:r>
            <w:r>
              <w:rPr>
                <w:rFonts w:ascii="Times New Roman" w:hAnsi="Times New Roman" w:eastAsia="Times New Roman" w:cs="Times New Roman"/>
                <w:spacing w:val="8"/>
                <w:sz w:val="20"/>
                <w:szCs w:val="20"/>
              </w:rPr>
              <w:t>12</w:t>
            </w:r>
            <w:r>
              <w:rPr>
                <w:rFonts w:ascii="Times New Roman" w:hAnsi="Times New Roman" w:eastAsia="Times New Roman" w:cs="Times New Roman"/>
                <w:spacing w:val="19"/>
                <w:w w:val="101"/>
                <w:sz w:val="20"/>
                <w:szCs w:val="20"/>
              </w:rPr>
              <w:t xml:space="preserve"> </w:t>
            </w:r>
            <w:r>
              <w:rPr>
                <w:rFonts w:ascii="宋体" w:hAnsi="宋体" w:eastAsia="宋体" w:cs="宋体"/>
                <w:spacing w:val="8"/>
                <w:sz w:val="20"/>
                <w:szCs w:val="20"/>
              </w:rPr>
              <w:t>岁之前以</w:t>
            </w:r>
            <w:r>
              <w:rPr>
                <w:rFonts w:ascii="宋体" w:hAnsi="宋体" w:eastAsia="宋体" w:cs="宋体"/>
                <w:spacing w:val="-36"/>
                <w:sz w:val="20"/>
                <w:szCs w:val="20"/>
              </w:rPr>
              <w:t xml:space="preserve"> </w:t>
            </w:r>
            <w:r>
              <w:rPr>
                <w:rFonts w:ascii="Times New Roman" w:hAnsi="Times New Roman" w:eastAsia="Times New Roman" w:cs="Times New Roman"/>
                <w:spacing w:val="8"/>
                <w:sz w:val="20"/>
                <w:szCs w:val="20"/>
              </w:rPr>
              <w:t>4</w:t>
            </w:r>
            <w:r>
              <w:rPr>
                <w:rFonts w:ascii="Times New Roman" w:hAnsi="Times New Roman" w:eastAsia="Times New Roman" w:cs="Times New Roman"/>
                <w:spacing w:val="22"/>
                <w:sz w:val="20"/>
                <w:szCs w:val="20"/>
              </w:rPr>
              <w:t xml:space="preserve"> </w:t>
            </w:r>
            <w:r>
              <w:rPr>
                <w:rFonts w:ascii="宋体" w:hAnsi="宋体" w:eastAsia="宋体" w:cs="宋体"/>
                <w:spacing w:val="8"/>
                <w:sz w:val="20"/>
                <w:szCs w:val="20"/>
              </w:rPr>
              <w:t>号罐为主（</w:t>
            </w:r>
            <w:r>
              <w:rPr>
                <w:rFonts w:ascii="Times New Roman" w:hAnsi="Times New Roman" w:eastAsia="Times New Roman" w:cs="Times New Roman"/>
                <w:spacing w:val="8"/>
                <w:sz w:val="20"/>
                <w:szCs w:val="20"/>
              </w:rPr>
              <w:t>5</w:t>
            </w:r>
            <w:r>
              <w:rPr>
                <w:rFonts w:ascii="Times New Roman" w:hAnsi="Times New Roman" w:eastAsia="Times New Roman" w:cs="Times New Roman"/>
                <w:spacing w:val="22"/>
                <w:sz w:val="20"/>
                <w:szCs w:val="20"/>
              </w:rPr>
              <w:t xml:space="preserve"> </w:t>
            </w:r>
            <w:r>
              <w:rPr>
                <w:rFonts w:ascii="宋体" w:hAnsi="宋体" w:eastAsia="宋体" w:cs="宋体"/>
                <w:spacing w:val="8"/>
                <w:sz w:val="20"/>
                <w:szCs w:val="20"/>
              </w:rPr>
              <w:t>号罐内容积</w:t>
            </w:r>
            <w:r>
              <w:rPr>
                <w:rFonts w:ascii="宋体" w:hAnsi="宋体" w:eastAsia="宋体" w:cs="宋体"/>
                <w:spacing w:val="-32"/>
                <w:sz w:val="20"/>
                <w:szCs w:val="20"/>
              </w:rPr>
              <w:t xml:space="preserve"> </w:t>
            </w:r>
            <w:r>
              <w:rPr>
                <w:rFonts w:ascii="Times New Roman" w:hAnsi="Times New Roman" w:eastAsia="Times New Roman" w:cs="Times New Roman"/>
                <w:spacing w:val="8"/>
                <w:sz w:val="20"/>
                <w:szCs w:val="20"/>
              </w:rPr>
              <w:t>95</w:t>
            </w:r>
            <w:r>
              <w:rPr>
                <w:rFonts w:ascii="宋体" w:hAnsi="宋体" w:eastAsia="宋体" w:cs="宋体"/>
                <w:spacing w:val="8"/>
                <w:sz w:val="20"/>
                <w:szCs w:val="20"/>
              </w:rPr>
              <w:t>±</w:t>
            </w:r>
            <w:r>
              <w:rPr>
                <w:rFonts w:ascii="Times New Roman" w:hAnsi="Times New Roman" w:eastAsia="Times New Roman" w:cs="Times New Roman"/>
                <w:spacing w:val="8"/>
                <w:sz w:val="20"/>
                <w:szCs w:val="20"/>
              </w:rPr>
              <w:t>4.8</w:t>
            </w:r>
            <w:r>
              <w:rPr>
                <w:rFonts w:ascii="Times New Roman" w:hAnsi="Times New Roman" w:eastAsia="Times New Roman" w:cs="Times New Roman"/>
                <w:spacing w:val="17"/>
                <w:sz w:val="20"/>
                <w:szCs w:val="20"/>
              </w:rPr>
              <w:t xml:space="preserve"> </w:t>
            </w:r>
            <w:r>
              <w:rPr>
                <w:rFonts w:ascii="宋体" w:hAnsi="宋体" w:eastAsia="宋体" w:cs="宋体"/>
                <w:spacing w:val="8"/>
                <w:sz w:val="20"/>
                <w:szCs w:val="20"/>
              </w:rPr>
              <w:t>毫升，</w:t>
            </w:r>
            <w:r>
              <w:rPr>
                <w:rFonts w:ascii="Times New Roman" w:hAnsi="Times New Roman" w:eastAsia="Times New Roman" w:cs="Times New Roman"/>
                <w:spacing w:val="8"/>
                <w:sz w:val="20"/>
                <w:szCs w:val="20"/>
              </w:rPr>
              <w:t>4</w:t>
            </w:r>
            <w:r>
              <w:rPr>
                <w:rFonts w:ascii="Times New Roman" w:hAnsi="Times New Roman" w:eastAsia="Times New Roman" w:cs="Times New Roman"/>
                <w:spacing w:val="22"/>
                <w:sz w:val="20"/>
                <w:szCs w:val="20"/>
              </w:rPr>
              <w:t xml:space="preserve"> </w:t>
            </w:r>
            <w:r>
              <w:rPr>
                <w:rFonts w:ascii="宋体" w:hAnsi="宋体" w:eastAsia="宋体" w:cs="宋体"/>
                <w:spacing w:val="8"/>
                <w:sz w:val="20"/>
                <w:szCs w:val="20"/>
              </w:rPr>
              <w:t>号罐内容积</w:t>
            </w:r>
            <w:r>
              <w:rPr>
                <w:rFonts w:ascii="宋体" w:hAnsi="宋体" w:eastAsia="宋体" w:cs="宋体"/>
                <w:spacing w:val="-18"/>
                <w:sz w:val="20"/>
                <w:szCs w:val="20"/>
              </w:rPr>
              <w:t xml:space="preserve"> </w:t>
            </w:r>
            <w:r>
              <w:rPr>
                <w:rFonts w:ascii="Times New Roman" w:hAnsi="Times New Roman" w:eastAsia="Times New Roman" w:cs="Times New Roman"/>
                <w:spacing w:val="8"/>
                <w:sz w:val="20"/>
                <w:szCs w:val="20"/>
              </w:rPr>
              <w:t>130</w:t>
            </w:r>
            <w:r>
              <w:rPr>
                <w:rFonts w:ascii="宋体" w:hAnsi="宋体" w:eastAsia="宋体" w:cs="宋体"/>
                <w:spacing w:val="8"/>
                <w:sz w:val="20"/>
                <w:szCs w:val="20"/>
              </w:rPr>
              <w:t>±</w:t>
            </w:r>
            <w:r>
              <w:rPr>
                <w:rFonts w:ascii="Times New Roman" w:hAnsi="Times New Roman" w:eastAsia="Times New Roman" w:cs="Times New Roman"/>
                <w:spacing w:val="8"/>
                <w:sz w:val="20"/>
                <w:szCs w:val="20"/>
              </w:rPr>
              <w:t>6.5</w:t>
            </w:r>
            <w:r>
              <w:rPr>
                <w:rFonts w:ascii="宋体" w:hAnsi="宋体" w:eastAsia="宋体" w:cs="宋体"/>
                <w:spacing w:val="11"/>
                <w:sz w:val="20"/>
                <w:szCs w:val="20"/>
              </w:rPr>
              <w:t>毫升</w:t>
            </w:r>
            <w:r>
              <w:rPr>
                <w:rFonts w:ascii="宋体" w:hAnsi="宋体" w:eastAsia="宋体" w:cs="宋体"/>
                <w:spacing w:val="-38"/>
                <w:sz w:val="20"/>
                <w:szCs w:val="20"/>
              </w:rPr>
              <w:t xml:space="preserve"> </w:t>
            </w:r>
            <w:r>
              <w:rPr>
                <w:rFonts w:ascii="宋体" w:hAnsi="宋体" w:eastAsia="宋体" w:cs="宋体"/>
                <w:spacing w:val="11"/>
                <w:sz w:val="20"/>
                <w:szCs w:val="20"/>
              </w:rPr>
              <w:t>，</w:t>
            </w:r>
            <w:r>
              <w:rPr>
                <w:rFonts w:ascii="宋体" w:hAnsi="宋体" w:eastAsia="宋体" w:cs="宋体"/>
                <w:spacing w:val="-39"/>
                <w:sz w:val="20"/>
                <w:szCs w:val="20"/>
              </w:rPr>
              <w:t xml:space="preserve"> </w:t>
            </w:r>
            <w:r>
              <w:rPr>
                <w:rFonts w:ascii="宋体" w:hAnsi="宋体" w:eastAsia="宋体" w:cs="宋体"/>
                <w:spacing w:val="11"/>
                <w:sz w:val="20"/>
                <w:szCs w:val="20"/>
              </w:rPr>
              <w:t>出处</w:t>
            </w:r>
            <w:r>
              <w:rPr>
                <w:rFonts w:ascii="宋体" w:hAnsi="宋体" w:eastAsia="宋体" w:cs="宋体"/>
                <w:spacing w:val="-16"/>
                <w:sz w:val="20"/>
                <w:szCs w:val="20"/>
              </w:rPr>
              <w:t xml:space="preserve"> </w:t>
            </w:r>
            <w:r>
              <w:rPr>
                <w:rFonts w:ascii="Times New Roman" w:hAnsi="Times New Roman" w:eastAsia="Times New Roman" w:cs="Times New Roman"/>
                <w:sz w:val="20"/>
                <w:szCs w:val="20"/>
              </w:rPr>
              <w:t>ISO</w:t>
            </w:r>
            <w:r>
              <w:rPr>
                <w:rFonts w:ascii="Times New Roman" w:hAnsi="Times New Roman" w:eastAsia="Times New Roman" w:cs="Times New Roman"/>
                <w:spacing w:val="11"/>
                <w:sz w:val="20"/>
                <w:szCs w:val="20"/>
              </w:rPr>
              <w:t>—22213:2020(E)</w:t>
            </w:r>
            <w:r>
              <w:rPr>
                <w:rFonts w:ascii="Times New Roman" w:hAnsi="Times New Roman" w:eastAsia="Times New Roman" w:cs="Times New Roman"/>
                <w:spacing w:val="33"/>
                <w:w w:val="101"/>
                <w:sz w:val="20"/>
                <w:szCs w:val="20"/>
              </w:rPr>
              <w:t xml:space="preserve"> </w:t>
            </w:r>
            <w:r>
              <w:rPr>
                <w:rFonts w:ascii="Times New Roman" w:hAnsi="Times New Roman" w:eastAsia="Times New Roman" w:cs="Times New Roman"/>
                <w:sz w:val="20"/>
                <w:szCs w:val="20"/>
              </w:rPr>
              <w:t>Traditional</w:t>
            </w:r>
            <w:r>
              <w:rPr>
                <w:rFonts w:ascii="Times New Roman" w:hAnsi="Times New Roman" w:eastAsia="Times New Roman" w:cs="Times New Roman"/>
                <w:spacing w:val="34"/>
                <w:w w:val="101"/>
                <w:sz w:val="20"/>
                <w:szCs w:val="20"/>
              </w:rPr>
              <w:t xml:space="preserve"> </w:t>
            </w:r>
            <w:r>
              <w:rPr>
                <w:rFonts w:ascii="Times New Roman" w:hAnsi="Times New Roman" w:eastAsia="Times New Roman" w:cs="Times New Roman"/>
                <w:sz w:val="20"/>
                <w:szCs w:val="20"/>
              </w:rPr>
              <w:t>Chinese</w:t>
            </w:r>
            <w:r>
              <w:rPr>
                <w:rFonts w:ascii="Times New Roman" w:hAnsi="Times New Roman" w:eastAsia="Times New Roman" w:cs="Times New Roman"/>
                <w:spacing w:val="31"/>
                <w:w w:val="101"/>
                <w:sz w:val="20"/>
                <w:szCs w:val="20"/>
              </w:rPr>
              <w:t xml:space="preserve"> </w:t>
            </w:r>
            <w:r>
              <w:rPr>
                <w:rFonts w:ascii="Times New Roman" w:hAnsi="Times New Roman" w:eastAsia="Times New Roman" w:cs="Times New Roman"/>
                <w:sz w:val="20"/>
                <w:szCs w:val="20"/>
              </w:rPr>
              <w:t>medicine</w:t>
            </w:r>
            <w:r>
              <w:rPr>
                <w:rFonts w:ascii="Times New Roman" w:hAnsi="Times New Roman" w:eastAsia="Times New Roman" w:cs="Times New Roman"/>
                <w:spacing w:val="29"/>
                <w:sz w:val="20"/>
                <w:szCs w:val="20"/>
              </w:rPr>
              <w:t xml:space="preserve"> </w:t>
            </w:r>
            <w:r>
              <w:rPr>
                <w:rFonts w:ascii="Times New Roman" w:hAnsi="Times New Roman" w:eastAsia="Times New Roman" w:cs="Times New Roman"/>
                <w:spacing w:val="11"/>
                <w:sz w:val="20"/>
                <w:szCs w:val="20"/>
              </w:rPr>
              <w:t>—</w:t>
            </w:r>
            <w:r>
              <w:rPr>
                <w:rFonts w:ascii="Times New Roman" w:hAnsi="Times New Roman" w:eastAsia="Times New Roman" w:cs="Times New Roman"/>
                <w:spacing w:val="34"/>
                <w:w w:val="101"/>
                <w:sz w:val="20"/>
                <w:szCs w:val="20"/>
              </w:rPr>
              <w:t xml:space="preserve"> </w:t>
            </w:r>
            <w:r>
              <w:rPr>
                <w:rFonts w:ascii="Times New Roman" w:hAnsi="Times New Roman" w:eastAsia="Times New Roman" w:cs="Times New Roman"/>
                <w:sz w:val="20"/>
                <w:szCs w:val="20"/>
              </w:rPr>
              <w:t>Glass cupping</w:t>
            </w:r>
            <w:r>
              <w:rPr>
                <w:rFonts w:ascii="Times New Roman" w:hAnsi="Times New Roman" w:eastAsia="Times New Roman" w:cs="Times New Roman"/>
                <w:spacing w:val="7"/>
                <w:sz w:val="20"/>
                <w:szCs w:val="20"/>
              </w:rPr>
              <w:t xml:space="preserve"> </w:t>
            </w:r>
            <w:r>
              <w:rPr>
                <w:rFonts w:ascii="Times New Roman" w:hAnsi="Times New Roman" w:eastAsia="Times New Roman" w:cs="Times New Roman"/>
                <w:sz w:val="20"/>
                <w:szCs w:val="20"/>
              </w:rPr>
              <w:t>device</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和《</w:t>
            </w:r>
            <w:r>
              <w:rPr>
                <w:rFonts w:ascii="Times New Roman" w:hAnsi="Times New Roman" w:eastAsia="Times New Roman" w:cs="Times New Roman"/>
                <w:sz w:val="20"/>
                <w:szCs w:val="20"/>
              </w:rPr>
              <w:t>YY</w:t>
            </w:r>
            <w:r>
              <w:rPr>
                <w:rFonts w:ascii="Times New Roman" w:hAnsi="Times New Roman" w:eastAsia="Times New Roman" w:cs="Times New Roman"/>
                <w:spacing w:val="7"/>
                <w:sz w:val="20"/>
                <w:szCs w:val="20"/>
              </w:rPr>
              <w:t>/T</w:t>
            </w:r>
            <w:r>
              <w:rPr>
                <w:rFonts w:ascii="Times New Roman" w:hAnsi="Times New Roman" w:eastAsia="Times New Roman" w:cs="Times New Roman"/>
                <w:spacing w:val="24"/>
                <w:w w:val="101"/>
                <w:sz w:val="20"/>
                <w:szCs w:val="20"/>
              </w:rPr>
              <w:t xml:space="preserve"> </w:t>
            </w:r>
            <w:r>
              <w:rPr>
                <w:rFonts w:ascii="Times New Roman" w:hAnsi="Times New Roman" w:eastAsia="Times New Roman" w:cs="Times New Roman"/>
                <w:spacing w:val="7"/>
                <w:sz w:val="20"/>
                <w:szCs w:val="20"/>
              </w:rPr>
              <w:t>1976-2025</w:t>
            </w:r>
            <w:r>
              <w:rPr>
                <w:rFonts w:ascii="Times New Roman" w:hAnsi="Times New Roman" w:eastAsia="Times New Roman" w:cs="Times New Roman"/>
                <w:spacing w:val="16"/>
                <w:sz w:val="20"/>
                <w:szCs w:val="20"/>
              </w:rPr>
              <w:t xml:space="preserve">  </w:t>
            </w:r>
            <w:r>
              <w:rPr>
                <w:rFonts w:ascii="宋体" w:hAnsi="宋体" w:eastAsia="宋体" w:cs="宋体"/>
                <w:spacing w:val="7"/>
                <w:sz w:val="20"/>
                <w:szCs w:val="20"/>
              </w:rPr>
              <w:t>中医器械 玻璃</w:t>
            </w:r>
            <w:r>
              <w:rPr>
                <w:rFonts w:ascii="宋体" w:hAnsi="宋体" w:eastAsia="宋体" w:cs="宋体"/>
                <w:spacing w:val="6"/>
                <w:sz w:val="20"/>
                <w:szCs w:val="20"/>
              </w:rPr>
              <w:t>拔罐器》）</w:t>
            </w:r>
          </w:p>
        </w:tc>
        <w:tc>
          <w:tcPr>
            <w:tcW w:w="635" w:type="dxa"/>
            <w:vAlign w:val="top"/>
          </w:tcPr>
          <w:p w14:paraId="48A3DEC4">
            <w:pPr>
              <w:spacing w:before="144" w:line="276" w:lineRule="auto"/>
              <w:ind w:left="117"/>
              <w:rPr>
                <w:rFonts w:ascii="宋体" w:hAnsi="宋体" w:eastAsia="宋体" w:cs="宋体"/>
                <w:sz w:val="20"/>
                <w:szCs w:val="20"/>
              </w:rPr>
            </w:pPr>
            <w:r>
              <w:rPr>
                <w:rFonts w:ascii="宋体" w:hAnsi="宋体" w:eastAsia="宋体" w:cs="宋体"/>
                <w:spacing w:val="2"/>
                <w:position w:val="1"/>
                <w:sz w:val="20"/>
                <w:szCs w:val="20"/>
              </w:rPr>
              <w:t>0.77</w:t>
            </w:r>
          </w:p>
        </w:tc>
        <w:tc>
          <w:tcPr>
            <w:tcW w:w="849" w:type="dxa"/>
            <w:vAlign w:val="top"/>
          </w:tcPr>
          <w:p w14:paraId="79B3EA93">
            <w:pPr>
              <w:spacing w:before="144" w:line="276" w:lineRule="auto"/>
              <w:ind w:left="119"/>
              <w:rPr>
                <w:rFonts w:ascii="宋体" w:hAnsi="宋体" w:eastAsia="宋体" w:cs="宋体"/>
                <w:sz w:val="20"/>
                <w:szCs w:val="20"/>
              </w:rPr>
            </w:pPr>
            <w:r>
              <w:rPr>
                <w:rFonts w:ascii="宋体" w:hAnsi="宋体" w:eastAsia="宋体" w:cs="宋体"/>
                <w:spacing w:val="3"/>
                <w:position w:val="1"/>
                <w:sz w:val="20"/>
                <w:szCs w:val="20"/>
              </w:rPr>
              <w:t>23.00%</w:t>
            </w:r>
          </w:p>
        </w:tc>
        <w:tc>
          <w:tcPr>
            <w:tcW w:w="423" w:type="dxa"/>
            <w:vAlign w:val="top"/>
          </w:tcPr>
          <w:p w14:paraId="29DEC57D">
            <w:pPr>
              <w:spacing w:before="144" w:line="276" w:lineRule="auto"/>
              <w:ind w:left="117"/>
              <w:rPr>
                <w:rFonts w:ascii="宋体" w:hAnsi="宋体" w:eastAsia="宋体" w:cs="宋体"/>
                <w:sz w:val="20"/>
                <w:szCs w:val="20"/>
              </w:rPr>
            </w:pPr>
            <w:r>
              <w:rPr>
                <w:rFonts w:ascii="宋体" w:hAnsi="宋体" w:eastAsia="宋体" w:cs="宋体"/>
                <w:spacing w:val="-1"/>
                <w:position w:val="1"/>
                <w:sz w:val="20"/>
                <w:szCs w:val="20"/>
              </w:rPr>
              <w:t>23</w:t>
            </w:r>
          </w:p>
        </w:tc>
        <w:tc>
          <w:tcPr>
            <w:tcW w:w="952" w:type="dxa"/>
            <w:vAlign w:val="top"/>
          </w:tcPr>
          <w:p w14:paraId="59FD1150">
            <w:pPr>
              <w:spacing w:before="144" w:line="276" w:lineRule="auto"/>
              <w:ind w:left="121"/>
              <w:rPr>
                <w:rFonts w:ascii="宋体" w:hAnsi="宋体" w:eastAsia="宋体" w:cs="宋体"/>
                <w:sz w:val="20"/>
                <w:szCs w:val="20"/>
              </w:rPr>
            </w:pPr>
            <w:r>
              <w:rPr>
                <w:rFonts w:ascii="宋体" w:hAnsi="宋体" w:eastAsia="宋体" w:cs="宋体"/>
                <w:spacing w:val="2"/>
                <w:position w:val="1"/>
                <w:sz w:val="20"/>
                <w:szCs w:val="20"/>
              </w:rPr>
              <w:t>55.87%</w:t>
            </w:r>
          </w:p>
        </w:tc>
      </w:tr>
      <w:tr w14:paraId="6397C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0" w:hRule="atLeast"/>
        </w:trPr>
        <w:tc>
          <w:tcPr>
            <w:tcW w:w="6711" w:type="dxa"/>
            <w:vAlign w:val="top"/>
          </w:tcPr>
          <w:p w14:paraId="4D8BE540">
            <w:pPr>
              <w:spacing w:before="108" w:line="276" w:lineRule="auto"/>
              <w:ind w:left="111"/>
              <w:rPr>
                <w:rFonts w:ascii="宋体" w:hAnsi="宋体" w:eastAsia="宋体" w:cs="宋体"/>
                <w:sz w:val="20"/>
                <w:szCs w:val="20"/>
              </w:rPr>
            </w:pPr>
            <w:r>
              <w:rPr>
                <w:rFonts w:ascii="宋体" w:hAnsi="宋体" w:eastAsia="宋体" w:cs="宋体"/>
                <w:spacing w:val="7"/>
                <w:sz w:val="20"/>
                <w:szCs w:val="20"/>
              </w:rPr>
              <w:t>B. 沿用国家标准原文。</w:t>
            </w:r>
          </w:p>
        </w:tc>
        <w:tc>
          <w:tcPr>
            <w:tcW w:w="635" w:type="dxa"/>
            <w:vAlign w:val="top"/>
          </w:tcPr>
          <w:p w14:paraId="11FA3CAA">
            <w:pPr>
              <w:spacing w:before="107" w:line="276" w:lineRule="auto"/>
              <w:ind w:left="117"/>
              <w:rPr>
                <w:rFonts w:ascii="宋体" w:hAnsi="宋体" w:eastAsia="宋体" w:cs="宋体"/>
                <w:sz w:val="20"/>
                <w:szCs w:val="20"/>
              </w:rPr>
            </w:pPr>
            <w:r>
              <w:rPr>
                <w:rFonts w:ascii="宋体" w:hAnsi="宋体" w:eastAsia="宋体" w:cs="宋体"/>
                <w:spacing w:val="2"/>
                <w:sz w:val="20"/>
                <w:szCs w:val="20"/>
              </w:rPr>
              <w:t>0.13</w:t>
            </w:r>
          </w:p>
        </w:tc>
        <w:tc>
          <w:tcPr>
            <w:tcW w:w="849" w:type="dxa"/>
            <w:vAlign w:val="top"/>
          </w:tcPr>
          <w:p w14:paraId="701031B4">
            <w:pPr>
              <w:spacing w:before="107" w:line="276" w:lineRule="auto"/>
              <w:ind w:left="117"/>
              <w:rPr>
                <w:rFonts w:ascii="宋体" w:hAnsi="宋体" w:eastAsia="宋体" w:cs="宋体"/>
                <w:sz w:val="20"/>
                <w:szCs w:val="20"/>
              </w:rPr>
            </w:pPr>
            <w:r>
              <w:rPr>
                <w:rFonts w:ascii="宋体" w:hAnsi="宋体" w:eastAsia="宋体" w:cs="宋体"/>
                <w:spacing w:val="3"/>
                <w:sz w:val="20"/>
                <w:szCs w:val="20"/>
              </w:rPr>
              <w:t>87.00%</w:t>
            </w:r>
          </w:p>
        </w:tc>
        <w:tc>
          <w:tcPr>
            <w:tcW w:w="423" w:type="dxa"/>
            <w:vAlign w:val="top"/>
          </w:tcPr>
          <w:p w14:paraId="7484DEC2">
            <w:pPr>
              <w:spacing w:before="107" w:line="276" w:lineRule="auto"/>
              <w:ind w:left="114"/>
              <w:rPr>
                <w:rFonts w:ascii="宋体" w:hAnsi="宋体" w:eastAsia="宋体" w:cs="宋体"/>
                <w:sz w:val="20"/>
                <w:szCs w:val="20"/>
              </w:rPr>
            </w:pPr>
            <w:r>
              <w:rPr>
                <w:rFonts w:ascii="宋体" w:hAnsi="宋体" w:eastAsia="宋体" w:cs="宋体"/>
                <w:sz w:val="20"/>
                <w:szCs w:val="20"/>
              </w:rPr>
              <w:t>4</w:t>
            </w:r>
          </w:p>
        </w:tc>
        <w:tc>
          <w:tcPr>
            <w:tcW w:w="952" w:type="dxa"/>
            <w:vAlign w:val="top"/>
          </w:tcPr>
          <w:p w14:paraId="21C943E8">
            <w:pPr>
              <w:spacing w:before="107" w:line="276" w:lineRule="auto"/>
              <w:ind w:left="119"/>
              <w:rPr>
                <w:rFonts w:ascii="宋体" w:hAnsi="宋体" w:eastAsia="宋体" w:cs="宋体"/>
                <w:sz w:val="20"/>
                <w:szCs w:val="20"/>
              </w:rPr>
            </w:pPr>
            <w:r>
              <w:rPr>
                <w:rFonts w:ascii="宋体" w:hAnsi="宋体" w:eastAsia="宋体" w:cs="宋体"/>
                <w:spacing w:val="3"/>
                <w:sz w:val="20"/>
                <w:szCs w:val="20"/>
              </w:rPr>
              <w:t>265.96%</w:t>
            </w:r>
          </w:p>
        </w:tc>
      </w:tr>
    </w:tbl>
    <w:p w14:paraId="6F5ACFBC">
      <w:pPr>
        <w:keepNext w:val="0"/>
        <w:keepLines w:val="0"/>
        <w:pageBreakBefore w:val="0"/>
        <w:widowControl/>
        <w:kinsoku w:val="0"/>
        <w:wordWrap/>
        <w:overflowPunct/>
        <w:topLinePunct w:val="0"/>
        <w:autoSpaceDE w:val="0"/>
        <w:autoSpaceDN w:val="0"/>
        <w:bidi w:val="0"/>
        <w:adjustRightInd w:val="0"/>
        <w:snapToGrid w:val="0"/>
        <w:spacing w:before="100" w:line="276" w:lineRule="auto"/>
        <w:ind w:left="539"/>
        <w:textAlignment w:val="baseline"/>
        <w:rPr>
          <w:rFonts w:ascii="宋体" w:hAnsi="宋体" w:eastAsia="宋体" w:cs="宋体"/>
          <w:sz w:val="20"/>
          <w:szCs w:val="20"/>
        </w:rPr>
      </w:pPr>
      <w:r>
        <w:rPr>
          <w:rFonts w:ascii="宋体" w:hAnsi="宋体" w:eastAsia="宋体" w:cs="宋体"/>
          <w:b/>
          <w:bCs/>
          <w:spacing w:val="6"/>
          <w:sz w:val="20"/>
          <w:szCs w:val="20"/>
        </w:rPr>
        <w:t>2.3</w:t>
      </w:r>
      <w:r>
        <w:rPr>
          <w:rFonts w:ascii="宋体" w:hAnsi="宋体" w:eastAsia="宋体" w:cs="宋体"/>
          <w:spacing w:val="6"/>
          <w:sz w:val="20"/>
          <w:szCs w:val="20"/>
        </w:rPr>
        <w:t xml:space="preserve"> </w:t>
      </w:r>
      <w:r>
        <w:rPr>
          <w:rFonts w:ascii="宋体" w:hAnsi="宋体" w:eastAsia="宋体" w:cs="宋体"/>
          <w:b/>
          <w:bCs/>
          <w:spacing w:val="6"/>
          <w:sz w:val="20"/>
          <w:szCs w:val="20"/>
        </w:rPr>
        <w:t>罐具消毒调查结果</w:t>
      </w:r>
    </w:p>
    <w:p w14:paraId="3922DCE2">
      <w:pPr>
        <w:spacing w:before="154" w:line="276" w:lineRule="auto"/>
        <w:ind w:left="3876"/>
        <w:rPr>
          <w:rFonts w:ascii="宋体" w:hAnsi="宋体" w:eastAsia="宋体" w:cs="宋体"/>
          <w:sz w:val="20"/>
          <w:szCs w:val="20"/>
        </w:rPr>
      </w:pPr>
      <w:r>
        <w:rPr>
          <w:rFonts w:ascii="宋体" w:hAnsi="宋体" w:eastAsia="宋体" w:cs="宋体"/>
          <w:spacing w:val="5"/>
          <w:sz w:val="20"/>
          <w:szCs w:val="20"/>
        </w:rPr>
        <w:t>表</w:t>
      </w:r>
      <w:r>
        <w:rPr>
          <w:rFonts w:ascii="宋体" w:hAnsi="宋体" w:eastAsia="宋体" w:cs="宋体"/>
          <w:spacing w:val="40"/>
          <w:sz w:val="20"/>
          <w:szCs w:val="20"/>
        </w:rPr>
        <w:t xml:space="preserve"> </w:t>
      </w:r>
      <w:r>
        <w:rPr>
          <w:rFonts w:ascii="宋体" w:hAnsi="宋体" w:eastAsia="宋体" w:cs="宋体"/>
          <w:spacing w:val="5"/>
          <w:sz w:val="20"/>
          <w:szCs w:val="20"/>
        </w:rPr>
        <w:t>10 罐具消毒调查结果</w:t>
      </w:r>
    </w:p>
    <w:p w14:paraId="0C99D843">
      <w:pPr>
        <w:spacing w:line="276" w:lineRule="auto"/>
        <w:rPr>
          <w:rFonts w:ascii="Arial"/>
          <w:sz w:val="2"/>
        </w:rPr>
      </w:pPr>
    </w:p>
    <w:tbl>
      <w:tblPr>
        <w:tblStyle w:val="9"/>
        <w:tblW w:w="95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708"/>
        <w:gridCol w:w="638"/>
        <w:gridCol w:w="856"/>
        <w:gridCol w:w="425"/>
        <w:gridCol w:w="942"/>
        <w:tblGridChange w:id="0">
          <w:tblGrid>
            <w:gridCol w:w="6708"/>
            <w:gridCol w:w="638"/>
            <w:gridCol w:w="856"/>
            <w:gridCol w:w="425"/>
            <w:gridCol w:w="942"/>
          </w:tblGrid>
        </w:tblGridChange>
      </w:tblGrid>
      <w:tr w14:paraId="44DD1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6708" w:type="dxa"/>
            <w:vAlign w:val="top"/>
          </w:tcPr>
          <w:p w14:paraId="789E9C4B">
            <w:pPr>
              <w:spacing w:before="145" w:line="276" w:lineRule="auto"/>
              <w:ind w:left="3151"/>
              <w:rPr>
                <w:rFonts w:ascii="宋体" w:hAnsi="宋体" w:eastAsia="宋体" w:cs="宋体"/>
                <w:sz w:val="20"/>
                <w:szCs w:val="20"/>
              </w:rPr>
            </w:pPr>
            <w:r>
              <w:rPr>
                <w:rFonts w:ascii="宋体" w:hAnsi="宋体" w:eastAsia="宋体" w:cs="宋体"/>
                <w:spacing w:val="5"/>
                <w:sz w:val="20"/>
                <w:szCs w:val="20"/>
              </w:rPr>
              <w:t>选项</w:t>
            </w:r>
          </w:p>
        </w:tc>
        <w:tc>
          <w:tcPr>
            <w:tcW w:w="638" w:type="dxa"/>
            <w:vAlign w:val="top"/>
          </w:tcPr>
          <w:p w14:paraId="24C6A2D6">
            <w:pPr>
              <w:spacing w:before="209" w:line="276" w:lineRule="auto"/>
              <w:ind w:left="250"/>
              <w:rPr>
                <w:rFonts w:ascii="Times New Roman" w:hAnsi="Times New Roman" w:eastAsia="Times New Roman" w:cs="Times New Roman"/>
                <w:sz w:val="25"/>
                <w:szCs w:val="25"/>
              </w:rPr>
            </w:pPr>
            <w:r>
              <w:pict>
                <v:shape id="_x0000_s1033" o:spid="_x0000_s1033" style="position:absolute;left:0pt;margin-left:12.25pt;margin-top:5.2pt;height:0.6pt;width:7.1pt;mso-position-horizontal-relative:page;mso-position-vertical-relative:page;z-index:251663360;mso-width-relative:page;mso-height-relative:page;" filled="f" stroked="t" coordsize="141,12" path="m5,5l136,5e">
                  <v:fill on="f" focussize="0,0"/>
                  <v:stroke weight="0.56pt" color="#000000" miterlimit="2" endcap="round"/>
                  <v:imagedata o:title=""/>
                  <o:lock v:ext="edit"/>
                </v:shape>
              </w:pict>
            </w:r>
            <w:r>
              <w:rPr>
                <w:rFonts w:ascii="Times New Roman" w:hAnsi="Times New Roman" w:eastAsia="Times New Roman" w:cs="Times New Roman"/>
                <w:i/>
                <w:iCs/>
                <w:spacing w:val="9"/>
                <w:sz w:val="25"/>
                <w:szCs w:val="25"/>
              </w:rPr>
              <w:t>x</w:t>
            </w:r>
          </w:p>
        </w:tc>
        <w:tc>
          <w:tcPr>
            <w:tcW w:w="856" w:type="dxa"/>
            <w:vAlign w:val="top"/>
          </w:tcPr>
          <w:p w14:paraId="1BA83AB6">
            <w:pPr>
              <w:spacing w:before="179" w:line="276" w:lineRule="auto"/>
              <w:ind w:left="376"/>
              <w:rPr>
                <w:rFonts w:ascii="宋体" w:hAnsi="宋体" w:eastAsia="宋体" w:cs="宋体"/>
                <w:sz w:val="20"/>
                <w:szCs w:val="20"/>
              </w:rPr>
            </w:pPr>
            <w:r>
              <w:rPr>
                <w:rFonts w:ascii="宋体" w:hAnsi="宋体" w:eastAsia="宋体" w:cs="宋体"/>
                <w:sz w:val="20"/>
                <w:szCs w:val="20"/>
              </w:rPr>
              <w:t>R</w:t>
            </w:r>
          </w:p>
        </w:tc>
        <w:tc>
          <w:tcPr>
            <w:tcW w:w="425" w:type="dxa"/>
            <w:vAlign w:val="top"/>
          </w:tcPr>
          <w:p w14:paraId="339208C3">
            <w:pPr>
              <w:spacing w:before="177" w:line="276" w:lineRule="auto"/>
              <w:ind w:left="159"/>
              <w:rPr>
                <w:rFonts w:ascii="宋体" w:hAnsi="宋体" w:eastAsia="宋体" w:cs="宋体"/>
                <w:sz w:val="20"/>
                <w:szCs w:val="20"/>
              </w:rPr>
            </w:pPr>
            <w:r>
              <w:rPr>
                <w:rFonts w:ascii="宋体" w:hAnsi="宋体" w:eastAsia="宋体" w:cs="宋体"/>
                <w:sz w:val="20"/>
                <w:szCs w:val="20"/>
              </w:rPr>
              <w:t>S</w:t>
            </w:r>
          </w:p>
        </w:tc>
        <w:tc>
          <w:tcPr>
            <w:tcW w:w="942" w:type="dxa"/>
            <w:vAlign w:val="top"/>
          </w:tcPr>
          <w:p w14:paraId="4D2370A8">
            <w:pPr>
              <w:spacing w:before="177" w:line="276" w:lineRule="auto"/>
              <w:ind w:left="367"/>
              <w:rPr>
                <w:rFonts w:ascii="宋体" w:hAnsi="宋体" w:eastAsia="宋体" w:cs="宋体"/>
                <w:sz w:val="20"/>
                <w:szCs w:val="20"/>
              </w:rPr>
            </w:pPr>
            <w:r>
              <w:rPr>
                <w:rFonts w:ascii="宋体" w:hAnsi="宋体" w:eastAsia="宋体" w:cs="宋体"/>
                <w:spacing w:val="1"/>
                <w:sz w:val="20"/>
                <w:szCs w:val="20"/>
              </w:rPr>
              <w:t>CV</w:t>
            </w:r>
          </w:p>
        </w:tc>
      </w:tr>
      <w:tr w14:paraId="3E8B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16" w:hRule="atLeast"/>
        </w:trPr>
        <w:tc>
          <w:tcPr>
            <w:tcW w:w="6708" w:type="dxa"/>
            <w:vAlign w:val="top"/>
          </w:tcPr>
          <w:p w14:paraId="0E460249">
            <w:pPr>
              <w:tabs>
                <w:tab w:val="left" w:pos="6720"/>
              </w:tabs>
              <w:spacing w:before="123" w:line="276" w:lineRule="auto"/>
              <w:ind w:left="115" w:right="-22" w:firstLine="17"/>
              <w:rPr>
                <w:rFonts w:ascii="宋体" w:hAnsi="宋体" w:eastAsia="宋体" w:cs="宋体"/>
                <w:sz w:val="20"/>
                <w:szCs w:val="20"/>
              </w:rPr>
            </w:pPr>
            <w:r>
              <w:rPr>
                <w:rFonts w:ascii="宋体" w:hAnsi="宋体" w:eastAsia="宋体" w:cs="宋体"/>
                <w:spacing w:val="9"/>
                <w:sz w:val="20"/>
                <w:szCs w:val="20"/>
              </w:rPr>
              <w:t>A. 冲洗：将器械、器具和物品置于流动水下冲洗，初步去除污染物。</w:t>
            </w:r>
          </w:p>
          <w:p w14:paraId="4E663B93">
            <w:pPr>
              <w:tabs>
                <w:tab w:val="left" w:pos="6720"/>
              </w:tabs>
              <w:spacing w:before="123" w:line="276" w:lineRule="auto"/>
              <w:ind w:left="115" w:right="-22" w:firstLine="17"/>
              <w:rPr>
                <w:rFonts w:ascii="宋体" w:hAnsi="宋体" w:eastAsia="宋体" w:cs="宋体"/>
                <w:sz w:val="20"/>
                <w:szCs w:val="20"/>
              </w:rPr>
            </w:pPr>
            <w:r>
              <w:rPr>
                <w:rFonts w:ascii="宋体" w:hAnsi="宋体" w:eastAsia="宋体" w:cs="宋体"/>
                <w:spacing w:val="10"/>
                <w:sz w:val="20"/>
                <w:szCs w:val="20"/>
              </w:rPr>
              <w:t>洗涤：冲洗后，应使用医用清洗剂浸泡后刷洗、擦洗。漂洗：洗涤后，</w:t>
            </w:r>
            <w:r>
              <w:rPr>
                <w:rFonts w:ascii="宋体" w:hAnsi="宋体" w:eastAsia="宋体" w:cs="宋体"/>
                <w:spacing w:val="4"/>
                <w:sz w:val="20"/>
                <w:szCs w:val="20"/>
              </w:rPr>
              <w:t>再用流动水冲洗或刷洗。终末漂洗：应采用电导率≤</w:t>
            </w:r>
            <w:r>
              <w:rPr>
                <w:rFonts w:ascii="Times New Roman" w:hAnsi="Times New Roman" w:eastAsia="Times New Roman" w:cs="Times New Roman"/>
                <w:spacing w:val="4"/>
                <w:sz w:val="20"/>
                <w:szCs w:val="20"/>
              </w:rPr>
              <w:t xml:space="preserve">15 </w:t>
            </w:r>
            <w:r>
              <w:rPr>
                <w:rFonts w:ascii="宋体" w:hAnsi="宋体" w:eastAsia="宋体" w:cs="宋体"/>
                <w:spacing w:val="4"/>
                <w:sz w:val="20"/>
                <w:szCs w:val="20"/>
              </w:rPr>
              <w:t>μ</w:t>
            </w:r>
            <w:r>
              <w:rPr>
                <w:rFonts w:ascii="Times New Roman" w:hAnsi="Times New Roman" w:eastAsia="Times New Roman" w:cs="Times New Roman"/>
                <w:spacing w:val="4"/>
                <w:sz w:val="20"/>
                <w:szCs w:val="20"/>
              </w:rPr>
              <w:t>S/</w:t>
            </w:r>
            <w:r>
              <w:rPr>
                <w:rFonts w:ascii="Times New Roman" w:hAnsi="Times New Roman" w:eastAsia="Times New Roman" w:cs="Times New Roman"/>
                <w:sz w:val="20"/>
                <w:szCs w:val="20"/>
              </w:rPr>
              <w:t>cm</w:t>
            </w:r>
            <w:r>
              <w:rPr>
                <w:rFonts w:ascii="宋体" w:hAnsi="宋体" w:eastAsia="宋体" w:cs="宋体"/>
                <w:spacing w:val="4"/>
                <w:sz w:val="20"/>
                <w:szCs w:val="20"/>
              </w:rPr>
              <w:t>（</w:t>
            </w:r>
            <w:r>
              <w:rPr>
                <w:rFonts w:ascii="Times New Roman" w:hAnsi="Times New Roman" w:eastAsia="Times New Roman" w:cs="Times New Roman"/>
                <w:spacing w:val="4"/>
                <w:sz w:val="20"/>
                <w:szCs w:val="20"/>
              </w:rPr>
              <w:t>25</w:t>
            </w:r>
            <w:r>
              <w:rPr>
                <w:rFonts w:ascii="Times New Roman" w:hAnsi="Times New Roman" w:eastAsia="Times New Roman" w:cs="Times New Roman"/>
                <w:spacing w:val="-16"/>
                <w:sz w:val="20"/>
                <w:szCs w:val="20"/>
              </w:rPr>
              <w:t xml:space="preserve"> </w:t>
            </w:r>
            <w:r>
              <w:rPr>
                <w:rFonts w:ascii="宋体" w:hAnsi="宋体" w:eastAsia="宋体" w:cs="宋体"/>
                <w:spacing w:val="4"/>
                <w:sz w:val="20"/>
                <w:szCs w:val="20"/>
              </w:rPr>
              <w:t>°</w:t>
            </w:r>
            <w:r>
              <w:rPr>
                <w:rFonts w:ascii="Times New Roman" w:hAnsi="Times New Roman" w:eastAsia="Times New Roman" w:cs="Times New Roman"/>
                <w:spacing w:val="4"/>
                <w:sz w:val="20"/>
                <w:szCs w:val="20"/>
              </w:rPr>
              <w:t>C</w:t>
            </w:r>
            <w:r>
              <w:rPr>
                <w:rFonts w:ascii="宋体" w:hAnsi="宋体" w:eastAsia="宋体" w:cs="宋体"/>
                <w:spacing w:val="4"/>
                <w:sz w:val="20"/>
                <w:szCs w:val="20"/>
              </w:rPr>
              <w:t>）</w:t>
            </w:r>
            <w:r>
              <w:rPr>
                <w:rFonts w:ascii="宋体" w:hAnsi="宋体" w:eastAsia="宋体" w:cs="宋体"/>
                <w:spacing w:val="7"/>
                <w:sz w:val="20"/>
                <w:szCs w:val="20"/>
              </w:rPr>
              <w:t>的水进行漂洗。注意事项：手工清洗时水温宜为</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15</w:t>
            </w:r>
            <w:r>
              <w:rPr>
                <w:rFonts w:ascii="宋体" w:hAnsi="宋体" w:eastAsia="宋体" w:cs="宋体"/>
                <w:spacing w:val="7"/>
                <w:sz w:val="20"/>
                <w:szCs w:val="20"/>
              </w:rPr>
              <w:t>℃</w:t>
            </w:r>
            <w:r>
              <w:rPr>
                <w:rFonts w:ascii="Times New Roman" w:hAnsi="Times New Roman" w:eastAsia="Times New Roman" w:cs="Times New Roman"/>
                <w:spacing w:val="7"/>
                <w:sz w:val="20"/>
                <w:szCs w:val="20"/>
              </w:rPr>
              <w:t>~</w:t>
            </w:r>
            <w:r>
              <w:rPr>
                <w:rFonts w:ascii="Times New Roman" w:hAnsi="Times New Roman" w:eastAsia="Times New Roman" w:cs="Times New Roman"/>
                <w:spacing w:val="6"/>
                <w:sz w:val="20"/>
                <w:szCs w:val="20"/>
              </w:rPr>
              <w:t>30</w:t>
            </w:r>
            <w:r>
              <w:rPr>
                <w:rFonts w:ascii="宋体" w:hAnsi="宋体" w:eastAsia="宋体" w:cs="宋体"/>
                <w:spacing w:val="6"/>
                <w:sz w:val="20"/>
                <w:szCs w:val="20"/>
              </w:rPr>
              <w:t>℃</w:t>
            </w:r>
            <w:r>
              <w:rPr>
                <w:rFonts w:ascii="宋体" w:hAnsi="宋体" w:eastAsia="宋体" w:cs="宋体"/>
                <w:spacing w:val="-72"/>
                <w:sz w:val="20"/>
                <w:szCs w:val="20"/>
              </w:rPr>
              <w:t xml:space="preserve"> </w:t>
            </w:r>
            <w:r>
              <w:rPr>
                <w:rFonts w:ascii="宋体" w:hAnsi="宋体" w:eastAsia="宋体" w:cs="宋体"/>
                <w:spacing w:val="6"/>
                <w:sz w:val="20"/>
                <w:szCs w:val="20"/>
              </w:rPr>
              <w:t>。去除干涸</w:t>
            </w:r>
            <w:r>
              <w:rPr>
                <w:rFonts w:ascii="宋体" w:hAnsi="宋体" w:eastAsia="宋体" w:cs="宋体"/>
                <w:spacing w:val="9"/>
                <w:sz w:val="20"/>
                <w:szCs w:val="20"/>
              </w:rPr>
              <w:t>的污渍应先用医用清洗剂浸泡，再刷洗或擦洗。有锈迹，应除锈。刷洗操作应在水面下进行，防止产生气溶胶。器械可拆卸的部分应拆开后清洗。管腔器械宜先选用合适的清洗刷清洗内腔，再用压力水枪冲洗。不应使用研磨型清洗材料和用具用于器械处理，应选用与器械材质相匹配的刷洗用具和用品。（出处：中华人民共和国卫生行业标准</w:t>
            </w:r>
            <w:r>
              <w:rPr>
                <w:rFonts w:ascii="Times New Roman" w:hAnsi="Times New Roman" w:eastAsia="Times New Roman" w:cs="Times New Roman"/>
                <w:sz w:val="20"/>
                <w:szCs w:val="20"/>
              </w:rPr>
              <w:t>WS</w:t>
            </w:r>
            <w:r>
              <w:rPr>
                <w:rFonts w:ascii="Times New Roman" w:hAnsi="Times New Roman" w:eastAsia="Times New Roman" w:cs="Times New Roman"/>
                <w:spacing w:val="7"/>
                <w:sz w:val="20"/>
                <w:szCs w:val="20"/>
              </w:rPr>
              <w:t xml:space="preserve">310.2--2016 </w:t>
            </w:r>
            <w:r>
              <w:rPr>
                <w:rFonts w:ascii="宋体" w:hAnsi="宋体" w:eastAsia="宋体" w:cs="宋体"/>
                <w:spacing w:val="7"/>
                <w:sz w:val="20"/>
                <w:szCs w:val="20"/>
              </w:rPr>
              <w:t>《医院消毒供应中</w:t>
            </w:r>
            <w:r>
              <w:rPr>
                <w:rFonts w:ascii="宋体" w:hAnsi="宋体" w:eastAsia="宋体" w:cs="宋体"/>
                <w:spacing w:val="6"/>
                <w:sz w:val="20"/>
                <w:szCs w:val="20"/>
              </w:rPr>
              <w:t>心 第</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 xml:space="preserve">2 </w:t>
            </w:r>
            <w:r>
              <w:rPr>
                <w:rFonts w:ascii="宋体" w:hAnsi="宋体" w:eastAsia="宋体" w:cs="宋体"/>
                <w:spacing w:val="6"/>
                <w:sz w:val="20"/>
                <w:szCs w:val="20"/>
              </w:rPr>
              <w:t>部分：清洗消毒及灭菌技术操</w:t>
            </w:r>
            <w:r>
              <w:rPr>
                <w:rFonts w:ascii="宋体" w:hAnsi="宋体" w:eastAsia="宋体" w:cs="宋体"/>
                <w:spacing w:val="4"/>
                <w:sz w:val="20"/>
                <w:szCs w:val="20"/>
              </w:rPr>
              <w:t>作规范》）</w:t>
            </w:r>
          </w:p>
        </w:tc>
        <w:tc>
          <w:tcPr>
            <w:tcW w:w="638" w:type="dxa"/>
            <w:vAlign w:val="top"/>
          </w:tcPr>
          <w:p w14:paraId="1ADC8683">
            <w:pPr>
              <w:spacing w:before="148" w:line="276" w:lineRule="auto"/>
              <w:ind w:left="120"/>
              <w:rPr>
                <w:rFonts w:ascii="宋体" w:hAnsi="宋体" w:eastAsia="宋体" w:cs="宋体"/>
                <w:sz w:val="20"/>
                <w:szCs w:val="20"/>
              </w:rPr>
            </w:pPr>
            <w:r>
              <w:rPr>
                <w:rFonts w:ascii="宋体" w:hAnsi="宋体" w:eastAsia="宋体" w:cs="宋体"/>
                <w:spacing w:val="2"/>
                <w:position w:val="1"/>
                <w:sz w:val="20"/>
                <w:szCs w:val="20"/>
              </w:rPr>
              <w:t>0.47</w:t>
            </w:r>
          </w:p>
        </w:tc>
        <w:tc>
          <w:tcPr>
            <w:tcW w:w="856" w:type="dxa"/>
            <w:vAlign w:val="top"/>
          </w:tcPr>
          <w:p w14:paraId="23D78D63">
            <w:pPr>
              <w:spacing w:before="148" w:line="276" w:lineRule="auto"/>
              <w:ind w:left="121"/>
              <w:rPr>
                <w:rFonts w:ascii="宋体" w:hAnsi="宋体" w:eastAsia="宋体" w:cs="宋体"/>
                <w:sz w:val="20"/>
                <w:szCs w:val="20"/>
              </w:rPr>
            </w:pPr>
            <w:r>
              <w:rPr>
                <w:rFonts w:ascii="宋体" w:hAnsi="宋体" w:eastAsia="宋体" w:cs="宋体"/>
                <w:spacing w:val="2"/>
                <w:position w:val="1"/>
                <w:sz w:val="20"/>
                <w:szCs w:val="20"/>
              </w:rPr>
              <w:t>53.00%</w:t>
            </w:r>
          </w:p>
        </w:tc>
        <w:tc>
          <w:tcPr>
            <w:tcW w:w="425" w:type="dxa"/>
            <w:vAlign w:val="top"/>
          </w:tcPr>
          <w:p w14:paraId="63F62008">
            <w:pPr>
              <w:spacing w:before="148" w:line="276" w:lineRule="auto"/>
              <w:ind w:left="123"/>
              <w:rPr>
                <w:rFonts w:ascii="宋体" w:hAnsi="宋体" w:eastAsia="宋体" w:cs="宋体"/>
                <w:sz w:val="20"/>
                <w:szCs w:val="20"/>
              </w:rPr>
            </w:pPr>
            <w:r>
              <w:rPr>
                <w:rFonts w:ascii="宋体" w:hAnsi="宋体" w:eastAsia="宋体" w:cs="宋体"/>
                <w:spacing w:val="-7"/>
                <w:position w:val="1"/>
                <w:sz w:val="20"/>
                <w:szCs w:val="20"/>
              </w:rPr>
              <w:t>14</w:t>
            </w:r>
          </w:p>
        </w:tc>
        <w:tc>
          <w:tcPr>
            <w:tcW w:w="942" w:type="dxa"/>
            <w:vAlign w:val="top"/>
          </w:tcPr>
          <w:p w14:paraId="0470C03B">
            <w:pPr>
              <w:spacing w:before="148" w:line="276" w:lineRule="auto"/>
              <w:ind w:left="123"/>
              <w:rPr>
                <w:rFonts w:ascii="宋体" w:hAnsi="宋体" w:eastAsia="宋体" w:cs="宋体"/>
                <w:sz w:val="20"/>
                <w:szCs w:val="20"/>
              </w:rPr>
            </w:pPr>
            <w:r>
              <w:rPr>
                <w:rFonts w:ascii="宋体" w:hAnsi="宋体" w:eastAsia="宋体" w:cs="宋体"/>
                <w:spacing w:val="1"/>
                <w:position w:val="1"/>
                <w:sz w:val="20"/>
                <w:szCs w:val="20"/>
              </w:rPr>
              <w:t>107.96%</w:t>
            </w:r>
          </w:p>
        </w:tc>
      </w:tr>
      <w:tr w14:paraId="17A2F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6708" w:type="dxa"/>
            <w:vAlign w:val="top"/>
          </w:tcPr>
          <w:p w14:paraId="2729003A">
            <w:pPr>
              <w:spacing w:before="148" w:line="276" w:lineRule="auto"/>
              <w:ind w:left="120"/>
            </w:pPr>
            <w:r>
              <w:rPr>
                <w:rFonts w:ascii="宋体" w:hAnsi="宋体" w:eastAsia="宋体" w:cs="宋体"/>
                <w:spacing w:val="4"/>
                <w:sz w:val="20"/>
                <w:szCs w:val="20"/>
              </w:rPr>
              <w:t>B. 沿用国家标准原文。</w:t>
            </w:r>
          </w:p>
        </w:tc>
        <w:tc>
          <w:tcPr>
            <w:tcW w:w="638" w:type="dxa"/>
            <w:vAlign w:val="top"/>
          </w:tcPr>
          <w:p w14:paraId="67A77CFC">
            <w:pPr>
              <w:spacing w:before="148" w:line="276" w:lineRule="auto"/>
              <w:ind w:left="120"/>
              <w:rPr>
                <w:rFonts w:ascii="宋体" w:hAnsi="宋体" w:eastAsia="宋体" w:cs="宋体"/>
                <w:spacing w:val="2"/>
                <w:position w:val="1"/>
                <w:sz w:val="20"/>
                <w:szCs w:val="20"/>
              </w:rPr>
            </w:pPr>
            <w:r>
              <w:rPr>
                <w:rFonts w:ascii="宋体" w:hAnsi="宋体" w:eastAsia="宋体" w:cs="宋体"/>
                <w:spacing w:val="4"/>
                <w:sz w:val="20"/>
                <w:szCs w:val="20"/>
              </w:rPr>
              <w:t>0.43</w:t>
            </w:r>
          </w:p>
        </w:tc>
        <w:tc>
          <w:tcPr>
            <w:tcW w:w="856" w:type="dxa"/>
            <w:vAlign w:val="top"/>
          </w:tcPr>
          <w:p w14:paraId="0C7923E4">
            <w:pPr>
              <w:spacing w:before="148" w:line="276" w:lineRule="auto"/>
              <w:ind w:left="120"/>
              <w:rPr>
                <w:rFonts w:ascii="宋体" w:hAnsi="宋体" w:eastAsia="宋体" w:cs="宋体"/>
                <w:spacing w:val="2"/>
                <w:position w:val="1"/>
                <w:sz w:val="20"/>
                <w:szCs w:val="20"/>
              </w:rPr>
            </w:pPr>
            <w:r>
              <w:rPr>
                <w:rFonts w:ascii="宋体" w:hAnsi="宋体" w:eastAsia="宋体" w:cs="宋体"/>
                <w:spacing w:val="4"/>
                <w:sz w:val="20"/>
                <w:szCs w:val="20"/>
              </w:rPr>
              <w:t>57.00%</w:t>
            </w:r>
          </w:p>
        </w:tc>
        <w:tc>
          <w:tcPr>
            <w:tcW w:w="425" w:type="dxa"/>
            <w:vAlign w:val="top"/>
          </w:tcPr>
          <w:p w14:paraId="458759D2">
            <w:pPr>
              <w:spacing w:before="148" w:line="276" w:lineRule="auto"/>
              <w:ind w:left="120"/>
              <w:rPr>
                <w:rFonts w:ascii="宋体" w:hAnsi="宋体" w:eastAsia="宋体" w:cs="宋体"/>
                <w:spacing w:val="2"/>
                <w:position w:val="1"/>
                <w:sz w:val="20"/>
                <w:szCs w:val="20"/>
              </w:rPr>
            </w:pPr>
            <w:r>
              <w:rPr>
                <w:rFonts w:ascii="宋体" w:hAnsi="宋体" w:eastAsia="宋体" w:cs="宋体"/>
                <w:spacing w:val="4"/>
                <w:sz w:val="20"/>
                <w:szCs w:val="20"/>
              </w:rPr>
              <w:t>13</w:t>
            </w:r>
          </w:p>
        </w:tc>
        <w:tc>
          <w:tcPr>
            <w:tcW w:w="942" w:type="dxa"/>
            <w:vAlign w:val="top"/>
          </w:tcPr>
          <w:p w14:paraId="311FD5B5">
            <w:pPr>
              <w:spacing w:before="148" w:line="276" w:lineRule="auto"/>
              <w:ind w:left="120"/>
              <w:rPr>
                <w:rFonts w:ascii="宋体" w:hAnsi="宋体" w:eastAsia="宋体" w:cs="宋体"/>
                <w:spacing w:val="2"/>
                <w:position w:val="1"/>
                <w:sz w:val="20"/>
                <w:szCs w:val="20"/>
              </w:rPr>
            </w:pPr>
            <w:r>
              <w:rPr>
                <w:rFonts w:ascii="宋体" w:hAnsi="宋体" w:eastAsia="宋体" w:cs="宋体"/>
                <w:spacing w:val="3"/>
                <w:sz w:val="20"/>
                <w:szCs w:val="20"/>
              </w:rPr>
              <w:t>117.21%</w:t>
            </w:r>
          </w:p>
        </w:tc>
      </w:tr>
    </w:tbl>
    <w:p w14:paraId="251E7A90">
      <w:pPr>
        <w:spacing w:line="276" w:lineRule="auto"/>
      </w:pPr>
    </w:p>
    <w:p w14:paraId="0B8C9EE8">
      <w:pPr>
        <w:spacing w:before="141" w:line="276" w:lineRule="auto"/>
        <w:ind w:left="539"/>
        <w:rPr>
          <w:rFonts w:ascii="宋体" w:hAnsi="宋体" w:eastAsia="宋体" w:cs="宋体"/>
          <w:sz w:val="20"/>
          <w:szCs w:val="20"/>
        </w:rPr>
      </w:pPr>
      <w:r>
        <w:rPr>
          <w:rFonts w:ascii="宋体" w:hAnsi="宋体" w:eastAsia="宋体" w:cs="宋体"/>
          <w:b/>
          <w:bCs/>
          <w:spacing w:val="6"/>
          <w:sz w:val="20"/>
          <w:szCs w:val="20"/>
        </w:rPr>
        <w:t>2.4</w:t>
      </w:r>
      <w:r>
        <w:rPr>
          <w:rFonts w:ascii="宋体" w:hAnsi="宋体" w:eastAsia="宋体" w:cs="宋体"/>
          <w:spacing w:val="6"/>
          <w:sz w:val="20"/>
          <w:szCs w:val="20"/>
        </w:rPr>
        <w:t xml:space="preserve"> </w:t>
      </w:r>
      <w:r>
        <w:rPr>
          <w:rFonts w:ascii="宋体" w:hAnsi="宋体" w:eastAsia="宋体" w:cs="宋体"/>
          <w:b/>
          <w:bCs/>
          <w:spacing w:val="6"/>
          <w:sz w:val="20"/>
          <w:szCs w:val="20"/>
        </w:rPr>
        <w:t>施术前医生准备调查结果</w:t>
      </w:r>
    </w:p>
    <w:p w14:paraId="71989B0F">
      <w:pPr>
        <w:spacing w:before="154" w:line="276" w:lineRule="auto"/>
        <w:ind w:left="3562"/>
        <w:rPr>
          <w:rFonts w:ascii="宋体" w:hAnsi="宋体" w:eastAsia="宋体" w:cs="宋体"/>
          <w:sz w:val="20"/>
          <w:szCs w:val="20"/>
        </w:rPr>
      </w:pPr>
      <w:r>
        <w:rPr>
          <w:rFonts w:ascii="宋体" w:hAnsi="宋体" w:eastAsia="宋体" w:cs="宋体"/>
          <w:spacing w:val="6"/>
          <w:sz w:val="20"/>
          <w:szCs w:val="20"/>
        </w:rPr>
        <w:t>表</w:t>
      </w:r>
      <w:r>
        <w:rPr>
          <w:rFonts w:ascii="宋体" w:hAnsi="宋体" w:eastAsia="宋体" w:cs="宋体"/>
          <w:spacing w:val="39"/>
          <w:sz w:val="20"/>
          <w:szCs w:val="20"/>
        </w:rPr>
        <w:t xml:space="preserve"> </w:t>
      </w:r>
      <w:r>
        <w:rPr>
          <w:rFonts w:ascii="宋体" w:hAnsi="宋体" w:eastAsia="宋体" w:cs="宋体"/>
          <w:spacing w:val="6"/>
          <w:sz w:val="20"/>
          <w:szCs w:val="20"/>
        </w:rPr>
        <w:t>11 施术前医生准备调查结果</w:t>
      </w:r>
    </w:p>
    <w:p w14:paraId="6F0D2B79">
      <w:pPr>
        <w:spacing w:line="276" w:lineRule="auto"/>
        <w:rPr>
          <w:rFonts w:ascii="Arial"/>
          <w:sz w:val="2"/>
        </w:rPr>
      </w:pPr>
    </w:p>
    <w:tbl>
      <w:tblPr>
        <w:tblStyle w:val="9"/>
        <w:tblW w:w="95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16"/>
        <w:gridCol w:w="530"/>
        <w:gridCol w:w="857"/>
        <w:gridCol w:w="415"/>
        <w:gridCol w:w="952"/>
      </w:tblGrid>
      <w:tr w14:paraId="7FD1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trPr>
        <w:tc>
          <w:tcPr>
            <w:tcW w:w="6816" w:type="dxa"/>
            <w:vAlign w:val="top"/>
          </w:tcPr>
          <w:p w14:paraId="2306B0D9">
            <w:pPr>
              <w:spacing w:before="145" w:line="276" w:lineRule="auto"/>
              <w:ind w:left="3204"/>
              <w:rPr>
                <w:rFonts w:ascii="宋体" w:hAnsi="宋体" w:eastAsia="宋体" w:cs="宋体"/>
                <w:sz w:val="20"/>
                <w:szCs w:val="20"/>
              </w:rPr>
            </w:pPr>
            <w:r>
              <w:rPr>
                <w:rFonts w:ascii="宋体" w:hAnsi="宋体" w:eastAsia="宋体" w:cs="宋体"/>
                <w:spacing w:val="5"/>
                <w:sz w:val="20"/>
                <w:szCs w:val="20"/>
              </w:rPr>
              <w:t>选项</w:t>
            </w:r>
          </w:p>
        </w:tc>
        <w:tc>
          <w:tcPr>
            <w:tcW w:w="530" w:type="dxa"/>
            <w:vAlign w:val="top"/>
          </w:tcPr>
          <w:p w14:paraId="27C9E941">
            <w:pPr>
              <w:spacing w:before="209" w:line="276" w:lineRule="auto"/>
              <w:ind w:left="192"/>
              <w:rPr>
                <w:rFonts w:ascii="Times New Roman" w:hAnsi="Times New Roman" w:eastAsia="Times New Roman" w:cs="Times New Roman"/>
                <w:sz w:val="25"/>
                <w:szCs w:val="25"/>
              </w:rPr>
            </w:pPr>
            <w:r>
              <w:pict>
                <v:shape id="_x0000_s1036" o:spid="_x0000_s1036" style="position:absolute;left:0pt;margin-left:9.35pt;margin-top:5.2pt;height:0.6pt;width:7.1pt;mso-position-horizontal-relative:page;mso-position-vertical-relative:page;z-index:251664384;mso-width-relative:page;mso-height-relative:page;" filled="f" stroked="t" coordsize="141,12" path="m5,5l136,5e">
                  <v:fill on="f" focussize="0,0"/>
                  <v:stroke weight="0.56pt" color="#000000" miterlimit="2" endcap="round"/>
                  <v:imagedata o:title=""/>
                  <o:lock v:ext="edit"/>
                </v:shape>
              </w:pict>
            </w:r>
            <w:r>
              <w:rPr>
                <w:rFonts w:ascii="Times New Roman" w:hAnsi="Times New Roman" w:eastAsia="Times New Roman" w:cs="Times New Roman"/>
                <w:i/>
                <w:iCs/>
                <w:spacing w:val="9"/>
                <w:sz w:val="25"/>
                <w:szCs w:val="25"/>
              </w:rPr>
              <w:t>x</w:t>
            </w:r>
          </w:p>
        </w:tc>
        <w:tc>
          <w:tcPr>
            <w:tcW w:w="857" w:type="dxa"/>
            <w:vAlign w:val="top"/>
          </w:tcPr>
          <w:p w14:paraId="5BCE1802">
            <w:pPr>
              <w:spacing w:before="179" w:line="276" w:lineRule="auto"/>
              <w:ind w:left="376"/>
              <w:rPr>
                <w:rFonts w:ascii="宋体" w:hAnsi="宋体" w:eastAsia="宋体" w:cs="宋体"/>
                <w:sz w:val="20"/>
                <w:szCs w:val="20"/>
              </w:rPr>
            </w:pPr>
            <w:r>
              <w:rPr>
                <w:rFonts w:ascii="宋体" w:hAnsi="宋体" w:eastAsia="宋体" w:cs="宋体"/>
                <w:sz w:val="20"/>
                <w:szCs w:val="20"/>
              </w:rPr>
              <w:t>R</w:t>
            </w:r>
          </w:p>
        </w:tc>
        <w:tc>
          <w:tcPr>
            <w:tcW w:w="415" w:type="dxa"/>
            <w:vAlign w:val="top"/>
          </w:tcPr>
          <w:p w14:paraId="64342BE5">
            <w:pPr>
              <w:spacing w:before="177" w:line="276" w:lineRule="auto"/>
              <w:ind w:left="158"/>
              <w:rPr>
                <w:rFonts w:ascii="宋体" w:hAnsi="宋体" w:eastAsia="宋体" w:cs="宋体"/>
                <w:sz w:val="20"/>
                <w:szCs w:val="20"/>
              </w:rPr>
            </w:pPr>
            <w:r>
              <w:rPr>
                <w:rFonts w:ascii="宋体" w:hAnsi="宋体" w:eastAsia="宋体" w:cs="宋体"/>
                <w:sz w:val="20"/>
                <w:szCs w:val="20"/>
              </w:rPr>
              <w:t>S</w:t>
            </w:r>
          </w:p>
        </w:tc>
        <w:tc>
          <w:tcPr>
            <w:tcW w:w="952" w:type="dxa"/>
            <w:vAlign w:val="top"/>
          </w:tcPr>
          <w:p w14:paraId="5A47C1F8">
            <w:pPr>
              <w:spacing w:before="177" w:line="276" w:lineRule="auto"/>
              <w:ind w:left="376"/>
              <w:rPr>
                <w:rFonts w:ascii="宋体" w:hAnsi="宋体" w:eastAsia="宋体" w:cs="宋体"/>
                <w:sz w:val="20"/>
                <w:szCs w:val="20"/>
              </w:rPr>
            </w:pPr>
            <w:r>
              <w:rPr>
                <w:rFonts w:ascii="宋体" w:hAnsi="宋体" w:eastAsia="宋体" w:cs="宋体"/>
                <w:spacing w:val="1"/>
                <w:sz w:val="20"/>
                <w:szCs w:val="20"/>
              </w:rPr>
              <w:t>CV</w:t>
            </w:r>
          </w:p>
        </w:tc>
      </w:tr>
      <w:tr w14:paraId="3D3CB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23" w:hRule="atLeast"/>
        </w:trPr>
        <w:tc>
          <w:tcPr>
            <w:tcW w:w="6816" w:type="dxa"/>
            <w:vAlign w:val="top"/>
          </w:tcPr>
          <w:p w14:paraId="7CE3937D">
            <w:pPr>
              <w:spacing w:before="144" w:line="276" w:lineRule="auto"/>
              <w:ind w:left="116" w:right="55" w:hanging="6"/>
              <w:jc w:val="both"/>
              <w:rPr>
                <w:rFonts w:ascii="宋体" w:hAnsi="宋体" w:eastAsia="宋体" w:cs="宋体"/>
                <w:sz w:val="20"/>
                <w:szCs w:val="20"/>
              </w:rPr>
            </w:pPr>
            <w:r>
              <w:rPr>
                <w:rFonts w:ascii="宋体" w:hAnsi="宋体" w:eastAsia="宋体" w:cs="宋体"/>
                <w:spacing w:val="9"/>
                <w:sz w:val="20"/>
                <w:szCs w:val="20"/>
              </w:rPr>
              <w:t>A. 在流动水下，淋湿双手。取适量洗手液</w:t>
            </w:r>
            <w:r>
              <w:rPr>
                <w:rFonts w:ascii="宋体" w:hAnsi="宋体" w:eastAsia="宋体" w:cs="宋体"/>
                <w:spacing w:val="8"/>
                <w:sz w:val="20"/>
                <w:szCs w:val="20"/>
              </w:rPr>
              <w:t>（肥皂</w:t>
            </w:r>
            <w:r>
              <w:rPr>
                <w:rFonts w:ascii="宋体" w:hAnsi="宋体" w:eastAsia="宋体" w:cs="宋体"/>
                <w:spacing w:val="13"/>
                <w:sz w:val="20"/>
                <w:szCs w:val="20"/>
              </w:rPr>
              <w:t>），</w:t>
            </w:r>
            <w:r>
              <w:rPr>
                <w:rFonts w:ascii="宋体" w:hAnsi="宋体" w:eastAsia="宋体" w:cs="宋体"/>
                <w:spacing w:val="8"/>
                <w:sz w:val="20"/>
                <w:szCs w:val="20"/>
              </w:rPr>
              <w:t>均匀涂抹至整个手</w:t>
            </w:r>
            <w:r>
              <w:rPr>
                <w:rFonts w:ascii="宋体" w:hAnsi="宋体" w:eastAsia="宋体" w:cs="宋体"/>
                <w:spacing w:val="3"/>
                <w:sz w:val="20"/>
                <w:szCs w:val="20"/>
              </w:rPr>
              <w:t>掌、手背、手指和指缝。认真揉搓双手至少</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
                <w:sz w:val="20"/>
                <w:szCs w:val="20"/>
              </w:rPr>
              <w:t>5s</w:t>
            </w:r>
            <w:r>
              <w:rPr>
                <w:rFonts w:ascii="宋体" w:hAnsi="宋体" w:eastAsia="宋体" w:cs="宋体"/>
                <w:spacing w:val="2"/>
                <w:sz w:val="20"/>
                <w:szCs w:val="20"/>
              </w:rPr>
              <w:t>，注意清洗双手所有皮肤，</w:t>
            </w:r>
            <w:r>
              <w:rPr>
                <w:rFonts w:ascii="宋体" w:hAnsi="宋体" w:eastAsia="宋体" w:cs="宋体"/>
                <w:spacing w:val="11"/>
                <w:sz w:val="20"/>
                <w:szCs w:val="20"/>
              </w:rPr>
              <w:t>包括指背、指尖和指缝，具体揉搓步骤参加《医务人员洗手方法》</w:t>
            </w:r>
            <w:r>
              <w:rPr>
                <w:rFonts w:ascii="宋体" w:hAnsi="宋体" w:eastAsia="宋体" w:cs="宋体"/>
                <w:spacing w:val="-53"/>
                <w:sz w:val="20"/>
                <w:szCs w:val="20"/>
              </w:rPr>
              <w:t xml:space="preserve"> </w:t>
            </w:r>
            <w:r>
              <w:rPr>
                <w:rFonts w:ascii="宋体" w:hAnsi="宋体" w:eastAsia="宋体" w:cs="宋体"/>
                <w:spacing w:val="11"/>
                <w:sz w:val="20"/>
                <w:szCs w:val="20"/>
              </w:rPr>
              <w:t>。取</w:t>
            </w:r>
            <w:r>
              <w:rPr>
                <w:rFonts w:ascii="宋体" w:hAnsi="宋体" w:eastAsia="宋体" w:cs="宋体"/>
                <w:spacing w:val="12"/>
                <w:sz w:val="20"/>
                <w:szCs w:val="20"/>
              </w:rPr>
              <w:t>适量的手消毒剂于掌心，均匀涂抹双手。按照《医务人员洗手方法》揉</w:t>
            </w:r>
            <w:r>
              <w:rPr>
                <w:rFonts w:ascii="宋体" w:hAnsi="宋体" w:eastAsia="宋体" w:cs="宋体"/>
                <w:spacing w:val="8"/>
                <w:sz w:val="20"/>
                <w:szCs w:val="20"/>
              </w:rPr>
              <w:t>搓的步骤进行揉搓，揉搓至手部干燥。卫生</w:t>
            </w:r>
            <w:r>
              <w:rPr>
                <w:rFonts w:ascii="宋体" w:hAnsi="宋体" w:eastAsia="宋体" w:cs="宋体"/>
                <w:spacing w:val="7"/>
                <w:sz w:val="20"/>
                <w:szCs w:val="20"/>
              </w:rPr>
              <w:t>手消毒时首选速干手消毒剂，</w:t>
            </w:r>
            <w:r>
              <w:rPr>
                <w:rFonts w:ascii="宋体" w:hAnsi="宋体" w:eastAsia="宋体" w:cs="宋体"/>
                <w:spacing w:val="12"/>
                <w:sz w:val="20"/>
                <w:szCs w:val="20"/>
              </w:rPr>
              <w:t>过敏人群可选用其他手消毒剂；针对某些对乙醇不敏感的肠道病毒感染</w:t>
            </w:r>
            <w:r>
              <w:rPr>
                <w:rFonts w:ascii="宋体" w:hAnsi="宋体" w:eastAsia="宋体" w:cs="宋体"/>
                <w:spacing w:val="11"/>
                <w:sz w:val="20"/>
                <w:szCs w:val="20"/>
              </w:rPr>
              <w:t>时，应选择其他有效的手消毒剂。（出处：</w:t>
            </w:r>
            <w:r>
              <w:rPr>
                <w:rFonts w:ascii="宋体" w:hAnsi="宋体" w:eastAsia="宋体" w:cs="宋体"/>
                <w:spacing w:val="-53"/>
                <w:sz w:val="20"/>
                <w:szCs w:val="20"/>
              </w:rPr>
              <w:t xml:space="preserve"> </w:t>
            </w:r>
            <w:r>
              <w:rPr>
                <w:rFonts w:ascii="宋体" w:hAnsi="宋体" w:eastAsia="宋体" w:cs="宋体"/>
                <w:spacing w:val="11"/>
                <w:sz w:val="20"/>
                <w:szCs w:val="20"/>
              </w:rPr>
              <w:t>中华人民共和国卫生行业标</w:t>
            </w:r>
            <w:r>
              <w:rPr>
                <w:rFonts w:ascii="宋体" w:hAnsi="宋体" w:eastAsia="宋体" w:cs="宋体"/>
                <w:spacing w:val="6"/>
                <w:sz w:val="20"/>
                <w:szCs w:val="20"/>
              </w:rPr>
              <w:t xml:space="preserve">准 </w:t>
            </w:r>
            <w:r>
              <w:rPr>
                <w:rFonts w:ascii="Times New Roman" w:hAnsi="Times New Roman" w:eastAsia="Times New Roman" w:cs="Times New Roman"/>
                <w:sz w:val="20"/>
                <w:szCs w:val="20"/>
              </w:rPr>
              <w:t>WS</w:t>
            </w:r>
            <w:r>
              <w:rPr>
                <w:rFonts w:ascii="Times New Roman" w:hAnsi="Times New Roman" w:eastAsia="Times New Roman" w:cs="Times New Roman"/>
                <w:spacing w:val="6"/>
                <w:sz w:val="20"/>
                <w:szCs w:val="20"/>
              </w:rPr>
              <w:t>/T 313</w:t>
            </w:r>
            <w:r>
              <w:rPr>
                <w:rFonts w:ascii="宋体" w:hAnsi="宋体" w:eastAsia="宋体" w:cs="宋体"/>
                <w:spacing w:val="6"/>
                <w:sz w:val="20"/>
                <w:szCs w:val="20"/>
              </w:rPr>
              <w:t>—</w:t>
            </w:r>
            <w:r>
              <w:rPr>
                <w:rFonts w:ascii="Times New Roman" w:hAnsi="Times New Roman" w:eastAsia="Times New Roman" w:cs="Times New Roman"/>
                <w:spacing w:val="6"/>
                <w:sz w:val="20"/>
                <w:szCs w:val="20"/>
              </w:rPr>
              <w:t xml:space="preserve">2019  </w:t>
            </w:r>
            <w:r>
              <w:rPr>
                <w:rFonts w:ascii="宋体" w:hAnsi="宋体" w:eastAsia="宋体" w:cs="宋体"/>
                <w:spacing w:val="6"/>
                <w:sz w:val="20"/>
                <w:szCs w:val="20"/>
              </w:rPr>
              <w:t>《医务人员卫生规范》）</w:t>
            </w:r>
          </w:p>
        </w:tc>
        <w:tc>
          <w:tcPr>
            <w:tcW w:w="530" w:type="dxa"/>
            <w:vAlign w:val="top"/>
          </w:tcPr>
          <w:p w14:paraId="01E005F9">
            <w:pPr>
              <w:spacing w:before="143" w:line="276" w:lineRule="auto"/>
              <w:ind w:left="118"/>
              <w:rPr>
                <w:rFonts w:ascii="宋体" w:hAnsi="宋体" w:eastAsia="宋体" w:cs="宋体"/>
                <w:sz w:val="20"/>
                <w:szCs w:val="20"/>
              </w:rPr>
            </w:pPr>
            <w:r>
              <w:rPr>
                <w:rFonts w:ascii="宋体" w:hAnsi="宋体" w:eastAsia="宋体" w:cs="宋体"/>
                <w:spacing w:val="1"/>
                <w:position w:val="1"/>
                <w:sz w:val="20"/>
                <w:szCs w:val="20"/>
              </w:rPr>
              <w:t>0.6</w:t>
            </w:r>
          </w:p>
        </w:tc>
        <w:tc>
          <w:tcPr>
            <w:tcW w:w="857" w:type="dxa"/>
            <w:vAlign w:val="top"/>
          </w:tcPr>
          <w:p w14:paraId="19D3F7C8">
            <w:pPr>
              <w:spacing w:before="143" w:line="276" w:lineRule="auto"/>
              <w:ind w:left="116"/>
              <w:rPr>
                <w:rFonts w:ascii="宋体" w:hAnsi="宋体" w:eastAsia="宋体" w:cs="宋体"/>
                <w:sz w:val="20"/>
                <w:szCs w:val="20"/>
              </w:rPr>
            </w:pPr>
            <w:r>
              <w:rPr>
                <w:rFonts w:ascii="宋体" w:hAnsi="宋体" w:eastAsia="宋体" w:cs="宋体"/>
                <w:spacing w:val="3"/>
                <w:position w:val="1"/>
                <w:sz w:val="20"/>
                <w:szCs w:val="20"/>
              </w:rPr>
              <w:t>40.00%</w:t>
            </w:r>
          </w:p>
        </w:tc>
        <w:tc>
          <w:tcPr>
            <w:tcW w:w="415" w:type="dxa"/>
            <w:vAlign w:val="top"/>
          </w:tcPr>
          <w:p w14:paraId="7E4AFCE3">
            <w:pPr>
              <w:spacing w:before="143" w:line="276" w:lineRule="auto"/>
              <w:ind w:left="122"/>
              <w:rPr>
                <w:rFonts w:ascii="宋体" w:hAnsi="宋体" w:eastAsia="宋体" w:cs="宋体"/>
                <w:sz w:val="20"/>
                <w:szCs w:val="20"/>
              </w:rPr>
            </w:pPr>
            <w:r>
              <w:rPr>
                <w:rFonts w:ascii="宋体" w:hAnsi="宋体" w:eastAsia="宋体" w:cs="宋体"/>
                <w:spacing w:val="-8"/>
                <w:position w:val="1"/>
                <w:sz w:val="20"/>
                <w:szCs w:val="20"/>
              </w:rPr>
              <w:t>18</w:t>
            </w:r>
          </w:p>
        </w:tc>
        <w:tc>
          <w:tcPr>
            <w:tcW w:w="952" w:type="dxa"/>
            <w:vAlign w:val="top"/>
          </w:tcPr>
          <w:p w14:paraId="03ADB10A">
            <w:pPr>
              <w:spacing w:before="143" w:line="276" w:lineRule="auto"/>
              <w:ind w:left="117"/>
              <w:rPr>
                <w:rFonts w:ascii="宋体" w:hAnsi="宋体" w:eastAsia="宋体" w:cs="宋体"/>
                <w:sz w:val="20"/>
                <w:szCs w:val="20"/>
              </w:rPr>
            </w:pPr>
            <w:r>
              <w:rPr>
                <w:rFonts w:ascii="宋体" w:hAnsi="宋体" w:eastAsia="宋体" w:cs="宋体"/>
                <w:spacing w:val="3"/>
                <w:position w:val="1"/>
                <w:sz w:val="20"/>
                <w:szCs w:val="20"/>
              </w:rPr>
              <w:t>82.05%</w:t>
            </w:r>
          </w:p>
        </w:tc>
      </w:tr>
      <w:tr w14:paraId="0BD7B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3" w:hRule="atLeast"/>
        </w:trPr>
        <w:tc>
          <w:tcPr>
            <w:tcW w:w="6816" w:type="dxa"/>
            <w:vAlign w:val="top"/>
          </w:tcPr>
          <w:p w14:paraId="2DD8F003">
            <w:pPr>
              <w:spacing w:before="119" w:line="276" w:lineRule="auto"/>
              <w:ind w:left="111"/>
              <w:rPr>
                <w:rFonts w:ascii="宋体" w:hAnsi="宋体" w:eastAsia="宋体" w:cs="宋体"/>
                <w:sz w:val="20"/>
                <w:szCs w:val="20"/>
              </w:rPr>
            </w:pPr>
            <w:r>
              <w:rPr>
                <w:rFonts w:ascii="宋体" w:hAnsi="宋体" w:eastAsia="宋体" w:cs="宋体"/>
                <w:spacing w:val="7"/>
                <w:sz w:val="20"/>
                <w:szCs w:val="20"/>
              </w:rPr>
              <w:t>B. 沿用国家标准原文。</w:t>
            </w:r>
          </w:p>
        </w:tc>
        <w:tc>
          <w:tcPr>
            <w:tcW w:w="530" w:type="dxa"/>
            <w:vAlign w:val="top"/>
          </w:tcPr>
          <w:p w14:paraId="5ADAB2CA">
            <w:pPr>
              <w:spacing w:before="119" w:line="276" w:lineRule="auto"/>
              <w:ind w:left="118"/>
              <w:rPr>
                <w:rFonts w:ascii="宋体" w:hAnsi="宋体" w:eastAsia="宋体" w:cs="宋体"/>
                <w:sz w:val="20"/>
                <w:szCs w:val="20"/>
              </w:rPr>
            </w:pPr>
            <w:r>
              <w:rPr>
                <w:rFonts w:ascii="宋体" w:hAnsi="宋体" w:eastAsia="宋体" w:cs="宋体"/>
                <w:spacing w:val="1"/>
                <w:sz w:val="20"/>
                <w:szCs w:val="20"/>
              </w:rPr>
              <w:t>0.4</w:t>
            </w:r>
          </w:p>
        </w:tc>
        <w:tc>
          <w:tcPr>
            <w:tcW w:w="857" w:type="dxa"/>
            <w:vAlign w:val="top"/>
          </w:tcPr>
          <w:p w14:paraId="4501BDA9">
            <w:pPr>
              <w:spacing w:before="119" w:line="276" w:lineRule="auto"/>
              <w:ind w:left="118"/>
              <w:rPr>
                <w:rFonts w:ascii="宋体" w:hAnsi="宋体" w:eastAsia="宋体" w:cs="宋体"/>
                <w:sz w:val="20"/>
                <w:szCs w:val="20"/>
              </w:rPr>
            </w:pPr>
            <w:r>
              <w:rPr>
                <w:rFonts w:ascii="宋体" w:hAnsi="宋体" w:eastAsia="宋体" w:cs="宋体"/>
                <w:spacing w:val="3"/>
                <w:sz w:val="20"/>
                <w:szCs w:val="20"/>
              </w:rPr>
              <w:t>60.00%</w:t>
            </w:r>
          </w:p>
        </w:tc>
        <w:tc>
          <w:tcPr>
            <w:tcW w:w="415" w:type="dxa"/>
            <w:vAlign w:val="top"/>
          </w:tcPr>
          <w:p w14:paraId="3C8E942B">
            <w:pPr>
              <w:spacing w:before="119" w:line="276" w:lineRule="auto"/>
              <w:ind w:left="122"/>
              <w:rPr>
                <w:rFonts w:ascii="宋体" w:hAnsi="宋体" w:eastAsia="宋体" w:cs="宋体"/>
                <w:sz w:val="20"/>
                <w:szCs w:val="20"/>
              </w:rPr>
            </w:pPr>
            <w:r>
              <w:rPr>
                <w:rFonts w:ascii="宋体" w:hAnsi="宋体" w:eastAsia="宋体" w:cs="宋体"/>
                <w:spacing w:val="-7"/>
                <w:sz w:val="20"/>
                <w:szCs w:val="20"/>
              </w:rPr>
              <w:t>12</w:t>
            </w:r>
          </w:p>
        </w:tc>
        <w:tc>
          <w:tcPr>
            <w:tcW w:w="952" w:type="dxa"/>
            <w:vAlign w:val="top"/>
          </w:tcPr>
          <w:p w14:paraId="7A4193A6">
            <w:pPr>
              <w:spacing w:before="119" w:line="276" w:lineRule="auto"/>
              <w:ind w:left="132"/>
              <w:rPr>
                <w:rFonts w:ascii="宋体" w:hAnsi="宋体" w:eastAsia="宋体" w:cs="宋体"/>
                <w:sz w:val="20"/>
                <w:szCs w:val="20"/>
              </w:rPr>
            </w:pPr>
            <w:r>
              <w:rPr>
                <w:rFonts w:ascii="宋体" w:hAnsi="宋体" w:eastAsia="宋体" w:cs="宋体"/>
                <w:spacing w:val="1"/>
                <w:sz w:val="20"/>
                <w:szCs w:val="20"/>
              </w:rPr>
              <w:t>124.57%</w:t>
            </w:r>
          </w:p>
        </w:tc>
      </w:tr>
    </w:tbl>
    <w:p w14:paraId="225256A7">
      <w:pPr>
        <w:spacing w:before="142" w:line="276" w:lineRule="auto"/>
        <w:ind w:left="539"/>
        <w:rPr>
          <w:rFonts w:ascii="宋体" w:hAnsi="宋体" w:eastAsia="宋体" w:cs="宋体"/>
          <w:sz w:val="20"/>
          <w:szCs w:val="20"/>
        </w:rPr>
      </w:pPr>
      <w:r>
        <w:rPr>
          <w:rFonts w:ascii="宋体" w:hAnsi="宋体" w:eastAsia="宋体" w:cs="宋体"/>
          <w:b/>
          <w:bCs/>
          <w:spacing w:val="6"/>
          <w:sz w:val="20"/>
          <w:szCs w:val="20"/>
        </w:rPr>
        <w:t>2.5</w:t>
      </w:r>
      <w:r>
        <w:rPr>
          <w:rFonts w:ascii="宋体" w:hAnsi="宋体" w:eastAsia="宋体" w:cs="宋体"/>
          <w:spacing w:val="6"/>
          <w:sz w:val="20"/>
          <w:szCs w:val="20"/>
        </w:rPr>
        <w:t xml:space="preserve"> </w:t>
      </w:r>
      <w:r>
        <w:rPr>
          <w:rFonts w:ascii="宋体" w:hAnsi="宋体" w:eastAsia="宋体" w:cs="宋体"/>
          <w:b/>
          <w:bCs/>
          <w:spacing w:val="6"/>
          <w:sz w:val="20"/>
          <w:szCs w:val="20"/>
        </w:rPr>
        <w:t>拔罐部位调查结果</w:t>
      </w:r>
    </w:p>
    <w:p w14:paraId="6BCAC908">
      <w:pPr>
        <w:spacing w:before="151" w:line="276" w:lineRule="auto"/>
        <w:ind w:left="3876"/>
        <w:rPr>
          <w:rFonts w:ascii="宋体" w:hAnsi="宋体" w:eastAsia="宋体" w:cs="宋体"/>
          <w:sz w:val="20"/>
          <w:szCs w:val="20"/>
        </w:rPr>
      </w:pPr>
      <w:r>
        <w:rPr>
          <w:rFonts w:ascii="宋体" w:hAnsi="宋体" w:eastAsia="宋体" w:cs="宋体"/>
          <w:spacing w:val="5"/>
          <w:sz w:val="20"/>
          <w:szCs w:val="20"/>
        </w:rPr>
        <w:t>表</w:t>
      </w:r>
      <w:r>
        <w:rPr>
          <w:rFonts w:ascii="宋体" w:hAnsi="宋体" w:eastAsia="宋体" w:cs="宋体"/>
          <w:spacing w:val="40"/>
          <w:sz w:val="20"/>
          <w:szCs w:val="20"/>
        </w:rPr>
        <w:t xml:space="preserve"> </w:t>
      </w:r>
      <w:r>
        <w:rPr>
          <w:rFonts w:ascii="宋体" w:hAnsi="宋体" w:eastAsia="宋体" w:cs="宋体"/>
          <w:spacing w:val="5"/>
          <w:sz w:val="20"/>
          <w:szCs w:val="20"/>
        </w:rPr>
        <w:t>12 拔罐部位调查结果</w:t>
      </w:r>
    </w:p>
    <w:p w14:paraId="77ED6059">
      <w:pPr>
        <w:spacing w:line="276" w:lineRule="auto"/>
      </w:pPr>
    </w:p>
    <w:tbl>
      <w:tblPr>
        <w:tblStyle w:val="9"/>
        <w:tblW w:w="95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710"/>
        <w:gridCol w:w="635"/>
        <w:gridCol w:w="858"/>
        <w:gridCol w:w="416"/>
        <w:gridCol w:w="951"/>
      </w:tblGrid>
      <w:tr w14:paraId="3587B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rPr>
        <w:tc>
          <w:tcPr>
            <w:tcW w:w="6710" w:type="dxa"/>
            <w:vAlign w:val="top"/>
          </w:tcPr>
          <w:p w14:paraId="5E1A6028">
            <w:pPr>
              <w:spacing w:before="144" w:line="276" w:lineRule="auto"/>
              <w:ind w:left="3151"/>
              <w:rPr>
                <w:rFonts w:ascii="宋体" w:hAnsi="宋体" w:eastAsia="宋体" w:cs="宋体"/>
                <w:sz w:val="20"/>
                <w:szCs w:val="20"/>
              </w:rPr>
            </w:pPr>
            <w:r>
              <w:rPr>
                <w:rFonts w:ascii="宋体" w:hAnsi="宋体" w:eastAsia="宋体" w:cs="宋体"/>
                <w:spacing w:val="5"/>
                <w:sz w:val="20"/>
                <w:szCs w:val="20"/>
              </w:rPr>
              <w:t>选项</w:t>
            </w:r>
          </w:p>
        </w:tc>
        <w:tc>
          <w:tcPr>
            <w:tcW w:w="635" w:type="dxa"/>
            <w:vAlign w:val="top"/>
          </w:tcPr>
          <w:p w14:paraId="4A5B5B35">
            <w:pPr>
              <w:spacing w:before="208" w:line="276" w:lineRule="auto"/>
              <w:ind w:left="248"/>
              <w:rPr>
                <w:rFonts w:ascii="Times New Roman" w:hAnsi="Times New Roman" w:eastAsia="Times New Roman" w:cs="Times New Roman"/>
                <w:sz w:val="25"/>
                <w:szCs w:val="25"/>
              </w:rPr>
            </w:pPr>
            <w:r>
              <w:rPr>
                <w:rFonts w:ascii="Times New Roman" w:hAnsi="Times New Roman" w:eastAsia="Times New Roman" w:cs="Times New Roman"/>
                <w:i/>
                <w:iCs/>
                <w:spacing w:val="9"/>
                <w:sz w:val="25"/>
                <w:szCs w:val="25"/>
              </w:rPr>
              <w:t>x</w:t>
            </w:r>
          </w:p>
        </w:tc>
        <w:tc>
          <w:tcPr>
            <w:tcW w:w="858" w:type="dxa"/>
            <w:vAlign w:val="top"/>
          </w:tcPr>
          <w:p w14:paraId="3E0905DA">
            <w:pPr>
              <w:spacing w:before="179" w:line="276" w:lineRule="auto"/>
              <w:ind w:left="377"/>
              <w:rPr>
                <w:rFonts w:ascii="宋体" w:hAnsi="宋体" w:eastAsia="宋体" w:cs="宋体"/>
                <w:sz w:val="20"/>
                <w:szCs w:val="20"/>
              </w:rPr>
            </w:pPr>
            <w:r>
              <w:rPr>
                <w:rFonts w:ascii="宋体" w:hAnsi="宋体" w:eastAsia="宋体" w:cs="宋体"/>
                <w:sz w:val="20"/>
                <w:szCs w:val="20"/>
              </w:rPr>
              <w:t>R</w:t>
            </w:r>
          </w:p>
        </w:tc>
        <w:tc>
          <w:tcPr>
            <w:tcW w:w="416" w:type="dxa"/>
            <w:vAlign w:val="top"/>
          </w:tcPr>
          <w:p w14:paraId="425195BF">
            <w:pPr>
              <w:spacing w:before="177" w:line="276" w:lineRule="auto"/>
              <w:ind w:left="158"/>
              <w:rPr>
                <w:rFonts w:ascii="宋体" w:hAnsi="宋体" w:eastAsia="宋体" w:cs="宋体"/>
                <w:sz w:val="20"/>
                <w:szCs w:val="20"/>
              </w:rPr>
            </w:pPr>
            <w:r>
              <w:rPr>
                <w:rFonts w:ascii="宋体" w:hAnsi="宋体" w:eastAsia="宋体" w:cs="宋体"/>
                <w:sz w:val="20"/>
                <w:szCs w:val="20"/>
              </w:rPr>
              <w:t>S</w:t>
            </w:r>
          </w:p>
        </w:tc>
        <w:tc>
          <w:tcPr>
            <w:tcW w:w="951" w:type="dxa"/>
            <w:vAlign w:val="top"/>
          </w:tcPr>
          <w:p w14:paraId="617A1BAE">
            <w:pPr>
              <w:spacing w:before="177" w:line="276" w:lineRule="auto"/>
              <w:ind w:left="375"/>
              <w:rPr>
                <w:rFonts w:ascii="宋体" w:hAnsi="宋体" w:eastAsia="宋体" w:cs="宋体"/>
                <w:sz w:val="20"/>
                <w:szCs w:val="20"/>
              </w:rPr>
            </w:pPr>
            <w:r>
              <w:rPr>
                <w:rFonts w:ascii="宋体" w:hAnsi="宋体" w:eastAsia="宋体" w:cs="宋体"/>
                <w:spacing w:val="1"/>
                <w:sz w:val="20"/>
                <w:szCs w:val="20"/>
              </w:rPr>
              <w:t>CV</w:t>
            </w:r>
          </w:p>
        </w:tc>
      </w:tr>
      <w:tr w14:paraId="03CA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19" w:hRule="atLeast"/>
        </w:trPr>
        <w:tc>
          <w:tcPr>
            <w:tcW w:w="6710" w:type="dxa"/>
            <w:vAlign w:val="top"/>
          </w:tcPr>
          <w:p w14:paraId="2CF0699C">
            <w:pPr>
              <w:spacing w:before="144" w:line="276" w:lineRule="auto"/>
              <w:ind w:left="112" w:right="54" w:hanging="2"/>
              <w:jc w:val="both"/>
              <w:rPr>
                <w:rFonts w:ascii="宋体" w:hAnsi="宋体" w:eastAsia="宋体" w:cs="宋体"/>
                <w:sz w:val="20"/>
                <w:szCs w:val="20"/>
              </w:rPr>
            </w:pPr>
            <w:r>
              <w:rPr>
                <w:rFonts w:ascii="宋体" w:hAnsi="宋体" w:eastAsia="宋体" w:cs="宋体"/>
                <w:spacing w:val="5"/>
                <w:sz w:val="20"/>
                <w:szCs w:val="20"/>
              </w:rPr>
              <w:t>A. 拔罐的部位一般不需要消毒，可依据患儿皮肤状况，对</w:t>
            </w:r>
            <w:r>
              <w:rPr>
                <w:rFonts w:ascii="宋体" w:hAnsi="宋体" w:eastAsia="宋体" w:cs="宋体"/>
                <w:spacing w:val="-19"/>
                <w:sz w:val="20"/>
                <w:szCs w:val="20"/>
              </w:rPr>
              <w:t xml:space="preserve"> </w:t>
            </w:r>
            <w:r>
              <w:rPr>
                <w:rFonts w:ascii="Times New Roman" w:hAnsi="Times New Roman" w:eastAsia="Times New Roman" w:cs="Times New Roman"/>
                <w:spacing w:val="5"/>
                <w:sz w:val="20"/>
                <w:szCs w:val="20"/>
              </w:rPr>
              <w:t>1-5</w:t>
            </w:r>
            <w:r>
              <w:rPr>
                <w:rFonts w:ascii="Times New Roman" w:hAnsi="Times New Roman" w:eastAsia="Times New Roman" w:cs="Times New Roman"/>
                <w:spacing w:val="21"/>
                <w:w w:val="101"/>
                <w:sz w:val="20"/>
                <w:szCs w:val="20"/>
              </w:rPr>
              <w:t xml:space="preserve"> </w:t>
            </w:r>
            <w:r>
              <w:rPr>
                <w:rFonts w:ascii="宋体" w:hAnsi="宋体" w:eastAsia="宋体" w:cs="宋体"/>
                <w:spacing w:val="5"/>
                <w:sz w:val="20"/>
                <w:szCs w:val="20"/>
              </w:rPr>
              <w:t>岁的患儿</w:t>
            </w:r>
            <w:r>
              <w:rPr>
                <w:rFonts w:ascii="宋体" w:hAnsi="宋体" w:eastAsia="宋体" w:cs="宋体"/>
                <w:spacing w:val="3"/>
                <w:sz w:val="20"/>
                <w:szCs w:val="20"/>
              </w:rPr>
              <w:t>在拔罐部位涂抹白凡士林或石蜡。（出处：全国中</w:t>
            </w:r>
            <w:r>
              <w:rPr>
                <w:rFonts w:ascii="宋体" w:hAnsi="宋体" w:eastAsia="宋体" w:cs="宋体"/>
                <w:spacing w:val="2"/>
                <w:sz w:val="20"/>
                <w:szCs w:val="20"/>
              </w:rPr>
              <w:t>医药行业高等教育“十</w:t>
            </w:r>
            <w:r>
              <w:rPr>
                <w:rFonts w:ascii="宋体" w:hAnsi="宋体" w:eastAsia="宋体" w:cs="宋体"/>
                <w:spacing w:val="3"/>
                <w:sz w:val="20"/>
                <w:szCs w:val="20"/>
              </w:rPr>
              <w:t>四五</w:t>
            </w:r>
            <w:r>
              <w:rPr>
                <w:rFonts w:ascii="宋体" w:hAnsi="宋体" w:eastAsia="宋体" w:cs="宋体"/>
                <w:spacing w:val="-55"/>
                <w:sz w:val="20"/>
                <w:szCs w:val="20"/>
              </w:rPr>
              <w:t xml:space="preserve"> </w:t>
            </w:r>
            <w:r>
              <w:rPr>
                <w:rFonts w:ascii="宋体" w:hAnsi="宋体" w:eastAsia="宋体" w:cs="宋体"/>
                <w:spacing w:val="3"/>
                <w:sz w:val="20"/>
                <w:szCs w:val="20"/>
              </w:rPr>
              <w:t>”创新教材《中医拔罐疗法》，主编：陈泽林，中国中医药出版社，</w:t>
            </w:r>
            <w:r>
              <w:rPr>
                <w:rFonts w:ascii="宋体" w:hAnsi="宋体" w:eastAsia="宋体" w:cs="宋体"/>
                <w:sz w:val="20"/>
                <w:szCs w:val="20"/>
              </w:rPr>
              <w:t xml:space="preserve"> </w:t>
            </w:r>
            <w:r>
              <w:rPr>
                <w:rFonts w:ascii="Times New Roman" w:hAnsi="Times New Roman" w:eastAsia="Times New Roman" w:cs="Times New Roman"/>
                <w:spacing w:val="3"/>
                <w:sz w:val="20"/>
                <w:szCs w:val="20"/>
              </w:rPr>
              <w:t>2023</w:t>
            </w:r>
            <w:r>
              <w:rPr>
                <w:rFonts w:ascii="宋体" w:hAnsi="宋体" w:eastAsia="宋体" w:cs="宋体"/>
                <w:spacing w:val="3"/>
                <w:sz w:val="20"/>
                <w:szCs w:val="20"/>
              </w:rPr>
              <w:t>）</w:t>
            </w:r>
          </w:p>
        </w:tc>
        <w:tc>
          <w:tcPr>
            <w:tcW w:w="635" w:type="dxa"/>
            <w:vAlign w:val="top"/>
          </w:tcPr>
          <w:p w14:paraId="7EFF9027">
            <w:pPr>
              <w:spacing w:before="144" w:line="276" w:lineRule="auto"/>
              <w:ind w:left="118"/>
              <w:rPr>
                <w:rFonts w:ascii="宋体" w:hAnsi="宋体" w:eastAsia="宋体" w:cs="宋体"/>
                <w:sz w:val="20"/>
                <w:szCs w:val="20"/>
              </w:rPr>
            </w:pPr>
            <w:r>
              <w:rPr>
                <w:rFonts w:ascii="宋体" w:hAnsi="宋体" w:eastAsia="宋体" w:cs="宋体"/>
                <w:spacing w:val="2"/>
                <w:position w:val="1"/>
                <w:sz w:val="20"/>
                <w:szCs w:val="20"/>
              </w:rPr>
              <w:t>0.53</w:t>
            </w:r>
          </w:p>
        </w:tc>
        <w:tc>
          <w:tcPr>
            <w:tcW w:w="858" w:type="dxa"/>
            <w:vAlign w:val="top"/>
          </w:tcPr>
          <w:p w14:paraId="1FEAA048">
            <w:pPr>
              <w:spacing w:before="144" w:line="276" w:lineRule="auto"/>
              <w:ind w:left="117"/>
              <w:rPr>
                <w:rFonts w:ascii="宋体" w:hAnsi="宋体" w:eastAsia="宋体" w:cs="宋体"/>
                <w:sz w:val="20"/>
                <w:szCs w:val="20"/>
              </w:rPr>
            </w:pPr>
            <w:r>
              <w:rPr>
                <w:rFonts w:ascii="宋体" w:hAnsi="宋体" w:eastAsia="宋体" w:cs="宋体"/>
                <w:spacing w:val="3"/>
                <w:position w:val="1"/>
                <w:sz w:val="20"/>
                <w:szCs w:val="20"/>
              </w:rPr>
              <w:t>47.00%</w:t>
            </w:r>
          </w:p>
        </w:tc>
        <w:tc>
          <w:tcPr>
            <w:tcW w:w="416" w:type="dxa"/>
            <w:vAlign w:val="top"/>
          </w:tcPr>
          <w:p w14:paraId="4F513354">
            <w:pPr>
              <w:spacing w:before="144" w:line="276" w:lineRule="auto"/>
              <w:ind w:left="122"/>
              <w:rPr>
                <w:rFonts w:ascii="宋体" w:hAnsi="宋体" w:eastAsia="宋体" w:cs="宋体"/>
                <w:sz w:val="20"/>
                <w:szCs w:val="20"/>
              </w:rPr>
            </w:pPr>
            <w:r>
              <w:rPr>
                <w:rFonts w:ascii="宋体" w:hAnsi="宋体" w:eastAsia="宋体" w:cs="宋体"/>
                <w:spacing w:val="-7"/>
                <w:position w:val="1"/>
                <w:sz w:val="20"/>
                <w:szCs w:val="20"/>
              </w:rPr>
              <w:t>16</w:t>
            </w:r>
          </w:p>
        </w:tc>
        <w:tc>
          <w:tcPr>
            <w:tcW w:w="951" w:type="dxa"/>
            <w:vAlign w:val="top"/>
          </w:tcPr>
          <w:p w14:paraId="5EA79863">
            <w:pPr>
              <w:spacing w:before="144" w:line="276" w:lineRule="auto"/>
              <w:ind w:left="116"/>
              <w:rPr>
                <w:rFonts w:ascii="宋体" w:hAnsi="宋体" w:eastAsia="宋体" w:cs="宋体"/>
                <w:sz w:val="20"/>
                <w:szCs w:val="20"/>
              </w:rPr>
            </w:pPr>
            <w:r>
              <w:rPr>
                <w:rFonts w:ascii="宋体" w:hAnsi="宋体" w:eastAsia="宋体" w:cs="宋体"/>
                <w:spacing w:val="3"/>
                <w:position w:val="1"/>
                <w:sz w:val="20"/>
                <w:szCs w:val="20"/>
              </w:rPr>
              <w:t>95.74%</w:t>
            </w:r>
          </w:p>
        </w:tc>
      </w:tr>
      <w:tr w14:paraId="17A36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6710" w:type="dxa"/>
            <w:vAlign w:val="top"/>
          </w:tcPr>
          <w:p w14:paraId="0FAA0B78">
            <w:pPr>
              <w:spacing w:before="127" w:line="276" w:lineRule="auto"/>
              <w:ind w:left="111"/>
              <w:rPr>
                <w:rFonts w:ascii="宋体" w:hAnsi="宋体" w:eastAsia="宋体" w:cs="宋体"/>
                <w:sz w:val="20"/>
                <w:szCs w:val="20"/>
              </w:rPr>
            </w:pPr>
            <w:r>
              <w:rPr>
                <w:rFonts w:ascii="宋体" w:hAnsi="宋体" w:eastAsia="宋体" w:cs="宋体"/>
                <w:spacing w:val="7"/>
                <w:sz w:val="20"/>
                <w:szCs w:val="20"/>
              </w:rPr>
              <w:t>B. 沿用国家标准原文。</w:t>
            </w:r>
          </w:p>
        </w:tc>
        <w:tc>
          <w:tcPr>
            <w:tcW w:w="635" w:type="dxa"/>
            <w:vAlign w:val="top"/>
          </w:tcPr>
          <w:p w14:paraId="6EE8E533">
            <w:pPr>
              <w:spacing w:before="126" w:line="276" w:lineRule="auto"/>
              <w:ind w:left="118"/>
              <w:rPr>
                <w:rFonts w:ascii="宋体" w:hAnsi="宋体" w:eastAsia="宋体" w:cs="宋体"/>
                <w:sz w:val="20"/>
                <w:szCs w:val="20"/>
              </w:rPr>
            </w:pPr>
            <w:r>
              <w:rPr>
                <w:rFonts w:ascii="宋体" w:hAnsi="宋体" w:eastAsia="宋体" w:cs="宋体"/>
                <w:spacing w:val="1"/>
                <w:sz w:val="20"/>
                <w:szCs w:val="20"/>
              </w:rPr>
              <w:t>0.4</w:t>
            </w:r>
          </w:p>
        </w:tc>
        <w:tc>
          <w:tcPr>
            <w:tcW w:w="858" w:type="dxa"/>
            <w:vAlign w:val="top"/>
          </w:tcPr>
          <w:p w14:paraId="19FDDD93">
            <w:pPr>
              <w:spacing w:before="126" w:line="276" w:lineRule="auto"/>
              <w:ind w:left="119"/>
              <w:rPr>
                <w:rFonts w:ascii="宋体" w:hAnsi="宋体" w:eastAsia="宋体" w:cs="宋体"/>
                <w:sz w:val="20"/>
                <w:szCs w:val="20"/>
              </w:rPr>
            </w:pPr>
            <w:r>
              <w:rPr>
                <w:rFonts w:ascii="宋体" w:hAnsi="宋体" w:eastAsia="宋体" w:cs="宋体"/>
                <w:spacing w:val="3"/>
                <w:sz w:val="20"/>
                <w:szCs w:val="20"/>
              </w:rPr>
              <w:t>60.00%</w:t>
            </w:r>
          </w:p>
        </w:tc>
        <w:tc>
          <w:tcPr>
            <w:tcW w:w="416" w:type="dxa"/>
            <w:vAlign w:val="top"/>
          </w:tcPr>
          <w:p w14:paraId="48EA1484">
            <w:pPr>
              <w:spacing w:before="126" w:line="276" w:lineRule="auto"/>
              <w:ind w:left="122"/>
              <w:rPr>
                <w:rFonts w:ascii="宋体" w:hAnsi="宋体" w:eastAsia="宋体" w:cs="宋体"/>
                <w:sz w:val="20"/>
                <w:szCs w:val="20"/>
              </w:rPr>
            </w:pPr>
            <w:r>
              <w:rPr>
                <w:rFonts w:ascii="宋体" w:hAnsi="宋体" w:eastAsia="宋体" w:cs="宋体"/>
                <w:spacing w:val="-7"/>
                <w:sz w:val="20"/>
                <w:szCs w:val="20"/>
              </w:rPr>
              <w:t>12</w:t>
            </w:r>
          </w:p>
        </w:tc>
        <w:tc>
          <w:tcPr>
            <w:tcW w:w="951" w:type="dxa"/>
            <w:vAlign w:val="top"/>
          </w:tcPr>
          <w:p w14:paraId="5F2E50DC">
            <w:pPr>
              <w:spacing w:before="126" w:line="276" w:lineRule="auto"/>
              <w:ind w:left="131"/>
              <w:rPr>
                <w:rFonts w:ascii="宋体" w:hAnsi="宋体" w:eastAsia="宋体" w:cs="宋体"/>
                <w:sz w:val="20"/>
                <w:szCs w:val="20"/>
              </w:rPr>
            </w:pPr>
            <w:r>
              <w:rPr>
                <w:rFonts w:ascii="宋体" w:hAnsi="宋体" w:eastAsia="宋体" w:cs="宋体"/>
                <w:spacing w:val="1"/>
                <w:sz w:val="20"/>
                <w:szCs w:val="20"/>
              </w:rPr>
              <w:t>124.57%</w:t>
            </w:r>
          </w:p>
        </w:tc>
      </w:tr>
    </w:tbl>
    <w:p w14:paraId="6F270CDD">
      <w:pPr>
        <w:spacing w:before="141" w:line="276" w:lineRule="auto"/>
        <w:ind w:left="539"/>
        <w:rPr>
          <w:rFonts w:ascii="宋体" w:hAnsi="宋体" w:eastAsia="宋体" w:cs="宋体"/>
          <w:sz w:val="20"/>
          <w:szCs w:val="20"/>
        </w:rPr>
      </w:pPr>
      <w:r>
        <w:rPr>
          <w:rFonts w:ascii="宋体" w:hAnsi="宋体" w:eastAsia="宋体" w:cs="宋体"/>
          <w:b/>
          <w:bCs/>
          <w:spacing w:val="4"/>
          <w:sz w:val="20"/>
          <w:szCs w:val="20"/>
        </w:rPr>
        <w:t>2.6</w:t>
      </w:r>
      <w:r>
        <w:rPr>
          <w:rFonts w:ascii="宋体" w:hAnsi="宋体" w:eastAsia="宋体" w:cs="宋体"/>
          <w:spacing w:val="28"/>
          <w:sz w:val="20"/>
          <w:szCs w:val="20"/>
        </w:rPr>
        <w:t xml:space="preserve"> </w:t>
      </w:r>
      <w:r>
        <w:rPr>
          <w:rFonts w:ascii="宋体" w:hAnsi="宋体" w:eastAsia="宋体" w:cs="宋体"/>
          <w:b/>
          <w:bCs/>
          <w:spacing w:val="4"/>
          <w:sz w:val="20"/>
          <w:szCs w:val="20"/>
        </w:rPr>
        <w:t>留针拔罐调查结果</w:t>
      </w:r>
    </w:p>
    <w:p w14:paraId="5AA8790A">
      <w:pPr>
        <w:spacing w:before="154" w:line="276" w:lineRule="auto"/>
        <w:ind w:left="3876"/>
        <w:rPr>
          <w:rFonts w:ascii="宋体" w:hAnsi="宋体" w:eastAsia="宋体" w:cs="宋体"/>
          <w:sz w:val="20"/>
          <w:szCs w:val="20"/>
        </w:rPr>
      </w:pPr>
      <w:r>
        <w:rPr>
          <w:rFonts w:ascii="宋体" w:hAnsi="宋体" w:eastAsia="宋体" w:cs="宋体"/>
          <w:spacing w:val="3"/>
          <w:sz w:val="20"/>
          <w:szCs w:val="20"/>
        </w:rPr>
        <w:t>表</w:t>
      </w:r>
      <w:r>
        <w:rPr>
          <w:rFonts w:ascii="宋体" w:hAnsi="宋体" w:eastAsia="宋体" w:cs="宋体"/>
          <w:spacing w:val="39"/>
          <w:sz w:val="20"/>
          <w:szCs w:val="20"/>
        </w:rPr>
        <w:t xml:space="preserve"> </w:t>
      </w:r>
      <w:r>
        <w:rPr>
          <w:rFonts w:ascii="宋体" w:hAnsi="宋体" w:eastAsia="宋体" w:cs="宋体"/>
          <w:spacing w:val="3"/>
          <w:sz w:val="20"/>
          <w:szCs w:val="20"/>
        </w:rPr>
        <w:t>13</w:t>
      </w:r>
      <w:r>
        <w:rPr>
          <w:rFonts w:ascii="宋体" w:hAnsi="宋体" w:eastAsia="宋体" w:cs="宋体"/>
          <w:spacing w:val="28"/>
          <w:sz w:val="20"/>
          <w:szCs w:val="20"/>
        </w:rPr>
        <w:t xml:space="preserve"> </w:t>
      </w:r>
      <w:r>
        <w:rPr>
          <w:rFonts w:ascii="宋体" w:hAnsi="宋体" w:eastAsia="宋体" w:cs="宋体"/>
          <w:spacing w:val="3"/>
          <w:sz w:val="20"/>
          <w:szCs w:val="20"/>
        </w:rPr>
        <w:t>留针拔罐调查结果</w:t>
      </w:r>
    </w:p>
    <w:p w14:paraId="4D73B948">
      <w:pPr>
        <w:spacing w:line="276" w:lineRule="auto"/>
        <w:rPr>
          <w:rFonts w:ascii="Arial"/>
          <w:sz w:val="2"/>
        </w:rPr>
      </w:pPr>
    </w:p>
    <w:tbl>
      <w:tblPr>
        <w:tblStyle w:val="9"/>
        <w:tblW w:w="95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45"/>
        <w:gridCol w:w="692"/>
        <w:gridCol w:w="885"/>
        <w:gridCol w:w="415"/>
        <w:gridCol w:w="1032"/>
      </w:tblGrid>
      <w:tr w14:paraId="4D65B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6545" w:type="dxa"/>
            <w:vAlign w:val="top"/>
          </w:tcPr>
          <w:p w14:paraId="40F95F02">
            <w:pPr>
              <w:spacing w:before="146" w:line="276" w:lineRule="auto"/>
              <w:ind w:left="3151"/>
              <w:rPr>
                <w:rFonts w:ascii="宋体" w:hAnsi="宋体" w:eastAsia="宋体" w:cs="宋体"/>
                <w:sz w:val="20"/>
                <w:szCs w:val="20"/>
              </w:rPr>
            </w:pPr>
            <w:r>
              <w:rPr>
                <w:rFonts w:ascii="宋体" w:hAnsi="宋体" w:eastAsia="宋体" w:cs="宋体"/>
                <w:spacing w:val="5"/>
                <w:sz w:val="20"/>
                <w:szCs w:val="20"/>
              </w:rPr>
              <w:t>选项</w:t>
            </w:r>
          </w:p>
        </w:tc>
        <w:tc>
          <w:tcPr>
            <w:tcW w:w="692" w:type="dxa"/>
            <w:vAlign w:val="top"/>
          </w:tcPr>
          <w:p w14:paraId="6C75CCE1">
            <w:pPr>
              <w:spacing w:before="207" w:line="276" w:lineRule="auto"/>
              <w:ind w:left="247"/>
              <w:rPr>
                <w:rFonts w:ascii="Times New Roman" w:hAnsi="Times New Roman" w:eastAsia="Times New Roman" w:cs="Times New Roman"/>
                <w:sz w:val="25"/>
                <w:szCs w:val="25"/>
              </w:rPr>
            </w:pPr>
            <w:r>
              <w:rPr>
                <w:rFonts w:ascii="Times New Roman" w:hAnsi="Times New Roman" w:eastAsia="Times New Roman" w:cs="Times New Roman"/>
                <w:i/>
                <w:iCs/>
                <w:spacing w:val="9"/>
                <w:sz w:val="25"/>
                <w:szCs w:val="25"/>
              </w:rPr>
              <w:t>x</w:t>
            </w:r>
          </w:p>
        </w:tc>
        <w:tc>
          <w:tcPr>
            <w:tcW w:w="885" w:type="dxa"/>
            <w:vAlign w:val="top"/>
          </w:tcPr>
          <w:p w14:paraId="05FD4FD4">
            <w:pPr>
              <w:spacing w:before="180" w:line="276" w:lineRule="auto"/>
              <w:ind w:left="428"/>
              <w:rPr>
                <w:rFonts w:ascii="宋体" w:hAnsi="宋体" w:eastAsia="宋体" w:cs="宋体"/>
                <w:sz w:val="20"/>
                <w:szCs w:val="20"/>
              </w:rPr>
            </w:pPr>
            <w:r>
              <w:rPr>
                <w:rFonts w:ascii="宋体" w:hAnsi="宋体" w:eastAsia="宋体" w:cs="宋体"/>
                <w:sz w:val="20"/>
                <w:szCs w:val="20"/>
              </w:rPr>
              <w:t>R</w:t>
            </w:r>
          </w:p>
        </w:tc>
        <w:tc>
          <w:tcPr>
            <w:tcW w:w="415" w:type="dxa"/>
            <w:vAlign w:val="top"/>
          </w:tcPr>
          <w:p w14:paraId="5B833991">
            <w:pPr>
              <w:spacing w:before="178" w:line="276" w:lineRule="auto"/>
              <w:ind w:left="165"/>
              <w:rPr>
                <w:rFonts w:ascii="宋体" w:hAnsi="宋体" w:eastAsia="宋体" w:cs="宋体"/>
                <w:sz w:val="20"/>
                <w:szCs w:val="20"/>
              </w:rPr>
            </w:pPr>
            <w:r>
              <w:rPr>
                <w:rFonts w:ascii="宋体" w:hAnsi="宋体" w:eastAsia="宋体" w:cs="宋体"/>
                <w:sz w:val="20"/>
                <w:szCs w:val="20"/>
              </w:rPr>
              <w:t>S</w:t>
            </w:r>
          </w:p>
        </w:tc>
        <w:tc>
          <w:tcPr>
            <w:tcW w:w="1032" w:type="dxa"/>
            <w:vAlign w:val="top"/>
          </w:tcPr>
          <w:p w14:paraId="6B93E823">
            <w:pPr>
              <w:spacing w:before="178" w:line="276" w:lineRule="auto"/>
              <w:ind w:left="373"/>
              <w:rPr>
                <w:rFonts w:ascii="宋体" w:hAnsi="宋体" w:eastAsia="宋体" w:cs="宋体"/>
                <w:sz w:val="20"/>
                <w:szCs w:val="20"/>
              </w:rPr>
            </w:pPr>
            <w:r>
              <w:rPr>
                <w:rFonts w:ascii="宋体" w:hAnsi="宋体" w:eastAsia="宋体" w:cs="宋体"/>
                <w:spacing w:val="1"/>
                <w:sz w:val="20"/>
                <w:szCs w:val="20"/>
              </w:rPr>
              <w:t>CV</w:t>
            </w:r>
          </w:p>
        </w:tc>
      </w:tr>
      <w:tr w14:paraId="1A03F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trPr>
        <w:tc>
          <w:tcPr>
            <w:tcW w:w="6545" w:type="dxa"/>
            <w:vAlign w:val="top"/>
          </w:tcPr>
          <w:p w14:paraId="18E82775">
            <w:pPr>
              <w:spacing w:before="150" w:line="276" w:lineRule="auto"/>
              <w:ind w:left="126" w:right="110" w:hanging="16"/>
              <w:rPr>
                <w:rFonts w:ascii="宋体" w:hAnsi="宋体" w:eastAsia="宋体" w:cs="宋体"/>
                <w:sz w:val="20"/>
                <w:szCs w:val="20"/>
              </w:rPr>
            </w:pPr>
            <w:r>
              <w:rPr>
                <w:rFonts w:ascii="宋体" w:hAnsi="宋体" w:eastAsia="宋体" w:cs="宋体"/>
                <w:spacing w:val="12"/>
                <w:sz w:val="20"/>
                <w:szCs w:val="20"/>
              </w:rPr>
              <w:t>A. 毫针针刺穴位，留针时以针为中心拔罐，留置后起罐、起针。留置</w:t>
            </w:r>
            <w:r>
              <w:rPr>
                <w:rFonts w:ascii="宋体" w:hAnsi="宋体" w:eastAsia="宋体" w:cs="宋体"/>
                <w:spacing w:val="8"/>
                <w:sz w:val="20"/>
                <w:szCs w:val="20"/>
              </w:rPr>
              <w:t>时间参见附录</w:t>
            </w:r>
            <w:r>
              <w:rPr>
                <w:rFonts w:ascii="宋体" w:hAnsi="宋体" w:eastAsia="宋体" w:cs="宋体"/>
                <w:spacing w:val="-40"/>
                <w:sz w:val="20"/>
                <w:szCs w:val="20"/>
              </w:rPr>
              <w:t xml:space="preserve"> </w:t>
            </w:r>
            <w:r>
              <w:rPr>
                <w:rFonts w:ascii="Times New Roman" w:hAnsi="Times New Roman" w:eastAsia="Times New Roman" w:cs="Times New Roman"/>
                <w:spacing w:val="8"/>
                <w:sz w:val="20"/>
                <w:szCs w:val="20"/>
              </w:rPr>
              <w:t>B</w:t>
            </w:r>
            <w:r>
              <w:rPr>
                <w:rFonts w:ascii="Times New Roman" w:hAnsi="Times New Roman" w:eastAsia="Times New Roman" w:cs="Times New Roman"/>
                <w:spacing w:val="-19"/>
                <w:sz w:val="20"/>
                <w:szCs w:val="20"/>
              </w:rPr>
              <w:t xml:space="preserve"> </w:t>
            </w:r>
            <w:r>
              <w:rPr>
                <w:rFonts w:ascii="宋体" w:hAnsi="宋体" w:eastAsia="宋体" w:cs="宋体"/>
                <w:spacing w:val="8"/>
                <w:sz w:val="20"/>
                <w:szCs w:val="20"/>
              </w:rPr>
              <w:t>。因小儿不宜配合，故学龄前患儿不予实施。并应在施</w:t>
            </w:r>
            <w:r>
              <w:rPr>
                <w:rFonts w:ascii="宋体" w:hAnsi="宋体" w:eastAsia="宋体" w:cs="宋体"/>
                <w:spacing w:val="22"/>
                <w:sz w:val="20"/>
                <w:szCs w:val="20"/>
              </w:rPr>
              <w:t>术前与患儿及家长充分沟通</w:t>
            </w:r>
            <w:r>
              <w:rPr>
                <w:rFonts w:ascii="宋体" w:hAnsi="宋体" w:eastAsia="宋体" w:cs="宋体"/>
                <w:spacing w:val="-32"/>
                <w:sz w:val="20"/>
                <w:szCs w:val="20"/>
              </w:rPr>
              <w:t xml:space="preserve"> </w:t>
            </w:r>
            <w:r>
              <w:rPr>
                <w:rFonts w:ascii="宋体" w:hAnsi="宋体" w:eastAsia="宋体" w:cs="宋体"/>
                <w:spacing w:val="22"/>
                <w:sz w:val="20"/>
                <w:szCs w:val="20"/>
              </w:rPr>
              <w:t>。</w:t>
            </w:r>
            <w:r>
              <w:rPr>
                <w:rFonts w:ascii="宋体" w:hAnsi="宋体" w:eastAsia="宋体" w:cs="宋体"/>
                <w:spacing w:val="-65"/>
                <w:sz w:val="20"/>
                <w:szCs w:val="20"/>
              </w:rPr>
              <w:t xml:space="preserve"> </w:t>
            </w:r>
            <w:r>
              <w:rPr>
                <w:rFonts w:ascii="宋体" w:hAnsi="宋体" w:eastAsia="宋体" w:cs="宋体"/>
                <w:spacing w:val="22"/>
                <w:sz w:val="20"/>
                <w:szCs w:val="20"/>
              </w:rPr>
              <w:t>（</w:t>
            </w:r>
            <w:r>
              <w:rPr>
                <w:rFonts w:ascii="宋体" w:hAnsi="宋体" w:eastAsia="宋体" w:cs="宋体"/>
                <w:spacing w:val="-20"/>
                <w:sz w:val="20"/>
                <w:szCs w:val="20"/>
              </w:rPr>
              <w:t xml:space="preserve"> </w:t>
            </w:r>
            <w:r>
              <w:rPr>
                <w:rFonts w:ascii="宋体" w:hAnsi="宋体" w:eastAsia="宋体" w:cs="宋体"/>
                <w:spacing w:val="22"/>
                <w:sz w:val="20"/>
                <w:szCs w:val="20"/>
              </w:rPr>
              <w:t>出处：</w:t>
            </w:r>
            <w:r>
              <w:rPr>
                <w:rFonts w:ascii="宋体" w:hAnsi="宋体" w:eastAsia="宋体" w:cs="宋体"/>
                <w:spacing w:val="-16"/>
                <w:sz w:val="20"/>
                <w:szCs w:val="20"/>
              </w:rPr>
              <w:t xml:space="preserve"> </w:t>
            </w:r>
            <w:r>
              <w:rPr>
                <w:rFonts w:ascii="宋体" w:hAnsi="宋体" w:eastAsia="宋体" w:cs="宋体"/>
                <w:spacing w:val="22"/>
                <w:sz w:val="20"/>
                <w:szCs w:val="20"/>
              </w:rPr>
              <w:t>中华人民共和国国家标准</w:t>
            </w:r>
            <w:r>
              <w:rPr>
                <w:rFonts w:ascii="Times New Roman" w:hAnsi="Times New Roman" w:eastAsia="Times New Roman" w:cs="Times New Roman"/>
                <w:sz w:val="20"/>
                <w:szCs w:val="20"/>
              </w:rPr>
              <w:t>GB</w:t>
            </w:r>
            <w:r>
              <w:rPr>
                <w:rFonts w:ascii="Times New Roman" w:hAnsi="Times New Roman" w:eastAsia="Times New Roman" w:cs="Times New Roman"/>
                <w:spacing w:val="5"/>
                <w:sz w:val="20"/>
                <w:szCs w:val="20"/>
              </w:rPr>
              <w:t>/T21709.20--2009</w:t>
            </w:r>
            <w:r>
              <w:rPr>
                <w:rFonts w:ascii="Times New Roman" w:hAnsi="Times New Roman" w:eastAsia="Times New Roman" w:cs="Times New Roman"/>
                <w:spacing w:val="25"/>
                <w:w w:val="101"/>
                <w:sz w:val="20"/>
                <w:szCs w:val="20"/>
              </w:rPr>
              <w:t xml:space="preserve"> </w:t>
            </w:r>
            <w:r>
              <w:rPr>
                <w:rFonts w:ascii="宋体" w:hAnsi="宋体" w:eastAsia="宋体" w:cs="宋体"/>
                <w:spacing w:val="5"/>
                <w:sz w:val="20"/>
                <w:szCs w:val="20"/>
              </w:rPr>
              <w:t>《针灸技术操作规范 第</w:t>
            </w:r>
            <w:r>
              <w:rPr>
                <w:rFonts w:ascii="宋体" w:hAnsi="宋体" w:eastAsia="宋体" w:cs="宋体"/>
                <w:spacing w:val="-43"/>
                <w:sz w:val="20"/>
                <w:szCs w:val="20"/>
              </w:rPr>
              <w:t xml:space="preserve"> </w:t>
            </w:r>
            <w:r>
              <w:rPr>
                <w:rFonts w:ascii="Times New Roman" w:hAnsi="Times New Roman" w:eastAsia="Times New Roman" w:cs="Times New Roman"/>
                <w:spacing w:val="5"/>
                <w:sz w:val="20"/>
                <w:szCs w:val="20"/>
              </w:rPr>
              <w:t xml:space="preserve">20 </w:t>
            </w:r>
            <w:r>
              <w:rPr>
                <w:rFonts w:ascii="宋体" w:hAnsi="宋体" w:eastAsia="宋体" w:cs="宋体"/>
                <w:spacing w:val="5"/>
                <w:sz w:val="20"/>
                <w:szCs w:val="20"/>
              </w:rPr>
              <w:t>部分：毫针基本刺法》）</w:t>
            </w:r>
          </w:p>
        </w:tc>
        <w:tc>
          <w:tcPr>
            <w:tcW w:w="692" w:type="dxa"/>
            <w:vAlign w:val="top"/>
          </w:tcPr>
          <w:p w14:paraId="634C671C">
            <w:pPr>
              <w:spacing w:before="150" w:line="276" w:lineRule="auto"/>
              <w:ind w:left="117"/>
              <w:rPr>
                <w:rFonts w:ascii="宋体" w:hAnsi="宋体" w:eastAsia="宋体" w:cs="宋体"/>
                <w:sz w:val="20"/>
                <w:szCs w:val="20"/>
              </w:rPr>
            </w:pPr>
            <w:r>
              <w:rPr>
                <w:rFonts w:ascii="宋体" w:hAnsi="宋体" w:eastAsia="宋体" w:cs="宋体"/>
                <w:spacing w:val="1"/>
                <w:position w:val="1"/>
                <w:sz w:val="20"/>
                <w:szCs w:val="20"/>
              </w:rPr>
              <w:t>0.8</w:t>
            </w:r>
          </w:p>
        </w:tc>
        <w:tc>
          <w:tcPr>
            <w:tcW w:w="885" w:type="dxa"/>
            <w:vAlign w:val="top"/>
          </w:tcPr>
          <w:p w14:paraId="1BDC7F46">
            <w:pPr>
              <w:spacing w:before="150" w:line="276" w:lineRule="auto"/>
              <w:ind w:left="171"/>
              <w:rPr>
                <w:rFonts w:ascii="宋体" w:hAnsi="宋体" w:eastAsia="宋体" w:cs="宋体"/>
                <w:sz w:val="20"/>
                <w:szCs w:val="20"/>
              </w:rPr>
            </w:pPr>
            <w:r>
              <w:rPr>
                <w:rFonts w:ascii="宋体" w:hAnsi="宋体" w:eastAsia="宋体" w:cs="宋体"/>
                <w:spacing w:val="3"/>
                <w:position w:val="1"/>
                <w:sz w:val="20"/>
                <w:szCs w:val="20"/>
              </w:rPr>
              <w:t>20.00%</w:t>
            </w:r>
          </w:p>
        </w:tc>
        <w:tc>
          <w:tcPr>
            <w:tcW w:w="415" w:type="dxa"/>
            <w:vAlign w:val="top"/>
          </w:tcPr>
          <w:p w14:paraId="61038FC1">
            <w:pPr>
              <w:spacing w:before="150" w:line="276" w:lineRule="auto"/>
              <w:ind w:left="116"/>
              <w:rPr>
                <w:rFonts w:ascii="宋体" w:hAnsi="宋体" w:eastAsia="宋体" w:cs="宋体"/>
                <w:sz w:val="20"/>
                <w:szCs w:val="20"/>
              </w:rPr>
            </w:pPr>
            <w:r>
              <w:rPr>
                <w:rFonts w:ascii="宋体" w:hAnsi="宋体" w:eastAsia="宋体" w:cs="宋体"/>
                <w:spacing w:val="-1"/>
                <w:position w:val="1"/>
                <w:sz w:val="20"/>
                <w:szCs w:val="20"/>
              </w:rPr>
              <w:t>24</w:t>
            </w:r>
          </w:p>
        </w:tc>
        <w:tc>
          <w:tcPr>
            <w:tcW w:w="1032" w:type="dxa"/>
            <w:vAlign w:val="top"/>
          </w:tcPr>
          <w:p w14:paraId="00FD0FA2">
            <w:pPr>
              <w:spacing w:before="150" w:line="276" w:lineRule="auto"/>
              <w:ind w:left="118"/>
              <w:rPr>
                <w:rFonts w:ascii="宋体" w:hAnsi="宋体" w:eastAsia="宋体" w:cs="宋体"/>
                <w:sz w:val="20"/>
                <w:szCs w:val="20"/>
              </w:rPr>
            </w:pPr>
            <w:r>
              <w:rPr>
                <w:rFonts w:ascii="宋体" w:hAnsi="宋体" w:eastAsia="宋体" w:cs="宋体"/>
                <w:spacing w:val="2"/>
                <w:position w:val="1"/>
                <w:sz w:val="20"/>
                <w:szCs w:val="20"/>
              </w:rPr>
              <w:t>50.85%</w:t>
            </w:r>
          </w:p>
        </w:tc>
      </w:tr>
      <w:tr w14:paraId="402A1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545" w:type="dxa"/>
            <w:vAlign w:val="top"/>
          </w:tcPr>
          <w:p w14:paraId="2E6CAF14">
            <w:pPr>
              <w:spacing w:before="150" w:line="276" w:lineRule="auto"/>
              <w:ind w:left="126" w:right="110" w:hanging="16"/>
              <w:rPr>
                <w:rFonts w:ascii="宋体" w:hAnsi="宋体" w:eastAsia="宋体" w:cs="宋体"/>
                <w:spacing w:val="12"/>
                <w:sz w:val="20"/>
                <w:szCs w:val="20"/>
              </w:rPr>
            </w:pPr>
            <w:r>
              <w:rPr>
                <w:rFonts w:ascii="宋体" w:hAnsi="宋体" w:eastAsia="宋体" w:cs="宋体"/>
                <w:spacing w:val="5"/>
                <w:sz w:val="20"/>
                <w:szCs w:val="20"/>
              </w:rPr>
              <w:t>B. 沿用国家标准原文。</w:t>
            </w:r>
          </w:p>
        </w:tc>
        <w:tc>
          <w:tcPr>
            <w:tcW w:w="692" w:type="dxa"/>
            <w:vAlign w:val="top"/>
          </w:tcPr>
          <w:p w14:paraId="67ECA9C2">
            <w:pPr>
              <w:spacing w:before="150" w:line="276" w:lineRule="auto"/>
              <w:ind w:left="126" w:right="110" w:hanging="16"/>
              <w:rPr>
                <w:rFonts w:ascii="宋体" w:hAnsi="宋体" w:eastAsia="宋体" w:cs="宋体"/>
                <w:spacing w:val="12"/>
                <w:sz w:val="20"/>
                <w:szCs w:val="20"/>
              </w:rPr>
            </w:pPr>
            <w:r>
              <w:rPr>
                <w:rFonts w:ascii="宋体" w:hAnsi="宋体" w:eastAsia="宋体" w:cs="宋体"/>
                <w:spacing w:val="5"/>
                <w:sz w:val="20"/>
                <w:szCs w:val="20"/>
              </w:rPr>
              <w:t>0.13</w:t>
            </w:r>
            <w:r>
              <w:rPr>
                <w:rFonts w:ascii="宋体" w:hAnsi="宋体" w:eastAsia="宋体" w:cs="宋体"/>
                <w:spacing w:val="12"/>
                <w:sz w:val="20"/>
                <w:szCs w:val="20"/>
              </w:rPr>
              <w:t xml:space="preserve">  </w:t>
            </w:r>
            <w:r>
              <w:rPr>
                <w:rFonts w:ascii="宋体" w:hAnsi="宋体" w:eastAsia="宋体" w:cs="宋体"/>
                <w:spacing w:val="10"/>
                <w:sz w:val="20"/>
                <w:szCs w:val="20"/>
              </w:rPr>
              <w:t xml:space="preserve">   </w:t>
            </w:r>
          </w:p>
        </w:tc>
        <w:tc>
          <w:tcPr>
            <w:tcW w:w="885" w:type="dxa"/>
            <w:vAlign w:val="top"/>
          </w:tcPr>
          <w:p w14:paraId="516EE5D1">
            <w:pPr>
              <w:spacing w:before="150" w:line="276" w:lineRule="auto"/>
              <w:ind w:left="126" w:right="110" w:hanging="16"/>
              <w:rPr>
                <w:rFonts w:ascii="宋体" w:hAnsi="宋体" w:eastAsia="宋体" w:cs="宋体"/>
                <w:spacing w:val="12"/>
                <w:sz w:val="20"/>
                <w:szCs w:val="20"/>
              </w:rPr>
            </w:pPr>
            <w:r>
              <w:rPr>
                <w:rFonts w:ascii="宋体" w:hAnsi="宋体" w:eastAsia="宋体" w:cs="宋体"/>
                <w:spacing w:val="5"/>
                <w:sz w:val="20"/>
                <w:szCs w:val="20"/>
              </w:rPr>
              <w:t>87.00%</w:t>
            </w:r>
          </w:p>
        </w:tc>
        <w:tc>
          <w:tcPr>
            <w:tcW w:w="415" w:type="dxa"/>
            <w:vAlign w:val="top"/>
          </w:tcPr>
          <w:p w14:paraId="03683210">
            <w:pPr>
              <w:spacing w:before="150" w:line="276" w:lineRule="auto"/>
              <w:ind w:left="126" w:right="110" w:hanging="16"/>
              <w:rPr>
                <w:rFonts w:ascii="宋体" w:hAnsi="宋体" w:eastAsia="宋体" w:cs="宋体"/>
                <w:spacing w:val="12"/>
                <w:sz w:val="20"/>
                <w:szCs w:val="20"/>
              </w:rPr>
            </w:pPr>
            <w:r>
              <w:rPr>
                <w:rFonts w:ascii="宋体" w:hAnsi="宋体" w:eastAsia="宋体" w:cs="宋体"/>
                <w:spacing w:val="5"/>
                <w:sz w:val="20"/>
                <w:szCs w:val="20"/>
              </w:rPr>
              <w:t>4</w:t>
            </w:r>
          </w:p>
        </w:tc>
        <w:tc>
          <w:tcPr>
            <w:tcW w:w="1032" w:type="dxa"/>
            <w:vAlign w:val="top"/>
          </w:tcPr>
          <w:p w14:paraId="6132E035">
            <w:pPr>
              <w:spacing w:before="150" w:line="276" w:lineRule="auto"/>
              <w:ind w:left="126" w:right="110" w:hanging="16"/>
              <w:rPr>
                <w:rFonts w:ascii="宋体" w:hAnsi="宋体" w:eastAsia="宋体" w:cs="宋体"/>
                <w:spacing w:val="12"/>
                <w:sz w:val="20"/>
                <w:szCs w:val="20"/>
              </w:rPr>
            </w:pPr>
            <w:r>
              <w:rPr>
                <w:rFonts w:ascii="宋体" w:hAnsi="宋体" w:eastAsia="宋体" w:cs="宋体"/>
                <w:spacing w:val="5"/>
                <w:sz w:val="20"/>
                <w:szCs w:val="20"/>
              </w:rPr>
              <w:t>265.96%</w:t>
            </w:r>
          </w:p>
        </w:tc>
      </w:tr>
    </w:tbl>
    <w:p w14:paraId="7439C82A">
      <w:pPr>
        <w:pStyle w:val="3"/>
        <w:spacing w:line="276" w:lineRule="auto"/>
        <w:rPr>
          <w:sz w:val="17"/>
        </w:rPr>
      </w:pPr>
    </w:p>
    <w:p w14:paraId="39BE4CB5">
      <w:pPr>
        <w:spacing w:line="276" w:lineRule="auto"/>
      </w:pPr>
    </w:p>
    <w:p w14:paraId="18F30EBF">
      <w:pPr>
        <w:spacing w:before="208" w:line="276" w:lineRule="auto"/>
        <w:ind w:left="121" w:right="111" w:firstLine="417"/>
        <w:rPr>
          <w:rFonts w:ascii="宋体" w:hAnsi="宋体" w:eastAsia="宋体" w:cs="宋体"/>
          <w:sz w:val="20"/>
          <w:szCs w:val="20"/>
        </w:rPr>
      </w:pPr>
      <w:r>
        <w:rPr>
          <w:rFonts w:ascii="宋体" w:hAnsi="宋体" w:eastAsia="宋体" w:cs="宋体"/>
          <w:b/>
          <w:bCs/>
          <w:spacing w:val="3"/>
          <w:sz w:val="20"/>
          <w:szCs w:val="20"/>
        </w:rPr>
        <w:t>2.7</w:t>
      </w:r>
      <w:r>
        <w:rPr>
          <w:rFonts w:ascii="宋体" w:hAnsi="宋体" w:eastAsia="宋体" w:cs="宋体"/>
          <w:spacing w:val="29"/>
          <w:sz w:val="20"/>
          <w:szCs w:val="20"/>
        </w:rPr>
        <w:t xml:space="preserve"> </w:t>
      </w:r>
      <w:r>
        <w:rPr>
          <w:rFonts w:ascii="宋体" w:hAnsi="宋体" w:eastAsia="宋体" w:cs="宋体"/>
          <w:spacing w:val="3"/>
          <w:sz w:val="20"/>
          <w:szCs w:val="20"/>
        </w:rPr>
        <w:t>附录</w:t>
      </w:r>
      <w:r>
        <w:rPr>
          <w:rFonts w:ascii="宋体" w:hAnsi="宋体" w:eastAsia="宋体" w:cs="宋体"/>
          <w:spacing w:val="-43"/>
          <w:sz w:val="20"/>
          <w:szCs w:val="20"/>
        </w:rPr>
        <w:t xml:space="preserve"> </w:t>
      </w:r>
      <w:r>
        <w:rPr>
          <w:rFonts w:ascii="Times New Roman" w:hAnsi="Times New Roman" w:eastAsia="Times New Roman" w:cs="Times New Roman"/>
          <w:spacing w:val="3"/>
          <w:sz w:val="20"/>
          <w:szCs w:val="20"/>
        </w:rPr>
        <w:t>A</w:t>
      </w:r>
      <w:r>
        <w:rPr>
          <w:rFonts w:ascii="宋体" w:hAnsi="宋体" w:eastAsia="宋体" w:cs="宋体"/>
          <w:spacing w:val="3"/>
          <w:sz w:val="20"/>
          <w:szCs w:val="20"/>
        </w:rPr>
        <w:t>“角罐</w:t>
      </w:r>
      <w:r>
        <w:rPr>
          <w:rFonts w:ascii="宋体" w:hAnsi="宋体" w:eastAsia="宋体" w:cs="宋体"/>
          <w:spacing w:val="-70"/>
          <w:sz w:val="20"/>
          <w:szCs w:val="20"/>
        </w:rPr>
        <w:t xml:space="preserve"> </w:t>
      </w:r>
      <w:r>
        <w:rPr>
          <w:rFonts w:ascii="宋体" w:hAnsi="宋体" w:eastAsia="宋体" w:cs="宋体"/>
          <w:spacing w:val="3"/>
          <w:sz w:val="20"/>
          <w:szCs w:val="20"/>
        </w:rPr>
        <w:t>”、“竹罐</w:t>
      </w:r>
      <w:r>
        <w:rPr>
          <w:rFonts w:ascii="宋体" w:hAnsi="宋体" w:eastAsia="宋体" w:cs="宋体"/>
          <w:spacing w:val="-70"/>
          <w:sz w:val="20"/>
          <w:szCs w:val="20"/>
        </w:rPr>
        <w:t xml:space="preserve"> </w:t>
      </w:r>
      <w:r>
        <w:rPr>
          <w:rFonts w:ascii="宋体" w:hAnsi="宋体" w:eastAsia="宋体" w:cs="宋体"/>
          <w:spacing w:val="3"/>
          <w:sz w:val="20"/>
          <w:szCs w:val="20"/>
        </w:rPr>
        <w:t>”、“陶瓷罐</w:t>
      </w:r>
      <w:r>
        <w:rPr>
          <w:rFonts w:ascii="宋体" w:hAnsi="宋体" w:eastAsia="宋体" w:cs="宋体"/>
          <w:spacing w:val="-73"/>
          <w:sz w:val="20"/>
          <w:szCs w:val="20"/>
        </w:rPr>
        <w:t xml:space="preserve"> </w:t>
      </w:r>
      <w:r>
        <w:rPr>
          <w:rFonts w:ascii="宋体" w:hAnsi="宋体" w:eastAsia="宋体" w:cs="宋体"/>
          <w:spacing w:val="3"/>
          <w:sz w:val="20"/>
          <w:szCs w:val="20"/>
        </w:rPr>
        <w:t>”</w:t>
      </w:r>
      <w:r>
        <w:rPr>
          <w:rFonts w:ascii="宋体" w:hAnsi="宋体" w:eastAsia="宋体" w:cs="宋体"/>
          <w:spacing w:val="2"/>
          <w:sz w:val="20"/>
          <w:szCs w:val="20"/>
        </w:rPr>
        <w:t>、“玻璃罐</w:t>
      </w:r>
      <w:r>
        <w:rPr>
          <w:rFonts w:ascii="宋体" w:hAnsi="宋体" w:eastAsia="宋体" w:cs="宋体"/>
          <w:spacing w:val="-70"/>
          <w:sz w:val="20"/>
          <w:szCs w:val="20"/>
        </w:rPr>
        <w:t xml:space="preserve"> </w:t>
      </w:r>
      <w:r>
        <w:rPr>
          <w:rFonts w:ascii="宋体" w:hAnsi="宋体" w:eastAsia="宋体" w:cs="宋体"/>
          <w:spacing w:val="2"/>
          <w:sz w:val="20"/>
          <w:szCs w:val="20"/>
        </w:rPr>
        <w:t>”、“金属罐</w:t>
      </w:r>
      <w:r>
        <w:rPr>
          <w:rFonts w:ascii="宋体" w:hAnsi="宋体" w:eastAsia="宋体" w:cs="宋体"/>
          <w:spacing w:val="-72"/>
          <w:sz w:val="20"/>
          <w:szCs w:val="20"/>
        </w:rPr>
        <w:t xml:space="preserve"> </w:t>
      </w:r>
      <w:r>
        <w:rPr>
          <w:rFonts w:ascii="宋体" w:hAnsi="宋体" w:eastAsia="宋体" w:cs="宋体"/>
          <w:spacing w:val="2"/>
          <w:sz w:val="20"/>
          <w:szCs w:val="20"/>
        </w:rPr>
        <w:t>”、“橡胶罐</w:t>
      </w:r>
      <w:r>
        <w:rPr>
          <w:rFonts w:ascii="宋体" w:hAnsi="宋体" w:eastAsia="宋体" w:cs="宋体"/>
          <w:spacing w:val="-72"/>
          <w:sz w:val="20"/>
          <w:szCs w:val="20"/>
        </w:rPr>
        <w:t xml:space="preserve"> </w:t>
      </w:r>
      <w:r>
        <w:rPr>
          <w:rFonts w:ascii="宋体" w:hAnsi="宋体" w:eastAsia="宋体" w:cs="宋体"/>
          <w:spacing w:val="2"/>
          <w:sz w:val="20"/>
          <w:szCs w:val="20"/>
        </w:rPr>
        <w:t>”、“生物陶</w:t>
      </w:r>
      <w:r>
        <w:rPr>
          <w:rFonts w:ascii="宋体" w:hAnsi="宋体" w:eastAsia="宋体" w:cs="宋体"/>
          <w:spacing w:val="5"/>
          <w:sz w:val="20"/>
          <w:szCs w:val="20"/>
        </w:rPr>
        <w:t>瓷火罐</w:t>
      </w:r>
      <w:r>
        <w:rPr>
          <w:rFonts w:ascii="宋体" w:hAnsi="宋体" w:eastAsia="宋体" w:cs="宋体"/>
          <w:spacing w:val="-68"/>
          <w:sz w:val="20"/>
          <w:szCs w:val="20"/>
        </w:rPr>
        <w:t xml:space="preserve"> </w:t>
      </w:r>
      <w:r>
        <w:rPr>
          <w:rFonts w:ascii="宋体" w:hAnsi="宋体" w:eastAsia="宋体" w:cs="宋体"/>
          <w:spacing w:val="5"/>
          <w:sz w:val="20"/>
          <w:szCs w:val="20"/>
        </w:rPr>
        <w:t>”、“塑胶罐</w:t>
      </w:r>
      <w:r>
        <w:rPr>
          <w:rFonts w:ascii="宋体" w:hAnsi="宋体" w:eastAsia="宋体" w:cs="宋体"/>
          <w:spacing w:val="-73"/>
          <w:sz w:val="20"/>
          <w:szCs w:val="20"/>
        </w:rPr>
        <w:t xml:space="preserve"> </w:t>
      </w:r>
      <w:r>
        <w:rPr>
          <w:rFonts w:ascii="宋体" w:hAnsi="宋体" w:eastAsia="宋体" w:cs="宋体"/>
          <w:spacing w:val="5"/>
          <w:sz w:val="20"/>
          <w:szCs w:val="20"/>
        </w:rPr>
        <w:t>”定义</w:t>
      </w:r>
      <w:r>
        <w:rPr>
          <w:rFonts w:ascii="宋体" w:hAnsi="宋体" w:eastAsia="宋体" w:cs="宋体"/>
          <w:b/>
          <w:bCs/>
          <w:spacing w:val="5"/>
          <w:sz w:val="20"/>
          <w:szCs w:val="20"/>
        </w:rPr>
        <w:t>调查结果</w:t>
      </w:r>
    </w:p>
    <w:p w14:paraId="70067185">
      <w:pPr>
        <w:spacing w:before="1" w:line="276" w:lineRule="auto"/>
        <w:jc w:val="center"/>
        <w:rPr>
          <w:rFonts w:ascii="宋体" w:hAnsi="宋体" w:eastAsia="宋体" w:cs="宋体"/>
          <w:spacing w:val="2"/>
          <w:sz w:val="20"/>
          <w:szCs w:val="20"/>
        </w:rPr>
      </w:pPr>
      <w:r>
        <w:rPr>
          <w:rFonts w:ascii="宋体" w:hAnsi="宋体" w:eastAsia="宋体" w:cs="宋体"/>
          <w:spacing w:val="2"/>
          <w:sz w:val="20"/>
          <w:szCs w:val="20"/>
        </w:rPr>
        <w:t>表</w:t>
      </w:r>
      <w:r>
        <w:rPr>
          <w:rFonts w:ascii="宋体" w:hAnsi="宋体" w:eastAsia="宋体" w:cs="宋体"/>
          <w:spacing w:val="29"/>
          <w:sz w:val="20"/>
          <w:szCs w:val="20"/>
        </w:rPr>
        <w:t xml:space="preserve"> </w:t>
      </w:r>
      <w:r>
        <w:rPr>
          <w:rFonts w:ascii="宋体" w:hAnsi="宋体" w:eastAsia="宋体" w:cs="宋体"/>
          <w:spacing w:val="2"/>
          <w:sz w:val="20"/>
          <w:szCs w:val="20"/>
        </w:rPr>
        <w:t>14“角罐</w:t>
      </w:r>
      <w:r>
        <w:rPr>
          <w:rFonts w:ascii="宋体" w:hAnsi="宋体" w:eastAsia="宋体" w:cs="宋体"/>
          <w:spacing w:val="-70"/>
          <w:sz w:val="20"/>
          <w:szCs w:val="20"/>
        </w:rPr>
        <w:t xml:space="preserve"> </w:t>
      </w:r>
      <w:r>
        <w:rPr>
          <w:rFonts w:ascii="宋体" w:hAnsi="宋体" w:eastAsia="宋体" w:cs="宋体"/>
          <w:spacing w:val="2"/>
          <w:sz w:val="20"/>
          <w:szCs w:val="20"/>
        </w:rPr>
        <w:t>”、“竹罐</w:t>
      </w:r>
      <w:r>
        <w:rPr>
          <w:rFonts w:ascii="宋体" w:hAnsi="宋体" w:eastAsia="宋体" w:cs="宋体"/>
          <w:spacing w:val="-70"/>
          <w:sz w:val="20"/>
          <w:szCs w:val="20"/>
        </w:rPr>
        <w:t xml:space="preserve"> </w:t>
      </w:r>
      <w:r>
        <w:rPr>
          <w:rFonts w:ascii="宋体" w:hAnsi="宋体" w:eastAsia="宋体" w:cs="宋体"/>
          <w:spacing w:val="2"/>
          <w:sz w:val="20"/>
          <w:szCs w:val="20"/>
        </w:rPr>
        <w:t>”、“陶瓷罐</w:t>
      </w:r>
      <w:r>
        <w:rPr>
          <w:rFonts w:ascii="宋体" w:hAnsi="宋体" w:eastAsia="宋体" w:cs="宋体"/>
          <w:spacing w:val="-72"/>
          <w:sz w:val="20"/>
          <w:szCs w:val="20"/>
        </w:rPr>
        <w:t xml:space="preserve"> </w:t>
      </w:r>
      <w:r>
        <w:rPr>
          <w:rFonts w:ascii="宋体" w:hAnsi="宋体" w:eastAsia="宋体" w:cs="宋体"/>
          <w:spacing w:val="2"/>
          <w:sz w:val="20"/>
          <w:szCs w:val="20"/>
        </w:rPr>
        <w:t>”、“玻璃罐</w:t>
      </w:r>
      <w:r>
        <w:rPr>
          <w:rFonts w:ascii="宋体" w:hAnsi="宋体" w:eastAsia="宋体" w:cs="宋体"/>
          <w:spacing w:val="-70"/>
          <w:sz w:val="20"/>
          <w:szCs w:val="20"/>
        </w:rPr>
        <w:t xml:space="preserve"> </w:t>
      </w:r>
      <w:r>
        <w:rPr>
          <w:rFonts w:ascii="宋体" w:hAnsi="宋体" w:eastAsia="宋体" w:cs="宋体"/>
          <w:spacing w:val="2"/>
          <w:sz w:val="20"/>
          <w:szCs w:val="20"/>
        </w:rPr>
        <w:t>”、“金属罐</w:t>
      </w:r>
      <w:r>
        <w:rPr>
          <w:rFonts w:ascii="宋体" w:hAnsi="宋体" w:eastAsia="宋体" w:cs="宋体"/>
          <w:spacing w:val="-73"/>
          <w:sz w:val="20"/>
          <w:szCs w:val="20"/>
        </w:rPr>
        <w:t xml:space="preserve"> </w:t>
      </w:r>
      <w:r>
        <w:rPr>
          <w:rFonts w:ascii="宋体" w:hAnsi="宋体" w:eastAsia="宋体" w:cs="宋体"/>
          <w:spacing w:val="2"/>
          <w:sz w:val="20"/>
          <w:szCs w:val="20"/>
        </w:rPr>
        <w:t>”、“橡胶罐</w:t>
      </w:r>
      <w:r>
        <w:rPr>
          <w:rFonts w:ascii="宋体" w:hAnsi="宋体" w:eastAsia="宋体" w:cs="宋体"/>
          <w:spacing w:val="-72"/>
          <w:sz w:val="20"/>
          <w:szCs w:val="20"/>
        </w:rPr>
        <w:t xml:space="preserve"> </w:t>
      </w:r>
      <w:r>
        <w:rPr>
          <w:rFonts w:ascii="宋体" w:hAnsi="宋体" w:eastAsia="宋体" w:cs="宋体"/>
          <w:spacing w:val="2"/>
          <w:sz w:val="20"/>
          <w:szCs w:val="20"/>
        </w:rPr>
        <w:t>”、</w:t>
      </w:r>
    </w:p>
    <w:p w14:paraId="36E50E28">
      <w:pPr>
        <w:spacing w:before="1" w:line="276" w:lineRule="auto"/>
        <w:jc w:val="center"/>
        <w:rPr>
          <w:rFonts w:ascii="宋体" w:hAnsi="宋体" w:eastAsia="宋体" w:cs="宋体"/>
          <w:sz w:val="20"/>
          <w:szCs w:val="20"/>
        </w:rPr>
      </w:pPr>
      <w:r>
        <w:rPr>
          <w:rFonts w:ascii="宋体" w:hAnsi="宋体" w:eastAsia="宋体" w:cs="宋体"/>
          <w:spacing w:val="1"/>
          <w:sz w:val="20"/>
          <w:szCs w:val="20"/>
        </w:rPr>
        <w:t>“生物陶瓷火罐</w:t>
      </w:r>
      <w:r>
        <w:rPr>
          <w:rFonts w:ascii="宋体" w:hAnsi="宋体" w:eastAsia="宋体" w:cs="宋体"/>
          <w:spacing w:val="-70"/>
          <w:sz w:val="20"/>
          <w:szCs w:val="20"/>
        </w:rPr>
        <w:t xml:space="preserve"> </w:t>
      </w:r>
      <w:r>
        <w:rPr>
          <w:rFonts w:ascii="宋体" w:hAnsi="宋体" w:eastAsia="宋体" w:cs="宋体"/>
          <w:spacing w:val="1"/>
          <w:sz w:val="20"/>
          <w:szCs w:val="20"/>
        </w:rPr>
        <w:t>”、</w:t>
      </w:r>
      <w:r>
        <w:rPr>
          <w:rFonts w:ascii="宋体" w:hAnsi="宋体" w:eastAsia="宋体" w:cs="宋体"/>
          <w:spacing w:val="7"/>
          <w:sz w:val="20"/>
          <w:szCs w:val="20"/>
        </w:rPr>
        <w:t>“塑胶罐</w:t>
      </w:r>
      <w:r>
        <w:rPr>
          <w:rFonts w:ascii="宋体" w:hAnsi="宋体" w:eastAsia="宋体" w:cs="宋体"/>
          <w:spacing w:val="-68"/>
          <w:sz w:val="20"/>
          <w:szCs w:val="20"/>
        </w:rPr>
        <w:t xml:space="preserve"> </w:t>
      </w:r>
      <w:r>
        <w:rPr>
          <w:rFonts w:ascii="宋体" w:hAnsi="宋体" w:eastAsia="宋体" w:cs="宋体"/>
          <w:spacing w:val="7"/>
          <w:sz w:val="20"/>
          <w:szCs w:val="20"/>
        </w:rPr>
        <w:t>”定义调查结果</w:t>
      </w:r>
    </w:p>
    <w:p w14:paraId="3DACCC2D">
      <w:pPr>
        <w:spacing w:line="276" w:lineRule="auto"/>
      </w:pPr>
    </w:p>
    <w:tbl>
      <w:tblPr>
        <w:tblStyle w:val="9"/>
        <w:tblW w:w="95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712"/>
        <w:gridCol w:w="634"/>
        <w:gridCol w:w="857"/>
        <w:gridCol w:w="422"/>
        <w:gridCol w:w="945"/>
      </w:tblGrid>
      <w:tr w14:paraId="0CDE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8" w:hRule="atLeast"/>
        </w:trPr>
        <w:tc>
          <w:tcPr>
            <w:tcW w:w="6712" w:type="dxa"/>
            <w:vAlign w:val="top"/>
          </w:tcPr>
          <w:p w14:paraId="40740F35">
            <w:pPr>
              <w:spacing w:before="146" w:line="276" w:lineRule="auto"/>
              <w:ind w:left="3151"/>
              <w:rPr>
                <w:rFonts w:ascii="宋体" w:hAnsi="宋体" w:eastAsia="宋体" w:cs="宋体"/>
                <w:sz w:val="20"/>
                <w:szCs w:val="20"/>
              </w:rPr>
            </w:pPr>
            <w:r>
              <w:rPr>
                <w:rFonts w:ascii="宋体" w:hAnsi="宋体" w:eastAsia="宋体" w:cs="宋体"/>
                <w:spacing w:val="5"/>
                <w:sz w:val="20"/>
                <w:szCs w:val="20"/>
              </w:rPr>
              <w:t>选项</w:t>
            </w:r>
          </w:p>
        </w:tc>
        <w:tc>
          <w:tcPr>
            <w:tcW w:w="634" w:type="dxa"/>
            <w:vAlign w:val="top"/>
          </w:tcPr>
          <w:p w14:paraId="77AC20A2">
            <w:pPr>
              <w:spacing w:before="221" w:line="276" w:lineRule="auto"/>
              <w:ind w:left="259"/>
              <w:rPr>
                <w:rFonts w:ascii="Times New Roman" w:hAnsi="Times New Roman" w:eastAsia="Times New Roman" w:cs="Times New Roman"/>
                <w:sz w:val="23"/>
                <w:szCs w:val="23"/>
              </w:rPr>
            </w:pPr>
            <w:r>
              <w:pict>
                <v:shape id="_x0000_s1039" o:spid="_x0000_s1039" style="position:absolute;left:0pt;margin-left:12.85pt;margin-top:6.2pt;height:0.5pt;width:5.55pt;mso-position-horizontal-relative:page;mso-position-vertical-relative:page;z-index:251665408;mso-width-relative:page;mso-height-relative:page;" filled="f" stroked="t" coordsize="111,10" path="m4,4l105,4e">
                  <v:fill on="f" focussize="0,0"/>
                  <v:stroke weight="0.48pt" color="#000000" miterlimit="2" endcap="round"/>
                  <v:imagedata o:title=""/>
                  <o:lock v:ext="edit"/>
                </v:shape>
              </w:pict>
            </w:r>
            <w:r>
              <w:rPr>
                <w:rFonts w:ascii="Times New Roman" w:hAnsi="Times New Roman" w:eastAsia="Times New Roman" w:cs="Times New Roman"/>
                <w:i/>
                <w:iCs/>
                <w:spacing w:val="11"/>
                <w:sz w:val="23"/>
                <w:szCs w:val="23"/>
              </w:rPr>
              <w:t>x</w:t>
            </w:r>
          </w:p>
        </w:tc>
        <w:tc>
          <w:tcPr>
            <w:tcW w:w="857" w:type="dxa"/>
            <w:vAlign w:val="top"/>
          </w:tcPr>
          <w:p w14:paraId="5058529C">
            <w:pPr>
              <w:spacing w:before="180" w:line="276" w:lineRule="auto"/>
              <w:ind w:left="376"/>
              <w:rPr>
                <w:rFonts w:ascii="宋体" w:hAnsi="宋体" w:eastAsia="宋体" w:cs="宋体"/>
                <w:sz w:val="20"/>
                <w:szCs w:val="20"/>
              </w:rPr>
            </w:pPr>
            <w:r>
              <w:rPr>
                <w:rFonts w:ascii="宋体" w:hAnsi="宋体" w:eastAsia="宋体" w:cs="宋体"/>
                <w:sz w:val="20"/>
                <w:szCs w:val="20"/>
              </w:rPr>
              <w:t>R</w:t>
            </w:r>
          </w:p>
        </w:tc>
        <w:tc>
          <w:tcPr>
            <w:tcW w:w="422" w:type="dxa"/>
            <w:vAlign w:val="top"/>
          </w:tcPr>
          <w:p w14:paraId="2B4B71E2">
            <w:pPr>
              <w:spacing w:before="178" w:line="276" w:lineRule="auto"/>
              <w:ind w:left="158"/>
              <w:rPr>
                <w:rFonts w:ascii="宋体" w:hAnsi="宋体" w:eastAsia="宋体" w:cs="宋体"/>
                <w:sz w:val="20"/>
                <w:szCs w:val="20"/>
              </w:rPr>
            </w:pPr>
            <w:r>
              <w:rPr>
                <w:rFonts w:ascii="宋体" w:hAnsi="宋体" w:eastAsia="宋体" w:cs="宋体"/>
                <w:sz w:val="20"/>
                <w:szCs w:val="20"/>
              </w:rPr>
              <w:t>S</w:t>
            </w:r>
          </w:p>
        </w:tc>
        <w:tc>
          <w:tcPr>
            <w:tcW w:w="945" w:type="dxa"/>
            <w:vAlign w:val="top"/>
          </w:tcPr>
          <w:p w14:paraId="1798EBB7">
            <w:pPr>
              <w:spacing w:before="178" w:line="276" w:lineRule="auto"/>
              <w:ind w:left="369"/>
              <w:rPr>
                <w:rFonts w:ascii="宋体" w:hAnsi="宋体" w:eastAsia="宋体" w:cs="宋体"/>
                <w:sz w:val="20"/>
                <w:szCs w:val="20"/>
              </w:rPr>
            </w:pPr>
            <w:r>
              <w:rPr>
                <w:rFonts w:ascii="宋体" w:hAnsi="宋体" w:eastAsia="宋体" w:cs="宋体"/>
                <w:spacing w:val="1"/>
                <w:sz w:val="20"/>
                <w:szCs w:val="20"/>
              </w:rPr>
              <w:t>CV</w:t>
            </w:r>
          </w:p>
        </w:tc>
      </w:tr>
      <w:tr w14:paraId="19761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3" w:hRule="atLeast"/>
        </w:trPr>
        <w:tc>
          <w:tcPr>
            <w:tcW w:w="6712" w:type="dxa"/>
            <w:vAlign w:val="top"/>
          </w:tcPr>
          <w:p w14:paraId="796BEB2D">
            <w:pPr>
              <w:spacing w:before="54" w:line="276" w:lineRule="auto"/>
              <w:ind w:left="110"/>
              <w:rPr>
                <w:rFonts w:ascii="宋体" w:hAnsi="宋体" w:eastAsia="宋体" w:cs="宋体"/>
                <w:sz w:val="20"/>
                <w:szCs w:val="20"/>
              </w:rPr>
            </w:pPr>
            <w:r>
              <w:rPr>
                <w:rFonts w:ascii="宋体" w:hAnsi="宋体" w:eastAsia="宋体" w:cs="宋体"/>
                <w:spacing w:val="8"/>
                <w:sz w:val="20"/>
                <w:szCs w:val="20"/>
              </w:rPr>
              <w:t xml:space="preserve">A. </w:t>
            </w:r>
            <w:r>
              <w:rPr>
                <w:rFonts w:ascii="宋体" w:hAnsi="宋体" w:eastAsia="宋体" w:cs="宋体"/>
                <w:b/>
                <w:bCs/>
                <w:spacing w:val="8"/>
                <w:sz w:val="20"/>
                <w:szCs w:val="20"/>
              </w:rPr>
              <w:t>角罐</w:t>
            </w:r>
            <w:r>
              <w:rPr>
                <w:rFonts w:ascii="宋体" w:hAnsi="宋体" w:eastAsia="宋体" w:cs="宋体"/>
                <w:spacing w:val="8"/>
                <w:sz w:val="20"/>
                <w:szCs w:val="20"/>
              </w:rPr>
              <w:t xml:space="preserve">  用牛角或羊角加工制成的罐具。</w:t>
            </w:r>
          </w:p>
        </w:tc>
        <w:tc>
          <w:tcPr>
            <w:tcW w:w="634" w:type="dxa"/>
            <w:vAlign w:val="top"/>
          </w:tcPr>
          <w:p w14:paraId="3644B32C">
            <w:pPr>
              <w:spacing w:before="143" w:line="276" w:lineRule="auto"/>
              <w:ind w:left="116"/>
              <w:rPr>
                <w:rFonts w:ascii="宋体" w:hAnsi="宋体" w:eastAsia="宋体" w:cs="宋体"/>
                <w:sz w:val="20"/>
                <w:szCs w:val="20"/>
              </w:rPr>
            </w:pPr>
            <w:r>
              <w:rPr>
                <w:rFonts w:ascii="宋体" w:hAnsi="宋体" w:eastAsia="宋体" w:cs="宋体"/>
                <w:spacing w:val="1"/>
                <w:sz w:val="20"/>
                <w:szCs w:val="20"/>
              </w:rPr>
              <w:t>0.5</w:t>
            </w:r>
          </w:p>
        </w:tc>
        <w:tc>
          <w:tcPr>
            <w:tcW w:w="857" w:type="dxa"/>
            <w:vAlign w:val="top"/>
          </w:tcPr>
          <w:p w14:paraId="6415107E">
            <w:pPr>
              <w:spacing w:before="143" w:line="276" w:lineRule="auto"/>
              <w:ind w:left="121"/>
              <w:rPr>
                <w:rFonts w:ascii="宋体" w:hAnsi="宋体" w:eastAsia="宋体" w:cs="宋体"/>
                <w:sz w:val="20"/>
                <w:szCs w:val="20"/>
              </w:rPr>
            </w:pPr>
            <w:r>
              <w:rPr>
                <w:rFonts w:ascii="宋体" w:hAnsi="宋体" w:eastAsia="宋体" w:cs="宋体"/>
                <w:spacing w:val="2"/>
                <w:sz w:val="20"/>
                <w:szCs w:val="20"/>
              </w:rPr>
              <w:t>50.00%</w:t>
            </w:r>
          </w:p>
        </w:tc>
        <w:tc>
          <w:tcPr>
            <w:tcW w:w="422" w:type="dxa"/>
            <w:vAlign w:val="top"/>
          </w:tcPr>
          <w:p w14:paraId="3A1A6C73">
            <w:pPr>
              <w:spacing w:before="143" w:line="276" w:lineRule="auto"/>
              <w:ind w:left="122"/>
              <w:rPr>
                <w:rFonts w:ascii="宋体" w:hAnsi="宋体" w:eastAsia="宋体" w:cs="宋体"/>
                <w:sz w:val="20"/>
                <w:szCs w:val="20"/>
              </w:rPr>
            </w:pPr>
            <w:r>
              <w:rPr>
                <w:rFonts w:ascii="宋体" w:hAnsi="宋体" w:eastAsia="宋体" w:cs="宋体"/>
                <w:spacing w:val="-7"/>
                <w:sz w:val="20"/>
                <w:szCs w:val="20"/>
              </w:rPr>
              <w:t>15</w:t>
            </w:r>
          </w:p>
        </w:tc>
        <w:tc>
          <w:tcPr>
            <w:tcW w:w="945" w:type="dxa"/>
            <w:vAlign w:val="top"/>
          </w:tcPr>
          <w:p w14:paraId="764526A7">
            <w:pPr>
              <w:spacing w:before="143" w:line="276" w:lineRule="auto"/>
              <w:ind w:left="125"/>
              <w:rPr>
                <w:rFonts w:ascii="宋体" w:hAnsi="宋体" w:eastAsia="宋体" w:cs="宋体"/>
                <w:sz w:val="20"/>
                <w:szCs w:val="20"/>
              </w:rPr>
            </w:pPr>
            <w:r>
              <w:rPr>
                <w:rFonts w:ascii="宋体" w:hAnsi="宋体" w:eastAsia="宋体" w:cs="宋体"/>
                <w:spacing w:val="1"/>
                <w:sz w:val="20"/>
                <w:szCs w:val="20"/>
              </w:rPr>
              <w:t>101.71%</w:t>
            </w:r>
          </w:p>
        </w:tc>
      </w:tr>
      <w:tr w14:paraId="51D5A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1" w:hRule="atLeast"/>
        </w:trPr>
        <w:tc>
          <w:tcPr>
            <w:tcW w:w="6712" w:type="dxa"/>
            <w:vAlign w:val="top"/>
          </w:tcPr>
          <w:p w14:paraId="34CC3460">
            <w:pPr>
              <w:spacing w:before="22" w:line="276" w:lineRule="auto"/>
              <w:ind w:left="116" w:right="109"/>
              <w:jc w:val="both"/>
              <w:rPr>
                <w:rFonts w:ascii="宋体" w:hAnsi="宋体" w:eastAsia="宋体" w:cs="宋体"/>
                <w:sz w:val="20"/>
                <w:szCs w:val="20"/>
              </w:rPr>
            </w:pPr>
            <w:r>
              <w:rPr>
                <w:rFonts w:ascii="宋体" w:hAnsi="宋体" w:eastAsia="宋体" w:cs="宋体"/>
                <w:b/>
                <w:bCs/>
                <w:spacing w:val="9"/>
                <w:sz w:val="20"/>
                <w:szCs w:val="20"/>
              </w:rPr>
              <w:t>竹罐</w:t>
            </w:r>
            <w:r>
              <w:rPr>
                <w:rFonts w:ascii="宋体" w:hAnsi="宋体" w:eastAsia="宋体" w:cs="宋体"/>
                <w:spacing w:val="9"/>
                <w:sz w:val="20"/>
                <w:szCs w:val="20"/>
              </w:rPr>
              <w:t xml:space="preserve">  由成熟的竹子制成。其优点是轻巧，价廉</w:t>
            </w:r>
            <w:r>
              <w:rPr>
                <w:rFonts w:ascii="宋体" w:hAnsi="宋体" w:eastAsia="宋体" w:cs="宋体"/>
                <w:spacing w:val="8"/>
                <w:sz w:val="20"/>
                <w:szCs w:val="20"/>
              </w:rPr>
              <w:t>，取材容易，制作简单</w:t>
            </w:r>
            <w:r>
              <w:rPr>
                <w:rFonts w:ascii="宋体" w:hAnsi="宋体" w:eastAsia="宋体" w:cs="宋体"/>
                <w:spacing w:val="9"/>
                <w:sz w:val="20"/>
                <w:szCs w:val="20"/>
              </w:rPr>
              <w:t>且有耐煮的特性；缺点是容易爆裂漏气，且质地不透明，难以观察罐内皮肤的变化情况。竹罐容易吸附药物，在煮药罐法中常用，可根据不同</w:t>
            </w:r>
            <w:r>
              <w:rPr>
                <w:rFonts w:ascii="宋体" w:hAnsi="宋体" w:eastAsia="宋体" w:cs="宋体"/>
                <w:spacing w:val="8"/>
                <w:sz w:val="20"/>
                <w:szCs w:val="20"/>
              </w:rPr>
              <w:t>的疾病使用不同的药物煮罐，以提高疗效。</w:t>
            </w:r>
          </w:p>
        </w:tc>
        <w:tc>
          <w:tcPr>
            <w:tcW w:w="634" w:type="dxa"/>
            <w:vAlign w:val="top"/>
          </w:tcPr>
          <w:p w14:paraId="3C89D51A">
            <w:pPr>
              <w:spacing w:line="276" w:lineRule="auto"/>
              <w:rPr>
                <w:rFonts w:ascii="Arial"/>
                <w:sz w:val="21"/>
              </w:rPr>
            </w:pPr>
          </w:p>
        </w:tc>
        <w:tc>
          <w:tcPr>
            <w:tcW w:w="857" w:type="dxa"/>
            <w:vAlign w:val="top"/>
          </w:tcPr>
          <w:p w14:paraId="5EE35C96">
            <w:pPr>
              <w:spacing w:line="276" w:lineRule="auto"/>
              <w:rPr>
                <w:rFonts w:ascii="Arial"/>
                <w:sz w:val="21"/>
              </w:rPr>
            </w:pPr>
          </w:p>
        </w:tc>
        <w:tc>
          <w:tcPr>
            <w:tcW w:w="422" w:type="dxa"/>
            <w:vAlign w:val="top"/>
          </w:tcPr>
          <w:p w14:paraId="3267120C">
            <w:pPr>
              <w:spacing w:line="276" w:lineRule="auto"/>
              <w:rPr>
                <w:rFonts w:ascii="Arial"/>
                <w:sz w:val="21"/>
              </w:rPr>
            </w:pPr>
          </w:p>
        </w:tc>
        <w:tc>
          <w:tcPr>
            <w:tcW w:w="945" w:type="dxa"/>
            <w:vAlign w:val="top"/>
          </w:tcPr>
          <w:p w14:paraId="78BB7870">
            <w:pPr>
              <w:spacing w:line="276" w:lineRule="auto"/>
              <w:rPr>
                <w:rFonts w:ascii="Arial"/>
                <w:sz w:val="21"/>
              </w:rPr>
            </w:pPr>
          </w:p>
        </w:tc>
      </w:tr>
      <w:tr w14:paraId="2C140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55" w:hRule="atLeast"/>
        </w:trPr>
        <w:tc>
          <w:tcPr>
            <w:tcW w:w="6712" w:type="dxa"/>
            <w:vAlign w:val="top"/>
          </w:tcPr>
          <w:p w14:paraId="2F56E74C">
            <w:pPr>
              <w:spacing w:before="60" w:line="276" w:lineRule="auto"/>
              <w:ind w:left="115" w:right="109" w:firstLine="12"/>
              <w:jc w:val="both"/>
              <w:rPr>
                <w:rFonts w:ascii="宋体" w:hAnsi="宋体" w:eastAsia="宋体" w:cs="宋体"/>
                <w:sz w:val="20"/>
                <w:szCs w:val="20"/>
              </w:rPr>
            </w:pPr>
            <w:r>
              <w:rPr>
                <w:rFonts w:ascii="宋体" w:hAnsi="宋体" w:eastAsia="宋体" w:cs="宋体"/>
                <w:b/>
                <w:bCs/>
                <w:spacing w:val="7"/>
                <w:sz w:val="20"/>
                <w:szCs w:val="20"/>
              </w:rPr>
              <w:t>陶罐</w:t>
            </w:r>
            <w:r>
              <w:rPr>
                <w:rFonts w:ascii="宋体" w:hAnsi="宋体" w:eastAsia="宋体" w:cs="宋体"/>
                <w:spacing w:val="7"/>
                <w:sz w:val="20"/>
                <w:szCs w:val="20"/>
              </w:rPr>
              <w:t xml:space="preserve">  陶罐由陶土烧制而成，罐口平滑，形如木体，</w:t>
            </w:r>
            <w:r>
              <w:rPr>
                <w:rFonts w:ascii="宋体" w:hAnsi="宋体" w:eastAsia="宋体" w:cs="宋体"/>
                <w:spacing w:val="-55"/>
                <w:sz w:val="20"/>
                <w:szCs w:val="20"/>
              </w:rPr>
              <w:t xml:space="preserve"> </w:t>
            </w:r>
            <w:r>
              <w:rPr>
                <w:rFonts w:ascii="宋体" w:hAnsi="宋体" w:eastAsia="宋体" w:cs="宋体"/>
                <w:spacing w:val="7"/>
                <w:sz w:val="20"/>
                <w:szCs w:val="20"/>
              </w:rPr>
              <w:t>口底稍小，腔大如</w:t>
            </w:r>
            <w:r>
              <w:rPr>
                <w:rFonts w:ascii="宋体" w:hAnsi="宋体" w:eastAsia="宋体" w:cs="宋体"/>
                <w:spacing w:val="9"/>
                <w:sz w:val="20"/>
                <w:szCs w:val="20"/>
              </w:rPr>
              <w:t>鼓，有大、中、小和特小几种类型。其优点是吸拔力较大、易于高温消毒，适用于全身各部的拔罐：缺点是陶罐体较重，易于破碎，且质地不透明。陶罐较大的吸拔力对体质壮盛的患者或某些深部疾病具有良好的</w:t>
            </w:r>
            <w:r>
              <w:rPr>
                <w:rFonts w:ascii="宋体" w:hAnsi="宋体" w:eastAsia="宋体" w:cs="宋体"/>
                <w:spacing w:val="3"/>
                <w:sz w:val="20"/>
                <w:szCs w:val="20"/>
              </w:rPr>
              <w:t>疗效。</w:t>
            </w:r>
          </w:p>
        </w:tc>
        <w:tc>
          <w:tcPr>
            <w:tcW w:w="634" w:type="dxa"/>
            <w:vAlign w:val="top"/>
          </w:tcPr>
          <w:p w14:paraId="42E2488C">
            <w:pPr>
              <w:spacing w:line="276" w:lineRule="auto"/>
              <w:rPr>
                <w:rFonts w:ascii="Arial"/>
                <w:sz w:val="21"/>
              </w:rPr>
            </w:pPr>
          </w:p>
        </w:tc>
        <w:tc>
          <w:tcPr>
            <w:tcW w:w="857" w:type="dxa"/>
            <w:vAlign w:val="top"/>
          </w:tcPr>
          <w:p w14:paraId="44624F3F">
            <w:pPr>
              <w:spacing w:line="276" w:lineRule="auto"/>
              <w:rPr>
                <w:rFonts w:ascii="Arial"/>
                <w:sz w:val="21"/>
              </w:rPr>
            </w:pPr>
          </w:p>
        </w:tc>
        <w:tc>
          <w:tcPr>
            <w:tcW w:w="422" w:type="dxa"/>
            <w:vAlign w:val="top"/>
          </w:tcPr>
          <w:p w14:paraId="09EAFADE">
            <w:pPr>
              <w:spacing w:line="276" w:lineRule="auto"/>
              <w:rPr>
                <w:rFonts w:ascii="Arial"/>
                <w:sz w:val="21"/>
              </w:rPr>
            </w:pPr>
          </w:p>
        </w:tc>
        <w:tc>
          <w:tcPr>
            <w:tcW w:w="945" w:type="dxa"/>
            <w:vAlign w:val="top"/>
          </w:tcPr>
          <w:p w14:paraId="4FA62FA5">
            <w:pPr>
              <w:spacing w:line="276" w:lineRule="auto"/>
              <w:rPr>
                <w:rFonts w:ascii="Arial"/>
                <w:sz w:val="21"/>
              </w:rPr>
            </w:pPr>
          </w:p>
        </w:tc>
      </w:tr>
      <w:tr w14:paraId="2D854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88" w:hRule="atLeast"/>
        </w:trPr>
        <w:tc>
          <w:tcPr>
            <w:tcW w:w="6712" w:type="dxa"/>
            <w:vAlign w:val="top"/>
          </w:tcPr>
          <w:p w14:paraId="2CC70EF6">
            <w:pPr>
              <w:spacing w:before="65" w:line="276" w:lineRule="auto"/>
              <w:ind w:left="115" w:right="109" w:firstLine="4"/>
              <w:jc w:val="both"/>
              <w:rPr>
                <w:rFonts w:ascii="宋体" w:hAnsi="宋体" w:eastAsia="宋体" w:cs="宋体"/>
                <w:sz w:val="20"/>
                <w:szCs w:val="20"/>
              </w:rPr>
            </w:pPr>
            <w:r>
              <w:rPr>
                <w:rFonts w:ascii="宋体" w:hAnsi="宋体" w:eastAsia="宋体" w:cs="宋体"/>
                <w:b/>
                <w:bCs/>
                <w:spacing w:val="8"/>
                <w:sz w:val="20"/>
                <w:szCs w:val="20"/>
              </w:rPr>
              <w:t>玻璃罐</w:t>
            </w:r>
            <w:r>
              <w:rPr>
                <w:rFonts w:ascii="宋体" w:hAnsi="宋体" w:eastAsia="宋体" w:cs="宋体"/>
                <w:spacing w:val="8"/>
                <w:sz w:val="20"/>
                <w:szCs w:val="20"/>
              </w:rPr>
              <w:t xml:space="preserve">  玻璃罐由耐热质硬的透明玻璃烧制而成，罐口平滑，口平腔大底圆，</w:t>
            </w:r>
            <w:r>
              <w:rPr>
                <w:rFonts w:ascii="宋体" w:hAnsi="宋体" w:eastAsia="宋体" w:cs="宋体"/>
                <w:spacing w:val="-56"/>
                <w:sz w:val="20"/>
                <w:szCs w:val="20"/>
              </w:rPr>
              <w:t xml:space="preserve"> </w:t>
            </w:r>
            <w:r>
              <w:rPr>
                <w:rFonts w:ascii="宋体" w:hAnsi="宋体" w:eastAsia="宋体" w:cs="宋体"/>
                <w:spacing w:val="8"/>
                <w:sz w:val="20"/>
                <w:szCs w:val="20"/>
              </w:rPr>
              <w:t>口缘稍厚略外翻，内外光滑。其优点是质地</w:t>
            </w:r>
            <w:r>
              <w:rPr>
                <w:rFonts w:ascii="宋体" w:hAnsi="宋体" w:eastAsia="宋体" w:cs="宋体"/>
                <w:spacing w:val="7"/>
                <w:sz w:val="20"/>
                <w:szCs w:val="20"/>
              </w:rPr>
              <w:t>透明，使用时可以随</w:t>
            </w:r>
            <w:r>
              <w:rPr>
                <w:rFonts w:ascii="宋体" w:hAnsi="宋体" w:eastAsia="宋体" w:cs="宋体"/>
                <w:spacing w:val="9"/>
                <w:sz w:val="20"/>
                <w:szCs w:val="20"/>
              </w:rPr>
              <w:t>时观察罐内皮肤瘀血的程度：缺点是传热较快，容易摔碎。玻璃罐临床广泛应用于刺络放血拔罐及推拿罐等，对于瘀阻性疾病及寒凝病症具有</w:t>
            </w:r>
            <w:r>
              <w:rPr>
                <w:rFonts w:ascii="宋体" w:hAnsi="宋体" w:eastAsia="宋体" w:cs="宋体"/>
                <w:spacing w:val="6"/>
                <w:sz w:val="20"/>
                <w:szCs w:val="20"/>
              </w:rPr>
              <w:t>良好的疗效。</w:t>
            </w:r>
          </w:p>
          <w:p w14:paraId="3263CAC6">
            <w:pPr>
              <w:spacing w:before="1" w:line="276" w:lineRule="auto"/>
              <w:ind w:left="118" w:right="109"/>
              <w:jc w:val="both"/>
              <w:rPr>
                <w:rFonts w:ascii="宋体" w:hAnsi="宋体" w:eastAsia="宋体" w:cs="宋体"/>
                <w:sz w:val="20"/>
                <w:szCs w:val="20"/>
              </w:rPr>
            </w:pPr>
            <w:r>
              <w:rPr>
                <w:rFonts w:ascii="宋体" w:hAnsi="宋体" w:eastAsia="宋体" w:cs="宋体"/>
                <w:b/>
                <w:bCs/>
                <w:spacing w:val="9"/>
                <w:sz w:val="20"/>
                <w:szCs w:val="20"/>
              </w:rPr>
              <w:t>金属罐</w:t>
            </w:r>
            <w:r>
              <w:rPr>
                <w:rFonts w:ascii="宋体" w:hAnsi="宋体" w:eastAsia="宋体" w:cs="宋体"/>
                <w:spacing w:val="9"/>
                <w:sz w:val="20"/>
                <w:szCs w:val="20"/>
              </w:rPr>
              <w:t xml:space="preserve">  分为铜罐、铁罐，用钢或铁皮为原料</w:t>
            </w:r>
            <w:r>
              <w:rPr>
                <w:rFonts w:ascii="宋体" w:hAnsi="宋体" w:eastAsia="宋体" w:cs="宋体"/>
                <w:spacing w:val="8"/>
                <w:sz w:val="20"/>
                <w:szCs w:val="20"/>
              </w:rPr>
              <w:t>制成。其形状如玻璃罐，</w:t>
            </w:r>
            <w:r>
              <w:rPr>
                <w:rFonts w:ascii="宋体" w:hAnsi="宋体" w:eastAsia="宋体" w:cs="宋体"/>
                <w:spacing w:val="12"/>
                <w:sz w:val="20"/>
                <w:szCs w:val="20"/>
              </w:rPr>
              <w:t>口径大小不 一。其中铜罐比较常用。金属罐的特点是耐用，导热比较</w:t>
            </w:r>
            <w:r>
              <w:rPr>
                <w:rFonts w:ascii="宋体" w:hAnsi="宋体" w:eastAsia="宋体" w:cs="宋体"/>
                <w:spacing w:val="-1"/>
                <w:sz w:val="20"/>
                <w:szCs w:val="20"/>
              </w:rPr>
              <w:t>快。</w:t>
            </w:r>
          </w:p>
        </w:tc>
        <w:tc>
          <w:tcPr>
            <w:tcW w:w="634" w:type="dxa"/>
            <w:vAlign w:val="top"/>
          </w:tcPr>
          <w:p w14:paraId="7FC36B63">
            <w:pPr>
              <w:spacing w:line="276" w:lineRule="auto"/>
              <w:rPr>
                <w:rFonts w:ascii="Arial"/>
                <w:sz w:val="21"/>
              </w:rPr>
            </w:pPr>
          </w:p>
        </w:tc>
        <w:tc>
          <w:tcPr>
            <w:tcW w:w="857" w:type="dxa"/>
            <w:vAlign w:val="top"/>
          </w:tcPr>
          <w:p w14:paraId="743F10B0">
            <w:pPr>
              <w:spacing w:line="276" w:lineRule="auto"/>
              <w:rPr>
                <w:rFonts w:ascii="Arial"/>
                <w:sz w:val="21"/>
              </w:rPr>
            </w:pPr>
          </w:p>
        </w:tc>
        <w:tc>
          <w:tcPr>
            <w:tcW w:w="422" w:type="dxa"/>
            <w:vAlign w:val="top"/>
          </w:tcPr>
          <w:p w14:paraId="63F1432F">
            <w:pPr>
              <w:spacing w:line="276" w:lineRule="auto"/>
              <w:rPr>
                <w:rFonts w:ascii="Arial"/>
                <w:sz w:val="21"/>
              </w:rPr>
            </w:pPr>
          </w:p>
        </w:tc>
        <w:tc>
          <w:tcPr>
            <w:tcW w:w="945" w:type="dxa"/>
            <w:vAlign w:val="top"/>
          </w:tcPr>
          <w:p w14:paraId="4F200B22">
            <w:pPr>
              <w:spacing w:line="276" w:lineRule="auto"/>
              <w:rPr>
                <w:rFonts w:ascii="Arial"/>
                <w:sz w:val="21"/>
              </w:rPr>
            </w:pPr>
          </w:p>
        </w:tc>
      </w:tr>
      <w:tr w14:paraId="6D1C2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7" w:hRule="atLeast"/>
        </w:trPr>
        <w:tc>
          <w:tcPr>
            <w:tcW w:w="6712" w:type="dxa"/>
            <w:vAlign w:val="top"/>
          </w:tcPr>
          <w:p w14:paraId="40E931D7">
            <w:pPr>
              <w:spacing w:before="74" w:line="276" w:lineRule="auto"/>
              <w:ind w:left="116" w:right="109" w:firstLine="1"/>
              <w:rPr>
                <w:rFonts w:ascii="宋体" w:hAnsi="宋体" w:eastAsia="宋体" w:cs="宋体"/>
                <w:sz w:val="20"/>
                <w:szCs w:val="20"/>
              </w:rPr>
            </w:pPr>
            <w:r>
              <w:rPr>
                <w:rFonts w:ascii="宋体" w:hAnsi="宋体" w:eastAsia="宋体" w:cs="宋体"/>
                <w:b/>
                <w:bCs/>
                <w:spacing w:val="8"/>
                <w:sz w:val="20"/>
                <w:szCs w:val="20"/>
              </w:rPr>
              <w:t>生物陶瓷火罐</w:t>
            </w:r>
            <w:r>
              <w:rPr>
                <w:rFonts w:ascii="宋体" w:hAnsi="宋体" w:eastAsia="宋体" w:cs="宋体"/>
                <w:spacing w:val="8"/>
                <w:sz w:val="20"/>
                <w:szCs w:val="20"/>
              </w:rPr>
              <w:t xml:space="preserve">  生物陶瓷火罐是选用多种氧化聚合物，配合其他辅助材</w:t>
            </w:r>
            <w:r>
              <w:rPr>
                <w:rFonts w:ascii="宋体" w:hAnsi="宋体" w:eastAsia="宋体" w:cs="宋体"/>
                <w:spacing w:val="7"/>
                <w:sz w:val="20"/>
                <w:szCs w:val="20"/>
              </w:rPr>
              <w:t>料烧制而成的。</w:t>
            </w:r>
          </w:p>
        </w:tc>
        <w:tc>
          <w:tcPr>
            <w:tcW w:w="634" w:type="dxa"/>
            <w:vAlign w:val="top"/>
          </w:tcPr>
          <w:p w14:paraId="2B1D21C0">
            <w:pPr>
              <w:spacing w:line="276" w:lineRule="auto"/>
              <w:rPr>
                <w:rFonts w:ascii="Arial"/>
                <w:sz w:val="21"/>
              </w:rPr>
            </w:pPr>
          </w:p>
        </w:tc>
        <w:tc>
          <w:tcPr>
            <w:tcW w:w="857" w:type="dxa"/>
            <w:vAlign w:val="top"/>
          </w:tcPr>
          <w:p w14:paraId="3C864E96">
            <w:pPr>
              <w:spacing w:line="276" w:lineRule="auto"/>
              <w:rPr>
                <w:rFonts w:ascii="Arial"/>
                <w:sz w:val="21"/>
              </w:rPr>
            </w:pPr>
          </w:p>
        </w:tc>
        <w:tc>
          <w:tcPr>
            <w:tcW w:w="422" w:type="dxa"/>
            <w:vAlign w:val="top"/>
          </w:tcPr>
          <w:p w14:paraId="60B8DF05">
            <w:pPr>
              <w:spacing w:line="276" w:lineRule="auto"/>
              <w:rPr>
                <w:rFonts w:ascii="Arial"/>
                <w:sz w:val="21"/>
              </w:rPr>
            </w:pPr>
          </w:p>
        </w:tc>
        <w:tc>
          <w:tcPr>
            <w:tcW w:w="945" w:type="dxa"/>
            <w:vAlign w:val="top"/>
          </w:tcPr>
          <w:p w14:paraId="2C154961">
            <w:pPr>
              <w:spacing w:line="276" w:lineRule="auto"/>
              <w:rPr>
                <w:rFonts w:ascii="Arial"/>
                <w:sz w:val="21"/>
              </w:rPr>
            </w:pPr>
          </w:p>
        </w:tc>
      </w:tr>
      <w:tr w14:paraId="76A2D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9" w:hRule="atLeast"/>
        </w:trPr>
        <w:tc>
          <w:tcPr>
            <w:tcW w:w="6712" w:type="dxa"/>
            <w:vAlign w:val="top"/>
          </w:tcPr>
          <w:p w14:paraId="77E5C870">
            <w:pPr>
              <w:spacing w:before="119" w:line="276" w:lineRule="auto"/>
              <w:ind w:left="120"/>
              <w:rPr>
                <w:rFonts w:ascii="宋体" w:hAnsi="宋体" w:eastAsia="宋体" w:cs="宋体"/>
                <w:sz w:val="20"/>
                <w:szCs w:val="20"/>
              </w:rPr>
            </w:pPr>
            <w:r>
              <w:rPr>
                <w:rFonts w:ascii="宋体" w:hAnsi="宋体" w:eastAsia="宋体" w:cs="宋体"/>
                <w:b/>
                <w:bCs/>
                <w:spacing w:val="8"/>
                <w:sz w:val="20"/>
                <w:szCs w:val="20"/>
              </w:rPr>
              <w:t>塑胶罐</w:t>
            </w:r>
            <w:r>
              <w:rPr>
                <w:rFonts w:ascii="宋体" w:hAnsi="宋体" w:eastAsia="宋体" w:cs="宋体"/>
                <w:spacing w:val="8"/>
                <w:sz w:val="20"/>
                <w:szCs w:val="20"/>
              </w:rPr>
              <w:t xml:space="preserve">  由塑料或以塑料为主的原料制成，价格便宜，不易摔坏。现代</w:t>
            </w:r>
          </w:p>
        </w:tc>
        <w:tc>
          <w:tcPr>
            <w:tcW w:w="634" w:type="dxa"/>
            <w:vAlign w:val="top"/>
          </w:tcPr>
          <w:p w14:paraId="4FE374E9">
            <w:pPr>
              <w:spacing w:line="276" w:lineRule="auto"/>
              <w:rPr>
                <w:rFonts w:ascii="Arial"/>
                <w:sz w:val="21"/>
              </w:rPr>
            </w:pPr>
          </w:p>
        </w:tc>
        <w:tc>
          <w:tcPr>
            <w:tcW w:w="857" w:type="dxa"/>
            <w:vAlign w:val="top"/>
          </w:tcPr>
          <w:p w14:paraId="3632ADFE">
            <w:pPr>
              <w:spacing w:line="276" w:lineRule="auto"/>
              <w:rPr>
                <w:rFonts w:ascii="Arial"/>
                <w:sz w:val="21"/>
              </w:rPr>
            </w:pPr>
          </w:p>
        </w:tc>
        <w:tc>
          <w:tcPr>
            <w:tcW w:w="422" w:type="dxa"/>
            <w:vAlign w:val="top"/>
          </w:tcPr>
          <w:p w14:paraId="618C691A">
            <w:pPr>
              <w:spacing w:line="276" w:lineRule="auto"/>
              <w:rPr>
                <w:rFonts w:ascii="Arial"/>
                <w:sz w:val="21"/>
              </w:rPr>
            </w:pPr>
          </w:p>
        </w:tc>
        <w:tc>
          <w:tcPr>
            <w:tcW w:w="945" w:type="dxa"/>
            <w:vAlign w:val="top"/>
          </w:tcPr>
          <w:p w14:paraId="3DBB54ED">
            <w:pPr>
              <w:spacing w:line="276" w:lineRule="auto"/>
              <w:rPr>
                <w:rFonts w:ascii="Arial"/>
                <w:sz w:val="21"/>
              </w:rPr>
            </w:pPr>
          </w:p>
        </w:tc>
      </w:tr>
      <w:tr w14:paraId="6276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8" w:hRule="atLeast"/>
        </w:trPr>
        <w:tc>
          <w:tcPr>
            <w:tcW w:w="6712" w:type="dxa"/>
            <w:vAlign w:val="top"/>
          </w:tcPr>
          <w:p w14:paraId="573B81C3">
            <w:pPr>
              <w:spacing w:before="118" w:line="276" w:lineRule="auto"/>
              <w:ind w:left="128"/>
              <w:rPr>
                <w:rFonts w:ascii="宋体" w:hAnsi="宋体" w:eastAsia="宋体" w:cs="宋体"/>
                <w:sz w:val="20"/>
                <w:szCs w:val="20"/>
              </w:rPr>
            </w:pPr>
            <w:r>
              <w:rPr>
                <w:rFonts w:ascii="宋体" w:hAnsi="宋体" w:eastAsia="宋体" w:cs="宋体"/>
                <w:spacing w:val="9"/>
                <w:sz w:val="20"/>
                <w:szCs w:val="20"/>
              </w:rPr>
              <w:t>临床常用的抽气罐多用塑料制成。（出处：十四五创</w:t>
            </w:r>
            <w:r>
              <w:rPr>
                <w:rFonts w:ascii="宋体" w:hAnsi="宋体" w:eastAsia="宋体" w:cs="宋体"/>
                <w:spacing w:val="8"/>
                <w:sz w:val="20"/>
                <w:szCs w:val="20"/>
              </w:rPr>
              <w:t>新教材《中医拔罐</w:t>
            </w:r>
          </w:p>
        </w:tc>
        <w:tc>
          <w:tcPr>
            <w:tcW w:w="634" w:type="dxa"/>
            <w:vAlign w:val="top"/>
          </w:tcPr>
          <w:p w14:paraId="1D39FDEC">
            <w:pPr>
              <w:spacing w:line="276" w:lineRule="auto"/>
              <w:rPr>
                <w:rFonts w:ascii="Arial"/>
                <w:sz w:val="21"/>
              </w:rPr>
            </w:pPr>
          </w:p>
        </w:tc>
        <w:tc>
          <w:tcPr>
            <w:tcW w:w="857" w:type="dxa"/>
            <w:vAlign w:val="top"/>
          </w:tcPr>
          <w:p w14:paraId="21B3B229">
            <w:pPr>
              <w:spacing w:line="276" w:lineRule="auto"/>
              <w:rPr>
                <w:rFonts w:ascii="Arial"/>
                <w:sz w:val="21"/>
              </w:rPr>
            </w:pPr>
          </w:p>
        </w:tc>
        <w:tc>
          <w:tcPr>
            <w:tcW w:w="422" w:type="dxa"/>
            <w:vAlign w:val="top"/>
          </w:tcPr>
          <w:p w14:paraId="0D223702">
            <w:pPr>
              <w:spacing w:line="276" w:lineRule="auto"/>
              <w:rPr>
                <w:rFonts w:ascii="Arial"/>
                <w:sz w:val="21"/>
              </w:rPr>
            </w:pPr>
          </w:p>
        </w:tc>
        <w:tc>
          <w:tcPr>
            <w:tcW w:w="945" w:type="dxa"/>
            <w:vAlign w:val="top"/>
          </w:tcPr>
          <w:p w14:paraId="73D9F73D">
            <w:pPr>
              <w:spacing w:line="276" w:lineRule="auto"/>
              <w:rPr>
                <w:rFonts w:ascii="Arial"/>
                <w:sz w:val="21"/>
              </w:rPr>
            </w:pPr>
          </w:p>
        </w:tc>
      </w:tr>
      <w:tr w14:paraId="21F57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9" w:hRule="atLeast"/>
        </w:trPr>
        <w:tc>
          <w:tcPr>
            <w:tcW w:w="6712" w:type="dxa"/>
            <w:vAlign w:val="top"/>
          </w:tcPr>
          <w:p w14:paraId="1C63FB36">
            <w:pPr>
              <w:spacing w:before="121" w:line="276" w:lineRule="auto"/>
              <w:ind w:left="115"/>
              <w:rPr>
                <w:rFonts w:ascii="宋体" w:hAnsi="宋体" w:eastAsia="宋体" w:cs="宋体"/>
                <w:sz w:val="20"/>
                <w:szCs w:val="20"/>
              </w:rPr>
            </w:pPr>
            <w:r>
              <w:rPr>
                <w:rFonts w:ascii="宋体" w:hAnsi="宋体" w:eastAsia="宋体" w:cs="宋体"/>
                <w:spacing w:val="3"/>
                <w:sz w:val="20"/>
                <w:szCs w:val="20"/>
              </w:rPr>
              <w:t>疗法》）</w:t>
            </w:r>
          </w:p>
        </w:tc>
        <w:tc>
          <w:tcPr>
            <w:tcW w:w="634" w:type="dxa"/>
            <w:vAlign w:val="top"/>
          </w:tcPr>
          <w:p w14:paraId="6F67AD75">
            <w:pPr>
              <w:spacing w:line="276" w:lineRule="auto"/>
              <w:rPr>
                <w:rFonts w:ascii="Arial"/>
                <w:sz w:val="21"/>
              </w:rPr>
            </w:pPr>
          </w:p>
        </w:tc>
        <w:tc>
          <w:tcPr>
            <w:tcW w:w="857" w:type="dxa"/>
            <w:vAlign w:val="top"/>
          </w:tcPr>
          <w:p w14:paraId="6E3078A4">
            <w:pPr>
              <w:spacing w:line="276" w:lineRule="auto"/>
              <w:rPr>
                <w:rFonts w:ascii="Arial"/>
                <w:sz w:val="21"/>
              </w:rPr>
            </w:pPr>
          </w:p>
        </w:tc>
        <w:tc>
          <w:tcPr>
            <w:tcW w:w="422" w:type="dxa"/>
            <w:vAlign w:val="top"/>
          </w:tcPr>
          <w:p w14:paraId="79D31DA0">
            <w:pPr>
              <w:spacing w:line="276" w:lineRule="auto"/>
              <w:rPr>
                <w:rFonts w:ascii="Arial"/>
                <w:sz w:val="21"/>
              </w:rPr>
            </w:pPr>
          </w:p>
        </w:tc>
        <w:tc>
          <w:tcPr>
            <w:tcW w:w="945" w:type="dxa"/>
            <w:vAlign w:val="top"/>
          </w:tcPr>
          <w:p w14:paraId="50A4AD50">
            <w:pPr>
              <w:spacing w:line="276" w:lineRule="auto"/>
              <w:rPr>
                <w:rFonts w:ascii="Arial"/>
                <w:sz w:val="21"/>
              </w:rPr>
            </w:pPr>
          </w:p>
        </w:tc>
      </w:tr>
      <w:tr w14:paraId="4BDBA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5" w:hRule="atLeast"/>
        </w:trPr>
        <w:tc>
          <w:tcPr>
            <w:tcW w:w="6712" w:type="dxa"/>
            <w:vAlign w:val="top"/>
          </w:tcPr>
          <w:p w14:paraId="3864DD14">
            <w:pPr>
              <w:spacing w:before="123" w:line="276" w:lineRule="auto"/>
              <w:ind w:left="111"/>
              <w:rPr>
                <w:rFonts w:ascii="宋体" w:hAnsi="宋体" w:eastAsia="宋体" w:cs="宋体"/>
                <w:sz w:val="20"/>
                <w:szCs w:val="20"/>
              </w:rPr>
            </w:pPr>
            <w:r>
              <w:rPr>
                <w:rFonts w:ascii="宋体" w:hAnsi="宋体" w:eastAsia="宋体" w:cs="宋体"/>
                <w:spacing w:val="7"/>
                <w:sz w:val="20"/>
                <w:szCs w:val="20"/>
              </w:rPr>
              <w:t>B. 沿用国家标准原文。</w:t>
            </w:r>
          </w:p>
        </w:tc>
        <w:tc>
          <w:tcPr>
            <w:tcW w:w="634" w:type="dxa"/>
            <w:vAlign w:val="top"/>
          </w:tcPr>
          <w:p w14:paraId="15A7A9C3">
            <w:pPr>
              <w:spacing w:before="122" w:line="276" w:lineRule="auto"/>
              <w:ind w:left="116"/>
              <w:rPr>
                <w:rFonts w:ascii="宋体" w:hAnsi="宋体" w:eastAsia="宋体" w:cs="宋体"/>
                <w:sz w:val="20"/>
                <w:szCs w:val="20"/>
              </w:rPr>
            </w:pPr>
            <w:r>
              <w:rPr>
                <w:rFonts w:ascii="宋体" w:hAnsi="宋体" w:eastAsia="宋体" w:cs="宋体"/>
                <w:spacing w:val="2"/>
                <w:sz w:val="20"/>
                <w:szCs w:val="20"/>
              </w:rPr>
              <w:t>0.37</w:t>
            </w:r>
          </w:p>
        </w:tc>
        <w:tc>
          <w:tcPr>
            <w:tcW w:w="857" w:type="dxa"/>
            <w:vAlign w:val="top"/>
          </w:tcPr>
          <w:p w14:paraId="65A24172">
            <w:pPr>
              <w:spacing w:before="122" w:line="276" w:lineRule="auto"/>
              <w:ind w:left="118"/>
              <w:rPr>
                <w:rFonts w:ascii="宋体" w:hAnsi="宋体" w:eastAsia="宋体" w:cs="宋体"/>
                <w:sz w:val="20"/>
                <w:szCs w:val="20"/>
              </w:rPr>
            </w:pPr>
            <w:r>
              <w:rPr>
                <w:rFonts w:ascii="宋体" w:hAnsi="宋体" w:eastAsia="宋体" w:cs="宋体"/>
                <w:spacing w:val="3"/>
                <w:sz w:val="20"/>
                <w:szCs w:val="20"/>
              </w:rPr>
              <w:t>63.00%</w:t>
            </w:r>
          </w:p>
        </w:tc>
        <w:tc>
          <w:tcPr>
            <w:tcW w:w="422" w:type="dxa"/>
            <w:vAlign w:val="top"/>
          </w:tcPr>
          <w:p w14:paraId="128D94B0">
            <w:pPr>
              <w:spacing w:before="122" w:line="276" w:lineRule="auto"/>
              <w:ind w:left="122"/>
              <w:rPr>
                <w:rFonts w:ascii="宋体" w:hAnsi="宋体" w:eastAsia="宋体" w:cs="宋体"/>
                <w:sz w:val="20"/>
                <w:szCs w:val="20"/>
              </w:rPr>
            </w:pPr>
            <w:r>
              <w:rPr>
                <w:rFonts w:ascii="宋体" w:hAnsi="宋体" w:eastAsia="宋体" w:cs="宋体"/>
                <w:spacing w:val="-7"/>
                <w:sz w:val="20"/>
                <w:szCs w:val="20"/>
              </w:rPr>
              <w:t>11</w:t>
            </w:r>
          </w:p>
        </w:tc>
        <w:tc>
          <w:tcPr>
            <w:tcW w:w="945" w:type="dxa"/>
            <w:vAlign w:val="top"/>
          </w:tcPr>
          <w:p w14:paraId="4FB010AE">
            <w:pPr>
              <w:spacing w:before="122" w:line="276" w:lineRule="auto"/>
              <w:ind w:left="125"/>
              <w:rPr>
                <w:rFonts w:ascii="宋体" w:hAnsi="宋体" w:eastAsia="宋体" w:cs="宋体"/>
                <w:sz w:val="20"/>
                <w:szCs w:val="20"/>
              </w:rPr>
            </w:pPr>
            <w:r>
              <w:rPr>
                <w:rFonts w:ascii="宋体" w:hAnsi="宋体" w:eastAsia="宋体" w:cs="宋体"/>
                <w:spacing w:val="1"/>
                <w:sz w:val="20"/>
                <w:szCs w:val="20"/>
              </w:rPr>
              <w:t>132.47%</w:t>
            </w:r>
          </w:p>
        </w:tc>
      </w:tr>
    </w:tbl>
    <w:p w14:paraId="238754F0">
      <w:pPr>
        <w:spacing w:before="209" w:line="276" w:lineRule="auto"/>
        <w:ind w:left="539"/>
        <w:rPr>
          <w:rFonts w:ascii="宋体" w:hAnsi="宋体" w:eastAsia="宋体" w:cs="宋体"/>
          <w:sz w:val="20"/>
          <w:szCs w:val="20"/>
        </w:rPr>
      </w:pPr>
      <w:r>
        <w:rPr>
          <w:rFonts w:ascii="宋体" w:hAnsi="宋体" w:eastAsia="宋体" w:cs="宋体"/>
          <w:b/>
          <w:bCs/>
          <w:spacing w:val="4"/>
          <w:sz w:val="20"/>
          <w:szCs w:val="20"/>
        </w:rPr>
        <w:t>2.8</w:t>
      </w:r>
      <w:r>
        <w:rPr>
          <w:rFonts w:ascii="宋体" w:hAnsi="宋体" w:eastAsia="宋体" w:cs="宋体"/>
          <w:spacing w:val="4"/>
          <w:sz w:val="20"/>
          <w:szCs w:val="20"/>
        </w:rPr>
        <w:t xml:space="preserve"> </w:t>
      </w:r>
      <w:r>
        <w:rPr>
          <w:rFonts w:ascii="宋体" w:hAnsi="宋体" w:eastAsia="宋体" w:cs="宋体"/>
          <w:b/>
          <w:bCs/>
          <w:spacing w:val="4"/>
          <w:sz w:val="20"/>
          <w:szCs w:val="20"/>
        </w:rPr>
        <w:t>修改“范围</w:t>
      </w:r>
      <w:r>
        <w:rPr>
          <w:rFonts w:ascii="宋体" w:hAnsi="宋体" w:eastAsia="宋体" w:cs="宋体"/>
          <w:spacing w:val="-66"/>
          <w:sz w:val="20"/>
          <w:szCs w:val="20"/>
        </w:rPr>
        <w:t xml:space="preserve"> </w:t>
      </w:r>
      <w:r>
        <w:rPr>
          <w:rFonts w:ascii="宋体" w:hAnsi="宋体" w:eastAsia="宋体" w:cs="宋体"/>
          <w:b/>
          <w:bCs/>
          <w:spacing w:val="4"/>
          <w:sz w:val="20"/>
          <w:szCs w:val="20"/>
        </w:rPr>
        <w:t>”调查结果</w:t>
      </w:r>
    </w:p>
    <w:p w14:paraId="77342031">
      <w:pPr>
        <w:spacing w:before="154" w:line="276" w:lineRule="auto"/>
        <w:jc w:val="center"/>
        <w:rPr>
          <w:rFonts w:ascii="宋体" w:hAnsi="宋体" w:eastAsia="宋体" w:cs="宋体"/>
          <w:sz w:val="20"/>
          <w:szCs w:val="20"/>
        </w:rPr>
      </w:pPr>
      <w:r>
        <w:rPr>
          <w:rFonts w:ascii="宋体" w:hAnsi="宋体" w:eastAsia="宋体" w:cs="宋体"/>
          <w:spacing w:val="4"/>
          <w:sz w:val="20"/>
          <w:szCs w:val="20"/>
        </w:rPr>
        <w:t>表</w:t>
      </w:r>
      <w:r>
        <w:rPr>
          <w:rFonts w:ascii="宋体" w:hAnsi="宋体" w:eastAsia="宋体" w:cs="宋体"/>
          <w:spacing w:val="32"/>
          <w:sz w:val="20"/>
          <w:szCs w:val="20"/>
        </w:rPr>
        <w:t xml:space="preserve"> </w:t>
      </w:r>
      <w:r>
        <w:rPr>
          <w:rFonts w:ascii="宋体" w:hAnsi="宋体" w:eastAsia="宋体" w:cs="宋体"/>
          <w:spacing w:val="4"/>
          <w:sz w:val="20"/>
          <w:szCs w:val="20"/>
        </w:rPr>
        <w:t>15 修改“范围</w:t>
      </w:r>
      <w:r>
        <w:rPr>
          <w:rFonts w:ascii="宋体" w:hAnsi="宋体" w:eastAsia="宋体" w:cs="宋体"/>
          <w:spacing w:val="-70"/>
          <w:sz w:val="20"/>
          <w:szCs w:val="20"/>
        </w:rPr>
        <w:t xml:space="preserve"> </w:t>
      </w:r>
      <w:r>
        <w:rPr>
          <w:rFonts w:ascii="宋体" w:hAnsi="宋体" w:eastAsia="宋体" w:cs="宋体"/>
          <w:spacing w:val="4"/>
          <w:sz w:val="20"/>
          <w:szCs w:val="20"/>
        </w:rPr>
        <w:t>”调查结果</w:t>
      </w:r>
    </w:p>
    <w:p w14:paraId="47A012BE">
      <w:pPr>
        <w:spacing w:line="276" w:lineRule="auto"/>
        <w:rPr>
          <w:rFonts w:ascii="Arial"/>
          <w:sz w:val="2"/>
        </w:rPr>
      </w:pPr>
    </w:p>
    <w:tbl>
      <w:tblPr>
        <w:tblStyle w:val="9"/>
        <w:tblW w:w="85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461"/>
        <w:gridCol w:w="2670"/>
        <w:gridCol w:w="761"/>
        <w:gridCol w:w="540"/>
        <w:gridCol w:w="1094"/>
      </w:tblGrid>
      <w:tr w14:paraId="275CC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3461" w:type="dxa"/>
            <w:vAlign w:val="top"/>
          </w:tcPr>
          <w:p w14:paraId="702D1530">
            <w:pPr>
              <w:spacing w:before="145" w:line="276" w:lineRule="auto"/>
              <w:ind w:left="115"/>
              <w:rPr>
                <w:rFonts w:ascii="宋体" w:hAnsi="宋体" w:eastAsia="宋体" w:cs="宋体"/>
                <w:sz w:val="20"/>
                <w:szCs w:val="20"/>
              </w:rPr>
            </w:pPr>
            <w:r>
              <w:rPr>
                <w:rFonts w:ascii="宋体" w:hAnsi="宋体" w:eastAsia="宋体" w:cs="宋体"/>
                <w:spacing w:val="5"/>
                <w:sz w:val="20"/>
                <w:szCs w:val="20"/>
              </w:rPr>
              <w:t>选项</w:t>
            </w:r>
          </w:p>
        </w:tc>
        <w:tc>
          <w:tcPr>
            <w:tcW w:w="2670" w:type="dxa"/>
            <w:vAlign w:val="top"/>
          </w:tcPr>
          <w:p w14:paraId="6657D17D">
            <w:pPr>
              <w:spacing w:before="220" w:line="276" w:lineRule="auto"/>
              <w:ind w:left="2358"/>
              <w:rPr>
                <w:rFonts w:ascii="Times New Roman" w:hAnsi="Times New Roman" w:eastAsia="Times New Roman" w:cs="Times New Roman"/>
                <w:sz w:val="23"/>
                <w:szCs w:val="23"/>
              </w:rPr>
            </w:pPr>
            <w:r>
              <w:pict>
                <v:shape id="_x0000_s1040" o:spid="_x0000_s1040" style="position:absolute;left:0pt;margin-left:117.8pt;margin-top:6.2pt;height:0.5pt;width:5.55pt;mso-position-horizontal-relative:page;mso-position-vertical-relative:page;z-index:251666432;mso-width-relative:page;mso-height-relative:page;" filled="f" stroked="t" coordsize="111,10" path="m4,4l105,4e">
                  <v:fill on="f" focussize="0,0"/>
                  <v:stroke weight="0.48pt" color="#000000" miterlimit="2" endcap="round"/>
                  <v:imagedata o:title=""/>
                  <o:lock v:ext="edit"/>
                </v:shape>
              </w:pict>
            </w:r>
            <w:r>
              <w:rPr>
                <w:rFonts w:ascii="Times New Roman" w:hAnsi="Times New Roman" w:eastAsia="Times New Roman" w:cs="Times New Roman"/>
                <w:i/>
                <w:iCs/>
                <w:spacing w:val="11"/>
                <w:sz w:val="23"/>
                <w:szCs w:val="23"/>
              </w:rPr>
              <w:t>x</w:t>
            </w:r>
          </w:p>
        </w:tc>
        <w:tc>
          <w:tcPr>
            <w:tcW w:w="761" w:type="dxa"/>
            <w:vAlign w:val="top"/>
          </w:tcPr>
          <w:p w14:paraId="11CFDDE5">
            <w:pPr>
              <w:spacing w:before="180" w:line="276" w:lineRule="auto"/>
              <w:ind w:left="199"/>
              <w:rPr>
                <w:rFonts w:ascii="宋体" w:hAnsi="宋体" w:eastAsia="宋体" w:cs="宋体"/>
                <w:sz w:val="20"/>
                <w:szCs w:val="20"/>
              </w:rPr>
            </w:pPr>
            <w:r>
              <w:rPr>
                <w:rFonts w:ascii="宋体" w:hAnsi="宋体" w:eastAsia="宋体" w:cs="宋体"/>
                <w:sz w:val="20"/>
                <w:szCs w:val="20"/>
              </w:rPr>
              <w:t>R</w:t>
            </w:r>
          </w:p>
        </w:tc>
        <w:tc>
          <w:tcPr>
            <w:tcW w:w="540" w:type="dxa"/>
            <w:vAlign w:val="top"/>
          </w:tcPr>
          <w:p w14:paraId="39BC7C57">
            <w:pPr>
              <w:spacing w:before="178" w:line="276" w:lineRule="auto"/>
              <w:ind w:left="151"/>
              <w:rPr>
                <w:rFonts w:ascii="宋体" w:hAnsi="宋体" w:eastAsia="宋体" w:cs="宋体"/>
                <w:sz w:val="20"/>
                <w:szCs w:val="20"/>
              </w:rPr>
            </w:pPr>
            <w:r>
              <w:rPr>
                <w:rFonts w:ascii="宋体" w:hAnsi="宋体" w:eastAsia="宋体" w:cs="宋体"/>
                <w:sz w:val="20"/>
                <w:szCs w:val="20"/>
              </w:rPr>
              <w:t>S</w:t>
            </w:r>
          </w:p>
        </w:tc>
        <w:tc>
          <w:tcPr>
            <w:tcW w:w="1094" w:type="dxa"/>
            <w:vAlign w:val="top"/>
          </w:tcPr>
          <w:p w14:paraId="75B537F2">
            <w:pPr>
              <w:spacing w:before="178" w:line="276" w:lineRule="auto"/>
              <w:ind w:left="199"/>
              <w:rPr>
                <w:rFonts w:ascii="宋体" w:hAnsi="宋体" w:eastAsia="宋体" w:cs="宋体"/>
                <w:sz w:val="20"/>
                <w:szCs w:val="20"/>
              </w:rPr>
            </w:pPr>
            <w:r>
              <w:rPr>
                <w:rFonts w:ascii="宋体" w:hAnsi="宋体" w:eastAsia="宋体" w:cs="宋体"/>
                <w:spacing w:val="1"/>
                <w:sz w:val="20"/>
                <w:szCs w:val="20"/>
              </w:rPr>
              <w:t>CV</w:t>
            </w:r>
          </w:p>
        </w:tc>
      </w:tr>
      <w:tr w14:paraId="7642E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2" w:hRule="atLeast"/>
        </w:trPr>
        <w:tc>
          <w:tcPr>
            <w:tcW w:w="3461" w:type="dxa"/>
            <w:vAlign w:val="top"/>
          </w:tcPr>
          <w:p w14:paraId="6A7A41A4">
            <w:pPr>
              <w:spacing w:before="60" w:line="276" w:lineRule="auto"/>
              <w:ind w:left="110"/>
              <w:rPr>
                <w:rFonts w:ascii="宋体" w:hAnsi="宋体" w:eastAsia="宋体" w:cs="宋体"/>
                <w:sz w:val="20"/>
                <w:szCs w:val="20"/>
              </w:rPr>
            </w:pPr>
            <w:r>
              <w:rPr>
                <w:rFonts w:ascii="宋体" w:hAnsi="宋体" w:eastAsia="宋体" w:cs="宋体"/>
                <w:spacing w:val="-1"/>
                <w:sz w:val="20"/>
                <w:szCs w:val="20"/>
              </w:rPr>
              <w:t>A.</w:t>
            </w:r>
            <w:r>
              <w:rPr>
                <w:rFonts w:ascii="宋体" w:hAnsi="宋体" w:eastAsia="宋体" w:cs="宋体"/>
                <w:spacing w:val="34"/>
                <w:sz w:val="20"/>
                <w:szCs w:val="20"/>
              </w:rPr>
              <w:t xml:space="preserve"> </w:t>
            </w:r>
            <w:r>
              <w:rPr>
                <w:rFonts w:ascii="宋体" w:hAnsi="宋体" w:eastAsia="宋体" w:cs="宋体"/>
                <w:spacing w:val="-1"/>
                <w:sz w:val="20"/>
                <w:szCs w:val="20"/>
              </w:rPr>
              <w:t>同意。</w:t>
            </w:r>
          </w:p>
          <w:p w14:paraId="56BE59A3">
            <w:pPr>
              <w:spacing w:before="240" w:line="276" w:lineRule="auto"/>
              <w:ind w:left="111"/>
              <w:rPr>
                <w:rFonts w:ascii="宋体" w:hAnsi="宋体" w:eastAsia="宋体" w:cs="宋体"/>
                <w:sz w:val="20"/>
                <w:szCs w:val="20"/>
              </w:rPr>
            </w:pPr>
            <w:r>
              <w:rPr>
                <w:rFonts w:ascii="宋体" w:hAnsi="宋体" w:eastAsia="宋体" w:cs="宋体"/>
                <w:spacing w:val="4"/>
                <w:sz w:val="20"/>
                <w:szCs w:val="20"/>
              </w:rPr>
              <w:t>B.</w:t>
            </w:r>
            <w:r>
              <w:rPr>
                <w:rFonts w:ascii="宋体" w:hAnsi="宋体" w:eastAsia="宋体" w:cs="宋体"/>
                <w:spacing w:val="15"/>
                <w:sz w:val="20"/>
                <w:szCs w:val="20"/>
              </w:rPr>
              <w:t xml:space="preserve"> </w:t>
            </w:r>
            <w:r>
              <w:rPr>
                <w:rFonts w:ascii="宋体" w:hAnsi="宋体" w:eastAsia="宋体" w:cs="宋体"/>
                <w:spacing w:val="4"/>
                <w:sz w:val="20"/>
                <w:szCs w:val="20"/>
              </w:rPr>
              <w:t>不同意。</w:t>
            </w:r>
          </w:p>
        </w:tc>
        <w:tc>
          <w:tcPr>
            <w:tcW w:w="2670" w:type="dxa"/>
            <w:vAlign w:val="top"/>
          </w:tcPr>
          <w:p w14:paraId="7127A92C">
            <w:pPr>
              <w:spacing w:before="149" w:line="276" w:lineRule="auto"/>
              <w:ind w:left="2347"/>
              <w:rPr>
                <w:rFonts w:ascii="宋体" w:hAnsi="宋体" w:eastAsia="宋体" w:cs="宋体"/>
                <w:sz w:val="20"/>
                <w:szCs w:val="20"/>
              </w:rPr>
            </w:pPr>
            <w:r>
              <w:rPr>
                <w:rFonts w:ascii="宋体" w:hAnsi="宋体" w:eastAsia="宋体" w:cs="宋体"/>
                <w:position w:val="1"/>
                <w:sz w:val="20"/>
                <w:szCs w:val="20"/>
              </w:rPr>
              <w:t>1</w:t>
            </w:r>
          </w:p>
          <w:p w14:paraId="71A9409B">
            <w:pPr>
              <w:spacing w:before="130" w:line="276" w:lineRule="auto"/>
              <w:ind w:left="2333"/>
              <w:rPr>
                <w:rFonts w:ascii="宋体" w:hAnsi="宋体" w:eastAsia="宋体" w:cs="宋体"/>
                <w:sz w:val="20"/>
                <w:szCs w:val="20"/>
              </w:rPr>
            </w:pPr>
            <w:r>
              <w:rPr>
                <w:rFonts w:ascii="宋体" w:hAnsi="宋体" w:eastAsia="宋体" w:cs="宋体"/>
                <w:sz w:val="20"/>
                <w:szCs w:val="20"/>
              </w:rPr>
              <w:t>0</w:t>
            </w:r>
          </w:p>
        </w:tc>
        <w:tc>
          <w:tcPr>
            <w:tcW w:w="761" w:type="dxa"/>
            <w:vAlign w:val="top"/>
          </w:tcPr>
          <w:p w14:paraId="2AA4D764">
            <w:pPr>
              <w:spacing w:before="149" w:line="276" w:lineRule="auto"/>
              <w:ind w:left="203"/>
              <w:rPr>
                <w:rFonts w:ascii="宋体" w:hAnsi="宋体" w:eastAsia="宋体" w:cs="宋体"/>
                <w:sz w:val="20"/>
                <w:szCs w:val="20"/>
              </w:rPr>
            </w:pPr>
            <w:r>
              <w:rPr>
                <w:rFonts w:ascii="宋体" w:hAnsi="宋体" w:eastAsia="宋体" w:cs="宋体"/>
                <w:position w:val="1"/>
                <w:sz w:val="20"/>
                <w:szCs w:val="20"/>
              </w:rPr>
              <w:t>0%</w:t>
            </w:r>
          </w:p>
          <w:p w14:paraId="3BACB106">
            <w:pPr>
              <w:spacing w:before="132" w:line="276" w:lineRule="auto"/>
              <w:ind w:left="217"/>
              <w:rPr>
                <w:rFonts w:ascii="宋体" w:hAnsi="宋体" w:eastAsia="宋体" w:cs="宋体"/>
                <w:sz w:val="20"/>
                <w:szCs w:val="20"/>
              </w:rPr>
            </w:pPr>
            <w:r>
              <w:rPr>
                <w:rFonts w:ascii="宋体" w:hAnsi="宋体" w:eastAsia="宋体" w:cs="宋体"/>
                <w:spacing w:val="-1"/>
                <w:sz w:val="20"/>
                <w:szCs w:val="20"/>
              </w:rPr>
              <w:t>100%</w:t>
            </w:r>
          </w:p>
        </w:tc>
        <w:tc>
          <w:tcPr>
            <w:tcW w:w="540" w:type="dxa"/>
            <w:vAlign w:val="top"/>
          </w:tcPr>
          <w:p w14:paraId="7D62EF9A">
            <w:pPr>
              <w:spacing w:before="149" w:line="276" w:lineRule="auto"/>
              <w:ind w:left="155"/>
              <w:rPr>
                <w:rFonts w:ascii="宋体" w:hAnsi="宋体" w:eastAsia="宋体" w:cs="宋体"/>
                <w:sz w:val="20"/>
                <w:szCs w:val="20"/>
              </w:rPr>
            </w:pPr>
            <w:r>
              <w:rPr>
                <w:rFonts w:ascii="宋体" w:hAnsi="宋体" w:eastAsia="宋体" w:cs="宋体"/>
                <w:spacing w:val="-2"/>
                <w:position w:val="1"/>
                <w:sz w:val="20"/>
                <w:szCs w:val="20"/>
              </w:rPr>
              <w:t>30</w:t>
            </w:r>
          </w:p>
          <w:p w14:paraId="4AC483A0">
            <w:pPr>
              <w:spacing w:before="132" w:line="276" w:lineRule="auto"/>
              <w:ind w:left="152"/>
              <w:rPr>
                <w:rFonts w:ascii="宋体" w:hAnsi="宋体" w:eastAsia="宋体" w:cs="宋体"/>
                <w:sz w:val="20"/>
                <w:szCs w:val="20"/>
              </w:rPr>
            </w:pPr>
            <w:r>
              <w:rPr>
                <w:rFonts w:ascii="宋体" w:hAnsi="宋体" w:eastAsia="宋体" w:cs="宋体"/>
                <w:sz w:val="20"/>
                <w:szCs w:val="20"/>
              </w:rPr>
              <w:t>0</w:t>
            </w:r>
          </w:p>
        </w:tc>
        <w:tc>
          <w:tcPr>
            <w:tcW w:w="1094" w:type="dxa"/>
            <w:vAlign w:val="top"/>
          </w:tcPr>
          <w:p w14:paraId="4B3CBFAB">
            <w:pPr>
              <w:spacing w:before="149" w:line="276" w:lineRule="auto"/>
              <w:ind w:left="203"/>
              <w:rPr>
                <w:rFonts w:ascii="宋体" w:hAnsi="宋体" w:eastAsia="宋体" w:cs="宋体"/>
                <w:sz w:val="20"/>
                <w:szCs w:val="20"/>
              </w:rPr>
            </w:pPr>
            <w:r>
              <w:rPr>
                <w:rFonts w:ascii="宋体" w:hAnsi="宋体" w:eastAsia="宋体" w:cs="宋体"/>
                <w:position w:val="1"/>
                <w:sz w:val="20"/>
                <w:szCs w:val="20"/>
              </w:rPr>
              <w:t>0%</w:t>
            </w:r>
          </w:p>
        </w:tc>
      </w:tr>
    </w:tbl>
    <w:p w14:paraId="6708DCE9">
      <w:pPr>
        <w:spacing w:before="209" w:line="276" w:lineRule="auto"/>
        <w:ind w:left="539"/>
        <w:rPr>
          <w:rFonts w:ascii="宋体" w:hAnsi="宋体" w:eastAsia="宋体" w:cs="宋体"/>
          <w:sz w:val="20"/>
          <w:szCs w:val="20"/>
        </w:rPr>
      </w:pPr>
      <w:r>
        <w:rPr>
          <w:rFonts w:ascii="宋体" w:hAnsi="宋体" w:eastAsia="宋体" w:cs="宋体"/>
          <w:b/>
          <w:bCs/>
          <w:spacing w:val="5"/>
          <w:sz w:val="20"/>
          <w:szCs w:val="20"/>
        </w:rPr>
        <w:t>2.9</w:t>
      </w:r>
      <w:r>
        <w:rPr>
          <w:rFonts w:ascii="宋体" w:hAnsi="宋体" w:eastAsia="宋体" w:cs="宋体"/>
          <w:spacing w:val="5"/>
          <w:sz w:val="20"/>
          <w:szCs w:val="20"/>
        </w:rPr>
        <w:t xml:space="preserve"> </w:t>
      </w:r>
      <w:r>
        <w:rPr>
          <w:rFonts w:ascii="宋体" w:hAnsi="宋体" w:eastAsia="宋体" w:cs="宋体"/>
          <w:b/>
          <w:bCs/>
          <w:spacing w:val="5"/>
          <w:sz w:val="20"/>
          <w:szCs w:val="20"/>
        </w:rPr>
        <w:t>修改“规范性引用文件</w:t>
      </w:r>
      <w:r>
        <w:rPr>
          <w:rFonts w:ascii="宋体" w:hAnsi="宋体" w:eastAsia="宋体" w:cs="宋体"/>
          <w:spacing w:val="-62"/>
          <w:sz w:val="20"/>
          <w:szCs w:val="20"/>
        </w:rPr>
        <w:t xml:space="preserve"> </w:t>
      </w:r>
      <w:r>
        <w:rPr>
          <w:rFonts w:ascii="宋体" w:hAnsi="宋体" w:eastAsia="宋体" w:cs="宋体"/>
          <w:b/>
          <w:bCs/>
          <w:spacing w:val="5"/>
          <w:sz w:val="20"/>
          <w:szCs w:val="20"/>
        </w:rPr>
        <w:t>”调查结果</w:t>
      </w:r>
    </w:p>
    <w:p w14:paraId="1080A6F4">
      <w:pPr>
        <w:spacing w:before="153" w:line="276" w:lineRule="auto"/>
        <w:jc w:val="center"/>
        <w:rPr>
          <w:rFonts w:ascii="宋体" w:hAnsi="宋体" w:eastAsia="宋体" w:cs="宋体"/>
          <w:sz w:val="20"/>
          <w:szCs w:val="20"/>
        </w:rPr>
      </w:pPr>
      <w:r>
        <w:rPr>
          <w:rFonts w:ascii="宋体" w:hAnsi="宋体" w:eastAsia="宋体" w:cs="宋体"/>
          <w:spacing w:val="6"/>
          <w:sz w:val="20"/>
          <w:szCs w:val="20"/>
        </w:rPr>
        <w:t>表 16</w:t>
      </w:r>
      <w:r>
        <w:rPr>
          <w:rFonts w:ascii="宋体" w:hAnsi="宋体" w:eastAsia="宋体" w:cs="宋体"/>
          <w:spacing w:val="25"/>
          <w:sz w:val="20"/>
          <w:szCs w:val="20"/>
        </w:rPr>
        <w:t xml:space="preserve"> </w:t>
      </w:r>
      <w:r>
        <w:rPr>
          <w:rFonts w:ascii="宋体" w:hAnsi="宋体" w:eastAsia="宋体" w:cs="宋体"/>
          <w:spacing w:val="6"/>
          <w:sz w:val="20"/>
          <w:szCs w:val="20"/>
        </w:rPr>
        <w:t>修改“规范性引用文件</w:t>
      </w:r>
      <w:r>
        <w:rPr>
          <w:rFonts w:ascii="宋体" w:hAnsi="宋体" w:eastAsia="宋体" w:cs="宋体"/>
          <w:spacing w:val="-70"/>
          <w:sz w:val="20"/>
          <w:szCs w:val="20"/>
        </w:rPr>
        <w:t xml:space="preserve"> </w:t>
      </w:r>
      <w:r>
        <w:rPr>
          <w:rFonts w:ascii="宋体" w:hAnsi="宋体" w:eastAsia="宋体" w:cs="宋体"/>
          <w:spacing w:val="6"/>
          <w:sz w:val="20"/>
          <w:szCs w:val="20"/>
        </w:rPr>
        <w:t>”调查结果</w:t>
      </w:r>
    </w:p>
    <w:tbl>
      <w:tblPr>
        <w:tblStyle w:val="9"/>
        <w:tblW w:w="82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456"/>
        <w:gridCol w:w="2671"/>
        <w:gridCol w:w="765"/>
        <w:gridCol w:w="531"/>
        <w:gridCol w:w="826"/>
      </w:tblGrid>
      <w:tr w14:paraId="52F24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3456" w:type="dxa"/>
            <w:vAlign w:val="top"/>
          </w:tcPr>
          <w:p w14:paraId="5915FC3D">
            <w:pPr>
              <w:spacing w:before="145" w:line="276" w:lineRule="auto"/>
              <w:ind w:left="115"/>
              <w:rPr>
                <w:rFonts w:ascii="宋体" w:hAnsi="宋体" w:eastAsia="宋体" w:cs="宋体"/>
                <w:sz w:val="20"/>
                <w:szCs w:val="20"/>
              </w:rPr>
            </w:pPr>
            <w:r>
              <w:rPr>
                <w:rFonts w:ascii="宋体" w:hAnsi="宋体" w:eastAsia="宋体" w:cs="宋体"/>
                <w:spacing w:val="5"/>
                <w:sz w:val="20"/>
                <w:szCs w:val="20"/>
              </w:rPr>
              <w:t>选项</w:t>
            </w:r>
          </w:p>
        </w:tc>
        <w:tc>
          <w:tcPr>
            <w:tcW w:w="2671" w:type="dxa"/>
            <w:vAlign w:val="top"/>
          </w:tcPr>
          <w:p w14:paraId="0A690F69">
            <w:pPr>
              <w:spacing w:before="220" w:line="276" w:lineRule="auto"/>
              <w:ind w:left="2354"/>
              <w:rPr>
                <w:rFonts w:ascii="Times New Roman" w:hAnsi="Times New Roman" w:eastAsia="Times New Roman" w:cs="Times New Roman"/>
                <w:sz w:val="23"/>
                <w:szCs w:val="23"/>
              </w:rPr>
            </w:pPr>
            <w:r>
              <w:pict>
                <v:shape id="_x0000_s1041" o:spid="_x0000_s1041" style="position:absolute;left:0pt;margin-left:117.6pt;margin-top:6.15pt;height:0.5pt;width:5.55pt;mso-position-horizontal-relative:page;mso-position-vertical-relative:page;z-index:251667456;mso-width-relative:page;mso-height-relative:page;" filled="f" stroked="t" coordsize="111,10" path="m4,4l105,4e">
                  <v:fill on="f" focussize="0,0"/>
                  <v:stroke weight="0.48pt" color="#000000" miterlimit="2" endcap="round"/>
                  <v:imagedata o:title=""/>
                  <o:lock v:ext="edit"/>
                </v:shape>
              </w:pict>
            </w:r>
            <w:r>
              <w:rPr>
                <w:rFonts w:ascii="Times New Roman" w:hAnsi="Times New Roman" w:eastAsia="Times New Roman" w:cs="Times New Roman"/>
                <w:i/>
                <w:iCs/>
                <w:spacing w:val="11"/>
                <w:sz w:val="23"/>
                <w:szCs w:val="23"/>
              </w:rPr>
              <w:t>x</w:t>
            </w:r>
          </w:p>
        </w:tc>
        <w:tc>
          <w:tcPr>
            <w:tcW w:w="765" w:type="dxa"/>
            <w:vAlign w:val="top"/>
          </w:tcPr>
          <w:p w14:paraId="2DD08E22">
            <w:pPr>
              <w:spacing w:before="179" w:line="276" w:lineRule="auto"/>
              <w:ind w:left="203"/>
              <w:rPr>
                <w:rFonts w:ascii="宋体" w:hAnsi="宋体" w:eastAsia="宋体" w:cs="宋体"/>
                <w:sz w:val="20"/>
                <w:szCs w:val="20"/>
              </w:rPr>
            </w:pPr>
            <w:r>
              <w:rPr>
                <w:rFonts w:ascii="宋体" w:hAnsi="宋体" w:eastAsia="宋体" w:cs="宋体"/>
                <w:sz w:val="20"/>
                <w:szCs w:val="20"/>
              </w:rPr>
              <w:t>R</w:t>
            </w:r>
          </w:p>
        </w:tc>
        <w:tc>
          <w:tcPr>
            <w:tcW w:w="531" w:type="dxa"/>
            <w:vAlign w:val="top"/>
          </w:tcPr>
          <w:p w14:paraId="62C9DA1C">
            <w:pPr>
              <w:spacing w:before="177" w:line="276" w:lineRule="auto"/>
              <w:ind w:left="151"/>
              <w:rPr>
                <w:rFonts w:ascii="宋体" w:hAnsi="宋体" w:eastAsia="宋体" w:cs="宋体"/>
                <w:sz w:val="20"/>
                <w:szCs w:val="20"/>
              </w:rPr>
            </w:pPr>
            <w:r>
              <w:rPr>
                <w:rFonts w:ascii="宋体" w:hAnsi="宋体" w:eastAsia="宋体" w:cs="宋体"/>
                <w:sz w:val="20"/>
                <w:szCs w:val="20"/>
              </w:rPr>
              <w:t>S</w:t>
            </w:r>
          </w:p>
        </w:tc>
        <w:tc>
          <w:tcPr>
            <w:tcW w:w="826" w:type="dxa"/>
            <w:vAlign w:val="top"/>
          </w:tcPr>
          <w:p w14:paraId="75D8A744">
            <w:pPr>
              <w:spacing w:before="177" w:line="276" w:lineRule="auto"/>
              <w:ind w:left="189"/>
              <w:rPr>
                <w:rFonts w:ascii="宋体" w:hAnsi="宋体" w:eastAsia="宋体" w:cs="宋体"/>
                <w:sz w:val="20"/>
                <w:szCs w:val="20"/>
              </w:rPr>
            </w:pPr>
            <w:r>
              <w:rPr>
                <w:rFonts w:ascii="宋体" w:hAnsi="宋体" w:eastAsia="宋体" w:cs="宋体"/>
                <w:spacing w:val="1"/>
                <w:sz w:val="20"/>
                <w:szCs w:val="20"/>
              </w:rPr>
              <w:t>CV</w:t>
            </w:r>
          </w:p>
        </w:tc>
      </w:tr>
      <w:tr w14:paraId="75C33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2" w:hRule="atLeast"/>
        </w:trPr>
        <w:tc>
          <w:tcPr>
            <w:tcW w:w="3456" w:type="dxa"/>
            <w:vAlign w:val="top"/>
          </w:tcPr>
          <w:p w14:paraId="23DD1ACF">
            <w:pPr>
              <w:spacing w:before="60" w:line="276" w:lineRule="auto"/>
              <w:ind w:left="110"/>
              <w:rPr>
                <w:rFonts w:ascii="宋体" w:hAnsi="宋体" w:eastAsia="宋体" w:cs="宋体"/>
                <w:sz w:val="20"/>
                <w:szCs w:val="20"/>
              </w:rPr>
            </w:pPr>
            <w:r>
              <w:rPr>
                <w:rFonts w:ascii="宋体" w:hAnsi="宋体" w:eastAsia="宋体" w:cs="宋体"/>
                <w:spacing w:val="-1"/>
                <w:sz w:val="20"/>
                <w:szCs w:val="20"/>
              </w:rPr>
              <w:t>A.</w:t>
            </w:r>
            <w:r>
              <w:rPr>
                <w:rFonts w:ascii="宋体" w:hAnsi="宋体" w:eastAsia="宋体" w:cs="宋体"/>
                <w:spacing w:val="34"/>
                <w:sz w:val="20"/>
                <w:szCs w:val="20"/>
              </w:rPr>
              <w:t xml:space="preserve"> </w:t>
            </w:r>
            <w:r>
              <w:rPr>
                <w:rFonts w:ascii="宋体" w:hAnsi="宋体" w:eastAsia="宋体" w:cs="宋体"/>
                <w:spacing w:val="-1"/>
                <w:sz w:val="20"/>
                <w:szCs w:val="20"/>
              </w:rPr>
              <w:t>同意。</w:t>
            </w:r>
          </w:p>
          <w:p w14:paraId="0800ABF5">
            <w:pPr>
              <w:spacing w:before="240" w:line="276" w:lineRule="auto"/>
              <w:ind w:left="111"/>
              <w:rPr>
                <w:rFonts w:ascii="宋体" w:hAnsi="宋体" w:eastAsia="宋体" w:cs="宋体"/>
                <w:sz w:val="20"/>
                <w:szCs w:val="20"/>
              </w:rPr>
            </w:pPr>
            <w:r>
              <w:rPr>
                <w:rFonts w:ascii="宋体" w:hAnsi="宋体" w:eastAsia="宋体" w:cs="宋体"/>
                <w:spacing w:val="4"/>
                <w:sz w:val="20"/>
                <w:szCs w:val="20"/>
              </w:rPr>
              <w:t>B.</w:t>
            </w:r>
            <w:r>
              <w:rPr>
                <w:rFonts w:ascii="宋体" w:hAnsi="宋体" w:eastAsia="宋体" w:cs="宋体"/>
                <w:spacing w:val="15"/>
                <w:sz w:val="20"/>
                <w:szCs w:val="20"/>
              </w:rPr>
              <w:t xml:space="preserve"> </w:t>
            </w:r>
            <w:r>
              <w:rPr>
                <w:rFonts w:ascii="宋体" w:hAnsi="宋体" w:eastAsia="宋体" w:cs="宋体"/>
                <w:spacing w:val="4"/>
                <w:sz w:val="20"/>
                <w:szCs w:val="20"/>
              </w:rPr>
              <w:t>不同意。</w:t>
            </w:r>
          </w:p>
        </w:tc>
        <w:tc>
          <w:tcPr>
            <w:tcW w:w="2671" w:type="dxa"/>
            <w:vAlign w:val="top"/>
          </w:tcPr>
          <w:p w14:paraId="6AAAB69D">
            <w:pPr>
              <w:spacing w:before="149" w:line="276" w:lineRule="auto"/>
              <w:ind w:left="2342"/>
              <w:rPr>
                <w:rFonts w:ascii="宋体" w:hAnsi="宋体" w:eastAsia="宋体" w:cs="宋体"/>
                <w:sz w:val="20"/>
                <w:szCs w:val="20"/>
              </w:rPr>
            </w:pPr>
            <w:r>
              <w:rPr>
                <w:rFonts w:ascii="宋体" w:hAnsi="宋体" w:eastAsia="宋体" w:cs="宋体"/>
                <w:position w:val="1"/>
                <w:sz w:val="20"/>
                <w:szCs w:val="20"/>
              </w:rPr>
              <w:t>1</w:t>
            </w:r>
          </w:p>
          <w:p w14:paraId="3CCDA825">
            <w:pPr>
              <w:spacing w:before="130" w:line="276" w:lineRule="auto"/>
              <w:ind w:left="2328"/>
              <w:rPr>
                <w:rFonts w:ascii="宋体" w:hAnsi="宋体" w:eastAsia="宋体" w:cs="宋体"/>
                <w:sz w:val="20"/>
                <w:szCs w:val="20"/>
              </w:rPr>
            </w:pPr>
            <w:r>
              <w:rPr>
                <w:rFonts w:ascii="宋体" w:hAnsi="宋体" w:eastAsia="宋体" w:cs="宋体"/>
                <w:sz w:val="20"/>
                <w:szCs w:val="20"/>
              </w:rPr>
              <w:t>0</w:t>
            </w:r>
          </w:p>
        </w:tc>
        <w:tc>
          <w:tcPr>
            <w:tcW w:w="765" w:type="dxa"/>
            <w:vAlign w:val="top"/>
          </w:tcPr>
          <w:p w14:paraId="7DBAAF9B">
            <w:pPr>
              <w:spacing w:before="149" w:line="276" w:lineRule="auto"/>
              <w:ind w:left="207"/>
              <w:rPr>
                <w:rFonts w:ascii="宋体" w:hAnsi="宋体" w:eastAsia="宋体" w:cs="宋体"/>
                <w:sz w:val="20"/>
                <w:szCs w:val="20"/>
              </w:rPr>
            </w:pPr>
            <w:r>
              <w:rPr>
                <w:rFonts w:ascii="宋体" w:hAnsi="宋体" w:eastAsia="宋体" w:cs="宋体"/>
                <w:position w:val="1"/>
                <w:sz w:val="20"/>
                <w:szCs w:val="20"/>
              </w:rPr>
              <w:t>0%</w:t>
            </w:r>
          </w:p>
          <w:p w14:paraId="2BDA6C72">
            <w:pPr>
              <w:spacing w:before="131" w:line="276" w:lineRule="auto"/>
              <w:ind w:left="221"/>
              <w:rPr>
                <w:rFonts w:ascii="宋体" w:hAnsi="宋体" w:eastAsia="宋体" w:cs="宋体"/>
                <w:sz w:val="20"/>
                <w:szCs w:val="20"/>
              </w:rPr>
            </w:pPr>
            <w:r>
              <w:rPr>
                <w:rFonts w:ascii="宋体" w:hAnsi="宋体" w:eastAsia="宋体" w:cs="宋体"/>
                <w:spacing w:val="-1"/>
                <w:sz w:val="20"/>
                <w:szCs w:val="20"/>
              </w:rPr>
              <w:t>100%</w:t>
            </w:r>
          </w:p>
        </w:tc>
        <w:tc>
          <w:tcPr>
            <w:tcW w:w="531" w:type="dxa"/>
            <w:vAlign w:val="top"/>
          </w:tcPr>
          <w:p w14:paraId="06515A11">
            <w:pPr>
              <w:spacing w:before="149" w:line="276" w:lineRule="auto"/>
              <w:ind w:left="155"/>
              <w:rPr>
                <w:rFonts w:ascii="宋体" w:hAnsi="宋体" w:eastAsia="宋体" w:cs="宋体"/>
                <w:sz w:val="20"/>
                <w:szCs w:val="20"/>
              </w:rPr>
            </w:pPr>
            <w:r>
              <w:rPr>
                <w:rFonts w:ascii="宋体" w:hAnsi="宋体" w:eastAsia="宋体" w:cs="宋体"/>
                <w:spacing w:val="-2"/>
                <w:position w:val="1"/>
                <w:sz w:val="20"/>
                <w:szCs w:val="20"/>
              </w:rPr>
              <w:t>30</w:t>
            </w:r>
          </w:p>
          <w:p w14:paraId="553CF820">
            <w:pPr>
              <w:spacing w:before="131" w:line="276" w:lineRule="auto"/>
              <w:ind w:left="152"/>
              <w:rPr>
                <w:rFonts w:ascii="宋体" w:hAnsi="宋体" w:eastAsia="宋体" w:cs="宋体"/>
                <w:sz w:val="20"/>
                <w:szCs w:val="20"/>
              </w:rPr>
            </w:pPr>
            <w:r>
              <w:rPr>
                <w:rFonts w:ascii="宋体" w:hAnsi="宋体" w:eastAsia="宋体" w:cs="宋体"/>
                <w:sz w:val="20"/>
                <w:szCs w:val="20"/>
              </w:rPr>
              <w:t>0</w:t>
            </w:r>
          </w:p>
        </w:tc>
        <w:tc>
          <w:tcPr>
            <w:tcW w:w="826" w:type="dxa"/>
            <w:vAlign w:val="top"/>
          </w:tcPr>
          <w:p w14:paraId="734D62C4">
            <w:pPr>
              <w:spacing w:before="149" w:line="276" w:lineRule="auto"/>
              <w:ind w:left="192"/>
              <w:rPr>
                <w:rFonts w:ascii="宋体" w:hAnsi="宋体" w:eastAsia="宋体" w:cs="宋体"/>
                <w:sz w:val="20"/>
                <w:szCs w:val="20"/>
              </w:rPr>
            </w:pPr>
            <w:r>
              <w:rPr>
                <w:rFonts w:ascii="宋体" w:hAnsi="宋体" w:eastAsia="宋体" w:cs="宋体"/>
                <w:spacing w:val="-2"/>
                <w:position w:val="1"/>
                <w:sz w:val="20"/>
                <w:szCs w:val="20"/>
              </w:rPr>
              <w:t>0%</w:t>
            </w:r>
          </w:p>
        </w:tc>
      </w:tr>
    </w:tbl>
    <w:p w14:paraId="421C0C5C">
      <w:pPr>
        <w:spacing w:before="141" w:line="276" w:lineRule="auto"/>
        <w:ind w:left="539"/>
        <w:rPr>
          <w:rFonts w:ascii="宋体" w:hAnsi="宋体" w:eastAsia="宋体" w:cs="宋体"/>
          <w:sz w:val="20"/>
          <w:szCs w:val="20"/>
        </w:rPr>
      </w:pPr>
      <w:r>
        <w:rPr>
          <w:rFonts w:ascii="宋体" w:hAnsi="宋体" w:eastAsia="宋体" w:cs="宋体"/>
          <w:b/>
          <w:bCs/>
          <w:spacing w:val="6"/>
          <w:sz w:val="20"/>
          <w:szCs w:val="20"/>
        </w:rPr>
        <w:t>2.10</w:t>
      </w:r>
      <w:r>
        <w:rPr>
          <w:rFonts w:ascii="宋体" w:hAnsi="宋体" w:eastAsia="宋体" w:cs="宋体"/>
          <w:spacing w:val="6"/>
          <w:sz w:val="20"/>
          <w:szCs w:val="20"/>
        </w:rPr>
        <w:t xml:space="preserve"> </w:t>
      </w:r>
      <w:r>
        <w:rPr>
          <w:rFonts w:ascii="宋体" w:hAnsi="宋体" w:eastAsia="宋体" w:cs="宋体"/>
          <w:b/>
          <w:bCs/>
          <w:spacing w:val="6"/>
          <w:sz w:val="20"/>
          <w:szCs w:val="20"/>
        </w:rPr>
        <w:t>修改增加项调查结果</w:t>
      </w:r>
    </w:p>
    <w:p w14:paraId="35C62F6A">
      <w:pPr>
        <w:spacing w:before="153" w:line="276" w:lineRule="auto"/>
        <w:jc w:val="center"/>
        <w:rPr>
          <w:rFonts w:ascii="宋体" w:hAnsi="宋体" w:eastAsia="宋体" w:cs="宋体"/>
          <w:sz w:val="20"/>
          <w:szCs w:val="20"/>
        </w:rPr>
      </w:pPr>
      <w:r>
        <w:rPr>
          <w:rFonts w:ascii="宋体" w:hAnsi="宋体" w:eastAsia="宋体" w:cs="宋体"/>
          <w:spacing w:val="6"/>
          <w:sz w:val="20"/>
          <w:szCs w:val="20"/>
        </w:rPr>
        <w:t>表</w:t>
      </w:r>
      <w:r>
        <w:rPr>
          <w:rFonts w:ascii="宋体" w:hAnsi="宋体" w:eastAsia="宋体" w:cs="宋体"/>
          <w:spacing w:val="31"/>
          <w:sz w:val="20"/>
          <w:szCs w:val="20"/>
        </w:rPr>
        <w:t xml:space="preserve"> </w:t>
      </w:r>
      <w:r>
        <w:rPr>
          <w:rFonts w:ascii="宋体" w:hAnsi="宋体" w:eastAsia="宋体" w:cs="宋体"/>
          <w:spacing w:val="6"/>
          <w:sz w:val="20"/>
          <w:szCs w:val="20"/>
        </w:rPr>
        <w:t>17 修改增加项调查结果</w:t>
      </w:r>
    </w:p>
    <w:p w14:paraId="5CD28AE1">
      <w:pPr>
        <w:spacing w:line="276" w:lineRule="auto"/>
        <w:rPr>
          <w:rFonts w:ascii="Arial"/>
          <w:sz w:val="2"/>
        </w:rPr>
      </w:pPr>
    </w:p>
    <w:tbl>
      <w:tblPr>
        <w:tblStyle w:val="9"/>
        <w:tblW w:w="85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436"/>
        <w:gridCol w:w="2693"/>
        <w:gridCol w:w="874"/>
        <w:gridCol w:w="598"/>
        <w:gridCol w:w="920"/>
      </w:tblGrid>
      <w:tr w14:paraId="4A50F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3436" w:type="dxa"/>
            <w:vAlign w:val="top"/>
          </w:tcPr>
          <w:p w14:paraId="22AEF101">
            <w:pPr>
              <w:spacing w:before="146" w:line="276" w:lineRule="auto"/>
              <w:ind w:left="115"/>
              <w:rPr>
                <w:rFonts w:ascii="宋体" w:hAnsi="宋体" w:eastAsia="宋体" w:cs="宋体"/>
                <w:sz w:val="20"/>
                <w:szCs w:val="20"/>
              </w:rPr>
            </w:pPr>
            <w:r>
              <w:rPr>
                <w:rFonts w:ascii="宋体" w:hAnsi="宋体" w:eastAsia="宋体" w:cs="宋体"/>
                <w:spacing w:val="5"/>
                <w:sz w:val="20"/>
                <w:szCs w:val="20"/>
              </w:rPr>
              <w:t>选项</w:t>
            </w:r>
          </w:p>
        </w:tc>
        <w:tc>
          <w:tcPr>
            <w:tcW w:w="2693" w:type="dxa"/>
            <w:vAlign w:val="top"/>
          </w:tcPr>
          <w:p w14:paraId="188893FF">
            <w:pPr>
              <w:spacing w:before="219" w:line="276" w:lineRule="auto"/>
              <w:ind w:left="2333"/>
              <w:rPr>
                <w:rFonts w:ascii="Times New Roman" w:hAnsi="Times New Roman" w:eastAsia="Times New Roman" w:cs="Times New Roman"/>
                <w:sz w:val="23"/>
                <w:szCs w:val="23"/>
              </w:rPr>
            </w:pPr>
            <w:r>
              <w:pict>
                <v:shape id="_x0000_s1042" o:spid="_x0000_s1042" style="position:absolute;left:0pt;margin-left:116.55pt;margin-top:6.1pt;height:0.5pt;width:5.55pt;mso-position-horizontal-relative:page;mso-position-vertical-relative:page;z-index:251668480;mso-width-relative:page;mso-height-relative:page;" filled="f" stroked="t" coordsize="111,10" path="m4,4l105,4e">
                  <v:fill on="f" focussize="0,0"/>
                  <v:stroke weight="0.48pt" color="#000000" miterlimit="2" endcap="round"/>
                  <v:imagedata o:title=""/>
                  <o:lock v:ext="edit"/>
                </v:shape>
              </w:pict>
            </w:r>
            <w:r>
              <w:rPr>
                <w:rFonts w:ascii="Times New Roman" w:hAnsi="Times New Roman" w:eastAsia="Times New Roman" w:cs="Times New Roman"/>
                <w:i/>
                <w:iCs/>
                <w:spacing w:val="11"/>
                <w:sz w:val="23"/>
                <w:szCs w:val="23"/>
              </w:rPr>
              <w:t>x</w:t>
            </w:r>
          </w:p>
        </w:tc>
        <w:tc>
          <w:tcPr>
            <w:tcW w:w="874" w:type="dxa"/>
            <w:vAlign w:val="top"/>
          </w:tcPr>
          <w:p w14:paraId="32581640">
            <w:pPr>
              <w:spacing w:before="180" w:line="276" w:lineRule="auto"/>
              <w:ind w:left="247"/>
              <w:rPr>
                <w:rFonts w:ascii="宋体" w:hAnsi="宋体" w:eastAsia="宋体" w:cs="宋体"/>
                <w:sz w:val="20"/>
                <w:szCs w:val="20"/>
              </w:rPr>
            </w:pPr>
            <w:r>
              <w:rPr>
                <w:rFonts w:ascii="宋体" w:hAnsi="宋体" w:eastAsia="宋体" w:cs="宋体"/>
                <w:sz w:val="20"/>
                <w:szCs w:val="20"/>
              </w:rPr>
              <w:t>R</w:t>
            </w:r>
          </w:p>
        </w:tc>
        <w:tc>
          <w:tcPr>
            <w:tcW w:w="598" w:type="dxa"/>
            <w:vAlign w:val="top"/>
          </w:tcPr>
          <w:p w14:paraId="001E07C0">
            <w:pPr>
              <w:spacing w:before="178" w:line="276" w:lineRule="auto"/>
              <w:ind w:left="220"/>
              <w:rPr>
                <w:rFonts w:ascii="宋体" w:hAnsi="宋体" w:eastAsia="宋体" w:cs="宋体"/>
                <w:sz w:val="20"/>
                <w:szCs w:val="20"/>
              </w:rPr>
            </w:pPr>
            <w:r>
              <w:rPr>
                <w:rFonts w:ascii="宋体" w:hAnsi="宋体" w:eastAsia="宋体" w:cs="宋体"/>
                <w:sz w:val="20"/>
                <w:szCs w:val="20"/>
              </w:rPr>
              <w:t>S</w:t>
            </w:r>
          </w:p>
        </w:tc>
        <w:tc>
          <w:tcPr>
            <w:tcW w:w="920" w:type="dxa"/>
            <w:vAlign w:val="top"/>
          </w:tcPr>
          <w:p w14:paraId="75F0C066">
            <w:pPr>
              <w:spacing w:before="178" w:line="276" w:lineRule="auto"/>
              <w:ind w:left="189"/>
              <w:rPr>
                <w:rFonts w:ascii="宋体" w:hAnsi="宋体" w:eastAsia="宋体" w:cs="宋体"/>
                <w:sz w:val="20"/>
                <w:szCs w:val="20"/>
              </w:rPr>
            </w:pPr>
            <w:r>
              <w:rPr>
                <w:rFonts w:ascii="宋体" w:hAnsi="宋体" w:eastAsia="宋体" w:cs="宋体"/>
                <w:spacing w:val="1"/>
                <w:sz w:val="20"/>
                <w:szCs w:val="20"/>
              </w:rPr>
              <w:t>CV</w:t>
            </w:r>
          </w:p>
        </w:tc>
      </w:tr>
      <w:tr w14:paraId="4511A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2" w:hRule="atLeast"/>
        </w:trPr>
        <w:tc>
          <w:tcPr>
            <w:tcW w:w="3436" w:type="dxa"/>
            <w:vAlign w:val="top"/>
          </w:tcPr>
          <w:p w14:paraId="4FAD0499">
            <w:pPr>
              <w:spacing w:before="59" w:line="276" w:lineRule="auto"/>
              <w:ind w:left="110"/>
              <w:rPr>
                <w:rFonts w:ascii="宋体" w:hAnsi="宋体" w:eastAsia="宋体" w:cs="宋体"/>
                <w:sz w:val="20"/>
                <w:szCs w:val="20"/>
              </w:rPr>
            </w:pPr>
            <w:r>
              <w:rPr>
                <w:rFonts w:ascii="宋体" w:hAnsi="宋体" w:eastAsia="宋体" w:cs="宋体"/>
                <w:spacing w:val="-1"/>
                <w:sz w:val="20"/>
                <w:szCs w:val="20"/>
              </w:rPr>
              <w:t>A.</w:t>
            </w:r>
            <w:r>
              <w:rPr>
                <w:rFonts w:ascii="宋体" w:hAnsi="宋体" w:eastAsia="宋体" w:cs="宋体"/>
                <w:spacing w:val="34"/>
                <w:sz w:val="20"/>
                <w:szCs w:val="20"/>
              </w:rPr>
              <w:t xml:space="preserve"> </w:t>
            </w:r>
            <w:r>
              <w:rPr>
                <w:rFonts w:ascii="宋体" w:hAnsi="宋体" w:eastAsia="宋体" w:cs="宋体"/>
                <w:spacing w:val="-1"/>
                <w:sz w:val="20"/>
                <w:szCs w:val="20"/>
              </w:rPr>
              <w:t>同意。</w:t>
            </w:r>
          </w:p>
          <w:p w14:paraId="1E3F7344">
            <w:pPr>
              <w:spacing w:before="240" w:line="276" w:lineRule="auto"/>
              <w:ind w:left="111"/>
              <w:rPr>
                <w:rFonts w:ascii="宋体" w:hAnsi="宋体" w:eastAsia="宋体" w:cs="宋体"/>
                <w:sz w:val="20"/>
                <w:szCs w:val="20"/>
              </w:rPr>
            </w:pPr>
            <w:r>
              <w:rPr>
                <w:rFonts w:ascii="宋体" w:hAnsi="宋体" w:eastAsia="宋体" w:cs="宋体"/>
                <w:spacing w:val="4"/>
                <w:sz w:val="20"/>
                <w:szCs w:val="20"/>
              </w:rPr>
              <w:t>B.</w:t>
            </w:r>
            <w:r>
              <w:rPr>
                <w:rFonts w:ascii="宋体" w:hAnsi="宋体" w:eastAsia="宋体" w:cs="宋体"/>
                <w:spacing w:val="15"/>
                <w:sz w:val="20"/>
                <w:szCs w:val="20"/>
              </w:rPr>
              <w:t xml:space="preserve"> </w:t>
            </w:r>
            <w:r>
              <w:rPr>
                <w:rFonts w:ascii="宋体" w:hAnsi="宋体" w:eastAsia="宋体" w:cs="宋体"/>
                <w:spacing w:val="4"/>
                <w:sz w:val="20"/>
                <w:szCs w:val="20"/>
              </w:rPr>
              <w:t>不同意。</w:t>
            </w:r>
          </w:p>
        </w:tc>
        <w:tc>
          <w:tcPr>
            <w:tcW w:w="2693" w:type="dxa"/>
            <w:vAlign w:val="top"/>
          </w:tcPr>
          <w:p w14:paraId="5179807A">
            <w:pPr>
              <w:spacing w:before="150" w:line="276" w:lineRule="auto"/>
              <w:ind w:left="2321"/>
              <w:rPr>
                <w:rFonts w:ascii="宋体" w:hAnsi="宋体" w:eastAsia="宋体" w:cs="宋体"/>
                <w:sz w:val="20"/>
                <w:szCs w:val="20"/>
              </w:rPr>
            </w:pPr>
            <w:r>
              <w:rPr>
                <w:rFonts w:ascii="宋体" w:hAnsi="宋体" w:eastAsia="宋体" w:cs="宋体"/>
                <w:position w:val="1"/>
                <w:sz w:val="20"/>
                <w:szCs w:val="20"/>
              </w:rPr>
              <w:t>1</w:t>
            </w:r>
          </w:p>
          <w:p w14:paraId="3BF4CFAF">
            <w:pPr>
              <w:spacing w:before="127" w:line="276" w:lineRule="auto"/>
              <w:ind w:left="2307"/>
              <w:rPr>
                <w:rFonts w:ascii="宋体" w:hAnsi="宋体" w:eastAsia="宋体" w:cs="宋体"/>
                <w:sz w:val="20"/>
                <w:szCs w:val="20"/>
              </w:rPr>
            </w:pPr>
            <w:r>
              <w:rPr>
                <w:rFonts w:ascii="宋体" w:hAnsi="宋体" w:eastAsia="宋体" w:cs="宋体"/>
                <w:sz w:val="20"/>
                <w:szCs w:val="20"/>
              </w:rPr>
              <w:t>0</w:t>
            </w:r>
          </w:p>
        </w:tc>
        <w:tc>
          <w:tcPr>
            <w:tcW w:w="874" w:type="dxa"/>
            <w:vAlign w:val="top"/>
          </w:tcPr>
          <w:p w14:paraId="246C387C">
            <w:pPr>
              <w:spacing w:before="150" w:line="276" w:lineRule="auto"/>
              <w:ind w:left="250"/>
              <w:rPr>
                <w:rFonts w:ascii="宋体" w:hAnsi="宋体" w:eastAsia="宋体" w:cs="宋体"/>
                <w:sz w:val="20"/>
                <w:szCs w:val="20"/>
              </w:rPr>
            </w:pPr>
            <w:r>
              <w:rPr>
                <w:rFonts w:ascii="宋体" w:hAnsi="宋体" w:eastAsia="宋体" w:cs="宋体"/>
                <w:position w:val="1"/>
                <w:sz w:val="20"/>
                <w:szCs w:val="20"/>
              </w:rPr>
              <w:t>0%</w:t>
            </w:r>
          </w:p>
          <w:p w14:paraId="1DD09F99">
            <w:pPr>
              <w:spacing w:before="129" w:line="276" w:lineRule="auto"/>
              <w:ind w:left="264"/>
              <w:rPr>
                <w:rFonts w:ascii="宋体" w:hAnsi="宋体" w:eastAsia="宋体" w:cs="宋体"/>
                <w:sz w:val="20"/>
                <w:szCs w:val="20"/>
              </w:rPr>
            </w:pPr>
            <w:r>
              <w:rPr>
                <w:rFonts w:ascii="宋体" w:hAnsi="宋体" w:eastAsia="宋体" w:cs="宋体"/>
                <w:spacing w:val="-2"/>
                <w:sz w:val="20"/>
                <w:szCs w:val="20"/>
              </w:rPr>
              <w:t>100%</w:t>
            </w:r>
          </w:p>
        </w:tc>
        <w:tc>
          <w:tcPr>
            <w:tcW w:w="598" w:type="dxa"/>
            <w:vAlign w:val="top"/>
          </w:tcPr>
          <w:p w14:paraId="600DC552">
            <w:pPr>
              <w:spacing w:before="150" w:line="276" w:lineRule="auto"/>
              <w:ind w:left="224"/>
              <w:rPr>
                <w:rFonts w:ascii="宋体" w:hAnsi="宋体" w:eastAsia="宋体" w:cs="宋体"/>
                <w:sz w:val="20"/>
                <w:szCs w:val="20"/>
              </w:rPr>
            </w:pPr>
            <w:r>
              <w:rPr>
                <w:rFonts w:ascii="宋体" w:hAnsi="宋体" w:eastAsia="宋体" w:cs="宋体"/>
                <w:spacing w:val="-2"/>
                <w:position w:val="1"/>
                <w:sz w:val="20"/>
                <w:szCs w:val="20"/>
              </w:rPr>
              <w:t>30</w:t>
            </w:r>
          </w:p>
          <w:p w14:paraId="23440EAA">
            <w:pPr>
              <w:spacing w:before="129" w:line="276" w:lineRule="auto"/>
              <w:ind w:left="221"/>
              <w:rPr>
                <w:rFonts w:ascii="宋体" w:hAnsi="宋体" w:eastAsia="宋体" w:cs="宋体"/>
                <w:sz w:val="20"/>
                <w:szCs w:val="20"/>
              </w:rPr>
            </w:pPr>
            <w:r>
              <w:rPr>
                <w:rFonts w:ascii="宋体" w:hAnsi="宋体" w:eastAsia="宋体" w:cs="宋体"/>
                <w:sz w:val="20"/>
                <w:szCs w:val="20"/>
              </w:rPr>
              <w:t>0</w:t>
            </w:r>
          </w:p>
        </w:tc>
        <w:tc>
          <w:tcPr>
            <w:tcW w:w="920" w:type="dxa"/>
            <w:vAlign w:val="top"/>
          </w:tcPr>
          <w:p w14:paraId="1C9A29C3">
            <w:pPr>
              <w:spacing w:before="150" w:line="276" w:lineRule="auto"/>
              <w:ind w:left="192"/>
              <w:rPr>
                <w:rFonts w:ascii="宋体" w:hAnsi="宋体" w:eastAsia="宋体" w:cs="宋体"/>
                <w:sz w:val="20"/>
                <w:szCs w:val="20"/>
              </w:rPr>
            </w:pPr>
            <w:r>
              <w:rPr>
                <w:rFonts w:ascii="宋体" w:hAnsi="宋体" w:eastAsia="宋体" w:cs="宋体"/>
                <w:position w:val="1"/>
                <w:sz w:val="20"/>
                <w:szCs w:val="20"/>
              </w:rPr>
              <w:t>0%</w:t>
            </w:r>
          </w:p>
        </w:tc>
      </w:tr>
    </w:tbl>
    <w:p w14:paraId="57FF9DF6">
      <w:pPr>
        <w:spacing w:before="140" w:line="276" w:lineRule="auto"/>
        <w:ind w:left="539"/>
        <w:rPr>
          <w:rFonts w:ascii="宋体" w:hAnsi="宋体" w:eastAsia="宋体" w:cs="宋体"/>
          <w:sz w:val="20"/>
          <w:szCs w:val="20"/>
        </w:rPr>
      </w:pPr>
      <w:r>
        <w:rPr>
          <w:rFonts w:ascii="宋体" w:hAnsi="宋体" w:eastAsia="宋体" w:cs="宋体"/>
          <w:b/>
          <w:bCs/>
          <w:spacing w:val="6"/>
          <w:sz w:val="20"/>
          <w:szCs w:val="20"/>
        </w:rPr>
        <w:t>2.11修改参考文献调查结果</w:t>
      </w:r>
    </w:p>
    <w:p w14:paraId="75DD8749">
      <w:pPr>
        <w:spacing w:before="153" w:line="276" w:lineRule="auto"/>
        <w:jc w:val="center"/>
        <w:rPr>
          <w:rFonts w:ascii="宋体" w:hAnsi="宋体" w:eastAsia="宋体" w:cs="宋体"/>
          <w:sz w:val="20"/>
          <w:szCs w:val="20"/>
        </w:rPr>
      </w:pPr>
      <w:r>
        <w:rPr>
          <w:rFonts w:ascii="宋体" w:hAnsi="宋体" w:eastAsia="宋体" w:cs="宋体"/>
          <w:spacing w:val="6"/>
          <w:sz w:val="20"/>
          <w:szCs w:val="20"/>
        </w:rPr>
        <w:t>表</w:t>
      </w:r>
      <w:r>
        <w:rPr>
          <w:rFonts w:ascii="宋体" w:hAnsi="宋体" w:eastAsia="宋体" w:cs="宋体"/>
          <w:spacing w:val="34"/>
          <w:sz w:val="20"/>
          <w:szCs w:val="20"/>
        </w:rPr>
        <w:t xml:space="preserve"> </w:t>
      </w:r>
      <w:r>
        <w:rPr>
          <w:rFonts w:ascii="宋体" w:hAnsi="宋体" w:eastAsia="宋体" w:cs="宋体"/>
          <w:spacing w:val="6"/>
          <w:sz w:val="20"/>
          <w:szCs w:val="20"/>
        </w:rPr>
        <w:t>18 修改参考文献调查结果</w:t>
      </w:r>
    </w:p>
    <w:p w14:paraId="2025C1DE">
      <w:pPr>
        <w:spacing w:line="276" w:lineRule="auto"/>
        <w:rPr>
          <w:rFonts w:ascii="Arial"/>
          <w:sz w:val="2"/>
        </w:rPr>
      </w:pP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454"/>
        <w:gridCol w:w="2711"/>
        <w:gridCol w:w="877"/>
        <w:gridCol w:w="526"/>
        <w:gridCol w:w="954"/>
      </w:tblGrid>
      <w:tr w14:paraId="00B1B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3454" w:type="dxa"/>
            <w:vAlign w:val="top"/>
          </w:tcPr>
          <w:p w14:paraId="7E47C383">
            <w:pPr>
              <w:spacing w:before="145" w:line="276" w:lineRule="auto"/>
              <w:ind w:left="115"/>
              <w:rPr>
                <w:rFonts w:ascii="宋体" w:hAnsi="宋体" w:eastAsia="宋体" w:cs="宋体"/>
                <w:sz w:val="20"/>
                <w:szCs w:val="20"/>
              </w:rPr>
            </w:pPr>
            <w:r>
              <w:rPr>
                <w:rFonts w:ascii="宋体" w:hAnsi="宋体" w:eastAsia="宋体" w:cs="宋体"/>
                <w:spacing w:val="5"/>
                <w:sz w:val="20"/>
                <w:szCs w:val="20"/>
              </w:rPr>
              <w:t>选项</w:t>
            </w:r>
          </w:p>
        </w:tc>
        <w:tc>
          <w:tcPr>
            <w:tcW w:w="2711" w:type="dxa"/>
            <w:vAlign w:val="top"/>
          </w:tcPr>
          <w:p w14:paraId="3C87D8C5">
            <w:pPr>
              <w:spacing w:before="220" w:line="276" w:lineRule="auto"/>
              <w:ind w:left="2351"/>
              <w:rPr>
                <w:rFonts w:ascii="Times New Roman" w:hAnsi="Times New Roman" w:eastAsia="Times New Roman" w:cs="Times New Roman"/>
                <w:sz w:val="23"/>
                <w:szCs w:val="23"/>
              </w:rPr>
            </w:pPr>
            <w:r>
              <w:pict>
                <v:shape id="_x0000_s1043" o:spid="_x0000_s1043" style="position:absolute;left:0pt;margin-left:117.45pt;margin-top:6.15pt;height:0.5pt;width:5.55pt;mso-position-horizontal-relative:page;mso-position-vertical-relative:page;z-index:251669504;mso-width-relative:page;mso-height-relative:page;" filled="f" stroked="t" coordsize="111,10" path="m4,4l105,4e">
                  <v:fill on="f" focussize="0,0"/>
                  <v:stroke weight="0.48pt" color="#000000" miterlimit="2" endcap="round"/>
                  <v:imagedata o:title=""/>
                  <o:lock v:ext="edit"/>
                </v:shape>
              </w:pict>
            </w:r>
            <w:r>
              <w:rPr>
                <w:rFonts w:ascii="Times New Roman" w:hAnsi="Times New Roman" w:eastAsia="Times New Roman" w:cs="Times New Roman"/>
                <w:i/>
                <w:iCs/>
                <w:spacing w:val="11"/>
                <w:sz w:val="23"/>
                <w:szCs w:val="23"/>
              </w:rPr>
              <w:t>x</w:t>
            </w:r>
          </w:p>
        </w:tc>
        <w:tc>
          <w:tcPr>
            <w:tcW w:w="877" w:type="dxa"/>
            <w:vAlign w:val="top"/>
          </w:tcPr>
          <w:p w14:paraId="62B8B4DE">
            <w:pPr>
              <w:spacing w:before="179" w:line="276" w:lineRule="auto"/>
              <w:ind w:left="247"/>
              <w:rPr>
                <w:rFonts w:ascii="宋体" w:hAnsi="宋体" w:eastAsia="宋体" w:cs="宋体"/>
                <w:sz w:val="20"/>
                <w:szCs w:val="20"/>
              </w:rPr>
            </w:pPr>
            <w:r>
              <w:rPr>
                <w:rFonts w:ascii="宋体" w:hAnsi="宋体" w:eastAsia="宋体" w:cs="宋体"/>
                <w:sz w:val="20"/>
                <w:szCs w:val="20"/>
              </w:rPr>
              <w:t>R</w:t>
            </w:r>
          </w:p>
        </w:tc>
        <w:tc>
          <w:tcPr>
            <w:tcW w:w="526" w:type="dxa"/>
            <w:vAlign w:val="top"/>
          </w:tcPr>
          <w:p w14:paraId="79653BD4">
            <w:pPr>
              <w:spacing w:before="177" w:line="276" w:lineRule="auto"/>
              <w:ind w:left="220"/>
              <w:rPr>
                <w:rFonts w:ascii="宋体" w:hAnsi="宋体" w:eastAsia="宋体" w:cs="宋体"/>
                <w:sz w:val="20"/>
                <w:szCs w:val="20"/>
              </w:rPr>
            </w:pPr>
            <w:r>
              <w:rPr>
                <w:rFonts w:ascii="宋体" w:hAnsi="宋体" w:eastAsia="宋体" w:cs="宋体"/>
                <w:sz w:val="20"/>
                <w:szCs w:val="20"/>
              </w:rPr>
              <w:t>S</w:t>
            </w:r>
          </w:p>
        </w:tc>
        <w:tc>
          <w:tcPr>
            <w:tcW w:w="954" w:type="dxa"/>
            <w:vAlign w:val="top"/>
          </w:tcPr>
          <w:p w14:paraId="727518CF">
            <w:pPr>
              <w:spacing w:before="177" w:line="276" w:lineRule="auto"/>
              <w:ind w:left="116"/>
              <w:rPr>
                <w:rFonts w:ascii="宋体" w:hAnsi="宋体" w:eastAsia="宋体" w:cs="宋体"/>
                <w:sz w:val="20"/>
                <w:szCs w:val="20"/>
              </w:rPr>
            </w:pPr>
            <w:r>
              <w:rPr>
                <w:rFonts w:ascii="宋体" w:hAnsi="宋体" w:eastAsia="宋体" w:cs="宋体"/>
                <w:spacing w:val="1"/>
                <w:sz w:val="20"/>
                <w:szCs w:val="20"/>
              </w:rPr>
              <w:t>CV</w:t>
            </w:r>
          </w:p>
        </w:tc>
      </w:tr>
      <w:tr w14:paraId="67C3A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2" w:hRule="atLeast"/>
        </w:trPr>
        <w:tc>
          <w:tcPr>
            <w:tcW w:w="3454" w:type="dxa"/>
            <w:vAlign w:val="top"/>
          </w:tcPr>
          <w:p w14:paraId="7059C9EC">
            <w:pPr>
              <w:spacing w:before="60" w:line="276" w:lineRule="auto"/>
              <w:ind w:left="110"/>
              <w:rPr>
                <w:rFonts w:ascii="宋体" w:hAnsi="宋体" w:eastAsia="宋体" w:cs="宋体"/>
                <w:sz w:val="20"/>
                <w:szCs w:val="20"/>
              </w:rPr>
            </w:pPr>
            <w:r>
              <w:rPr>
                <w:rFonts w:ascii="宋体" w:hAnsi="宋体" w:eastAsia="宋体" w:cs="宋体"/>
                <w:spacing w:val="-1"/>
                <w:sz w:val="20"/>
                <w:szCs w:val="20"/>
              </w:rPr>
              <w:t>A.</w:t>
            </w:r>
            <w:r>
              <w:rPr>
                <w:rFonts w:ascii="宋体" w:hAnsi="宋体" w:eastAsia="宋体" w:cs="宋体"/>
                <w:spacing w:val="34"/>
                <w:sz w:val="20"/>
                <w:szCs w:val="20"/>
              </w:rPr>
              <w:t xml:space="preserve"> </w:t>
            </w:r>
            <w:r>
              <w:rPr>
                <w:rFonts w:ascii="宋体" w:hAnsi="宋体" w:eastAsia="宋体" w:cs="宋体"/>
                <w:spacing w:val="-1"/>
                <w:sz w:val="20"/>
                <w:szCs w:val="20"/>
              </w:rPr>
              <w:t>同意。</w:t>
            </w:r>
          </w:p>
          <w:p w14:paraId="0BFCF96C">
            <w:pPr>
              <w:spacing w:before="240" w:line="276" w:lineRule="auto"/>
              <w:ind w:left="111"/>
              <w:rPr>
                <w:rFonts w:ascii="宋体" w:hAnsi="宋体" w:eastAsia="宋体" w:cs="宋体"/>
                <w:sz w:val="20"/>
                <w:szCs w:val="20"/>
              </w:rPr>
            </w:pPr>
            <w:r>
              <w:rPr>
                <w:rFonts w:ascii="宋体" w:hAnsi="宋体" w:eastAsia="宋体" w:cs="宋体"/>
                <w:spacing w:val="4"/>
                <w:sz w:val="20"/>
                <w:szCs w:val="20"/>
              </w:rPr>
              <w:t>B.</w:t>
            </w:r>
            <w:r>
              <w:rPr>
                <w:rFonts w:ascii="宋体" w:hAnsi="宋体" w:eastAsia="宋体" w:cs="宋体"/>
                <w:spacing w:val="15"/>
                <w:sz w:val="20"/>
                <w:szCs w:val="20"/>
              </w:rPr>
              <w:t xml:space="preserve"> </w:t>
            </w:r>
            <w:r>
              <w:rPr>
                <w:rFonts w:ascii="宋体" w:hAnsi="宋体" w:eastAsia="宋体" w:cs="宋体"/>
                <w:spacing w:val="4"/>
                <w:sz w:val="20"/>
                <w:szCs w:val="20"/>
              </w:rPr>
              <w:t>不同意。</w:t>
            </w:r>
          </w:p>
        </w:tc>
        <w:tc>
          <w:tcPr>
            <w:tcW w:w="2711" w:type="dxa"/>
            <w:vAlign w:val="top"/>
          </w:tcPr>
          <w:p w14:paraId="41ACF38D">
            <w:pPr>
              <w:spacing w:before="149" w:line="276" w:lineRule="auto"/>
              <w:ind w:left="2339"/>
              <w:rPr>
                <w:rFonts w:ascii="宋体" w:hAnsi="宋体" w:eastAsia="宋体" w:cs="宋体"/>
                <w:sz w:val="20"/>
                <w:szCs w:val="20"/>
              </w:rPr>
            </w:pPr>
            <w:r>
              <w:rPr>
                <w:rFonts w:ascii="宋体" w:hAnsi="宋体" w:eastAsia="宋体" w:cs="宋体"/>
                <w:position w:val="1"/>
                <w:sz w:val="20"/>
                <w:szCs w:val="20"/>
              </w:rPr>
              <w:t>1</w:t>
            </w:r>
          </w:p>
          <w:p w14:paraId="4BDC95F1">
            <w:pPr>
              <w:spacing w:before="130" w:line="276" w:lineRule="auto"/>
              <w:ind w:left="2325"/>
              <w:rPr>
                <w:rFonts w:ascii="宋体" w:hAnsi="宋体" w:eastAsia="宋体" w:cs="宋体"/>
                <w:sz w:val="20"/>
                <w:szCs w:val="20"/>
              </w:rPr>
            </w:pPr>
            <w:r>
              <w:rPr>
                <w:rFonts w:ascii="宋体" w:hAnsi="宋体" w:eastAsia="宋体" w:cs="宋体"/>
                <w:sz w:val="20"/>
                <w:szCs w:val="20"/>
              </w:rPr>
              <w:t>0</w:t>
            </w:r>
          </w:p>
        </w:tc>
        <w:tc>
          <w:tcPr>
            <w:tcW w:w="877" w:type="dxa"/>
            <w:vAlign w:val="top"/>
          </w:tcPr>
          <w:p w14:paraId="7EB99A6D">
            <w:pPr>
              <w:spacing w:before="149" w:line="276" w:lineRule="auto"/>
              <w:ind w:left="250"/>
              <w:rPr>
                <w:rFonts w:ascii="宋体" w:hAnsi="宋体" w:eastAsia="宋体" w:cs="宋体"/>
                <w:sz w:val="20"/>
                <w:szCs w:val="20"/>
              </w:rPr>
            </w:pPr>
            <w:r>
              <w:rPr>
                <w:rFonts w:ascii="宋体" w:hAnsi="宋体" w:eastAsia="宋体" w:cs="宋体"/>
                <w:position w:val="1"/>
                <w:sz w:val="20"/>
                <w:szCs w:val="20"/>
              </w:rPr>
              <w:t>0%</w:t>
            </w:r>
          </w:p>
          <w:p w14:paraId="40A57F52">
            <w:pPr>
              <w:spacing w:before="131" w:line="276" w:lineRule="auto"/>
              <w:ind w:left="264"/>
              <w:rPr>
                <w:rFonts w:ascii="宋体" w:hAnsi="宋体" w:eastAsia="宋体" w:cs="宋体"/>
                <w:sz w:val="20"/>
                <w:szCs w:val="20"/>
              </w:rPr>
            </w:pPr>
            <w:r>
              <w:rPr>
                <w:rFonts w:ascii="宋体" w:hAnsi="宋体" w:eastAsia="宋体" w:cs="宋体"/>
                <w:spacing w:val="-1"/>
                <w:sz w:val="20"/>
                <w:szCs w:val="20"/>
              </w:rPr>
              <w:t>100%</w:t>
            </w:r>
          </w:p>
        </w:tc>
        <w:tc>
          <w:tcPr>
            <w:tcW w:w="526" w:type="dxa"/>
            <w:vAlign w:val="top"/>
          </w:tcPr>
          <w:p w14:paraId="4E6811B6">
            <w:pPr>
              <w:spacing w:before="149" w:line="276" w:lineRule="auto"/>
              <w:ind w:left="223"/>
              <w:rPr>
                <w:rFonts w:ascii="宋体" w:hAnsi="宋体" w:eastAsia="宋体" w:cs="宋体"/>
                <w:sz w:val="20"/>
                <w:szCs w:val="20"/>
              </w:rPr>
            </w:pPr>
            <w:r>
              <w:rPr>
                <w:rFonts w:ascii="宋体" w:hAnsi="宋体" w:eastAsia="宋体" w:cs="宋体"/>
                <w:spacing w:val="-2"/>
                <w:position w:val="1"/>
                <w:sz w:val="20"/>
                <w:szCs w:val="20"/>
              </w:rPr>
              <w:t>30</w:t>
            </w:r>
          </w:p>
          <w:p w14:paraId="5D792299">
            <w:pPr>
              <w:spacing w:before="131" w:line="276" w:lineRule="auto"/>
              <w:ind w:left="221"/>
              <w:rPr>
                <w:rFonts w:ascii="宋体" w:hAnsi="宋体" w:eastAsia="宋体" w:cs="宋体"/>
                <w:sz w:val="20"/>
                <w:szCs w:val="20"/>
              </w:rPr>
            </w:pPr>
            <w:r>
              <w:rPr>
                <w:rFonts w:ascii="宋体" w:hAnsi="宋体" w:eastAsia="宋体" w:cs="宋体"/>
                <w:sz w:val="20"/>
                <w:szCs w:val="20"/>
              </w:rPr>
              <w:t>0</w:t>
            </w:r>
          </w:p>
        </w:tc>
        <w:tc>
          <w:tcPr>
            <w:tcW w:w="954" w:type="dxa"/>
            <w:vAlign w:val="top"/>
          </w:tcPr>
          <w:p w14:paraId="28759CA4">
            <w:pPr>
              <w:spacing w:before="149" w:line="276" w:lineRule="auto"/>
              <w:ind w:left="119"/>
              <w:rPr>
                <w:rFonts w:ascii="宋体" w:hAnsi="宋体" w:eastAsia="宋体" w:cs="宋体"/>
                <w:sz w:val="20"/>
                <w:szCs w:val="20"/>
              </w:rPr>
            </w:pPr>
            <w:r>
              <w:rPr>
                <w:rFonts w:ascii="宋体" w:hAnsi="宋体" w:eastAsia="宋体" w:cs="宋体"/>
                <w:position w:val="1"/>
                <w:sz w:val="20"/>
                <w:szCs w:val="20"/>
              </w:rPr>
              <w:t>0%</w:t>
            </w:r>
          </w:p>
        </w:tc>
      </w:tr>
    </w:tbl>
    <w:p w14:paraId="49D38444">
      <w:pPr>
        <w:spacing w:before="142" w:line="276" w:lineRule="auto"/>
        <w:ind w:left="540"/>
        <w:rPr>
          <w:rFonts w:ascii="宋体" w:hAnsi="宋体" w:eastAsia="宋体" w:cs="宋体"/>
          <w:sz w:val="20"/>
          <w:szCs w:val="20"/>
        </w:rPr>
      </w:pPr>
      <w:r>
        <w:rPr>
          <w:rFonts w:ascii="宋体" w:hAnsi="宋体" w:eastAsia="宋体" w:cs="宋体"/>
          <w:b/>
          <w:bCs/>
          <w:spacing w:val="3"/>
          <w:sz w:val="20"/>
          <w:szCs w:val="20"/>
        </w:rPr>
        <w:t>3</w:t>
      </w:r>
      <w:r>
        <w:rPr>
          <w:rFonts w:ascii="宋体" w:hAnsi="宋体" w:eastAsia="宋体" w:cs="宋体"/>
          <w:spacing w:val="42"/>
          <w:sz w:val="20"/>
          <w:szCs w:val="20"/>
        </w:rPr>
        <w:t xml:space="preserve"> </w:t>
      </w:r>
      <w:r>
        <w:rPr>
          <w:rFonts w:ascii="宋体" w:hAnsi="宋体" w:eastAsia="宋体" w:cs="宋体"/>
          <w:b/>
          <w:bCs/>
          <w:spacing w:val="3"/>
          <w:sz w:val="20"/>
          <w:szCs w:val="20"/>
        </w:rPr>
        <w:t>问卷结果处理与分析</w:t>
      </w:r>
    </w:p>
    <w:p w14:paraId="5501CF51">
      <w:pPr>
        <w:spacing w:before="153" w:line="276" w:lineRule="auto"/>
        <w:ind w:left="540"/>
        <w:rPr>
          <w:rFonts w:ascii="宋体" w:hAnsi="宋体" w:eastAsia="宋体" w:cs="宋体"/>
          <w:sz w:val="20"/>
          <w:szCs w:val="20"/>
        </w:rPr>
      </w:pPr>
      <w:r>
        <w:rPr>
          <w:rFonts w:ascii="宋体" w:hAnsi="宋体" w:eastAsia="宋体" w:cs="宋体"/>
          <w:b/>
          <w:bCs/>
          <w:spacing w:val="5"/>
          <w:sz w:val="20"/>
          <w:szCs w:val="20"/>
        </w:rPr>
        <w:t>3.1</w:t>
      </w:r>
      <w:r>
        <w:rPr>
          <w:rFonts w:ascii="宋体" w:hAnsi="宋体" w:eastAsia="宋体" w:cs="宋体"/>
          <w:spacing w:val="5"/>
          <w:sz w:val="20"/>
          <w:szCs w:val="20"/>
        </w:rPr>
        <w:t xml:space="preserve"> </w:t>
      </w:r>
      <w:r>
        <w:rPr>
          <w:rFonts w:ascii="宋体" w:hAnsi="宋体" w:eastAsia="宋体" w:cs="宋体"/>
          <w:b/>
          <w:bCs/>
          <w:spacing w:val="5"/>
          <w:sz w:val="20"/>
          <w:szCs w:val="20"/>
        </w:rPr>
        <w:t>直接接受修改意见</w:t>
      </w:r>
    </w:p>
    <w:p w14:paraId="0407FF54">
      <w:pPr>
        <w:spacing w:before="152" w:line="276" w:lineRule="auto"/>
        <w:ind w:left="114" w:firstLine="422"/>
        <w:rPr>
          <w:rFonts w:ascii="宋体" w:hAnsi="宋体" w:eastAsia="宋体" w:cs="宋体"/>
          <w:sz w:val="20"/>
          <w:szCs w:val="20"/>
        </w:rPr>
      </w:pPr>
      <w:r>
        <w:rPr>
          <w:rFonts w:ascii="宋体" w:hAnsi="宋体" w:eastAsia="宋体" w:cs="宋体"/>
          <w:spacing w:val="8"/>
          <w:sz w:val="20"/>
          <w:szCs w:val="20"/>
        </w:rPr>
        <w:t>保留超过</w:t>
      </w:r>
      <w:r>
        <w:rPr>
          <w:rFonts w:ascii="宋体" w:hAnsi="宋体" w:eastAsia="宋体" w:cs="宋体"/>
          <w:spacing w:val="-21"/>
          <w:sz w:val="20"/>
          <w:szCs w:val="20"/>
        </w:rPr>
        <w:t xml:space="preserve"> </w:t>
      </w:r>
      <w:r>
        <w:rPr>
          <w:rFonts w:ascii="宋体" w:hAnsi="宋体" w:eastAsia="宋体" w:cs="宋体"/>
          <w:spacing w:val="8"/>
          <w:sz w:val="20"/>
          <w:szCs w:val="20"/>
        </w:rPr>
        <w:t>50%的专家支持的选项，即等级和大于答卷总数一半者，作为直接接受修改意见的条目。</w:t>
      </w:r>
      <w:r>
        <w:rPr>
          <w:rFonts w:ascii="宋体" w:hAnsi="宋体" w:eastAsia="宋体" w:cs="宋体"/>
          <w:spacing w:val="9"/>
          <w:sz w:val="20"/>
          <w:szCs w:val="20"/>
        </w:rPr>
        <w:t>将直接接受修改意见的条目选项列表汇总如下：</w:t>
      </w:r>
    </w:p>
    <w:p w14:paraId="0CFB8B68">
      <w:pPr>
        <w:spacing w:line="276" w:lineRule="auto"/>
        <w:jc w:val="center"/>
        <w:rPr>
          <w:rFonts w:ascii="宋体" w:hAnsi="宋体" w:eastAsia="宋体" w:cs="宋体"/>
          <w:sz w:val="20"/>
          <w:szCs w:val="20"/>
        </w:rPr>
      </w:pPr>
      <w:r>
        <w:rPr>
          <w:rFonts w:ascii="宋体" w:hAnsi="宋体" w:eastAsia="宋体" w:cs="宋体"/>
          <w:spacing w:val="6"/>
          <w:sz w:val="20"/>
          <w:szCs w:val="20"/>
        </w:rPr>
        <w:t>表</w:t>
      </w:r>
      <w:r>
        <w:rPr>
          <w:rFonts w:ascii="宋体" w:hAnsi="宋体" w:eastAsia="宋体" w:cs="宋体"/>
          <w:spacing w:val="-19"/>
          <w:sz w:val="20"/>
          <w:szCs w:val="20"/>
        </w:rPr>
        <w:t xml:space="preserve"> </w:t>
      </w:r>
      <w:r>
        <w:rPr>
          <w:rFonts w:ascii="宋体" w:hAnsi="宋体" w:eastAsia="宋体" w:cs="宋体"/>
          <w:spacing w:val="6"/>
          <w:sz w:val="20"/>
          <w:szCs w:val="20"/>
        </w:rPr>
        <w:t>19 直接接受修改意见条目</w:t>
      </w:r>
    </w:p>
    <w:p w14:paraId="20740826">
      <w:pPr>
        <w:spacing w:line="276" w:lineRule="auto"/>
        <w:rPr>
          <w:rFonts w:ascii="Arial"/>
          <w:sz w:val="2"/>
        </w:rPr>
      </w:pPr>
    </w:p>
    <w:tbl>
      <w:tblPr>
        <w:tblStyle w:val="9"/>
        <w:tblW w:w="8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68"/>
        <w:gridCol w:w="1167"/>
        <w:gridCol w:w="4829"/>
        <w:gridCol w:w="661"/>
        <w:gridCol w:w="981"/>
      </w:tblGrid>
      <w:tr w14:paraId="55847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8" w:hRule="atLeast"/>
        </w:trPr>
        <w:tc>
          <w:tcPr>
            <w:tcW w:w="668" w:type="dxa"/>
            <w:vAlign w:val="top"/>
          </w:tcPr>
          <w:p w14:paraId="2A6BF4EA">
            <w:pPr>
              <w:spacing w:before="146" w:line="276" w:lineRule="auto"/>
              <w:ind w:left="115"/>
              <w:rPr>
                <w:rFonts w:ascii="宋体" w:hAnsi="宋体" w:eastAsia="宋体" w:cs="宋体"/>
                <w:sz w:val="20"/>
                <w:szCs w:val="20"/>
              </w:rPr>
            </w:pPr>
            <w:r>
              <w:rPr>
                <w:rFonts w:ascii="宋体" w:hAnsi="宋体" w:eastAsia="宋体" w:cs="宋体"/>
                <w:spacing w:val="5"/>
                <w:sz w:val="20"/>
                <w:szCs w:val="20"/>
              </w:rPr>
              <w:t>序号</w:t>
            </w:r>
          </w:p>
        </w:tc>
        <w:tc>
          <w:tcPr>
            <w:tcW w:w="1167" w:type="dxa"/>
            <w:vAlign w:val="top"/>
          </w:tcPr>
          <w:p w14:paraId="79D71F84">
            <w:pPr>
              <w:spacing w:before="145" w:line="276" w:lineRule="auto"/>
              <w:ind w:left="158"/>
              <w:rPr>
                <w:rFonts w:ascii="宋体" w:hAnsi="宋体" w:eastAsia="宋体" w:cs="宋体"/>
                <w:sz w:val="20"/>
                <w:szCs w:val="20"/>
              </w:rPr>
            </w:pPr>
            <w:r>
              <w:rPr>
                <w:rFonts w:ascii="宋体" w:hAnsi="宋体" w:eastAsia="宋体" w:cs="宋体"/>
                <w:spacing w:val="3"/>
                <w:sz w:val="20"/>
                <w:szCs w:val="20"/>
              </w:rPr>
              <w:t>条目</w:t>
            </w:r>
          </w:p>
        </w:tc>
        <w:tc>
          <w:tcPr>
            <w:tcW w:w="4829" w:type="dxa"/>
            <w:vAlign w:val="top"/>
          </w:tcPr>
          <w:p w14:paraId="3FC0958E">
            <w:pPr>
              <w:spacing w:before="145" w:line="276" w:lineRule="auto"/>
              <w:ind w:left="127"/>
              <w:rPr>
                <w:rFonts w:ascii="宋体" w:hAnsi="宋体" w:eastAsia="宋体" w:cs="宋体"/>
                <w:sz w:val="20"/>
                <w:szCs w:val="20"/>
              </w:rPr>
            </w:pPr>
            <w:r>
              <w:rPr>
                <w:rFonts w:ascii="宋体" w:hAnsi="宋体" w:eastAsia="宋体" w:cs="宋体"/>
                <w:spacing w:val="7"/>
                <w:sz w:val="20"/>
                <w:szCs w:val="20"/>
              </w:rPr>
              <w:t>最高支持选项</w:t>
            </w:r>
          </w:p>
        </w:tc>
        <w:tc>
          <w:tcPr>
            <w:tcW w:w="661" w:type="dxa"/>
            <w:vAlign w:val="top"/>
          </w:tcPr>
          <w:p w14:paraId="7E8E597A">
            <w:pPr>
              <w:spacing w:before="145" w:line="276" w:lineRule="auto"/>
              <w:ind w:left="115"/>
              <w:rPr>
                <w:rFonts w:ascii="宋体" w:hAnsi="宋体" w:eastAsia="宋体" w:cs="宋体"/>
                <w:sz w:val="20"/>
                <w:szCs w:val="20"/>
              </w:rPr>
            </w:pPr>
            <w:r>
              <w:rPr>
                <w:rFonts w:ascii="宋体" w:hAnsi="宋体" w:eastAsia="宋体" w:cs="宋体"/>
                <w:spacing w:val="4"/>
                <w:sz w:val="20"/>
                <w:szCs w:val="20"/>
              </w:rPr>
              <w:t>频数</w:t>
            </w:r>
          </w:p>
        </w:tc>
        <w:tc>
          <w:tcPr>
            <w:tcW w:w="981" w:type="dxa"/>
            <w:vAlign w:val="top"/>
          </w:tcPr>
          <w:p w14:paraId="16805B4E">
            <w:pPr>
              <w:spacing w:before="146" w:line="276" w:lineRule="auto"/>
              <w:ind w:left="150"/>
              <w:rPr>
                <w:rFonts w:ascii="宋体" w:hAnsi="宋体" w:eastAsia="宋体" w:cs="宋体"/>
                <w:sz w:val="20"/>
                <w:szCs w:val="20"/>
              </w:rPr>
            </w:pPr>
            <w:r>
              <w:rPr>
                <w:rFonts w:ascii="宋体" w:hAnsi="宋体" w:eastAsia="宋体" w:cs="宋体"/>
                <w:spacing w:val="4"/>
                <w:sz w:val="20"/>
                <w:szCs w:val="20"/>
              </w:rPr>
              <w:t>百分比</w:t>
            </w:r>
          </w:p>
        </w:tc>
      </w:tr>
      <w:tr w14:paraId="713D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trPr>
        <w:tc>
          <w:tcPr>
            <w:tcW w:w="668" w:type="dxa"/>
            <w:vAlign w:val="top"/>
          </w:tcPr>
          <w:p w14:paraId="26C404E7">
            <w:pPr>
              <w:spacing w:before="143" w:line="276" w:lineRule="auto"/>
              <w:ind w:left="132"/>
              <w:rPr>
                <w:rFonts w:ascii="宋体" w:hAnsi="宋体" w:eastAsia="宋体" w:cs="宋体"/>
                <w:sz w:val="20"/>
                <w:szCs w:val="20"/>
              </w:rPr>
            </w:pPr>
            <w:r>
              <w:rPr>
                <w:rFonts w:ascii="宋体" w:hAnsi="宋体" w:eastAsia="宋体" w:cs="宋体"/>
                <w:position w:val="1"/>
                <w:sz w:val="20"/>
                <w:szCs w:val="20"/>
              </w:rPr>
              <w:t>1</w:t>
            </w:r>
          </w:p>
        </w:tc>
        <w:tc>
          <w:tcPr>
            <w:tcW w:w="1167" w:type="dxa"/>
            <w:vAlign w:val="top"/>
          </w:tcPr>
          <w:p w14:paraId="47A28D96">
            <w:pPr>
              <w:spacing w:before="143" w:line="276" w:lineRule="auto"/>
              <w:ind w:left="158"/>
              <w:rPr>
                <w:rFonts w:ascii="宋体" w:hAnsi="宋体" w:eastAsia="宋体" w:cs="宋体"/>
                <w:sz w:val="20"/>
                <w:szCs w:val="20"/>
              </w:rPr>
            </w:pPr>
            <w:r>
              <w:rPr>
                <w:rFonts w:ascii="宋体" w:hAnsi="宋体" w:eastAsia="宋体" w:cs="宋体"/>
                <w:spacing w:val="6"/>
                <w:sz w:val="20"/>
                <w:szCs w:val="20"/>
              </w:rPr>
              <w:t>火罐定义</w:t>
            </w:r>
          </w:p>
        </w:tc>
        <w:tc>
          <w:tcPr>
            <w:tcW w:w="4829" w:type="dxa"/>
            <w:vAlign w:val="top"/>
          </w:tcPr>
          <w:p w14:paraId="0A5854A5">
            <w:pPr>
              <w:spacing w:before="143" w:line="276" w:lineRule="auto"/>
              <w:ind w:left="119"/>
              <w:rPr>
                <w:rFonts w:ascii="宋体" w:hAnsi="宋体" w:eastAsia="宋体" w:cs="宋体"/>
                <w:sz w:val="20"/>
                <w:szCs w:val="20"/>
              </w:rPr>
            </w:pPr>
            <w:r>
              <w:rPr>
                <w:rFonts w:ascii="宋体" w:hAnsi="宋体" w:eastAsia="宋体" w:cs="宋体"/>
                <w:spacing w:val="7"/>
                <w:sz w:val="20"/>
                <w:szCs w:val="20"/>
              </w:rPr>
              <w:t>B.沿用原国家标准。</w:t>
            </w:r>
          </w:p>
        </w:tc>
        <w:tc>
          <w:tcPr>
            <w:tcW w:w="661" w:type="dxa"/>
            <w:vAlign w:val="top"/>
          </w:tcPr>
          <w:p w14:paraId="22913BD0">
            <w:pPr>
              <w:spacing w:before="143" w:line="276" w:lineRule="auto"/>
              <w:ind w:left="130"/>
              <w:rPr>
                <w:rFonts w:ascii="宋体" w:hAnsi="宋体" w:eastAsia="宋体" w:cs="宋体"/>
                <w:sz w:val="20"/>
                <w:szCs w:val="20"/>
              </w:rPr>
            </w:pPr>
            <w:r>
              <w:rPr>
                <w:rFonts w:ascii="宋体" w:hAnsi="宋体" w:eastAsia="宋体" w:cs="宋体"/>
                <w:spacing w:val="-7"/>
                <w:position w:val="1"/>
                <w:sz w:val="20"/>
                <w:szCs w:val="20"/>
              </w:rPr>
              <w:t>16</w:t>
            </w:r>
          </w:p>
        </w:tc>
        <w:tc>
          <w:tcPr>
            <w:tcW w:w="981" w:type="dxa"/>
            <w:vAlign w:val="top"/>
          </w:tcPr>
          <w:p w14:paraId="6922DD08">
            <w:pPr>
              <w:spacing w:before="143" w:line="276" w:lineRule="auto"/>
              <w:ind w:left="146"/>
              <w:rPr>
                <w:rFonts w:ascii="宋体" w:hAnsi="宋体" w:eastAsia="宋体" w:cs="宋体"/>
                <w:sz w:val="20"/>
                <w:szCs w:val="20"/>
              </w:rPr>
            </w:pPr>
            <w:r>
              <w:rPr>
                <w:rFonts w:ascii="宋体" w:hAnsi="宋体" w:eastAsia="宋体" w:cs="宋体"/>
                <w:spacing w:val="1"/>
                <w:position w:val="1"/>
                <w:sz w:val="20"/>
                <w:szCs w:val="20"/>
              </w:rPr>
              <w:t>53%</w:t>
            </w:r>
          </w:p>
        </w:tc>
      </w:tr>
      <w:tr w14:paraId="22FDD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1" w:hRule="atLeast"/>
        </w:trPr>
        <w:tc>
          <w:tcPr>
            <w:tcW w:w="668" w:type="dxa"/>
            <w:vAlign w:val="top"/>
          </w:tcPr>
          <w:p w14:paraId="6505F2FB">
            <w:pPr>
              <w:spacing w:before="99" w:line="276" w:lineRule="auto"/>
              <w:ind w:left="119"/>
              <w:rPr>
                <w:rFonts w:ascii="宋体" w:hAnsi="宋体" w:eastAsia="宋体" w:cs="宋体"/>
                <w:sz w:val="20"/>
                <w:szCs w:val="20"/>
              </w:rPr>
            </w:pPr>
            <w:r>
              <w:rPr>
                <w:rFonts w:ascii="宋体" w:hAnsi="宋体" w:eastAsia="宋体" w:cs="宋体"/>
                <w:position w:val="1"/>
                <w:sz w:val="20"/>
                <w:szCs w:val="20"/>
              </w:rPr>
              <w:t>2</w:t>
            </w:r>
          </w:p>
        </w:tc>
        <w:tc>
          <w:tcPr>
            <w:tcW w:w="1167" w:type="dxa"/>
            <w:vAlign w:val="top"/>
          </w:tcPr>
          <w:p w14:paraId="355A226E">
            <w:pPr>
              <w:spacing w:before="100" w:line="276" w:lineRule="auto"/>
              <w:ind w:left="155" w:right="101" w:firstLine="2"/>
              <w:rPr>
                <w:rFonts w:ascii="宋体" w:hAnsi="宋体" w:eastAsia="宋体" w:cs="宋体"/>
                <w:sz w:val="20"/>
                <w:szCs w:val="20"/>
              </w:rPr>
            </w:pPr>
            <w:r>
              <w:rPr>
                <w:rFonts w:ascii="宋体" w:hAnsi="宋体" w:eastAsia="宋体" w:cs="宋体"/>
                <w:spacing w:val="26"/>
                <w:sz w:val="20"/>
                <w:szCs w:val="20"/>
              </w:rPr>
              <w:t>罐具型号</w:t>
            </w:r>
            <w:r>
              <w:rPr>
                <w:rFonts w:ascii="宋体" w:hAnsi="宋体" w:eastAsia="宋体" w:cs="宋体"/>
                <w:spacing w:val="5"/>
                <w:sz w:val="20"/>
                <w:szCs w:val="20"/>
              </w:rPr>
              <w:t>选择</w:t>
            </w:r>
          </w:p>
        </w:tc>
        <w:tc>
          <w:tcPr>
            <w:tcW w:w="4829" w:type="dxa"/>
            <w:vAlign w:val="top"/>
          </w:tcPr>
          <w:p w14:paraId="4C1D9ECC">
            <w:pPr>
              <w:spacing w:before="98" w:line="276" w:lineRule="auto"/>
              <w:ind w:left="114" w:right="109" w:firstLine="3"/>
              <w:jc w:val="both"/>
              <w:rPr>
                <w:rFonts w:ascii="宋体" w:hAnsi="宋体" w:eastAsia="宋体" w:cs="宋体"/>
                <w:sz w:val="20"/>
                <w:szCs w:val="20"/>
              </w:rPr>
            </w:pPr>
            <w:r>
              <w:rPr>
                <w:rFonts w:ascii="宋体" w:hAnsi="宋体" w:eastAsia="宋体" w:cs="宋体"/>
                <w:spacing w:val="5"/>
                <w:sz w:val="20"/>
                <w:szCs w:val="20"/>
              </w:rPr>
              <w:t>A. 依据患儿年龄或身高体重选择罐器，学龄前以</w:t>
            </w:r>
            <w:r>
              <w:rPr>
                <w:rFonts w:ascii="宋体" w:hAnsi="宋体" w:eastAsia="宋体" w:cs="宋体"/>
                <w:spacing w:val="-21"/>
                <w:sz w:val="20"/>
                <w:szCs w:val="20"/>
              </w:rPr>
              <w:t xml:space="preserve"> </w:t>
            </w:r>
            <w:r>
              <w:rPr>
                <w:rFonts w:ascii="Times New Roman" w:hAnsi="Times New Roman" w:eastAsia="Times New Roman" w:cs="Times New Roman"/>
                <w:spacing w:val="5"/>
                <w:sz w:val="20"/>
                <w:szCs w:val="20"/>
              </w:rPr>
              <w:t>5</w:t>
            </w:r>
            <w:r>
              <w:rPr>
                <w:rFonts w:ascii="宋体" w:hAnsi="宋体" w:eastAsia="宋体" w:cs="宋体"/>
                <w:spacing w:val="8"/>
                <w:sz w:val="20"/>
                <w:szCs w:val="20"/>
              </w:rPr>
              <w:t>号罐为主，</w:t>
            </w:r>
            <w:r>
              <w:rPr>
                <w:rFonts w:ascii="Times New Roman" w:hAnsi="Times New Roman" w:eastAsia="Times New Roman" w:cs="Times New Roman"/>
                <w:spacing w:val="8"/>
                <w:sz w:val="20"/>
                <w:szCs w:val="20"/>
              </w:rPr>
              <w:t>12</w:t>
            </w:r>
            <w:r>
              <w:rPr>
                <w:rFonts w:ascii="Times New Roman" w:hAnsi="Times New Roman" w:eastAsia="Times New Roman" w:cs="Times New Roman"/>
                <w:spacing w:val="35"/>
                <w:w w:val="101"/>
                <w:sz w:val="20"/>
                <w:szCs w:val="20"/>
              </w:rPr>
              <w:t xml:space="preserve"> </w:t>
            </w:r>
            <w:r>
              <w:rPr>
                <w:rFonts w:ascii="宋体" w:hAnsi="宋体" w:eastAsia="宋体" w:cs="宋体"/>
                <w:spacing w:val="8"/>
                <w:sz w:val="20"/>
                <w:szCs w:val="20"/>
              </w:rPr>
              <w:t>岁之前以</w:t>
            </w:r>
            <w:r>
              <w:rPr>
                <w:rFonts w:ascii="Times New Roman" w:hAnsi="Times New Roman" w:eastAsia="Times New Roman" w:cs="Times New Roman"/>
                <w:spacing w:val="8"/>
                <w:sz w:val="20"/>
                <w:szCs w:val="20"/>
              </w:rPr>
              <w:t>4</w:t>
            </w:r>
            <w:r>
              <w:rPr>
                <w:rFonts w:ascii="Times New Roman" w:hAnsi="Times New Roman" w:eastAsia="Times New Roman" w:cs="Times New Roman"/>
                <w:spacing w:val="17"/>
                <w:w w:val="101"/>
                <w:sz w:val="20"/>
                <w:szCs w:val="20"/>
              </w:rPr>
              <w:t xml:space="preserve"> </w:t>
            </w:r>
            <w:r>
              <w:rPr>
                <w:rFonts w:ascii="宋体" w:hAnsi="宋体" w:eastAsia="宋体" w:cs="宋体"/>
                <w:spacing w:val="8"/>
                <w:sz w:val="20"/>
                <w:szCs w:val="20"/>
              </w:rPr>
              <w:t>号罐为主（</w:t>
            </w:r>
            <w:r>
              <w:rPr>
                <w:rFonts w:ascii="Times New Roman" w:hAnsi="Times New Roman" w:eastAsia="Times New Roman" w:cs="Times New Roman"/>
                <w:spacing w:val="8"/>
                <w:sz w:val="20"/>
                <w:szCs w:val="20"/>
              </w:rPr>
              <w:t>5</w:t>
            </w:r>
            <w:r>
              <w:rPr>
                <w:rFonts w:ascii="Times New Roman" w:hAnsi="Times New Roman" w:eastAsia="Times New Roman" w:cs="Times New Roman"/>
                <w:spacing w:val="17"/>
                <w:sz w:val="20"/>
                <w:szCs w:val="20"/>
              </w:rPr>
              <w:t xml:space="preserve"> </w:t>
            </w:r>
            <w:r>
              <w:rPr>
                <w:rFonts w:ascii="宋体" w:hAnsi="宋体" w:eastAsia="宋体" w:cs="宋体"/>
                <w:spacing w:val="8"/>
                <w:sz w:val="20"/>
                <w:szCs w:val="20"/>
              </w:rPr>
              <w:t>号罐内容积</w:t>
            </w:r>
            <w:r>
              <w:rPr>
                <w:rFonts w:ascii="Times New Roman" w:hAnsi="Times New Roman" w:eastAsia="Times New Roman" w:cs="Times New Roman"/>
                <w:spacing w:val="8"/>
                <w:sz w:val="20"/>
                <w:szCs w:val="20"/>
              </w:rPr>
              <w:t>95</w:t>
            </w:r>
            <w:r>
              <w:rPr>
                <w:rFonts w:ascii="宋体" w:hAnsi="宋体" w:eastAsia="宋体" w:cs="宋体"/>
                <w:spacing w:val="8"/>
                <w:sz w:val="20"/>
                <w:szCs w:val="20"/>
              </w:rPr>
              <w:t>±</w:t>
            </w:r>
            <w:r>
              <w:rPr>
                <w:rFonts w:ascii="Times New Roman" w:hAnsi="Times New Roman" w:eastAsia="Times New Roman" w:cs="Times New Roman"/>
                <w:spacing w:val="8"/>
                <w:sz w:val="20"/>
                <w:szCs w:val="20"/>
              </w:rPr>
              <w:t>4.8</w:t>
            </w:r>
            <w:r>
              <w:rPr>
                <w:rFonts w:ascii="Times New Roman" w:hAnsi="Times New Roman" w:eastAsia="Times New Roman" w:cs="Times New Roman"/>
                <w:spacing w:val="19"/>
                <w:w w:val="101"/>
                <w:sz w:val="20"/>
                <w:szCs w:val="20"/>
              </w:rPr>
              <w:t xml:space="preserve"> </w:t>
            </w:r>
            <w:r>
              <w:rPr>
                <w:rFonts w:ascii="宋体" w:hAnsi="宋体" w:eastAsia="宋体" w:cs="宋体"/>
                <w:spacing w:val="8"/>
                <w:sz w:val="20"/>
                <w:szCs w:val="20"/>
              </w:rPr>
              <w:t>毫升，</w:t>
            </w:r>
            <w:r>
              <w:rPr>
                <w:rFonts w:ascii="Times New Roman" w:hAnsi="Times New Roman" w:eastAsia="Times New Roman" w:cs="Times New Roman"/>
                <w:spacing w:val="8"/>
                <w:sz w:val="20"/>
                <w:szCs w:val="20"/>
              </w:rPr>
              <w:t>4</w:t>
            </w:r>
            <w:r>
              <w:rPr>
                <w:rFonts w:ascii="Times New Roman" w:hAnsi="Times New Roman" w:eastAsia="Times New Roman" w:cs="Times New Roman"/>
                <w:spacing w:val="21"/>
                <w:w w:val="101"/>
                <w:sz w:val="20"/>
                <w:szCs w:val="20"/>
              </w:rPr>
              <w:t xml:space="preserve"> </w:t>
            </w:r>
            <w:r>
              <w:rPr>
                <w:rFonts w:ascii="宋体" w:hAnsi="宋体" w:eastAsia="宋体" w:cs="宋体"/>
                <w:spacing w:val="8"/>
                <w:sz w:val="20"/>
                <w:szCs w:val="20"/>
              </w:rPr>
              <w:t>号罐内容积</w:t>
            </w:r>
            <w:r>
              <w:rPr>
                <w:rFonts w:ascii="宋体" w:hAnsi="宋体" w:eastAsia="宋体" w:cs="宋体"/>
                <w:spacing w:val="-18"/>
                <w:sz w:val="20"/>
                <w:szCs w:val="20"/>
              </w:rPr>
              <w:t xml:space="preserve"> </w:t>
            </w:r>
            <w:r>
              <w:rPr>
                <w:rFonts w:ascii="Times New Roman" w:hAnsi="Times New Roman" w:eastAsia="Times New Roman" w:cs="Times New Roman"/>
                <w:spacing w:val="8"/>
                <w:sz w:val="20"/>
                <w:szCs w:val="20"/>
              </w:rPr>
              <w:t>130</w:t>
            </w: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Times New Roman" w:hAnsi="Times New Roman" w:eastAsia="Times New Roman" w:cs="Times New Roman"/>
                <w:spacing w:val="7"/>
                <w:sz w:val="20"/>
                <w:szCs w:val="20"/>
              </w:rPr>
              <w:t>.5</w:t>
            </w:r>
            <w:r>
              <w:rPr>
                <w:rFonts w:ascii="Times New Roman" w:hAnsi="Times New Roman" w:eastAsia="Times New Roman" w:cs="Times New Roman"/>
                <w:spacing w:val="19"/>
                <w:w w:val="101"/>
                <w:sz w:val="20"/>
                <w:szCs w:val="20"/>
              </w:rPr>
              <w:t xml:space="preserve"> </w:t>
            </w:r>
            <w:r>
              <w:rPr>
                <w:rFonts w:ascii="宋体" w:hAnsi="宋体" w:eastAsia="宋体" w:cs="宋体"/>
                <w:spacing w:val="7"/>
                <w:sz w:val="20"/>
                <w:szCs w:val="20"/>
              </w:rPr>
              <w:t>毫升，出处</w:t>
            </w:r>
            <w:r>
              <w:rPr>
                <w:rFonts w:ascii="Times New Roman" w:hAnsi="Times New Roman" w:eastAsia="Times New Roman" w:cs="Times New Roman"/>
                <w:sz w:val="20"/>
                <w:szCs w:val="20"/>
              </w:rPr>
              <w:t>ISO</w:t>
            </w:r>
            <w:r>
              <w:rPr>
                <w:rFonts w:ascii="Times New Roman" w:hAnsi="Times New Roman" w:eastAsia="Times New Roman" w:cs="Times New Roman"/>
                <w:spacing w:val="12"/>
                <w:sz w:val="20"/>
                <w:szCs w:val="20"/>
              </w:rPr>
              <w:t>—22213:2020(E)</w:t>
            </w:r>
            <w:r>
              <w:rPr>
                <w:rFonts w:ascii="Times New Roman" w:hAnsi="Times New Roman" w:eastAsia="Times New Roman" w:cs="Times New Roman"/>
                <w:spacing w:val="24"/>
                <w:w w:val="101"/>
                <w:sz w:val="20"/>
                <w:szCs w:val="20"/>
              </w:rPr>
              <w:t xml:space="preserve">  </w:t>
            </w:r>
            <w:r>
              <w:rPr>
                <w:rFonts w:ascii="Times New Roman" w:hAnsi="Times New Roman" w:eastAsia="Times New Roman" w:cs="Times New Roman"/>
                <w:sz w:val="20"/>
                <w:szCs w:val="20"/>
              </w:rPr>
              <w:t>Traditional</w:t>
            </w:r>
            <w:r>
              <w:rPr>
                <w:rFonts w:ascii="Times New Roman" w:hAnsi="Times New Roman" w:eastAsia="Times New Roman" w:cs="Times New Roman"/>
                <w:spacing w:val="23"/>
                <w:w w:val="101"/>
                <w:sz w:val="20"/>
                <w:szCs w:val="20"/>
              </w:rPr>
              <w:t xml:space="preserve">  </w:t>
            </w:r>
            <w:r>
              <w:rPr>
                <w:rFonts w:ascii="Times New Roman" w:hAnsi="Times New Roman" w:eastAsia="Times New Roman" w:cs="Times New Roman"/>
                <w:sz w:val="20"/>
                <w:szCs w:val="20"/>
              </w:rPr>
              <w:t>Chinese</w:t>
            </w:r>
            <w:r>
              <w:rPr>
                <w:rFonts w:ascii="Times New Roman" w:hAnsi="Times New Roman" w:eastAsia="Times New Roman" w:cs="Times New Roman"/>
                <w:spacing w:val="19"/>
                <w:w w:val="101"/>
                <w:sz w:val="20"/>
                <w:szCs w:val="20"/>
              </w:rPr>
              <w:t xml:space="preserve">  </w:t>
            </w:r>
            <w:r>
              <w:rPr>
                <w:rFonts w:ascii="Times New Roman" w:hAnsi="Times New Roman" w:eastAsia="Times New Roman" w:cs="Times New Roman"/>
                <w:sz w:val="20"/>
                <w:szCs w:val="20"/>
              </w:rPr>
              <w:t xml:space="preserve">medicine </w:t>
            </w:r>
            <w:r>
              <w:rPr>
                <w:rFonts w:ascii="Times New Roman" w:hAnsi="Times New Roman" w:eastAsia="Times New Roman" w:cs="Times New Roman"/>
                <w:spacing w:val="8"/>
                <w:sz w:val="20"/>
                <w:szCs w:val="20"/>
              </w:rPr>
              <w:t>—</w:t>
            </w:r>
            <w:r>
              <w:rPr>
                <w:rFonts w:ascii="Times New Roman" w:hAnsi="Times New Roman" w:eastAsia="Times New Roman" w:cs="Times New Roman"/>
                <w:spacing w:val="31"/>
                <w:w w:val="101"/>
                <w:sz w:val="20"/>
                <w:szCs w:val="20"/>
              </w:rPr>
              <w:t xml:space="preserve"> </w:t>
            </w:r>
            <w:r>
              <w:rPr>
                <w:rFonts w:ascii="Times New Roman" w:hAnsi="Times New Roman" w:eastAsia="Times New Roman" w:cs="Times New Roman"/>
                <w:sz w:val="20"/>
                <w:szCs w:val="20"/>
              </w:rPr>
              <w:t>Glass</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z w:val="20"/>
                <w:szCs w:val="20"/>
              </w:rPr>
              <w:t>cupping</w:t>
            </w:r>
            <w:r>
              <w:rPr>
                <w:rFonts w:ascii="Times New Roman" w:hAnsi="Times New Roman" w:eastAsia="Times New Roman" w:cs="Times New Roman"/>
                <w:spacing w:val="20"/>
                <w:w w:val="101"/>
                <w:sz w:val="20"/>
                <w:szCs w:val="20"/>
              </w:rPr>
              <w:t xml:space="preserve"> </w:t>
            </w:r>
            <w:r>
              <w:rPr>
                <w:rFonts w:ascii="Times New Roman" w:hAnsi="Times New Roman" w:eastAsia="Times New Roman" w:cs="Times New Roman"/>
                <w:sz w:val="20"/>
                <w:szCs w:val="20"/>
              </w:rPr>
              <w:t>device</w:t>
            </w:r>
            <w:r>
              <w:rPr>
                <w:rFonts w:ascii="Times New Roman" w:hAnsi="Times New Roman" w:eastAsia="Times New Roman" w:cs="Times New Roman"/>
                <w:spacing w:val="25"/>
                <w:sz w:val="20"/>
                <w:szCs w:val="20"/>
              </w:rPr>
              <w:t xml:space="preserve"> </w:t>
            </w:r>
            <w:r>
              <w:rPr>
                <w:rFonts w:ascii="宋体" w:hAnsi="宋体" w:eastAsia="宋体" w:cs="宋体"/>
                <w:spacing w:val="8"/>
                <w:sz w:val="20"/>
                <w:szCs w:val="20"/>
              </w:rPr>
              <w:t>和《</w:t>
            </w:r>
            <w:r>
              <w:rPr>
                <w:rFonts w:ascii="Times New Roman" w:hAnsi="Times New Roman" w:eastAsia="Times New Roman" w:cs="Times New Roman"/>
                <w:sz w:val="20"/>
                <w:szCs w:val="20"/>
              </w:rPr>
              <w:t>YY</w:t>
            </w:r>
            <w:r>
              <w:rPr>
                <w:rFonts w:ascii="Times New Roman" w:hAnsi="Times New Roman" w:eastAsia="Times New Roman" w:cs="Times New Roman"/>
                <w:spacing w:val="8"/>
                <w:sz w:val="20"/>
                <w:szCs w:val="20"/>
              </w:rPr>
              <w:t>/T</w:t>
            </w:r>
            <w:r>
              <w:rPr>
                <w:rFonts w:ascii="Times New Roman" w:hAnsi="Times New Roman" w:eastAsia="Times New Roman" w:cs="Times New Roman"/>
                <w:spacing w:val="36"/>
                <w:w w:val="101"/>
                <w:sz w:val="20"/>
                <w:szCs w:val="20"/>
              </w:rPr>
              <w:t xml:space="preserve"> </w:t>
            </w:r>
            <w:r>
              <w:rPr>
                <w:rFonts w:ascii="Times New Roman" w:hAnsi="Times New Roman" w:eastAsia="Times New Roman" w:cs="Times New Roman"/>
                <w:spacing w:val="8"/>
                <w:sz w:val="20"/>
                <w:szCs w:val="20"/>
              </w:rPr>
              <w:t>1976-2025</w:t>
            </w:r>
            <w:r>
              <w:rPr>
                <w:rFonts w:ascii="Times New Roman" w:hAnsi="Times New Roman" w:eastAsia="Times New Roman" w:cs="Times New Roman"/>
                <w:spacing w:val="22"/>
                <w:sz w:val="20"/>
                <w:szCs w:val="20"/>
              </w:rPr>
              <w:t xml:space="preserve">  </w:t>
            </w:r>
            <w:r>
              <w:rPr>
                <w:rFonts w:ascii="宋体" w:hAnsi="宋体" w:eastAsia="宋体" w:cs="宋体"/>
                <w:spacing w:val="8"/>
                <w:sz w:val="20"/>
                <w:szCs w:val="20"/>
              </w:rPr>
              <w:t>中医</w:t>
            </w:r>
            <w:r>
              <w:rPr>
                <w:rFonts w:ascii="宋体" w:hAnsi="宋体" w:eastAsia="宋体" w:cs="宋体"/>
                <w:spacing w:val="7"/>
                <w:sz w:val="20"/>
                <w:szCs w:val="20"/>
              </w:rPr>
              <w:t>器械 玻璃拔罐器》）</w:t>
            </w:r>
          </w:p>
        </w:tc>
        <w:tc>
          <w:tcPr>
            <w:tcW w:w="661" w:type="dxa"/>
            <w:vAlign w:val="top"/>
          </w:tcPr>
          <w:p w14:paraId="7A086040">
            <w:pPr>
              <w:spacing w:before="99" w:line="276" w:lineRule="auto"/>
              <w:ind w:left="117"/>
              <w:rPr>
                <w:rFonts w:ascii="宋体" w:hAnsi="宋体" w:eastAsia="宋体" w:cs="宋体"/>
                <w:sz w:val="20"/>
                <w:szCs w:val="20"/>
              </w:rPr>
            </w:pPr>
            <w:r>
              <w:rPr>
                <w:rFonts w:ascii="宋体" w:hAnsi="宋体" w:eastAsia="宋体" w:cs="宋体"/>
                <w:spacing w:val="-1"/>
                <w:position w:val="1"/>
                <w:sz w:val="20"/>
                <w:szCs w:val="20"/>
              </w:rPr>
              <w:t>23</w:t>
            </w:r>
          </w:p>
        </w:tc>
        <w:tc>
          <w:tcPr>
            <w:tcW w:w="981" w:type="dxa"/>
            <w:vAlign w:val="top"/>
          </w:tcPr>
          <w:p w14:paraId="38495C04">
            <w:pPr>
              <w:spacing w:before="99" w:line="276" w:lineRule="auto"/>
              <w:ind w:left="147"/>
              <w:rPr>
                <w:rFonts w:ascii="宋体" w:hAnsi="宋体" w:eastAsia="宋体" w:cs="宋体"/>
                <w:sz w:val="20"/>
                <w:szCs w:val="20"/>
              </w:rPr>
            </w:pPr>
            <w:r>
              <w:rPr>
                <w:rFonts w:ascii="宋体" w:hAnsi="宋体" w:eastAsia="宋体" w:cs="宋体"/>
                <w:spacing w:val="2"/>
                <w:position w:val="1"/>
                <w:sz w:val="20"/>
                <w:szCs w:val="20"/>
              </w:rPr>
              <w:t>76.67%</w:t>
            </w:r>
          </w:p>
        </w:tc>
      </w:tr>
      <w:tr w14:paraId="4F48D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0" w:hRule="atLeast"/>
        </w:trPr>
        <w:tc>
          <w:tcPr>
            <w:tcW w:w="668" w:type="dxa"/>
            <w:vAlign w:val="top"/>
          </w:tcPr>
          <w:p w14:paraId="5D50161F">
            <w:pPr>
              <w:spacing w:before="108" w:line="276" w:lineRule="auto"/>
              <w:ind w:left="120"/>
              <w:rPr>
                <w:rFonts w:ascii="宋体" w:hAnsi="宋体" w:eastAsia="宋体" w:cs="宋体"/>
                <w:sz w:val="20"/>
                <w:szCs w:val="20"/>
              </w:rPr>
            </w:pPr>
            <w:r>
              <w:rPr>
                <w:rFonts w:ascii="宋体" w:hAnsi="宋体" w:eastAsia="宋体" w:cs="宋体"/>
                <w:position w:val="1"/>
                <w:sz w:val="20"/>
                <w:szCs w:val="20"/>
              </w:rPr>
              <w:t>3</w:t>
            </w:r>
          </w:p>
        </w:tc>
        <w:tc>
          <w:tcPr>
            <w:tcW w:w="1167" w:type="dxa"/>
            <w:vAlign w:val="top"/>
          </w:tcPr>
          <w:p w14:paraId="726E713F">
            <w:pPr>
              <w:spacing w:before="109" w:line="276" w:lineRule="auto"/>
              <w:ind w:left="157" w:right="101" w:hanging="2"/>
              <w:rPr>
                <w:rFonts w:ascii="宋体" w:hAnsi="宋体" w:eastAsia="宋体" w:cs="宋体"/>
                <w:sz w:val="20"/>
                <w:szCs w:val="20"/>
              </w:rPr>
            </w:pPr>
            <w:r>
              <w:rPr>
                <w:rFonts w:ascii="宋体" w:hAnsi="宋体" w:eastAsia="宋体" w:cs="宋体"/>
                <w:spacing w:val="27"/>
                <w:sz w:val="20"/>
                <w:szCs w:val="20"/>
              </w:rPr>
              <w:t>施术前医</w:t>
            </w:r>
            <w:r>
              <w:rPr>
                <w:rFonts w:ascii="宋体" w:hAnsi="宋体" w:eastAsia="宋体" w:cs="宋体"/>
                <w:spacing w:val="6"/>
                <w:sz w:val="20"/>
                <w:szCs w:val="20"/>
              </w:rPr>
              <w:t>生准备</w:t>
            </w:r>
          </w:p>
        </w:tc>
        <w:tc>
          <w:tcPr>
            <w:tcW w:w="4829" w:type="dxa"/>
            <w:vAlign w:val="top"/>
          </w:tcPr>
          <w:p w14:paraId="0283F534">
            <w:pPr>
              <w:spacing w:before="109" w:line="276" w:lineRule="auto"/>
              <w:ind w:left="124" w:right="56" w:hanging="6"/>
              <w:jc w:val="both"/>
              <w:rPr>
                <w:rFonts w:ascii="宋体" w:hAnsi="宋体" w:eastAsia="宋体" w:cs="宋体"/>
                <w:sz w:val="20"/>
                <w:szCs w:val="20"/>
              </w:rPr>
            </w:pPr>
            <w:r>
              <w:rPr>
                <w:rFonts w:ascii="宋体" w:hAnsi="宋体" w:eastAsia="宋体" w:cs="宋体"/>
                <w:spacing w:val="3"/>
                <w:sz w:val="20"/>
                <w:szCs w:val="20"/>
              </w:rPr>
              <w:t>A. 在流动水下，淋湿双手。取适量洗手液（肥皂</w:t>
            </w:r>
            <w:r>
              <w:rPr>
                <w:rFonts w:ascii="宋体" w:hAnsi="宋体" w:eastAsia="宋体" w:cs="宋体"/>
                <w:spacing w:val="-51"/>
                <w:w w:val="96"/>
                <w:sz w:val="20"/>
                <w:szCs w:val="20"/>
              </w:rPr>
              <w:t>），</w:t>
            </w:r>
            <w:r>
              <w:rPr>
                <w:rFonts w:ascii="宋体" w:hAnsi="宋体" w:eastAsia="宋体" w:cs="宋体"/>
                <w:spacing w:val="8"/>
                <w:sz w:val="20"/>
                <w:szCs w:val="20"/>
              </w:rPr>
              <w:t>均匀涂抹至整个手掌、手背、手指和指缝。认真揉</w:t>
            </w:r>
            <w:r>
              <w:rPr>
                <w:rFonts w:ascii="宋体" w:hAnsi="宋体" w:eastAsia="宋体" w:cs="宋体"/>
                <w:spacing w:val="9"/>
                <w:sz w:val="20"/>
                <w:szCs w:val="20"/>
              </w:rPr>
              <w:t>搓双手至少</w:t>
            </w:r>
            <w:r>
              <w:rPr>
                <w:rFonts w:ascii="宋体" w:hAnsi="宋体" w:eastAsia="宋体" w:cs="宋体"/>
                <w:spacing w:val="-21"/>
                <w:sz w:val="20"/>
                <w:szCs w:val="20"/>
              </w:rPr>
              <w:t xml:space="preserve"> </w:t>
            </w:r>
            <w:r>
              <w:rPr>
                <w:rFonts w:ascii="Times New Roman" w:hAnsi="Times New Roman" w:eastAsia="Times New Roman" w:cs="Times New Roman"/>
                <w:spacing w:val="9"/>
                <w:sz w:val="20"/>
                <w:szCs w:val="20"/>
              </w:rPr>
              <w:t>15s</w:t>
            </w:r>
            <w:r>
              <w:rPr>
                <w:rFonts w:ascii="Times New Roman" w:hAnsi="Times New Roman" w:eastAsia="Times New Roman" w:cs="Times New Roman"/>
                <w:spacing w:val="-23"/>
                <w:sz w:val="20"/>
                <w:szCs w:val="20"/>
              </w:rPr>
              <w:t xml:space="preserve"> </w:t>
            </w:r>
            <w:r>
              <w:rPr>
                <w:rFonts w:ascii="宋体" w:hAnsi="宋体" w:eastAsia="宋体" w:cs="宋体"/>
                <w:spacing w:val="9"/>
                <w:sz w:val="20"/>
                <w:szCs w:val="20"/>
              </w:rPr>
              <w:t>，注意清洗双手所有皮肤，包括指</w:t>
            </w:r>
            <w:r>
              <w:rPr>
                <w:rFonts w:ascii="宋体" w:hAnsi="宋体" w:eastAsia="宋体" w:cs="宋体"/>
                <w:spacing w:val="8"/>
                <w:sz w:val="20"/>
                <w:szCs w:val="20"/>
              </w:rPr>
              <w:t>背、指尖和指缝，具体揉搓步骤参加《医务人员洗手方法》。取适量的手消毒剂于掌心，均匀涂抹双手。按照《医务人员洗手方法》揉搓的步骤进行揉搓，揉搓至手部干燥。卫生手消毒时首选速干手消毒剂，过敏人群可选用其他手消毒剂；针对某些对</w:t>
            </w:r>
          </w:p>
        </w:tc>
        <w:tc>
          <w:tcPr>
            <w:tcW w:w="661" w:type="dxa"/>
            <w:vAlign w:val="top"/>
          </w:tcPr>
          <w:p w14:paraId="35CCE113">
            <w:pPr>
              <w:spacing w:before="108" w:line="276" w:lineRule="auto"/>
              <w:ind w:left="130"/>
              <w:rPr>
                <w:rFonts w:ascii="宋体" w:hAnsi="宋体" w:eastAsia="宋体" w:cs="宋体"/>
                <w:sz w:val="20"/>
                <w:szCs w:val="20"/>
              </w:rPr>
            </w:pPr>
            <w:r>
              <w:rPr>
                <w:rFonts w:ascii="宋体" w:hAnsi="宋体" w:eastAsia="宋体" w:cs="宋体"/>
                <w:spacing w:val="-7"/>
                <w:position w:val="1"/>
                <w:sz w:val="20"/>
                <w:szCs w:val="20"/>
              </w:rPr>
              <w:t>18</w:t>
            </w:r>
          </w:p>
        </w:tc>
        <w:tc>
          <w:tcPr>
            <w:tcW w:w="981" w:type="dxa"/>
            <w:vAlign w:val="top"/>
          </w:tcPr>
          <w:p w14:paraId="4F2BABA0">
            <w:pPr>
              <w:spacing w:before="108" w:line="276" w:lineRule="auto"/>
              <w:ind w:left="144"/>
              <w:rPr>
                <w:rFonts w:ascii="宋体" w:hAnsi="宋体" w:eastAsia="宋体" w:cs="宋体"/>
                <w:sz w:val="20"/>
                <w:szCs w:val="20"/>
              </w:rPr>
            </w:pPr>
            <w:r>
              <w:rPr>
                <w:rFonts w:ascii="宋体" w:hAnsi="宋体" w:eastAsia="宋体" w:cs="宋体"/>
                <w:spacing w:val="1"/>
                <w:position w:val="1"/>
                <w:sz w:val="20"/>
                <w:szCs w:val="20"/>
              </w:rPr>
              <w:t>60%</w:t>
            </w:r>
          </w:p>
        </w:tc>
      </w:tr>
    </w:tbl>
    <w:tbl>
      <w:tblPr>
        <w:tblStyle w:val="6"/>
        <w:tblW w:w="8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68"/>
        <w:gridCol w:w="1167"/>
        <w:gridCol w:w="4829"/>
        <w:gridCol w:w="661"/>
        <w:gridCol w:w="981"/>
      </w:tblGrid>
      <w:tr w14:paraId="5EA85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25" w:hRule="atLeast"/>
        </w:trPr>
        <w:tc>
          <w:tcPr>
            <w:tcW w:w="668" w:type="dxa"/>
            <w:vAlign w:val="top"/>
          </w:tcPr>
          <w:p w14:paraId="67621658">
            <w:pPr>
              <w:spacing w:line="276" w:lineRule="auto"/>
              <w:rPr>
                <w:rFonts w:ascii="Arial"/>
                <w:sz w:val="21"/>
              </w:rPr>
            </w:pPr>
          </w:p>
          <w:p w14:paraId="12FD09D5">
            <w:pPr>
              <w:spacing w:line="276" w:lineRule="auto"/>
              <w:rPr>
                <w:rFonts w:ascii="Arial"/>
                <w:sz w:val="21"/>
              </w:rPr>
            </w:pPr>
          </w:p>
          <w:p w14:paraId="3643D6F8">
            <w:pPr>
              <w:spacing w:line="276" w:lineRule="auto"/>
              <w:rPr>
                <w:rFonts w:ascii="Arial"/>
                <w:sz w:val="21"/>
              </w:rPr>
            </w:pPr>
          </w:p>
          <w:p w14:paraId="561AF7A0">
            <w:pPr>
              <w:spacing w:line="276" w:lineRule="auto"/>
              <w:rPr>
                <w:rFonts w:ascii="Arial"/>
                <w:sz w:val="21"/>
              </w:rPr>
            </w:pPr>
          </w:p>
          <w:p w14:paraId="2B007749">
            <w:pPr>
              <w:spacing w:line="276" w:lineRule="auto"/>
              <w:rPr>
                <w:rFonts w:ascii="Arial"/>
                <w:sz w:val="21"/>
              </w:rPr>
            </w:pPr>
          </w:p>
          <w:p w14:paraId="19AFE01E">
            <w:pPr>
              <w:spacing w:before="65" w:line="276" w:lineRule="auto"/>
              <w:ind w:left="115"/>
              <w:rPr>
                <w:rFonts w:ascii="宋体" w:hAnsi="宋体" w:eastAsia="宋体" w:cs="宋体"/>
                <w:sz w:val="20"/>
                <w:szCs w:val="20"/>
              </w:rPr>
            </w:pPr>
            <w:r>
              <w:rPr>
                <w:rFonts w:ascii="宋体" w:hAnsi="宋体" w:eastAsia="宋体" w:cs="宋体"/>
                <w:position w:val="1"/>
                <w:sz w:val="20"/>
                <w:szCs w:val="20"/>
              </w:rPr>
              <w:t>4</w:t>
            </w:r>
          </w:p>
        </w:tc>
        <w:tc>
          <w:tcPr>
            <w:tcW w:w="1167" w:type="dxa"/>
            <w:vAlign w:val="top"/>
          </w:tcPr>
          <w:p w14:paraId="1833A271">
            <w:pPr>
              <w:spacing w:line="276" w:lineRule="auto"/>
              <w:rPr>
                <w:rFonts w:ascii="Arial"/>
                <w:sz w:val="21"/>
              </w:rPr>
            </w:pPr>
          </w:p>
          <w:p w14:paraId="63325F8C">
            <w:pPr>
              <w:spacing w:line="276" w:lineRule="auto"/>
              <w:rPr>
                <w:rFonts w:ascii="Arial"/>
                <w:sz w:val="21"/>
              </w:rPr>
            </w:pPr>
          </w:p>
          <w:p w14:paraId="30741323">
            <w:pPr>
              <w:spacing w:line="276" w:lineRule="auto"/>
              <w:rPr>
                <w:rFonts w:ascii="Arial"/>
                <w:sz w:val="21"/>
              </w:rPr>
            </w:pPr>
          </w:p>
          <w:p w14:paraId="1787642C">
            <w:pPr>
              <w:spacing w:line="276" w:lineRule="auto"/>
              <w:rPr>
                <w:rFonts w:ascii="Arial"/>
                <w:sz w:val="21"/>
              </w:rPr>
            </w:pPr>
          </w:p>
          <w:p w14:paraId="76B27166">
            <w:pPr>
              <w:spacing w:line="276" w:lineRule="auto"/>
              <w:rPr>
                <w:rFonts w:ascii="Arial"/>
                <w:sz w:val="21"/>
              </w:rPr>
            </w:pPr>
          </w:p>
          <w:p w14:paraId="4F8D85B8">
            <w:pPr>
              <w:spacing w:before="65" w:line="276" w:lineRule="auto"/>
              <w:ind w:left="155"/>
              <w:rPr>
                <w:rFonts w:ascii="宋体" w:hAnsi="宋体" w:eastAsia="宋体" w:cs="宋体"/>
                <w:sz w:val="20"/>
                <w:szCs w:val="20"/>
              </w:rPr>
            </w:pPr>
            <w:r>
              <w:rPr>
                <w:rFonts w:ascii="宋体" w:hAnsi="宋体" w:eastAsia="宋体" w:cs="宋体"/>
                <w:spacing w:val="7"/>
                <w:sz w:val="20"/>
                <w:szCs w:val="20"/>
              </w:rPr>
              <w:t>拔罐部位</w:t>
            </w:r>
          </w:p>
        </w:tc>
        <w:tc>
          <w:tcPr>
            <w:tcW w:w="4829" w:type="dxa"/>
            <w:vAlign w:val="top"/>
          </w:tcPr>
          <w:p w14:paraId="54477B39">
            <w:pPr>
              <w:spacing w:before="133" w:line="276" w:lineRule="auto"/>
              <w:ind w:left="115" w:right="115" w:firstLine="25"/>
              <w:jc w:val="both"/>
              <w:rPr>
                <w:rFonts w:ascii="宋体" w:hAnsi="宋体" w:eastAsia="宋体" w:cs="宋体"/>
                <w:sz w:val="20"/>
                <w:szCs w:val="20"/>
              </w:rPr>
            </w:pPr>
            <w:r>
              <w:rPr>
                <w:rFonts w:ascii="宋体" w:hAnsi="宋体" w:eastAsia="宋体" w:cs="宋体"/>
                <w:spacing w:val="7"/>
                <w:sz w:val="20"/>
                <w:szCs w:val="20"/>
              </w:rPr>
              <w:t>乙醇不敏感的肠道病毒感染时，应选择其他有效的</w:t>
            </w:r>
            <w:r>
              <w:rPr>
                <w:rFonts w:ascii="宋体" w:hAnsi="宋体" w:eastAsia="宋体" w:cs="宋体"/>
                <w:spacing w:val="9"/>
                <w:sz w:val="20"/>
                <w:szCs w:val="20"/>
              </w:rPr>
              <w:t>手消毒剂。（出处：中华人民共和国卫生行业标准</w:t>
            </w:r>
            <w:r>
              <w:rPr>
                <w:rFonts w:ascii="Times New Roman" w:hAnsi="Times New Roman" w:eastAsia="Times New Roman" w:cs="Times New Roman"/>
                <w:sz w:val="20"/>
                <w:szCs w:val="20"/>
              </w:rPr>
              <w:t>WS</w:t>
            </w:r>
            <w:r>
              <w:rPr>
                <w:rFonts w:ascii="Times New Roman" w:hAnsi="Times New Roman" w:eastAsia="Times New Roman" w:cs="Times New Roman"/>
                <w:spacing w:val="6"/>
                <w:sz w:val="20"/>
                <w:szCs w:val="20"/>
              </w:rPr>
              <w:t>/T 313</w:t>
            </w:r>
            <w:r>
              <w:rPr>
                <w:rFonts w:ascii="宋体" w:hAnsi="宋体" w:eastAsia="宋体" w:cs="宋体"/>
                <w:spacing w:val="6"/>
                <w:sz w:val="20"/>
                <w:szCs w:val="20"/>
              </w:rPr>
              <w:t>—</w:t>
            </w:r>
            <w:r>
              <w:rPr>
                <w:rFonts w:ascii="Times New Roman" w:hAnsi="Times New Roman" w:eastAsia="Times New Roman" w:cs="Times New Roman"/>
                <w:spacing w:val="6"/>
                <w:sz w:val="20"/>
                <w:szCs w:val="20"/>
              </w:rPr>
              <w:t xml:space="preserve">2019  </w:t>
            </w:r>
            <w:r>
              <w:rPr>
                <w:rFonts w:ascii="宋体" w:hAnsi="宋体" w:eastAsia="宋体" w:cs="宋体"/>
                <w:spacing w:val="6"/>
                <w:sz w:val="20"/>
                <w:szCs w:val="20"/>
              </w:rPr>
              <w:t>《医务人员卫生规范》）</w:t>
            </w:r>
          </w:p>
          <w:p w14:paraId="1A0BD603">
            <w:pPr>
              <w:tabs>
                <w:tab w:val="left" w:pos="4827"/>
              </w:tabs>
              <w:spacing w:before="2" w:line="276" w:lineRule="auto"/>
              <w:ind w:left="120" w:hanging="6"/>
              <w:jc w:val="both"/>
              <w:rPr>
                <w:rFonts w:ascii="宋体" w:hAnsi="宋体" w:eastAsia="宋体" w:cs="宋体"/>
                <w:sz w:val="20"/>
                <w:szCs w:val="20"/>
              </w:rPr>
            </w:pPr>
            <w:r>
              <w:rPr>
                <w:rFonts w:ascii="宋体" w:hAnsi="宋体" w:eastAsia="宋体" w:cs="宋体"/>
                <w:spacing w:val="9"/>
                <w:sz w:val="20"/>
                <w:szCs w:val="20"/>
              </w:rPr>
              <w:t>A. 拔罐的部位一般不需要消毒，可依据患儿皮肤</w:t>
            </w:r>
            <w:r>
              <w:rPr>
                <w:rFonts w:ascii="宋体" w:hAnsi="宋体" w:eastAsia="宋体" w:cs="宋体"/>
                <w:spacing w:val="2"/>
                <w:sz w:val="20"/>
                <w:szCs w:val="20"/>
              </w:rPr>
              <w:t xml:space="preserve"> </w:t>
            </w:r>
            <w:r>
              <w:rPr>
                <w:rFonts w:ascii="宋体" w:hAnsi="宋体" w:eastAsia="宋体" w:cs="宋体"/>
                <w:spacing w:val="4"/>
                <w:sz w:val="20"/>
                <w:szCs w:val="20"/>
              </w:rPr>
              <w:t>状况，对</w:t>
            </w:r>
            <w:r>
              <w:rPr>
                <w:rFonts w:ascii="宋体" w:hAnsi="宋体" w:eastAsia="宋体" w:cs="宋体"/>
                <w:spacing w:val="-24"/>
                <w:sz w:val="20"/>
                <w:szCs w:val="20"/>
              </w:rPr>
              <w:t xml:space="preserve"> </w:t>
            </w:r>
            <w:r>
              <w:rPr>
                <w:rFonts w:ascii="Times New Roman" w:hAnsi="Times New Roman" w:eastAsia="Times New Roman" w:cs="Times New Roman"/>
                <w:spacing w:val="4"/>
                <w:sz w:val="20"/>
                <w:szCs w:val="20"/>
              </w:rPr>
              <w:t>1-5</w:t>
            </w:r>
            <w:r>
              <w:rPr>
                <w:rFonts w:ascii="Times New Roman" w:hAnsi="Times New Roman" w:eastAsia="Times New Roman" w:cs="Times New Roman"/>
                <w:spacing w:val="20"/>
                <w:w w:val="101"/>
                <w:sz w:val="20"/>
                <w:szCs w:val="20"/>
              </w:rPr>
              <w:t xml:space="preserve"> </w:t>
            </w:r>
            <w:r>
              <w:rPr>
                <w:rFonts w:ascii="宋体" w:hAnsi="宋体" w:eastAsia="宋体" w:cs="宋体"/>
                <w:spacing w:val="4"/>
                <w:sz w:val="20"/>
                <w:szCs w:val="20"/>
              </w:rPr>
              <w:t>岁的患儿在拔罐部位涂抹白凡士林或</w:t>
            </w:r>
            <w:r>
              <w:rPr>
                <w:rFonts w:ascii="宋体" w:hAnsi="宋体" w:eastAsia="宋体" w:cs="宋体"/>
                <w:sz w:val="20"/>
                <w:szCs w:val="20"/>
              </w:rPr>
              <w:tab/>
            </w:r>
            <w:r>
              <w:rPr>
                <w:rFonts w:ascii="宋体" w:hAnsi="宋体" w:eastAsia="宋体" w:cs="宋体"/>
                <w:sz w:val="20"/>
                <w:szCs w:val="20"/>
              </w:rPr>
              <w:t xml:space="preserve"> </w:t>
            </w:r>
            <w:r>
              <w:rPr>
                <w:rFonts w:ascii="宋体" w:hAnsi="宋体" w:eastAsia="宋体" w:cs="宋体"/>
                <w:spacing w:val="3"/>
                <w:sz w:val="20"/>
                <w:szCs w:val="20"/>
              </w:rPr>
              <w:t>石蜡。（出处：全国中医药行业高等教育“十四五</w:t>
            </w:r>
            <w:r>
              <w:rPr>
                <w:rFonts w:ascii="宋体" w:hAnsi="宋体" w:eastAsia="宋体" w:cs="宋体"/>
                <w:spacing w:val="-62"/>
                <w:sz w:val="20"/>
                <w:szCs w:val="20"/>
              </w:rPr>
              <w:t xml:space="preserve"> </w:t>
            </w:r>
            <w:r>
              <w:rPr>
                <w:rFonts w:ascii="宋体" w:hAnsi="宋体" w:eastAsia="宋体" w:cs="宋体"/>
                <w:spacing w:val="3"/>
                <w:sz w:val="20"/>
                <w:szCs w:val="20"/>
              </w:rPr>
              <w:t>”</w:t>
            </w:r>
            <w:r>
              <w:rPr>
                <w:rFonts w:ascii="宋体" w:hAnsi="宋体" w:eastAsia="宋体" w:cs="宋体"/>
                <w:spacing w:val="4"/>
                <w:sz w:val="20"/>
                <w:szCs w:val="20"/>
              </w:rPr>
              <w:t>创新教材《中医拔罐疗法》，主编：陈泽林，中国</w:t>
            </w:r>
            <w:r>
              <w:rPr>
                <w:rFonts w:ascii="宋体" w:hAnsi="宋体" w:eastAsia="宋体" w:cs="宋体"/>
                <w:sz w:val="20"/>
                <w:szCs w:val="20"/>
              </w:rPr>
              <w:tab/>
            </w:r>
            <w:r>
              <w:rPr>
                <w:rFonts w:ascii="宋体" w:hAnsi="宋体" w:eastAsia="宋体" w:cs="宋体"/>
                <w:sz w:val="20"/>
                <w:szCs w:val="20"/>
              </w:rPr>
              <w:t xml:space="preserve"> </w:t>
            </w:r>
            <w:r>
              <w:rPr>
                <w:rFonts w:ascii="宋体" w:hAnsi="宋体" w:eastAsia="宋体" w:cs="宋体"/>
                <w:spacing w:val="3"/>
                <w:sz w:val="20"/>
                <w:szCs w:val="20"/>
              </w:rPr>
              <w:t>中医药出版社，</w:t>
            </w:r>
            <w:r>
              <w:rPr>
                <w:rFonts w:ascii="Times New Roman" w:hAnsi="Times New Roman" w:eastAsia="Times New Roman" w:cs="Times New Roman"/>
                <w:spacing w:val="3"/>
                <w:sz w:val="20"/>
                <w:szCs w:val="20"/>
              </w:rPr>
              <w:t>2023</w:t>
            </w:r>
            <w:r>
              <w:rPr>
                <w:rFonts w:ascii="宋体" w:hAnsi="宋体" w:eastAsia="宋体" w:cs="宋体"/>
                <w:spacing w:val="3"/>
                <w:sz w:val="20"/>
                <w:szCs w:val="20"/>
              </w:rPr>
              <w:t>）</w:t>
            </w:r>
          </w:p>
        </w:tc>
        <w:tc>
          <w:tcPr>
            <w:tcW w:w="661" w:type="dxa"/>
            <w:vAlign w:val="top"/>
          </w:tcPr>
          <w:p w14:paraId="4B749644">
            <w:pPr>
              <w:spacing w:line="276" w:lineRule="auto"/>
              <w:rPr>
                <w:rFonts w:ascii="Arial"/>
                <w:sz w:val="21"/>
              </w:rPr>
            </w:pPr>
          </w:p>
          <w:p w14:paraId="162F9D79">
            <w:pPr>
              <w:spacing w:line="276" w:lineRule="auto"/>
              <w:rPr>
                <w:rFonts w:ascii="Arial"/>
                <w:sz w:val="21"/>
              </w:rPr>
            </w:pPr>
          </w:p>
          <w:p w14:paraId="23A5165B">
            <w:pPr>
              <w:spacing w:line="276" w:lineRule="auto"/>
              <w:rPr>
                <w:rFonts w:ascii="Arial"/>
                <w:sz w:val="21"/>
              </w:rPr>
            </w:pPr>
          </w:p>
          <w:p w14:paraId="176C98FE">
            <w:pPr>
              <w:spacing w:line="276" w:lineRule="auto"/>
              <w:rPr>
                <w:rFonts w:ascii="Arial"/>
                <w:sz w:val="21"/>
              </w:rPr>
            </w:pPr>
          </w:p>
          <w:p w14:paraId="7DCC25DB">
            <w:pPr>
              <w:spacing w:line="276" w:lineRule="auto"/>
              <w:rPr>
                <w:rFonts w:ascii="Arial"/>
                <w:sz w:val="21"/>
              </w:rPr>
            </w:pPr>
          </w:p>
          <w:p w14:paraId="3BC6B4A2">
            <w:pPr>
              <w:spacing w:before="65" w:line="276" w:lineRule="auto"/>
              <w:ind w:left="126"/>
              <w:rPr>
                <w:rFonts w:ascii="宋体" w:hAnsi="宋体" w:eastAsia="宋体" w:cs="宋体"/>
                <w:sz w:val="20"/>
                <w:szCs w:val="20"/>
              </w:rPr>
            </w:pPr>
            <w:r>
              <w:rPr>
                <w:rFonts w:ascii="宋体" w:hAnsi="宋体" w:eastAsia="宋体" w:cs="宋体"/>
                <w:spacing w:val="-7"/>
                <w:position w:val="1"/>
                <w:sz w:val="20"/>
                <w:szCs w:val="20"/>
              </w:rPr>
              <w:t>16</w:t>
            </w:r>
          </w:p>
        </w:tc>
        <w:tc>
          <w:tcPr>
            <w:tcW w:w="981" w:type="dxa"/>
            <w:vAlign w:val="top"/>
          </w:tcPr>
          <w:p w14:paraId="100670EB">
            <w:pPr>
              <w:spacing w:line="276" w:lineRule="auto"/>
              <w:rPr>
                <w:rFonts w:ascii="Arial"/>
                <w:sz w:val="21"/>
              </w:rPr>
            </w:pPr>
          </w:p>
          <w:p w14:paraId="6A2320CD">
            <w:pPr>
              <w:spacing w:line="276" w:lineRule="auto"/>
              <w:rPr>
                <w:rFonts w:ascii="Arial"/>
                <w:sz w:val="21"/>
              </w:rPr>
            </w:pPr>
          </w:p>
          <w:p w14:paraId="09D6DC07">
            <w:pPr>
              <w:spacing w:line="276" w:lineRule="auto"/>
              <w:rPr>
                <w:rFonts w:ascii="Arial"/>
                <w:sz w:val="21"/>
              </w:rPr>
            </w:pPr>
          </w:p>
          <w:p w14:paraId="234FDB0F">
            <w:pPr>
              <w:spacing w:line="276" w:lineRule="auto"/>
              <w:rPr>
                <w:rFonts w:ascii="Arial"/>
                <w:sz w:val="21"/>
              </w:rPr>
            </w:pPr>
          </w:p>
          <w:p w14:paraId="05B5A898">
            <w:pPr>
              <w:spacing w:line="276" w:lineRule="auto"/>
              <w:rPr>
                <w:rFonts w:ascii="Arial"/>
                <w:sz w:val="21"/>
              </w:rPr>
            </w:pPr>
          </w:p>
          <w:p w14:paraId="7CEFD042">
            <w:pPr>
              <w:spacing w:before="65" w:line="276" w:lineRule="auto"/>
              <w:ind w:left="148"/>
              <w:rPr>
                <w:rFonts w:ascii="宋体" w:hAnsi="宋体" w:eastAsia="宋体" w:cs="宋体"/>
                <w:sz w:val="20"/>
                <w:szCs w:val="20"/>
              </w:rPr>
            </w:pPr>
            <w:r>
              <w:rPr>
                <w:rFonts w:ascii="宋体" w:hAnsi="宋体" w:eastAsia="宋体" w:cs="宋体"/>
                <w:spacing w:val="2"/>
                <w:position w:val="1"/>
                <w:sz w:val="20"/>
                <w:szCs w:val="20"/>
              </w:rPr>
              <w:t>53.00%</w:t>
            </w:r>
          </w:p>
        </w:tc>
      </w:tr>
      <w:tr w14:paraId="3D736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4" w:hRule="atLeast"/>
        </w:trPr>
        <w:tc>
          <w:tcPr>
            <w:tcW w:w="668" w:type="dxa"/>
            <w:vAlign w:val="top"/>
          </w:tcPr>
          <w:p w14:paraId="42B0A798">
            <w:pPr>
              <w:spacing w:before="106" w:line="276" w:lineRule="auto"/>
              <w:ind w:left="120"/>
              <w:rPr>
                <w:rFonts w:ascii="宋体" w:hAnsi="宋体" w:eastAsia="宋体" w:cs="宋体"/>
                <w:sz w:val="20"/>
                <w:szCs w:val="20"/>
              </w:rPr>
            </w:pPr>
            <w:r>
              <w:rPr>
                <w:rFonts w:ascii="宋体" w:hAnsi="宋体" w:eastAsia="宋体" w:cs="宋体"/>
                <w:position w:val="1"/>
                <w:sz w:val="20"/>
                <w:szCs w:val="20"/>
              </w:rPr>
              <w:t>5</w:t>
            </w:r>
          </w:p>
        </w:tc>
        <w:tc>
          <w:tcPr>
            <w:tcW w:w="1167" w:type="dxa"/>
            <w:vAlign w:val="top"/>
          </w:tcPr>
          <w:p w14:paraId="4B901A61">
            <w:pPr>
              <w:spacing w:before="106" w:line="276" w:lineRule="auto"/>
              <w:ind w:left="171"/>
              <w:rPr>
                <w:rFonts w:ascii="宋体" w:hAnsi="宋体" w:eastAsia="宋体" w:cs="宋体"/>
                <w:sz w:val="20"/>
                <w:szCs w:val="20"/>
              </w:rPr>
            </w:pPr>
            <w:r>
              <w:rPr>
                <w:rFonts w:ascii="宋体" w:hAnsi="宋体" w:eastAsia="宋体" w:cs="宋体"/>
                <w:spacing w:val="3"/>
                <w:sz w:val="20"/>
                <w:szCs w:val="20"/>
              </w:rPr>
              <w:t>留针拔罐</w:t>
            </w:r>
          </w:p>
        </w:tc>
        <w:tc>
          <w:tcPr>
            <w:tcW w:w="4829" w:type="dxa"/>
            <w:vAlign w:val="top"/>
          </w:tcPr>
          <w:p w14:paraId="36CD50B6">
            <w:pPr>
              <w:spacing w:before="109" w:line="276" w:lineRule="auto"/>
              <w:ind w:left="116" w:right="112" w:hanging="2"/>
              <w:jc w:val="both"/>
              <w:rPr>
                <w:rFonts w:ascii="宋体" w:hAnsi="宋体" w:eastAsia="宋体" w:cs="宋体"/>
                <w:sz w:val="20"/>
                <w:szCs w:val="20"/>
              </w:rPr>
            </w:pPr>
            <w:r>
              <w:rPr>
                <w:rFonts w:ascii="宋体" w:hAnsi="宋体" w:eastAsia="宋体" w:cs="宋体"/>
                <w:spacing w:val="13"/>
                <w:sz w:val="20"/>
                <w:szCs w:val="20"/>
              </w:rPr>
              <w:t>A. 毫针针刺穴位，留针时以针为中心拔罐，留置</w:t>
            </w:r>
            <w:r>
              <w:rPr>
                <w:rFonts w:ascii="宋体" w:hAnsi="宋体" w:eastAsia="宋体" w:cs="宋体"/>
                <w:spacing w:val="8"/>
                <w:sz w:val="20"/>
                <w:szCs w:val="20"/>
              </w:rPr>
              <w:t>后起罐、起针。留置时间参见附录</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B</w:t>
            </w:r>
            <w:r>
              <w:rPr>
                <w:rFonts w:ascii="Times New Roman" w:hAnsi="Times New Roman" w:eastAsia="Times New Roman" w:cs="Times New Roman"/>
                <w:spacing w:val="-19"/>
                <w:sz w:val="20"/>
                <w:szCs w:val="20"/>
              </w:rPr>
              <w:t xml:space="preserve"> </w:t>
            </w:r>
            <w:r>
              <w:rPr>
                <w:rFonts w:ascii="宋体" w:hAnsi="宋体" w:eastAsia="宋体" w:cs="宋体"/>
                <w:spacing w:val="8"/>
                <w:sz w:val="20"/>
                <w:szCs w:val="20"/>
              </w:rPr>
              <w:t>。因小儿不宜</w:t>
            </w:r>
            <w:r>
              <w:rPr>
                <w:rFonts w:ascii="宋体" w:hAnsi="宋体" w:eastAsia="宋体" w:cs="宋体"/>
                <w:spacing w:val="9"/>
                <w:sz w:val="20"/>
                <w:szCs w:val="20"/>
              </w:rPr>
              <w:t>配合，故学龄前患儿不予实施。并应在施术</w:t>
            </w:r>
            <w:r>
              <w:rPr>
                <w:rFonts w:ascii="宋体" w:hAnsi="宋体" w:eastAsia="宋体" w:cs="宋体"/>
                <w:spacing w:val="8"/>
                <w:sz w:val="20"/>
                <w:szCs w:val="20"/>
              </w:rPr>
              <w:t>前与患</w:t>
            </w:r>
            <w:r>
              <w:rPr>
                <w:rFonts w:ascii="宋体" w:hAnsi="宋体" w:eastAsia="宋体" w:cs="宋体"/>
                <w:spacing w:val="9"/>
                <w:sz w:val="20"/>
                <w:szCs w:val="20"/>
              </w:rPr>
              <w:t>儿及家长充分沟通。（出处：中华人民共和</w:t>
            </w:r>
            <w:r>
              <w:rPr>
                <w:rFonts w:ascii="宋体" w:hAnsi="宋体" w:eastAsia="宋体" w:cs="宋体"/>
                <w:spacing w:val="8"/>
                <w:sz w:val="20"/>
                <w:szCs w:val="20"/>
              </w:rPr>
              <w:t>国国家</w:t>
            </w:r>
            <w:r>
              <w:rPr>
                <w:rFonts w:ascii="宋体" w:hAnsi="宋体" w:eastAsia="宋体" w:cs="宋体"/>
                <w:spacing w:val="7"/>
                <w:sz w:val="20"/>
                <w:szCs w:val="20"/>
              </w:rPr>
              <w:t xml:space="preserve">标准 </w:t>
            </w:r>
            <w:r>
              <w:rPr>
                <w:rFonts w:ascii="Times New Roman" w:hAnsi="Times New Roman" w:eastAsia="Times New Roman" w:cs="Times New Roman"/>
                <w:sz w:val="20"/>
                <w:szCs w:val="20"/>
              </w:rPr>
              <w:t>GB</w:t>
            </w:r>
            <w:r>
              <w:rPr>
                <w:rFonts w:ascii="Times New Roman" w:hAnsi="Times New Roman" w:eastAsia="Times New Roman" w:cs="Times New Roman"/>
                <w:spacing w:val="7"/>
                <w:sz w:val="20"/>
                <w:szCs w:val="20"/>
              </w:rPr>
              <w:t xml:space="preserve">/T21709.20--2009 </w:t>
            </w:r>
            <w:r>
              <w:rPr>
                <w:rFonts w:ascii="宋体" w:hAnsi="宋体" w:eastAsia="宋体" w:cs="宋体"/>
                <w:spacing w:val="7"/>
                <w:sz w:val="20"/>
                <w:szCs w:val="20"/>
              </w:rPr>
              <w:t>《针灸</w:t>
            </w:r>
            <w:r>
              <w:rPr>
                <w:rFonts w:ascii="宋体" w:hAnsi="宋体" w:eastAsia="宋体" w:cs="宋体"/>
                <w:spacing w:val="6"/>
                <w:sz w:val="20"/>
                <w:szCs w:val="20"/>
              </w:rPr>
              <w:t>技术操作规范 第</w:t>
            </w:r>
            <w:r>
              <w:rPr>
                <w:rFonts w:ascii="Times New Roman" w:hAnsi="Times New Roman" w:eastAsia="Times New Roman" w:cs="Times New Roman"/>
                <w:spacing w:val="6"/>
                <w:sz w:val="20"/>
                <w:szCs w:val="20"/>
              </w:rPr>
              <w:t xml:space="preserve">20 </w:t>
            </w:r>
            <w:r>
              <w:rPr>
                <w:rFonts w:ascii="宋体" w:hAnsi="宋体" w:eastAsia="宋体" w:cs="宋体"/>
                <w:spacing w:val="6"/>
                <w:sz w:val="20"/>
                <w:szCs w:val="20"/>
              </w:rPr>
              <w:t>部分：毫针基本刺法》）</w:t>
            </w:r>
          </w:p>
        </w:tc>
        <w:tc>
          <w:tcPr>
            <w:tcW w:w="661" w:type="dxa"/>
            <w:vAlign w:val="top"/>
          </w:tcPr>
          <w:p w14:paraId="484EE69B">
            <w:pPr>
              <w:spacing w:before="106" w:line="276" w:lineRule="auto"/>
              <w:ind w:left="113"/>
              <w:rPr>
                <w:rFonts w:ascii="宋体" w:hAnsi="宋体" w:eastAsia="宋体" w:cs="宋体"/>
                <w:sz w:val="20"/>
                <w:szCs w:val="20"/>
              </w:rPr>
            </w:pPr>
            <w:r>
              <w:rPr>
                <w:rFonts w:ascii="宋体" w:hAnsi="宋体" w:eastAsia="宋体" w:cs="宋体"/>
                <w:spacing w:val="-1"/>
                <w:position w:val="1"/>
                <w:sz w:val="20"/>
                <w:szCs w:val="20"/>
              </w:rPr>
              <w:t>24</w:t>
            </w:r>
          </w:p>
        </w:tc>
        <w:tc>
          <w:tcPr>
            <w:tcW w:w="981" w:type="dxa"/>
            <w:vAlign w:val="top"/>
          </w:tcPr>
          <w:p w14:paraId="04ED1499">
            <w:pPr>
              <w:spacing w:before="106" w:line="276" w:lineRule="auto"/>
              <w:ind w:left="145"/>
              <w:rPr>
                <w:rFonts w:ascii="宋体" w:hAnsi="宋体" w:eastAsia="宋体" w:cs="宋体"/>
                <w:sz w:val="20"/>
                <w:szCs w:val="20"/>
              </w:rPr>
            </w:pPr>
            <w:r>
              <w:rPr>
                <w:rFonts w:ascii="宋体" w:hAnsi="宋体" w:eastAsia="宋体" w:cs="宋体"/>
                <w:spacing w:val="2"/>
                <w:position w:val="1"/>
                <w:sz w:val="20"/>
                <w:szCs w:val="20"/>
              </w:rPr>
              <w:t>80%</w:t>
            </w:r>
          </w:p>
        </w:tc>
      </w:tr>
      <w:tr w14:paraId="41D86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8" w:hRule="atLeast"/>
        </w:trPr>
        <w:tc>
          <w:tcPr>
            <w:tcW w:w="668" w:type="dxa"/>
            <w:vAlign w:val="top"/>
          </w:tcPr>
          <w:p w14:paraId="549CA849">
            <w:pPr>
              <w:spacing w:before="112" w:line="276" w:lineRule="auto"/>
              <w:ind w:left="118"/>
              <w:rPr>
                <w:rFonts w:ascii="宋体" w:hAnsi="宋体" w:eastAsia="宋体" w:cs="宋体"/>
                <w:sz w:val="20"/>
                <w:szCs w:val="20"/>
              </w:rPr>
            </w:pPr>
            <w:r>
              <w:rPr>
                <w:rFonts w:ascii="宋体" w:hAnsi="宋体" w:eastAsia="宋体" w:cs="宋体"/>
                <w:position w:val="1"/>
                <w:sz w:val="20"/>
                <w:szCs w:val="20"/>
              </w:rPr>
              <w:t>6</w:t>
            </w:r>
          </w:p>
        </w:tc>
        <w:tc>
          <w:tcPr>
            <w:tcW w:w="1167" w:type="dxa"/>
            <w:vAlign w:val="top"/>
          </w:tcPr>
          <w:p w14:paraId="17F0B2E0">
            <w:pPr>
              <w:spacing w:before="112" w:line="276" w:lineRule="auto"/>
              <w:ind w:left="155"/>
              <w:rPr>
                <w:rFonts w:ascii="宋体" w:hAnsi="宋体" w:eastAsia="宋体" w:cs="宋体"/>
                <w:sz w:val="20"/>
                <w:szCs w:val="20"/>
              </w:rPr>
            </w:pPr>
            <w:r>
              <w:rPr>
                <w:rFonts w:ascii="宋体" w:hAnsi="宋体" w:eastAsia="宋体" w:cs="宋体"/>
                <w:spacing w:val="7"/>
                <w:sz w:val="20"/>
                <w:szCs w:val="20"/>
              </w:rPr>
              <w:t>修改范围</w:t>
            </w:r>
          </w:p>
        </w:tc>
        <w:tc>
          <w:tcPr>
            <w:tcW w:w="4829" w:type="dxa"/>
            <w:vAlign w:val="top"/>
          </w:tcPr>
          <w:p w14:paraId="4A78A21A">
            <w:pPr>
              <w:spacing w:before="112" w:line="276" w:lineRule="auto"/>
              <w:ind w:left="114"/>
              <w:rPr>
                <w:rFonts w:ascii="宋体" w:hAnsi="宋体" w:eastAsia="宋体" w:cs="宋体"/>
                <w:sz w:val="20"/>
                <w:szCs w:val="20"/>
              </w:rPr>
            </w:pPr>
            <w:r>
              <w:rPr>
                <w:rFonts w:ascii="宋体" w:hAnsi="宋体" w:eastAsia="宋体" w:cs="宋体"/>
                <w:spacing w:val="-1"/>
                <w:sz w:val="20"/>
                <w:szCs w:val="20"/>
              </w:rPr>
              <w:t>A.</w:t>
            </w:r>
            <w:r>
              <w:rPr>
                <w:rFonts w:ascii="宋体" w:hAnsi="宋体" w:eastAsia="宋体" w:cs="宋体"/>
                <w:spacing w:val="34"/>
                <w:sz w:val="20"/>
                <w:szCs w:val="20"/>
              </w:rPr>
              <w:t xml:space="preserve"> </w:t>
            </w:r>
            <w:r>
              <w:rPr>
                <w:rFonts w:ascii="宋体" w:hAnsi="宋体" w:eastAsia="宋体" w:cs="宋体"/>
                <w:spacing w:val="-1"/>
                <w:sz w:val="20"/>
                <w:szCs w:val="20"/>
              </w:rPr>
              <w:t>同意。</w:t>
            </w:r>
          </w:p>
        </w:tc>
        <w:tc>
          <w:tcPr>
            <w:tcW w:w="661" w:type="dxa"/>
            <w:vAlign w:val="top"/>
          </w:tcPr>
          <w:p w14:paraId="3FBCBA6F">
            <w:pPr>
              <w:spacing w:before="112" w:line="276" w:lineRule="auto"/>
              <w:ind w:left="115"/>
              <w:rPr>
                <w:rFonts w:ascii="宋体" w:hAnsi="宋体" w:eastAsia="宋体" w:cs="宋体"/>
                <w:sz w:val="20"/>
                <w:szCs w:val="20"/>
              </w:rPr>
            </w:pPr>
            <w:r>
              <w:rPr>
                <w:rFonts w:ascii="宋体" w:hAnsi="宋体" w:eastAsia="宋体" w:cs="宋体"/>
                <w:spacing w:val="-2"/>
                <w:position w:val="1"/>
                <w:sz w:val="20"/>
                <w:szCs w:val="20"/>
              </w:rPr>
              <w:t>30</w:t>
            </w:r>
          </w:p>
        </w:tc>
        <w:tc>
          <w:tcPr>
            <w:tcW w:w="981" w:type="dxa"/>
            <w:vAlign w:val="top"/>
          </w:tcPr>
          <w:p w14:paraId="283B49FD">
            <w:pPr>
              <w:spacing w:before="112" w:line="276" w:lineRule="auto"/>
              <w:ind w:left="160"/>
              <w:rPr>
                <w:rFonts w:ascii="宋体" w:hAnsi="宋体" w:eastAsia="宋体" w:cs="宋体"/>
                <w:sz w:val="20"/>
                <w:szCs w:val="20"/>
              </w:rPr>
            </w:pPr>
            <w:r>
              <w:rPr>
                <w:rFonts w:ascii="宋体" w:hAnsi="宋体" w:eastAsia="宋体" w:cs="宋体"/>
                <w:spacing w:val="-2"/>
                <w:position w:val="1"/>
                <w:sz w:val="20"/>
                <w:szCs w:val="20"/>
              </w:rPr>
              <w:t>100%</w:t>
            </w:r>
          </w:p>
        </w:tc>
      </w:tr>
      <w:tr w14:paraId="4D347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7" w:hRule="atLeast"/>
        </w:trPr>
        <w:tc>
          <w:tcPr>
            <w:tcW w:w="668" w:type="dxa"/>
            <w:vAlign w:val="top"/>
          </w:tcPr>
          <w:p w14:paraId="4C06F03D">
            <w:pPr>
              <w:spacing w:before="115" w:line="276" w:lineRule="auto"/>
              <w:ind w:left="121"/>
              <w:rPr>
                <w:rFonts w:ascii="宋体" w:hAnsi="宋体" w:eastAsia="宋体" w:cs="宋体"/>
                <w:sz w:val="20"/>
                <w:szCs w:val="20"/>
              </w:rPr>
            </w:pPr>
            <w:r>
              <w:rPr>
                <w:rFonts w:ascii="宋体" w:hAnsi="宋体" w:eastAsia="宋体" w:cs="宋体"/>
                <w:position w:val="1"/>
                <w:sz w:val="20"/>
                <w:szCs w:val="20"/>
              </w:rPr>
              <w:t>7</w:t>
            </w:r>
          </w:p>
        </w:tc>
        <w:tc>
          <w:tcPr>
            <w:tcW w:w="1167" w:type="dxa"/>
            <w:vAlign w:val="top"/>
          </w:tcPr>
          <w:p w14:paraId="14E7365A">
            <w:pPr>
              <w:spacing w:before="115" w:line="276" w:lineRule="auto"/>
              <w:ind w:left="155"/>
              <w:rPr>
                <w:rFonts w:ascii="宋体" w:hAnsi="宋体" w:eastAsia="宋体" w:cs="宋体"/>
                <w:sz w:val="20"/>
                <w:szCs w:val="20"/>
              </w:rPr>
            </w:pPr>
            <w:r>
              <w:rPr>
                <w:rFonts w:ascii="宋体" w:hAnsi="宋体" w:eastAsia="宋体" w:cs="宋体"/>
                <w:spacing w:val="9"/>
                <w:sz w:val="20"/>
                <w:szCs w:val="20"/>
              </w:rPr>
              <w:t>修改</w:t>
            </w:r>
            <w:r>
              <w:rPr>
                <w:rFonts w:ascii="宋体" w:hAnsi="宋体" w:eastAsia="宋体" w:cs="宋体"/>
                <w:spacing w:val="-63"/>
                <w:sz w:val="20"/>
                <w:szCs w:val="20"/>
              </w:rPr>
              <w:t xml:space="preserve"> </w:t>
            </w:r>
            <w:r>
              <w:rPr>
                <w:rFonts w:ascii="宋体" w:hAnsi="宋体" w:eastAsia="宋体" w:cs="宋体"/>
                <w:spacing w:val="9"/>
                <w:sz w:val="20"/>
                <w:szCs w:val="20"/>
              </w:rPr>
              <w:t>“</w:t>
            </w:r>
            <w:r>
              <w:rPr>
                <w:rFonts w:ascii="宋体" w:hAnsi="宋体" w:eastAsia="宋体" w:cs="宋体"/>
                <w:spacing w:val="-65"/>
                <w:sz w:val="20"/>
                <w:szCs w:val="20"/>
              </w:rPr>
              <w:t xml:space="preserve"> </w:t>
            </w:r>
            <w:r>
              <w:rPr>
                <w:rFonts w:ascii="宋体" w:hAnsi="宋体" w:eastAsia="宋体" w:cs="宋体"/>
                <w:spacing w:val="9"/>
                <w:sz w:val="20"/>
                <w:szCs w:val="20"/>
              </w:rPr>
              <w:t>规</w:t>
            </w:r>
          </w:p>
          <w:p w14:paraId="5B7028C0">
            <w:pPr>
              <w:spacing w:before="155" w:line="276" w:lineRule="auto"/>
              <w:ind w:left="157" w:right="105" w:firstLine="3"/>
              <w:rPr>
                <w:rFonts w:ascii="宋体" w:hAnsi="宋体" w:eastAsia="宋体" w:cs="宋体"/>
                <w:sz w:val="20"/>
                <w:szCs w:val="20"/>
              </w:rPr>
            </w:pPr>
            <w:r>
              <w:rPr>
                <w:rFonts w:ascii="宋体" w:hAnsi="宋体" w:eastAsia="宋体" w:cs="宋体"/>
                <w:spacing w:val="25"/>
                <w:sz w:val="20"/>
                <w:szCs w:val="20"/>
              </w:rPr>
              <w:t>范性引用</w:t>
            </w:r>
            <w:r>
              <w:rPr>
                <w:rFonts w:ascii="宋体" w:hAnsi="宋体" w:eastAsia="宋体" w:cs="宋体"/>
                <w:spacing w:val="29"/>
                <w:sz w:val="20"/>
                <w:szCs w:val="20"/>
              </w:rPr>
              <w:t>文件</w:t>
            </w:r>
            <w:r>
              <w:rPr>
                <w:rFonts w:ascii="宋体" w:hAnsi="宋体" w:eastAsia="宋体" w:cs="宋体"/>
                <w:spacing w:val="-69"/>
                <w:sz w:val="20"/>
                <w:szCs w:val="20"/>
              </w:rPr>
              <w:t xml:space="preserve"> </w:t>
            </w:r>
            <w:r>
              <w:rPr>
                <w:rFonts w:ascii="宋体" w:hAnsi="宋体" w:eastAsia="宋体" w:cs="宋体"/>
                <w:spacing w:val="29"/>
                <w:sz w:val="20"/>
                <w:szCs w:val="20"/>
              </w:rPr>
              <w:t>”</w:t>
            </w:r>
          </w:p>
        </w:tc>
        <w:tc>
          <w:tcPr>
            <w:tcW w:w="4829" w:type="dxa"/>
            <w:vAlign w:val="top"/>
          </w:tcPr>
          <w:p w14:paraId="39B9AA6C">
            <w:pPr>
              <w:spacing w:before="115" w:line="276" w:lineRule="auto"/>
              <w:ind w:left="114"/>
              <w:rPr>
                <w:rFonts w:ascii="宋体" w:hAnsi="宋体" w:eastAsia="宋体" w:cs="宋体"/>
                <w:sz w:val="20"/>
                <w:szCs w:val="20"/>
              </w:rPr>
            </w:pPr>
            <w:r>
              <w:rPr>
                <w:rFonts w:ascii="宋体" w:hAnsi="宋体" w:eastAsia="宋体" w:cs="宋体"/>
                <w:spacing w:val="-1"/>
                <w:sz w:val="20"/>
                <w:szCs w:val="20"/>
              </w:rPr>
              <w:t>A.</w:t>
            </w:r>
            <w:r>
              <w:rPr>
                <w:rFonts w:ascii="宋体" w:hAnsi="宋体" w:eastAsia="宋体" w:cs="宋体"/>
                <w:spacing w:val="34"/>
                <w:sz w:val="20"/>
                <w:szCs w:val="20"/>
              </w:rPr>
              <w:t xml:space="preserve"> </w:t>
            </w:r>
            <w:r>
              <w:rPr>
                <w:rFonts w:ascii="宋体" w:hAnsi="宋体" w:eastAsia="宋体" w:cs="宋体"/>
                <w:spacing w:val="-1"/>
                <w:sz w:val="20"/>
                <w:szCs w:val="20"/>
              </w:rPr>
              <w:t>同意。</w:t>
            </w:r>
          </w:p>
        </w:tc>
        <w:tc>
          <w:tcPr>
            <w:tcW w:w="661" w:type="dxa"/>
            <w:vAlign w:val="top"/>
          </w:tcPr>
          <w:p w14:paraId="478C51B0">
            <w:pPr>
              <w:spacing w:before="115" w:line="276" w:lineRule="auto"/>
              <w:ind w:left="115"/>
              <w:rPr>
                <w:rFonts w:ascii="宋体" w:hAnsi="宋体" w:eastAsia="宋体" w:cs="宋体"/>
                <w:sz w:val="20"/>
                <w:szCs w:val="20"/>
              </w:rPr>
            </w:pPr>
            <w:r>
              <w:rPr>
                <w:rFonts w:ascii="宋体" w:hAnsi="宋体" w:eastAsia="宋体" w:cs="宋体"/>
                <w:spacing w:val="-2"/>
                <w:position w:val="1"/>
                <w:sz w:val="20"/>
                <w:szCs w:val="20"/>
              </w:rPr>
              <w:t>30</w:t>
            </w:r>
          </w:p>
        </w:tc>
        <w:tc>
          <w:tcPr>
            <w:tcW w:w="981" w:type="dxa"/>
            <w:vAlign w:val="top"/>
          </w:tcPr>
          <w:p w14:paraId="7618FA08">
            <w:pPr>
              <w:spacing w:before="115" w:line="276" w:lineRule="auto"/>
              <w:ind w:left="160"/>
              <w:rPr>
                <w:rFonts w:ascii="宋体" w:hAnsi="宋体" w:eastAsia="宋体" w:cs="宋体"/>
                <w:sz w:val="20"/>
                <w:szCs w:val="20"/>
              </w:rPr>
            </w:pPr>
            <w:r>
              <w:rPr>
                <w:rFonts w:ascii="宋体" w:hAnsi="宋体" w:eastAsia="宋体" w:cs="宋体"/>
                <w:spacing w:val="-2"/>
                <w:position w:val="1"/>
                <w:sz w:val="20"/>
                <w:szCs w:val="20"/>
              </w:rPr>
              <w:t>100%</w:t>
            </w:r>
          </w:p>
        </w:tc>
      </w:tr>
      <w:tr w14:paraId="7F6A9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8" w:hRule="atLeast"/>
        </w:trPr>
        <w:tc>
          <w:tcPr>
            <w:tcW w:w="668" w:type="dxa"/>
            <w:vAlign w:val="top"/>
          </w:tcPr>
          <w:p w14:paraId="5EEA78CE">
            <w:pPr>
              <w:spacing w:before="118" w:line="276" w:lineRule="auto"/>
              <w:ind w:left="117"/>
              <w:rPr>
                <w:rFonts w:ascii="宋体" w:hAnsi="宋体" w:eastAsia="宋体" w:cs="宋体"/>
                <w:sz w:val="20"/>
                <w:szCs w:val="20"/>
              </w:rPr>
            </w:pPr>
            <w:r>
              <w:rPr>
                <w:rFonts w:ascii="宋体" w:hAnsi="宋体" w:eastAsia="宋体" w:cs="宋体"/>
                <w:position w:val="1"/>
                <w:sz w:val="20"/>
                <w:szCs w:val="20"/>
              </w:rPr>
              <w:t>8</w:t>
            </w:r>
          </w:p>
        </w:tc>
        <w:tc>
          <w:tcPr>
            <w:tcW w:w="1167" w:type="dxa"/>
            <w:vAlign w:val="top"/>
          </w:tcPr>
          <w:p w14:paraId="6E46F09C">
            <w:pPr>
              <w:spacing w:before="118" w:line="276" w:lineRule="auto"/>
              <w:ind w:left="158" w:right="105" w:hanging="3"/>
              <w:rPr>
                <w:rFonts w:ascii="宋体" w:hAnsi="宋体" w:eastAsia="宋体" w:cs="宋体"/>
                <w:sz w:val="20"/>
                <w:szCs w:val="20"/>
              </w:rPr>
            </w:pPr>
            <w:r>
              <w:rPr>
                <w:rFonts w:ascii="宋体" w:hAnsi="宋体" w:eastAsia="宋体" w:cs="宋体"/>
                <w:spacing w:val="27"/>
                <w:sz w:val="20"/>
                <w:szCs w:val="20"/>
              </w:rPr>
              <w:t>修改增加</w:t>
            </w:r>
            <w:r>
              <w:rPr>
                <w:rFonts w:ascii="宋体" w:hAnsi="宋体" w:eastAsia="宋体" w:cs="宋体"/>
                <w:sz w:val="20"/>
                <w:szCs w:val="20"/>
              </w:rPr>
              <w:t>项</w:t>
            </w:r>
          </w:p>
        </w:tc>
        <w:tc>
          <w:tcPr>
            <w:tcW w:w="4829" w:type="dxa"/>
            <w:vAlign w:val="top"/>
          </w:tcPr>
          <w:p w14:paraId="3323BF9E">
            <w:pPr>
              <w:spacing w:before="118" w:line="276" w:lineRule="auto"/>
              <w:ind w:left="114"/>
              <w:rPr>
                <w:rFonts w:ascii="宋体" w:hAnsi="宋体" w:eastAsia="宋体" w:cs="宋体"/>
                <w:sz w:val="20"/>
                <w:szCs w:val="20"/>
              </w:rPr>
            </w:pPr>
            <w:r>
              <w:rPr>
                <w:rFonts w:ascii="宋体" w:hAnsi="宋体" w:eastAsia="宋体" w:cs="宋体"/>
                <w:spacing w:val="4"/>
                <w:sz w:val="20"/>
                <w:szCs w:val="20"/>
              </w:rPr>
              <w:t>A.同意。</w:t>
            </w:r>
          </w:p>
        </w:tc>
        <w:tc>
          <w:tcPr>
            <w:tcW w:w="661" w:type="dxa"/>
            <w:vAlign w:val="top"/>
          </w:tcPr>
          <w:p w14:paraId="1F2A5E1E">
            <w:pPr>
              <w:spacing w:before="118" w:line="276" w:lineRule="auto"/>
              <w:ind w:left="115"/>
              <w:rPr>
                <w:rFonts w:ascii="宋体" w:hAnsi="宋体" w:eastAsia="宋体" w:cs="宋体"/>
                <w:sz w:val="20"/>
                <w:szCs w:val="20"/>
              </w:rPr>
            </w:pPr>
            <w:r>
              <w:rPr>
                <w:rFonts w:ascii="宋体" w:hAnsi="宋体" w:eastAsia="宋体" w:cs="宋体"/>
                <w:spacing w:val="-2"/>
                <w:position w:val="1"/>
                <w:sz w:val="20"/>
                <w:szCs w:val="20"/>
              </w:rPr>
              <w:t>30</w:t>
            </w:r>
          </w:p>
        </w:tc>
        <w:tc>
          <w:tcPr>
            <w:tcW w:w="981" w:type="dxa"/>
            <w:vAlign w:val="top"/>
          </w:tcPr>
          <w:p w14:paraId="4BB32523">
            <w:pPr>
              <w:spacing w:before="118" w:line="276" w:lineRule="auto"/>
              <w:ind w:left="160"/>
              <w:rPr>
                <w:rFonts w:ascii="宋体" w:hAnsi="宋体" w:eastAsia="宋体" w:cs="宋体"/>
                <w:sz w:val="20"/>
                <w:szCs w:val="20"/>
              </w:rPr>
            </w:pPr>
            <w:r>
              <w:rPr>
                <w:rFonts w:ascii="宋体" w:hAnsi="宋体" w:eastAsia="宋体" w:cs="宋体"/>
                <w:spacing w:val="-2"/>
                <w:position w:val="1"/>
                <w:sz w:val="20"/>
                <w:szCs w:val="20"/>
              </w:rPr>
              <w:t>100%</w:t>
            </w:r>
          </w:p>
        </w:tc>
      </w:tr>
      <w:tr w14:paraId="4653A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3" w:hRule="atLeast"/>
        </w:trPr>
        <w:tc>
          <w:tcPr>
            <w:tcW w:w="668" w:type="dxa"/>
            <w:vAlign w:val="top"/>
          </w:tcPr>
          <w:p w14:paraId="0A6E7E27">
            <w:pPr>
              <w:spacing w:before="119" w:line="276" w:lineRule="auto"/>
              <w:ind w:left="117"/>
              <w:rPr>
                <w:rFonts w:ascii="宋体" w:hAnsi="宋体" w:eastAsia="宋体" w:cs="宋体"/>
                <w:sz w:val="20"/>
                <w:szCs w:val="20"/>
              </w:rPr>
            </w:pPr>
            <w:r>
              <w:rPr>
                <w:rFonts w:ascii="宋体" w:hAnsi="宋体" w:eastAsia="宋体" w:cs="宋体"/>
                <w:position w:val="1"/>
                <w:sz w:val="20"/>
                <w:szCs w:val="20"/>
              </w:rPr>
              <w:t>9</w:t>
            </w:r>
          </w:p>
        </w:tc>
        <w:tc>
          <w:tcPr>
            <w:tcW w:w="1167" w:type="dxa"/>
            <w:vAlign w:val="top"/>
          </w:tcPr>
          <w:p w14:paraId="1B8C4C76">
            <w:pPr>
              <w:spacing w:before="120" w:line="276" w:lineRule="auto"/>
              <w:ind w:left="156" w:right="105" w:hanging="1"/>
              <w:rPr>
                <w:rFonts w:ascii="宋体" w:hAnsi="宋体" w:eastAsia="宋体" w:cs="宋体"/>
                <w:sz w:val="20"/>
                <w:szCs w:val="20"/>
              </w:rPr>
            </w:pPr>
            <w:r>
              <w:rPr>
                <w:rFonts w:ascii="宋体" w:hAnsi="宋体" w:eastAsia="宋体" w:cs="宋体"/>
                <w:spacing w:val="27"/>
                <w:sz w:val="20"/>
                <w:szCs w:val="20"/>
              </w:rPr>
              <w:t>修改参考</w:t>
            </w:r>
            <w:r>
              <w:rPr>
                <w:rFonts w:ascii="宋体" w:hAnsi="宋体" w:eastAsia="宋体" w:cs="宋体"/>
                <w:spacing w:val="3"/>
                <w:sz w:val="20"/>
                <w:szCs w:val="20"/>
              </w:rPr>
              <w:t>文献</w:t>
            </w:r>
          </w:p>
        </w:tc>
        <w:tc>
          <w:tcPr>
            <w:tcW w:w="4829" w:type="dxa"/>
            <w:vAlign w:val="top"/>
          </w:tcPr>
          <w:p w14:paraId="4EFDB0C0">
            <w:pPr>
              <w:spacing w:before="119" w:line="276" w:lineRule="auto"/>
              <w:ind w:left="114"/>
              <w:rPr>
                <w:rFonts w:ascii="宋体" w:hAnsi="宋体" w:eastAsia="宋体" w:cs="宋体"/>
                <w:sz w:val="20"/>
                <w:szCs w:val="20"/>
              </w:rPr>
            </w:pPr>
            <w:r>
              <w:rPr>
                <w:rFonts w:ascii="宋体" w:hAnsi="宋体" w:eastAsia="宋体" w:cs="宋体"/>
                <w:spacing w:val="4"/>
                <w:sz w:val="20"/>
                <w:szCs w:val="20"/>
              </w:rPr>
              <w:t>A.同意。</w:t>
            </w:r>
          </w:p>
        </w:tc>
        <w:tc>
          <w:tcPr>
            <w:tcW w:w="661" w:type="dxa"/>
            <w:vAlign w:val="top"/>
          </w:tcPr>
          <w:p w14:paraId="1235AD52">
            <w:pPr>
              <w:spacing w:before="119" w:line="276" w:lineRule="auto"/>
              <w:ind w:left="115"/>
              <w:rPr>
                <w:rFonts w:ascii="宋体" w:hAnsi="宋体" w:eastAsia="宋体" w:cs="宋体"/>
                <w:sz w:val="20"/>
                <w:szCs w:val="20"/>
              </w:rPr>
            </w:pPr>
            <w:r>
              <w:rPr>
                <w:rFonts w:ascii="宋体" w:hAnsi="宋体" w:eastAsia="宋体" w:cs="宋体"/>
                <w:spacing w:val="-2"/>
                <w:position w:val="1"/>
                <w:sz w:val="20"/>
                <w:szCs w:val="20"/>
              </w:rPr>
              <w:t>30</w:t>
            </w:r>
          </w:p>
        </w:tc>
        <w:tc>
          <w:tcPr>
            <w:tcW w:w="981" w:type="dxa"/>
            <w:vAlign w:val="top"/>
          </w:tcPr>
          <w:p w14:paraId="6669E631">
            <w:pPr>
              <w:spacing w:before="119" w:line="276" w:lineRule="auto"/>
              <w:ind w:left="160"/>
              <w:rPr>
                <w:rFonts w:ascii="宋体" w:hAnsi="宋体" w:eastAsia="宋体" w:cs="宋体"/>
                <w:sz w:val="20"/>
                <w:szCs w:val="20"/>
              </w:rPr>
            </w:pPr>
            <w:r>
              <w:rPr>
                <w:rFonts w:ascii="宋体" w:hAnsi="宋体" w:eastAsia="宋体" w:cs="宋体"/>
                <w:spacing w:val="-2"/>
                <w:position w:val="1"/>
                <w:sz w:val="20"/>
                <w:szCs w:val="20"/>
              </w:rPr>
              <w:t>100%</w:t>
            </w:r>
          </w:p>
        </w:tc>
      </w:tr>
    </w:tbl>
    <w:p w14:paraId="51566087">
      <w:pPr>
        <w:pStyle w:val="3"/>
        <w:spacing w:line="276" w:lineRule="auto"/>
        <w:rPr>
          <w:sz w:val="14"/>
        </w:rPr>
      </w:pPr>
    </w:p>
    <w:p w14:paraId="55E13915">
      <w:pPr>
        <w:spacing w:before="141" w:line="276" w:lineRule="auto"/>
        <w:ind w:left="118" w:right="70" w:firstLine="418"/>
        <w:jc w:val="both"/>
        <w:rPr>
          <w:rFonts w:ascii="宋体" w:hAnsi="宋体" w:eastAsia="宋体" w:cs="宋体"/>
          <w:sz w:val="20"/>
          <w:szCs w:val="20"/>
        </w:rPr>
      </w:pPr>
      <w:r>
        <w:rPr>
          <w:rFonts w:ascii="宋体" w:hAnsi="宋体" w:eastAsia="宋体" w:cs="宋体"/>
          <w:spacing w:val="6"/>
          <w:sz w:val="20"/>
          <w:szCs w:val="20"/>
        </w:rPr>
        <w:t>根据统计结果，共有9项内容超过50%专家支持，根据“</w:t>
      </w:r>
      <w:r>
        <w:rPr>
          <w:rFonts w:ascii="宋体" w:hAnsi="宋体" w:eastAsia="宋体" w:cs="宋体"/>
          <w:spacing w:val="-74"/>
          <w:sz w:val="20"/>
          <w:szCs w:val="20"/>
        </w:rPr>
        <w:t xml:space="preserve"> </w:t>
      </w:r>
      <w:r>
        <w:rPr>
          <w:rFonts w:ascii="宋体" w:hAnsi="宋体" w:eastAsia="宋体" w:cs="宋体"/>
          <w:spacing w:val="6"/>
          <w:sz w:val="20"/>
          <w:szCs w:val="20"/>
        </w:rPr>
        <w:t>1.2统</w:t>
      </w:r>
      <w:r>
        <w:rPr>
          <w:rFonts w:ascii="宋体" w:hAnsi="宋体" w:eastAsia="宋体" w:cs="宋体"/>
          <w:spacing w:val="5"/>
          <w:sz w:val="20"/>
          <w:szCs w:val="20"/>
        </w:rPr>
        <w:t>计结果处理方案</w:t>
      </w:r>
      <w:r>
        <w:rPr>
          <w:rFonts w:ascii="宋体" w:hAnsi="宋体" w:eastAsia="宋体" w:cs="宋体"/>
          <w:spacing w:val="-70"/>
          <w:sz w:val="20"/>
          <w:szCs w:val="20"/>
        </w:rPr>
        <w:t xml:space="preserve"> </w:t>
      </w:r>
      <w:r>
        <w:rPr>
          <w:rFonts w:ascii="宋体" w:hAnsi="宋体" w:eastAsia="宋体" w:cs="宋体"/>
          <w:spacing w:val="5"/>
          <w:sz w:val="20"/>
          <w:szCs w:val="20"/>
        </w:rPr>
        <w:t>”，将上表9条内容列</w:t>
      </w:r>
      <w:r>
        <w:rPr>
          <w:rFonts w:ascii="宋体" w:hAnsi="宋体" w:eastAsia="宋体" w:cs="宋体"/>
          <w:spacing w:val="7"/>
          <w:sz w:val="20"/>
          <w:szCs w:val="20"/>
        </w:rPr>
        <w:t>为“直接修改意见</w:t>
      </w:r>
      <w:r>
        <w:rPr>
          <w:rFonts w:ascii="宋体" w:hAnsi="宋体" w:eastAsia="宋体" w:cs="宋体"/>
          <w:spacing w:val="-70"/>
          <w:sz w:val="20"/>
          <w:szCs w:val="20"/>
        </w:rPr>
        <w:t xml:space="preserve"> </w:t>
      </w:r>
      <w:r>
        <w:rPr>
          <w:rFonts w:ascii="宋体" w:hAnsi="宋体" w:eastAsia="宋体" w:cs="宋体"/>
          <w:spacing w:val="7"/>
          <w:sz w:val="20"/>
          <w:szCs w:val="20"/>
        </w:rPr>
        <w:t>”条目。这些条目多集中于：术语定义、某些操作步骤、新增或修改条</w:t>
      </w:r>
      <w:r>
        <w:rPr>
          <w:rFonts w:ascii="宋体" w:hAnsi="宋体" w:eastAsia="宋体" w:cs="宋体"/>
          <w:spacing w:val="6"/>
          <w:sz w:val="20"/>
          <w:szCs w:val="20"/>
        </w:rPr>
        <w:t>目，这表明专</w:t>
      </w:r>
      <w:r>
        <w:rPr>
          <w:rFonts w:ascii="宋体" w:hAnsi="宋体" w:eastAsia="宋体" w:cs="宋体"/>
          <w:spacing w:val="8"/>
          <w:sz w:val="20"/>
          <w:szCs w:val="20"/>
        </w:rPr>
        <w:t>家对上述内容已有较强共识。根据最高支持选项对原条目进行</w:t>
      </w:r>
      <w:r>
        <w:rPr>
          <w:rFonts w:ascii="宋体" w:hAnsi="宋体" w:eastAsia="宋体" w:cs="宋体"/>
          <w:spacing w:val="7"/>
          <w:sz w:val="20"/>
          <w:szCs w:val="20"/>
        </w:rPr>
        <w:t>修改，另外针对部分条目进行专家意见汇</w:t>
      </w:r>
      <w:r>
        <w:rPr>
          <w:rFonts w:ascii="宋体" w:hAnsi="宋体" w:eastAsia="宋体" w:cs="宋体"/>
          <w:spacing w:val="-1"/>
          <w:sz w:val="20"/>
          <w:szCs w:val="20"/>
        </w:rPr>
        <w:t>总。</w:t>
      </w:r>
    </w:p>
    <w:p w14:paraId="4863D82B">
      <w:pPr>
        <w:spacing w:before="7" w:line="276" w:lineRule="auto"/>
        <w:ind w:left="114" w:firstLine="421"/>
        <w:jc w:val="both"/>
        <w:rPr>
          <w:rFonts w:ascii="宋体" w:hAnsi="宋体" w:eastAsia="宋体" w:cs="宋体"/>
          <w:sz w:val="20"/>
          <w:szCs w:val="20"/>
        </w:rPr>
      </w:pPr>
      <w:r>
        <w:rPr>
          <w:rFonts w:ascii="宋体" w:hAnsi="宋体" w:eastAsia="宋体" w:cs="宋体"/>
          <w:spacing w:val="10"/>
          <w:sz w:val="20"/>
          <w:szCs w:val="20"/>
        </w:rPr>
        <w:t>汇总专家意见如下</w:t>
      </w:r>
      <w:r>
        <w:rPr>
          <w:rFonts w:ascii="宋体" w:hAnsi="宋体" w:eastAsia="宋体" w:cs="宋体"/>
          <w:spacing w:val="-6"/>
          <w:sz w:val="20"/>
          <w:szCs w:val="20"/>
        </w:rPr>
        <w:t>：（</w:t>
      </w:r>
      <w:r>
        <w:rPr>
          <w:rFonts w:ascii="宋体" w:hAnsi="宋体" w:eastAsia="宋体" w:cs="宋体"/>
          <w:spacing w:val="10"/>
          <w:sz w:val="20"/>
          <w:szCs w:val="20"/>
        </w:rPr>
        <w:t>1）针对罐具型号的选择，有专家建议注明“玻璃罐具</w:t>
      </w:r>
      <w:r>
        <w:rPr>
          <w:rFonts w:ascii="宋体" w:hAnsi="宋体" w:eastAsia="宋体" w:cs="宋体"/>
          <w:spacing w:val="-71"/>
          <w:sz w:val="20"/>
          <w:szCs w:val="20"/>
        </w:rPr>
        <w:t xml:space="preserve"> </w:t>
      </w:r>
      <w:r>
        <w:rPr>
          <w:rFonts w:ascii="宋体" w:hAnsi="宋体" w:eastAsia="宋体" w:cs="宋体"/>
          <w:spacing w:val="10"/>
          <w:sz w:val="20"/>
          <w:szCs w:val="20"/>
        </w:rPr>
        <w:t>”因其</w:t>
      </w:r>
      <w:r>
        <w:rPr>
          <w:rFonts w:ascii="宋体" w:hAnsi="宋体" w:eastAsia="宋体" w:cs="宋体"/>
          <w:spacing w:val="9"/>
          <w:sz w:val="20"/>
          <w:szCs w:val="20"/>
        </w:rPr>
        <w:t>他罐具未有标</w:t>
      </w:r>
      <w:r>
        <w:rPr>
          <w:rFonts w:ascii="宋体" w:hAnsi="宋体" w:eastAsia="宋体" w:cs="宋体"/>
          <w:spacing w:val="6"/>
          <w:sz w:val="20"/>
          <w:szCs w:val="20"/>
        </w:rPr>
        <w:t>准型号；一位建议用“</w:t>
      </w:r>
      <w:r>
        <w:rPr>
          <w:rFonts w:ascii="宋体" w:hAnsi="宋体" w:eastAsia="宋体" w:cs="宋体"/>
          <w:spacing w:val="-54"/>
          <w:sz w:val="20"/>
          <w:szCs w:val="20"/>
        </w:rPr>
        <w:t xml:space="preserve"> </w:t>
      </w:r>
      <w:r>
        <w:rPr>
          <w:rFonts w:ascii="宋体" w:hAnsi="宋体" w:eastAsia="宋体" w:cs="宋体"/>
          <w:spacing w:val="6"/>
          <w:sz w:val="20"/>
          <w:szCs w:val="20"/>
        </w:rPr>
        <w:t>内径大小标注</w:t>
      </w:r>
      <w:r>
        <w:rPr>
          <w:rFonts w:ascii="宋体" w:hAnsi="宋体" w:eastAsia="宋体" w:cs="宋体"/>
          <w:spacing w:val="-24"/>
          <w:sz w:val="20"/>
          <w:szCs w:val="20"/>
        </w:rPr>
        <w:t xml:space="preserve"> </w:t>
      </w:r>
      <w:r>
        <w:rPr>
          <w:rFonts w:ascii="宋体" w:hAnsi="宋体" w:eastAsia="宋体" w:cs="宋体"/>
          <w:spacing w:val="6"/>
          <w:sz w:val="20"/>
          <w:szCs w:val="20"/>
        </w:rPr>
        <w:t>1-5</w:t>
      </w:r>
      <w:r>
        <w:rPr>
          <w:rFonts w:ascii="宋体" w:hAnsi="宋体" w:eastAsia="宋体" w:cs="宋体"/>
          <w:spacing w:val="-35"/>
          <w:sz w:val="20"/>
          <w:szCs w:val="20"/>
        </w:rPr>
        <w:t xml:space="preserve"> </w:t>
      </w:r>
      <w:r>
        <w:rPr>
          <w:rFonts w:ascii="宋体" w:hAnsi="宋体" w:eastAsia="宋体" w:cs="宋体"/>
          <w:spacing w:val="6"/>
          <w:sz w:val="20"/>
          <w:szCs w:val="20"/>
        </w:rPr>
        <w:t>号罐。2</w:t>
      </w:r>
      <w:r>
        <w:rPr>
          <w:rFonts w:ascii="宋体" w:hAnsi="宋体" w:eastAsia="宋体" w:cs="宋体"/>
          <w:spacing w:val="-33"/>
          <w:sz w:val="20"/>
          <w:szCs w:val="20"/>
        </w:rPr>
        <w:t xml:space="preserve"> </w:t>
      </w:r>
      <w:r>
        <w:rPr>
          <w:rFonts w:ascii="宋体" w:hAnsi="宋体" w:eastAsia="宋体" w:cs="宋体"/>
          <w:spacing w:val="6"/>
          <w:sz w:val="20"/>
          <w:szCs w:val="20"/>
        </w:rPr>
        <w:t>号罐内径</w:t>
      </w:r>
      <w:r>
        <w:rPr>
          <w:rFonts w:ascii="宋体" w:hAnsi="宋体" w:eastAsia="宋体" w:cs="宋体"/>
          <w:spacing w:val="-40"/>
          <w:sz w:val="20"/>
          <w:szCs w:val="20"/>
        </w:rPr>
        <w:t xml:space="preserve"> </w:t>
      </w:r>
      <w:r>
        <w:rPr>
          <w:rFonts w:ascii="宋体" w:hAnsi="宋体" w:eastAsia="宋体" w:cs="宋体"/>
          <w:spacing w:val="6"/>
          <w:sz w:val="20"/>
          <w:szCs w:val="20"/>
        </w:rPr>
        <w:t>4</w:t>
      </w:r>
      <w:r>
        <w:rPr>
          <w:rFonts w:ascii="宋体" w:hAnsi="宋体" w:eastAsia="宋体" w:cs="宋体"/>
          <w:sz w:val="20"/>
          <w:szCs w:val="20"/>
        </w:rPr>
        <w:t>cm</w:t>
      </w:r>
      <w:r>
        <w:rPr>
          <w:rFonts w:ascii="宋体" w:hAnsi="宋体" w:eastAsia="宋体" w:cs="宋体"/>
          <w:spacing w:val="6"/>
          <w:sz w:val="20"/>
          <w:szCs w:val="20"/>
        </w:rPr>
        <w:t>，3</w:t>
      </w:r>
      <w:r>
        <w:rPr>
          <w:rFonts w:ascii="宋体" w:hAnsi="宋体" w:eastAsia="宋体" w:cs="宋体"/>
          <w:spacing w:val="-36"/>
          <w:sz w:val="20"/>
          <w:szCs w:val="20"/>
        </w:rPr>
        <w:t xml:space="preserve"> </w:t>
      </w:r>
      <w:r>
        <w:rPr>
          <w:rFonts w:ascii="宋体" w:hAnsi="宋体" w:eastAsia="宋体" w:cs="宋体"/>
          <w:spacing w:val="6"/>
          <w:sz w:val="20"/>
          <w:szCs w:val="20"/>
        </w:rPr>
        <w:t>号罐</w:t>
      </w:r>
      <w:r>
        <w:rPr>
          <w:rFonts w:ascii="宋体" w:hAnsi="宋体" w:eastAsia="宋体" w:cs="宋体"/>
          <w:spacing w:val="-37"/>
          <w:sz w:val="20"/>
          <w:szCs w:val="20"/>
        </w:rPr>
        <w:t xml:space="preserve"> </w:t>
      </w:r>
      <w:r>
        <w:rPr>
          <w:rFonts w:ascii="宋体" w:hAnsi="宋体" w:eastAsia="宋体" w:cs="宋体"/>
          <w:spacing w:val="6"/>
          <w:sz w:val="20"/>
          <w:szCs w:val="20"/>
        </w:rPr>
        <w:t>4.5</w:t>
      </w:r>
      <w:r>
        <w:rPr>
          <w:rFonts w:ascii="宋体" w:hAnsi="宋体" w:eastAsia="宋体" w:cs="宋体"/>
          <w:sz w:val="20"/>
          <w:szCs w:val="20"/>
        </w:rPr>
        <w:t>cm</w:t>
      </w:r>
      <w:r>
        <w:rPr>
          <w:rFonts w:ascii="宋体" w:hAnsi="宋体" w:eastAsia="宋体" w:cs="宋体"/>
          <w:spacing w:val="6"/>
          <w:sz w:val="20"/>
          <w:szCs w:val="20"/>
        </w:rPr>
        <w:t>，4</w:t>
      </w:r>
      <w:r>
        <w:rPr>
          <w:rFonts w:ascii="宋体" w:hAnsi="宋体" w:eastAsia="宋体" w:cs="宋体"/>
          <w:spacing w:val="-33"/>
          <w:sz w:val="20"/>
          <w:szCs w:val="20"/>
        </w:rPr>
        <w:t xml:space="preserve"> </w:t>
      </w:r>
      <w:r>
        <w:rPr>
          <w:rFonts w:ascii="宋体" w:hAnsi="宋体" w:eastAsia="宋体" w:cs="宋体"/>
          <w:spacing w:val="6"/>
          <w:sz w:val="20"/>
          <w:szCs w:val="20"/>
        </w:rPr>
        <w:t>号罐内径</w:t>
      </w:r>
      <w:r>
        <w:rPr>
          <w:rFonts w:ascii="宋体" w:hAnsi="宋体" w:eastAsia="宋体" w:cs="宋体"/>
          <w:spacing w:val="-35"/>
          <w:sz w:val="20"/>
          <w:szCs w:val="20"/>
        </w:rPr>
        <w:t xml:space="preserve"> </w:t>
      </w:r>
      <w:r>
        <w:rPr>
          <w:rFonts w:ascii="宋体" w:hAnsi="宋体" w:eastAsia="宋体" w:cs="宋体"/>
          <w:spacing w:val="6"/>
          <w:sz w:val="20"/>
          <w:szCs w:val="20"/>
        </w:rPr>
        <w:t>5</w:t>
      </w:r>
      <w:r>
        <w:rPr>
          <w:rFonts w:ascii="宋体" w:hAnsi="宋体" w:eastAsia="宋体" w:cs="宋体"/>
          <w:sz w:val="20"/>
          <w:szCs w:val="20"/>
        </w:rPr>
        <w:t>cm</w:t>
      </w:r>
      <w:r>
        <w:rPr>
          <w:rFonts w:ascii="宋体" w:hAnsi="宋体" w:eastAsia="宋体" w:cs="宋体"/>
          <w:spacing w:val="6"/>
          <w:sz w:val="20"/>
          <w:szCs w:val="20"/>
        </w:rPr>
        <w:t>。学龄</w:t>
      </w:r>
      <w:r>
        <w:rPr>
          <w:rFonts w:ascii="宋体" w:hAnsi="宋体" w:eastAsia="宋体" w:cs="宋体"/>
          <w:spacing w:val="8"/>
          <w:sz w:val="20"/>
          <w:szCs w:val="20"/>
        </w:rPr>
        <w:t>前以</w:t>
      </w:r>
      <w:r>
        <w:rPr>
          <w:rFonts w:ascii="宋体" w:hAnsi="宋体" w:eastAsia="宋体" w:cs="宋体"/>
          <w:spacing w:val="-32"/>
          <w:sz w:val="20"/>
          <w:szCs w:val="20"/>
        </w:rPr>
        <w:t xml:space="preserve"> </w:t>
      </w:r>
      <w:r>
        <w:rPr>
          <w:rFonts w:ascii="宋体" w:hAnsi="宋体" w:eastAsia="宋体" w:cs="宋体"/>
          <w:spacing w:val="8"/>
          <w:sz w:val="20"/>
          <w:szCs w:val="20"/>
        </w:rPr>
        <w:t>2.3</w:t>
      </w:r>
      <w:r>
        <w:rPr>
          <w:rFonts w:ascii="宋体" w:hAnsi="宋体" w:eastAsia="宋体" w:cs="宋体"/>
          <w:spacing w:val="-35"/>
          <w:sz w:val="20"/>
          <w:szCs w:val="20"/>
        </w:rPr>
        <w:t xml:space="preserve"> </w:t>
      </w:r>
      <w:r>
        <w:rPr>
          <w:rFonts w:ascii="宋体" w:hAnsi="宋体" w:eastAsia="宋体" w:cs="宋体"/>
          <w:spacing w:val="8"/>
          <w:sz w:val="20"/>
          <w:szCs w:val="20"/>
        </w:rPr>
        <w:t>号罐为主，12</w:t>
      </w:r>
      <w:r>
        <w:rPr>
          <w:rFonts w:ascii="宋体" w:hAnsi="宋体" w:eastAsia="宋体" w:cs="宋体"/>
          <w:spacing w:val="-31"/>
          <w:sz w:val="20"/>
          <w:szCs w:val="20"/>
        </w:rPr>
        <w:t xml:space="preserve"> </w:t>
      </w:r>
      <w:r>
        <w:rPr>
          <w:rFonts w:ascii="宋体" w:hAnsi="宋体" w:eastAsia="宋体" w:cs="宋体"/>
          <w:spacing w:val="8"/>
          <w:sz w:val="20"/>
          <w:szCs w:val="20"/>
        </w:rPr>
        <w:t>岁之前以</w:t>
      </w:r>
      <w:r>
        <w:rPr>
          <w:rFonts w:ascii="宋体" w:hAnsi="宋体" w:eastAsia="宋体" w:cs="宋体"/>
          <w:spacing w:val="-33"/>
          <w:sz w:val="20"/>
          <w:szCs w:val="20"/>
        </w:rPr>
        <w:t xml:space="preserve"> </w:t>
      </w:r>
      <w:r>
        <w:rPr>
          <w:rFonts w:ascii="宋体" w:hAnsi="宋体" w:eastAsia="宋体" w:cs="宋体"/>
          <w:spacing w:val="8"/>
          <w:sz w:val="20"/>
          <w:szCs w:val="20"/>
        </w:rPr>
        <w:t>3.4</w:t>
      </w:r>
      <w:r>
        <w:rPr>
          <w:rFonts w:ascii="宋体" w:hAnsi="宋体" w:eastAsia="宋体" w:cs="宋体"/>
          <w:spacing w:val="-33"/>
          <w:sz w:val="20"/>
          <w:szCs w:val="20"/>
        </w:rPr>
        <w:t xml:space="preserve"> </w:t>
      </w:r>
      <w:r>
        <w:rPr>
          <w:rFonts w:ascii="宋体" w:hAnsi="宋体" w:eastAsia="宋体" w:cs="宋体"/>
          <w:spacing w:val="8"/>
          <w:sz w:val="20"/>
          <w:szCs w:val="20"/>
        </w:rPr>
        <w:t>号罐为主</w:t>
      </w:r>
      <w:r>
        <w:rPr>
          <w:rFonts w:ascii="宋体" w:hAnsi="宋体" w:eastAsia="宋体" w:cs="宋体"/>
          <w:spacing w:val="-67"/>
          <w:sz w:val="20"/>
          <w:szCs w:val="20"/>
        </w:rPr>
        <w:t xml:space="preserve"> </w:t>
      </w:r>
      <w:r>
        <w:rPr>
          <w:rFonts w:ascii="宋体" w:hAnsi="宋体" w:eastAsia="宋体" w:cs="宋体"/>
          <w:spacing w:val="8"/>
          <w:sz w:val="20"/>
          <w:szCs w:val="20"/>
        </w:rPr>
        <w:t>”。两位专家建议“依据患儿治疗部位的肌肉丰满程度</w:t>
      </w:r>
      <w:r>
        <w:rPr>
          <w:rFonts w:ascii="宋体" w:hAnsi="宋体" w:eastAsia="宋体" w:cs="宋体"/>
          <w:spacing w:val="2"/>
          <w:sz w:val="20"/>
          <w:szCs w:val="20"/>
        </w:rPr>
        <w:t>及面积大小选择罐口大小合适，易于吸附的罐具。”（2）罐具消毒，专家建议删除“有</w:t>
      </w:r>
      <w:r>
        <w:rPr>
          <w:rFonts w:ascii="宋体" w:hAnsi="宋体" w:eastAsia="宋体" w:cs="宋体"/>
          <w:spacing w:val="1"/>
          <w:sz w:val="20"/>
          <w:szCs w:val="20"/>
        </w:rPr>
        <w:t>锈迹，应除锈</w:t>
      </w:r>
      <w:r>
        <w:rPr>
          <w:rFonts w:ascii="宋体" w:hAnsi="宋体" w:eastAsia="宋体" w:cs="宋体"/>
          <w:spacing w:val="-70"/>
          <w:sz w:val="20"/>
          <w:szCs w:val="20"/>
        </w:rPr>
        <w:t xml:space="preserve"> </w:t>
      </w:r>
      <w:r>
        <w:rPr>
          <w:rFonts w:ascii="宋体" w:hAnsi="宋体" w:eastAsia="宋体" w:cs="宋体"/>
          <w:spacing w:val="1"/>
          <w:sz w:val="20"/>
          <w:szCs w:val="20"/>
        </w:rPr>
        <w:t>”。</w:t>
      </w:r>
      <w:r>
        <w:rPr>
          <w:rFonts w:ascii="宋体" w:hAnsi="宋体" w:eastAsia="宋体" w:cs="宋体"/>
          <w:spacing w:val="10"/>
          <w:sz w:val="20"/>
          <w:szCs w:val="20"/>
        </w:rPr>
        <w:t>有专家建议查找更新的国家标准。（3）拔罐部位的消毒，有专家建议“在原国家标准基础</w:t>
      </w:r>
      <w:r>
        <w:rPr>
          <w:rFonts w:ascii="宋体" w:hAnsi="宋体" w:eastAsia="宋体" w:cs="宋体"/>
          <w:spacing w:val="9"/>
          <w:sz w:val="20"/>
          <w:szCs w:val="20"/>
        </w:rPr>
        <w:t>上，采用分</w:t>
      </w:r>
      <w:r>
        <w:rPr>
          <w:rFonts w:ascii="宋体" w:hAnsi="宋体" w:eastAsia="宋体" w:cs="宋体"/>
          <w:spacing w:val="4"/>
          <w:sz w:val="20"/>
          <w:szCs w:val="20"/>
        </w:rPr>
        <w:t>级消毒原则，比如常规完整皮肤采用</w:t>
      </w:r>
      <w:r>
        <w:rPr>
          <w:rFonts w:ascii="宋体" w:hAnsi="宋体" w:eastAsia="宋体" w:cs="宋体"/>
          <w:spacing w:val="-29"/>
          <w:sz w:val="20"/>
          <w:szCs w:val="20"/>
        </w:rPr>
        <w:t xml:space="preserve"> </w:t>
      </w:r>
      <w:r>
        <w:rPr>
          <w:rFonts w:ascii="宋体" w:hAnsi="宋体" w:eastAsia="宋体" w:cs="宋体"/>
          <w:spacing w:val="4"/>
          <w:sz w:val="20"/>
          <w:szCs w:val="20"/>
        </w:rPr>
        <w:t>75%医用酒精；破损皮肤、黏膜周围</w:t>
      </w:r>
      <w:r>
        <w:rPr>
          <w:rFonts w:ascii="宋体" w:hAnsi="宋体" w:eastAsia="宋体" w:cs="宋体"/>
          <w:spacing w:val="3"/>
          <w:sz w:val="20"/>
          <w:szCs w:val="20"/>
        </w:rPr>
        <w:t>采用碘伏。”也有专家建议“拔</w:t>
      </w:r>
      <w:r>
        <w:rPr>
          <w:rFonts w:ascii="宋体" w:hAnsi="宋体" w:eastAsia="宋体" w:cs="宋体"/>
          <w:spacing w:val="8"/>
          <w:sz w:val="20"/>
          <w:szCs w:val="20"/>
        </w:rPr>
        <w:t>罐的部位一般不需要消毒。拔罐部位皮肤干燥可适当涂抹白凡士林或石蜡。应用针罐法须用</w:t>
      </w:r>
      <w:r>
        <w:rPr>
          <w:rFonts w:ascii="宋体" w:hAnsi="宋体" w:eastAsia="宋体" w:cs="宋体"/>
          <w:spacing w:val="-23"/>
          <w:sz w:val="20"/>
          <w:szCs w:val="20"/>
        </w:rPr>
        <w:t xml:space="preserve"> </w:t>
      </w:r>
      <w:r>
        <w:rPr>
          <w:rFonts w:ascii="宋体" w:hAnsi="宋体" w:eastAsia="宋体" w:cs="宋体"/>
          <w:spacing w:val="8"/>
          <w:sz w:val="20"/>
          <w:szCs w:val="20"/>
        </w:rPr>
        <w:t>75%乙醇或</w:t>
      </w:r>
      <w:r>
        <w:rPr>
          <w:rFonts w:ascii="宋体" w:hAnsi="宋体" w:eastAsia="宋体" w:cs="宋体"/>
          <w:spacing w:val="7"/>
          <w:sz w:val="20"/>
          <w:szCs w:val="20"/>
        </w:rPr>
        <w:t>0.5%～1%碘伏棉球在针刺部位消毒。”还有专家建议</w:t>
      </w:r>
      <w:r>
        <w:rPr>
          <w:rFonts w:ascii="宋体" w:hAnsi="宋体" w:eastAsia="宋体" w:cs="宋体"/>
          <w:spacing w:val="-43"/>
          <w:sz w:val="20"/>
          <w:szCs w:val="20"/>
        </w:rPr>
        <w:t xml:space="preserve"> </w:t>
      </w:r>
      <w:r>
        <w:rPr>
          <w:rFonts w:ascii="宋体" w:hAnsi="宋体" w:eastAsia="宋体" w:cs="宋体"/>
          <w:spacing w:val="7"/>
          <w:sz w:val="20"/>
          <w:szCs w:val="20"/>
        </w:rPr>
        <w:t>A、B</w:t>
      </w:r>
      <w:r>
        <w:rPr>
          <w:rFonts w:ascii="宋体" w:hAnsi="宋体" w:eastAsia="宋体" w:cs="宋体"/>
          <w:spacing w:val="-37"/>
          <w:sz w:val="20"/>
          <w:szCs w:val="20"/>
        </w:rPr>
        <w:t xml:space="preserve"> </w:t>
      </w:r>
      <w:r>
        <w:rPr>
          <w:rFonts w:ascii="宋体" w:hAnsi="宋体" w:eastAsia="宋体" w:cs="宋体"/>
          <w:spacing w:val="7"/>
          <w:sz w:val="20"/>
          <w:szCs w:val="20"/>
        </w:rPr>
        <w:t>两项</w:t>
      </w:r>
      <w:r>
        <w:rPr>
          <w:rFonts w:ascii="宋体" w:hAnsi="宋体" w:eastAsia="宋体" w:cs="宋体"/>
          <w:spacing w:val="6"/>
          <w:sz w:val="20"/>
          <w:szCs w:val="20"/>
        </w:rPr>
        <w:t>结合。（4）关于留针拔罐，有专家建议</w:t>
      </w:r>
      <w:r>
        <w:rPr>
          <w:rFonts w:ascii="宋体" w:hAnsi="宋体" w:eastAsia="宋体" w:cs="宋体"/>
          <w:spacing w:val="9"/>
          <w:sz w:val="20"/>
          <w:szCs w:val="20"/>
        </w:rPr>
        <w:t>增加“</w:t>
      </w:r>
      <w:r>
        <w:rPr>
          <w:rFonts w:ascii="宋体" w:hAnsi="宋体" w:eastAsia="宋体" w:cs="宋体"/>
          <w:spacing w:val="-65"/>
          <w:sz w:val="20"/>
          <w:szCs w:val="20"/>
        </w:rPr>
        <w:t xml:space="preserve"> </w:t>
      </w:r>
      <w:r>
        <w:rPr>
          <w:rFonts w:ascii="宋体" w:hAnsi="宋体" w:eastAsia="宋体" w:cs="宋体"/>
          <w:spacing w:val="9"/>
          <w:sz w:val="20"/>
          <w:szCs w:val="20"/>
        </w:rPr>
        <w:t>由于小儿不易配合，一般不留针。</w:t>
      </w:r>
      <w:r>
        <w:rPr>
          <w:rFonts w:ascii="宋体" w:hAnsi="宋体" w:eastAsia="宋体" w:cs="宋体"/>
          <w:spacing w:val="-64"/>
          <w:sz w:val="20"/>
          <w:szCs w:val="20"/>
        </w:rPr>
        <w:t xml:space="preserve"> </w:t>
      </w:r>
      <w:r>
        <w:rPr>
          <w:rFonts w:ascii="宋体" w:hAnsi="宋体" w:eastAsia="宋体" w:cs="宋体"/>
          <w:spacing w:val="9"/>
          <w:sz w:val="20"/>
          <w:szCs w:val="20"/>
        </w:rPr>
        <w:t>”（5）需增加</w:t>
      </w:r>
      <w:r>
        <w:rPr>
          <w:rFonts w:ascii="宋体" w:hAnsi="宋体" w:eastAsia="宋体" w:cs="宋体"/>
          <w:spacing w:val="8"/>
          <w:sz w:val="20"/>
          <w:szCs w:val="20"/>
        </w:rPr>
        <w:t>本标准引用到的“规范性引用文件</w:t>
      </w:r>
      <w:r>
        <w:rPr>
          <w:rFonts w:ascii="宋体" w:hAnsi="宋体" w:eastAsia="宋体" w:cs="宋体"/>
          <w:spacing w:val="-72"/>
          <w:sz w:val="20"/>
          <w:szCs w:val="20"/>
        </w:rPr>
        <w:t xml:space="preserve"> </w:t>
      </w:r>
      <w:r>
        <w:rPr>
          <w:rFonts w:ascii="宋体" w:hAnsi="宋体" w:eastAsia="宋体" w:cs="宋体"/>
          <w:spacing w:val="8"/>
          <w:sz w:val="20"/>
          <w:szCs w:val="20"/>
        </w:rPr>
        <w:t>”如</w:t>
      </w:r>
      <w:r>
        <w:rPr>
          <w:rFonts w:ascii="宋体" w:hAnsi="宋体" w:eastAsia="宋体" w:cs="宋体"/>
          <w:spacing w:val="-25"/>
          <w:sz w:val="20"/>
          <w:szCs w:val="20"/>
        </w:rPr>
        <w:t xml:space="preserve"> </w:t>
      </w:r>
      <w:r>
        <w:rPr>
          <w:rFonts w:ascii="宋体" w:hAnsi="宋体" w:eastAsia="宋体" w:cs="宋体"/>
          <w:sz w:val="20"/>
          <w:szCs w:val="20"/>
        </w:rPr>
        <w:t>ISO</w:t>
      </w:r>
      <w:r>
        <w:rPr>
          <w:rFonts w:ascii="宋体" w:hAnsi="宋体" w:eastAsia="宋体" w:cs="宋体"/>
          <w:spacing w:val="8"/>
          <w:sz w:val="20"/>
          <w:szCs w:val="20"/>
        </w:rPr>
        <w:t>—</w:t>
      </w:r>
      <w:r>
        <w:rPr>
          <w:rFonts w:ascii="宋体" w:hAnsi="宋体" w:eastAsia="宋体" w:cs="宋体"/>
          <w:sz w:val="20"/>
          <w:szCs w:val="20"/>
        </w:rPr>
        <w:t xml:space="preserve"> </w:t>
      </w:r>
      <w:r>
        <w:rPr>
          <w:rFonts w:ascii="宋体" w:hAnsi="宋体" w:eastAsia="宋体" w:cs="宋体"/>
          <w:spacing w:val="8"/>
          <w:sz w:val="20"/>
          <w:szCs w:val="20"/>
        </w:rPr>
        <w:t>—22213</w:t>
      </w:r>
      <w:r>
        <w:rPr>
          <w:rFonts w:ascii="宋体" w:hAnsi="宋体" w:eastAsia="宋体" w:cs="宋体"/>
          <w:spacing w:val="-52"/>
          <w:sz w:val="20"/>
          <w:szCs w:val="20"/>
        </w:rPr>
        <w:t xml:space="preserve"> </w:t>
      </w:r>
      <w:r>
        <w:rPr>
          <w:rFonts w:ascii="宋体" w:hAnsi="宋体" w:eastAsia="宋体" w:cs="宋体"/>
          <w:spacing w:val="8"/>
          <w:sz w:val="20"/>
          <w:szCs w:val="20"/>
        </w:rPr>
        <w:t>:2020</w:t>
      </w:r>
      <w:r>
        <w:rPr>
          <w:rFonts w:ascii="宋体" w:hAnsi="宋体" w:eastAsia="宋体" w:cs="宋体"/>
          <w:spacing w:val="-54"/>
          <w:sz w:val="20"/>
          <w:szCs w:val="20"/>
        </w:rPr>
        <w:t xml:space="preserve"> </w:t>
      </w:r>
      <w:r>
        <w:rPr>
          <w:rFonts w:ascii="宋体" w:hAnsi="宋体" w:eastAsia="宋体" w:cs="宋体"/>
          <w:spacing w:val="8"/>
          <w:sz w:val="20"/>
          <w:szCs w:val="20"/>
        </w:rPr>
        <w:t xml:space="preserve">(E) </w:t>
      </w:r>
      <w:r>
        <w:rPr>
          <w:rFonts w:ascii="宋体" w:hAnsi="宋体" w:eastAsia="宋体" w:cs="宋体"/>
          <w:sz w:val="20"/>
          <w:szCs w:val="20"/>
        </w:rPr>
        <w:t>Traditional</w:t>
      </w:r>
      <w:r>
        <w:rPr>
          <w:rFonts w:ascii="宋体" w:hAnsi="宋体" w:eastAsia="宋体" w:cs="宋体"/>
          <w:spacing w:val="8"/>
          <w:sz w:val="20"/>
          <w:szCs w:val="20"/>
        </w:rPr>
        <w:t xml:space="preserve"> </w:t>
      </w:r>
      <w:r>
        <w:rPr>
          <w:rFonts w:ascii="宋体" w:hAnsi="宋体" w:eastAsia="宋体" w:cs="宋体"/>
          <w:sz w:val="20"/>
          <w:szCs w:val="20"/>
        </w:rPr>
        <w:t>Chinese</w:t>
      </w:r>
      <w:r>
        <w:rPr>
          <w:rFonts w:ascii="宋体" w:hAnsi="宋体" w:eastAsia="宋体" w:cs="宋体"/>
          <w:spacing w:val="8"/>
          <w:sz w:val="20"/>
          <w:szCs w:val="20"/>
        </w:rPr>
        <w:t xml:space="preserve"> </w:t>
      </w:r>
      <w:r>
        <w:rPr>
          <w:rFonts w:ascii="宋体" w:hAnsi="宋体" w:eastAsia="宋体" w:cs="宋体"/>
          <w:sz w:val="20"/>
          <w:szCs w:val="20"/>
        </w:rPr>
        <w:t>medicine</w:t>
      </w:r>
      <w:r>
        <w:rPr>
          <w:rFonts w:ascii="宋体" w:hAnsi="宋体" w:eastAsia="宋体" w:cs="宋体"/>
          <w:spacing w:val="8"/>
          <w:sz w:val="20"/>
          <w:szCs w:val="20"/>
        </w:rPr>
        <w:t xml:space="preserve"> — </w:t>
      </w:r>
      <w:r>
        <w:rPr>
          <w:rFonts w:ascii="宋体" w:hAnsi="宋体" w:eastAsia="宋体" w:cs="宋体"/>
          <w:sz w:val="20"/>
          <w:szCs w:val="20"/>
        </w:rPr>
        <w:t>Glass</w:t>
      </w:r>
      <w:r>
        <w:rPr>
          <w:rFonts w:ascii="宋体" w:hAnsi="宋体" w:eastAsia="宋体" w:cs="宋体"/>
          <w:spacing w:val="8"/>
          <w:sz w:val="20"/>
          <w:szCs w:val="20"/>
        </w:rPr>
        <w:t xml:space="preserve"> </w:t>
      </w:r>
      <w:r>
        <w:rPr>
          <w:rFonts w:ascii="宋体" w:hAnsi="宋体" w:eastAsia="宋体" w:cs="宋体"/>
          <w:sz w:val="20"/>
          <w:szCs w:val="20"/>
        </w:rPr>
        <w:t>cupping</w:t>
      </w:r>
      <w:r>
        <w:rPr>
          <w:rFonts w:ascii="宋体" w:hAnsi="宋体" w:eastAsia="宋体" w:cs="宋体"/>
          <w:spacing w:val="8"/>
          <w:sz w:val="20"/>
          <w:szCs w:val="20"/>
        </w:rPr>
        <w:t xml:space="preserve"> </w:t>
      </w:r>
      <w:r>
        <w:rPr>
          <w:rFonts w:ascii="宋体" w:hAnsi="宋体" w:eastAsia="宋体" w:cs="宋体"/>
          <w:sz w:val="20"/>
          <w:szCs w:val="20"/>
        </w:rPr>
        <w:t>deviceYY</w:t>
      </w:r>
      <w:r>
        <w:rPr>
          <w:rFonts w:ascii="宋体" w:hAnsi="宋体" w:eastAsia="宋体" w:cs="宋体"/>
          <w:spacing w:val="8"/>
          <w:sz w:val="20"/>
          <w:szCs w:val="20"/>
        </w:rPr>
        <w:t>/T</w:t>
      </w:r>
      <w:r>
        <w:rPr>
          <w:rFonts w:ascii="宋体" w:hAnsi="宋体" w:eastAsia="宋体" w:cs="宋体"/>
          <w:spacing w:val="28"/>
          <w:sz w:val="20"/>
          <w:szCs w:val="20"/>
        </w:rPr>
        <w:t xml:space="preserve"> </w:t>
      </w:r>
      <w:r>
        <w:rPr>
          <w:rFonts w:ascii="宋体" w:hAnsi="宋体" w:eastAsia="宋体" w:cs="宋体"/>
          <w:spacing w:val="8"/>
          <w:sz w:val="20"/>
          <w:szCs w:val="20"/>
        </w:rPr>
        <w:t>1976-2025</w:t>
      </w:r>
      <w:r>
        <w:rPr>
          <w:rFonts w:ascii="宋体" w:hAnsi="宋体" w:eastAsia="宋体" w:cs="宋体"/>
          <w:spacing w:val="35"/>
          <w:sz w:val="20"/>
          <w:szCs w:val="20"/>
        </w:rPr>
        <w:t xml:space="preserve"> </w:t>
      </w:r>
      <w:r>
        <w:rPr>
          <w:rFonts w:ascii="宋体" w:hAnsi="宋体" w:eastAsia="宋体" w:cs="宋体"/>
          <w:spacing w:val="8"/>
          <w:sz w:val="20"/>
          <w:szCs w:val="20"/>
        </w:rPr>
        <w:t>中医器</w:t>
      </w:r>
    </w:p>
    <w:p w14:paraId="18553055">
      <w:pPr>
        <w:spacing w:before="41" w:line="276" w:lineRule="auto"/>
        <w:ind w:left="115"/>
        <w:rPr>
          <w:rFonts w:ascii="宋体" w:hAnsi="宋体" w:eastAsia="宋体" w:cs="宋体"/>
          <w:sz w:val="20"/>
          <w:szCs w:val="20"/>
        </w:rPr>
      </w:pPr>
      <w:r>
        <w:rPr>
          <w:rFonts w:ascii="宋体" w:hAnsi="宋体" w:eastAsia="宋体" w:cs="宋体"/>
          <w:spacing w:val="6"/>
          <w:sz w:val="20"/>
          <w:szCs w:val="20"/>
        </w:rPr>
        <w:t>械</w:t>
      </w:r>
      <w:r>
        <w:rPr>
          <w:rFonts w:ascii="宋体" w:hAnsi="宋体" w:eastAsia="宋体" w:cs="宋体"/>
          <w:spacing w:val="19"/>
          <w:sz w:val="20"/>
          <w:szCs w:val="20"/>
        </w:rPr>
        <w:t xml:space="preserve"> </w:t>
      </w:r>
      <w:r>
        <w:rPr>
          <w:rFonts w:ascii="宋体" w:hAnsi="宋体" w:eastAsia="宋体" w:cs="宋体"/>
          <w:spacing w:val="6"/>
          <w:sz w:val="20"/>
          <w:szCs w:val="20"/>
        </w:rPr>
        <w:t>玻璃拔罐器</w:t>
      </w:r>
    </w:p>
    <w:p w14:paraId="74793C67">
      <w:pPr>
        <w:spacing w:before="153" w:line="276" w:lineRule="auto"/>
        <w:ind w:left="540"/>
        <w:rPr>
          <w:rFonts w:ascii="宋体" w:hAnsi="宋体" w:eastAsia="宋体" w:cs="宋体"/>
          <w:sz w:val="20"/>
          <w:szCs w:val="20"/>
        </w:rPr>
      </w:pPr>
      <w:r>
        <w:rPr>
          <w:rFonts w:ascii="宋体" w:hAnsi="宋体" w:eastAsia="宋体" w:cs="宋体"/>
          <w:b/>
          <w:bCs/>
          <w:spacing w:val="5"/>
          <w:sz w:val="20"/>
          <w:szCs w:val="20"/>
        </w:rPr>
        <w:t>3.2</w:t>
      </w:r>
      <w:r>
        <w:rPr>
          <w:rFonts w:ascii="宋体" w:hAnsi="宋体" w:eastAsia="宋体" w:cs="宋体"/>
          <w:spacing w:val="5"/>
          <w:sz w:val="20"/>
          <w:szCs w:val="20"/>
        </w:rPr>
        <w:t xml:space="preserve"> </w:t>
      </w:r>
      <w:r>
        <w:rPr>
          <w:rFonts w:ascii="宋体" w:hAnsi="宋体" w:eastAsia="宋体" w:cs="宋体"/>
          <w:b/>
          <w:bCs/>
          <w:spacing w:val="5"/>
          <w:sz w:val="20"/>
          <w:szCs w:val="20"/>
        </w:rPr>
        <w:t>争议条目分析</w:t>
      </w:r>
    </w:p>
    <w:p w14:paraId="286ABD47">
      <w:pPr>
        <w:spacing w:before="151" w:line="276" w:lineRule="auto"/>
        <w:ind w:left="118" w:firstLine="418"/>
        <w:rPr>
          <w:rFonts w:ascii="宋体" w:hAnsi="宋体" w:eastAsia="宋体" w:cs="宋体"/>
          <w:sz w:val="20"/>
          <w:szCs w:val="20"/>
        </w:rPr>
      </w:pPr>
      <w:r>
        <w:rPr>
          <w:rFonts w:ascii="宋体" w:hAnsi="宋体" w:eastAsia="宋体" w:cs="宋体"/>
          <w:spacing w:val="8"/>
          <w:sz w:val="20"/>
          <w:szCs w:val="20"/>
        </w:rPr>
        <w:t>根据“</w:t>
      </w:r>
      <w:r>
        <w:rPr>
          <w:rFonts w:ascii="宋体" w:hAnsi="宋体" w:eastAsia="宋体" w:cs="宋体"/>
          <w:spacing w:val="-76"/>
          <w:sz w:val="20"/>
          <w:szCs w:val="20"/>
        </w:rPr>
        <w:t xml:space="preserve"> </w:t>
      </w:r>
      <w:r>
        <w:rPr>
          <w:rFonts w:ascii="宋体" w:hAnsi="宋体" w:eastAsia="宋体" w:cs="宋体"/>
          <w:spacing w:val="8"/>
          <w:sz w:val="20"/>
          <w:szCs w:val="20"/>
        </w:rPr>
        <w:t>1.2统计结果处理方案</w:t>
      </w:r>
      <w:r>
        <w:rPr>
          <w:rFonts w:ascii="宋体" w:hAnsi="宋体" w:eastAsia="宋体" w:cs="宋体"/>
          <w:spacing w:val="-73"/>
          <w:sz w:val="20"/>
          <w:szCs w:val="20"/>
        </w:rPr>
        <w:t xml:space="preserve"> </w:t>
      </w:r>
      <w:r>
        <w:rPr>
          <w:rFonts w:ascii="宋体" w:hAnsi="宋体" w:eastAsia="宋体" w:cs="宋体"/>
          <w:spacing w:val="8"/>
          <w:sz w:val="20"/>
          <w:szCs w:val="20"/>
        </w:rPr>
        <w:t>”，仍有2条</w:t>
      </w:r>
      <w:r>
        <w:rPr>
          <w:rFonts w:ascii="宋体" w:hAnsi="宋体" w:eastAsia="宋体" w:cs="宋体"/>
          <w:spacing w:val="7"/>
          <w:sz w:val="20"/>
          <w:szCs w:val="20"/>
        </w:rPr>
        <w:t>条目无超过50%的选项，为：罐具消毒和“角罐</w:t>
      </w:r>
      <w:r>
        <w:rPr>
          <w:rFonts w:ascii="宋体" w:hAnsi="宋体" w:eastAsia="宋体" w:cs="宋体"/>
          <w:spacing w:val="-70"/>
          <w:sz w:val="20"/>
          <w:szCs w:val="20"/>
        </w:rPr>
        <w:t xml:space="preserve"> </w:t>
      </w:r>
      <w:r>
        <w:rPr>
          <w:rFonts w:ascii="宋体" w:hAnsi="宋体" w:eastAsia="宋体" w:cs="宋体"/>
          <w:spacing w:val="7"/>
          <w:sz w:val="20"/>
          <w:szCs w:val="20"/>
        </w:rPr>
        <w:t>”、“竹</w:t>
      </w:r>
      <w:r>
        <w:rPr>
          <w:rFonts w:ascii="宋体" w:hAnsi="宋体" w:eastAsia="宋体" w:cs="宋体"/>
          <w:spacing w:val="5"/>
          <w:sz w:val="20"/>
          <w:szCs w:val="20"/>
        </w:rPr>
        <w:t>罐</w:t>
      </w:r>
      <w:r>
        <w:rPr>
          <w:rFonts w:ascii="宋体" w:hAnsi="宋体" w:eastAsia="宋体" w:cs="宋体"/>
          <w:spacing w:val="-71"/>
          <w:sz w:val="20"/>
          <w:szCs w:val="20"/>
        </w:rPr>
        <w:t xml:space="preserve"> </w:t>
      </w:r>
      <w:r>
        <w:rPr>
          <w:rFonts w:ascii="宋体" w:hAnsi="宋体" w:eastAsia="宋体" w:cs="宋体"/>
          <w:spacing w:val="5"/>
          <w:sz w:val="20"/>
          <w:szCs w:val="20"/>
        </w:rPr>
        <w:t>”、“陶瓷罐</w:t>
      </w:r>
      <w:r>
        <w:rPr>
          <w:rFonts w:ascii="宋体" w:hAnsi="宋体" w:eastAsia="宋体" w:cs="宋体"/>
          <w:spacing w:val="-72"/>
          <w:sz w:val="20"/>
          <w:szCs w:val="20"/>
        </w:rPr>
        <w:t xml:space="preserve"> </w:t>
      </w:r>
      <w:r>
        <w:rPr>
          <w:rFonts w:ascii="宋体" w:hAnsi="宋体" w:eastAsia="宋体" w:cs="宋体"/>
          <w:spacing w:val="5"/>
          <w:sz w:val="20"/>
          <w:szCs w:val="20"/>
        </w:rPr>
        <w:t>”、“玻璃罐</w:t>
      </w:r>
      <w:r>
        <w:rPr>
          <w:rFonts w:ascii="宋体" w:hAnsi="宋体" w:eastAsia="宋体" w:cs="宋体"/>
          <w:spacing w:val="-73"/>
          <w:sz w:val="20"/>
          <w:szCs w:val="20"/>
        </w:rPr>
        <w:t xml:space="preserve"> </w:t>
      </w:r>
      <w:r>
        <w:rPr>
          <w:rFonts w:ascii="宋体" w:hAnsi="宋体" w:eastAsia="宋体" w:cs="宋体"/>
          <w:spacing w:val="5"/>
          <w:sz w:val="20"/>
          <w:szCs w:val="20"/>
        </w:rPr>
        <w:t>”、“金属罐</w:t>
      </w:r>
      <w:r>
        <w:rPr>
          <w:rFonts w:ascii="宋体" w:hAnsi="宋体" w:eastAsia="宋体" w:cs="宋体"/>
          <w:spacing w:val="-72"/>
          <w:sz w:val="20"/>
          <w:szCs w:val="20"/>
        </w:rPr>
        <w:t xml:space="preserve"> </w:t>
      </w:r>
      <w:r>
        <w:rPr>
          <w:rFonts w:ascii="宋体" w:hAnsi="宋体" w:eastAsia="宋体" w:cs="宋体"/>
          <w:spacing w:val="5"/>
          <w:sz w:val="20"/>
          <w:szCs w:val="20"/>
        </w:rPr>
        <w:t>”、“橡胶罐</w:t>
      </w:r>
      <w:r>
        <w:rPr>
          <w:rFonts w:ascii="宋体" w:hAnsi="宋体" w:eastAsia="宋体" w:cs="宋体"/>
          <w:spacing w:val="-73"/>
          <w:sz w:val="20"/>
          <w:szCs w:val="20"/>
        </w:rPr>
        <w:t xml:space="preserve"> </w:t>
      </w:r>
      <w:r>
        <w:rPr>
          <w:rFonts w:ascii="宋体" w:hAnsi="宋体" w:eastAsia="宋体" w:cs="宋体"/>
          <w:spacing w:val="5"/>
          <w:sz w:val="20"/>
          <w:szCs w:val="20"/>
        </w:rPr>
        <w:t>”、“生物陶瓷火罐</w:t>
      </w:r>
      <w:r>
        <w:rPr>
          <w:rFonts w:ascii="宋体" w:hAnsi="宋体" w:eastAsia="宋体" w:cs="宋体"/>
          <w:spacing w:val="-70"/>
          <w:sz w:val="20"/>
          <w:szCs w:val="20"/>
        </w:rPr>
        <w:t xml:space="preserve"> </w:t>
      </w:r>
      <w:r>
        <w:rPr>
          <w:rFonts w:ascii="宋体" w:hAnsi="宋体" w:eastAsia="宋体" w:cs="宋体"/>
          <w:spacing w:val="5"/>
          <w:sz w:val="20"/>
          <w:szCs w:val="20"/>
        </w:rPr>
        <w:t>”、“塑胶罐</w:t>
      </w:r>
      <w:r>
        <w:rPr>
          <w:rFonts w:ascii="宋体" w:hAnsi="宋体" w:eastAsia="宋体" w:cs="宋体"/>
          <w:spacing w:val="-70"/>
          <w:sz w:val="20"/>
          <w:szCs w:val="20"/>
        </w:rPr>
        <w:t xml:space="preserve"> </w:t>
      </w:r>
      <w:r>
        <w:rPr>
          <w:rFonts w:ascii="宋体" w:hAnsi="宋体" w:eastAsia="宋体" w:cs="宋体"/>
          <w:spacing w:val="5"/>
          <w:sz w:val="20"/>
          <w:szCs w:val="20"/>
        </w:rPr>
        <w:t>”定义 。</w:t>
      </w:r>
    </w:p>
    <w:p w14:paraId="014D3A31">
      <w:pPr>
        <w:spacing w:line="276" w:lineRule="auto"/>
        <w:ind w:left="540"/>
        <w:rPr>
          <w:rFonts w:ascii="宋体" w:hAnsi="宋体" w:eastAsia="宋体" w:cs="宋体"/>
          <w:sz w:val="20"/>
          <w:szCs w:val="20"/>
        </w:rPr>
      </w:pPr>
      <w:r>
        <w:rPr>
          <w:rFonts w:ascii="宋体" w:hAnsi="宋体" w:eastAsia="宋体" w:cs="宋体"/>
          <w:spacing w:val="9"/>
          <w:sz w:val="20"/>
          <w:szCs w:val="20"/>
        </w:rPr>
        <w:t>争议条目国家标准内容、具体选项结果、专家意见分别如下：</w:t>
      </w:r>
    </w:p>
    <w:p w14:paraId="2844D3CC">
      <w:pPr>
        <w:spacing w:before="151" w:line="276" w:lineRule="auto"/>
        <w:jc w:val="center"/>
        <w:rPr>
          <w:rFonts w:ascii="宋体" w:hAnsi="宋体" w:eastAsia="宋体" w:cs="宋体"/>
          <w:sz w:val="20"/>
          <w:szCs w:val="20"/>
        </w:rPr>
      </w:pPr>
      <w:r>
        <w:rPr>
          <w:rFonts w:ascii="宋体" w:hAnsi="宋体" w:eastAsia="宋体" w:cs="宋体"/>
          <w:spacing w:val="7"/>
          <w:sz w:val="20"/>
          <w:szCs w:val="20"/>
        </w:rPr>
        <w:t>表</w:t>
      </w:r>
      <w:r>
        <w:rPr>
          <w:rFonts w:ascii="宋体" w:hAnsi="宋体" w:eastAsia="宋体" w:cs="宋体"/>
          <w:spacing w:val="-21"/>
          <w:sz w:val="20"/>
          <w:szCs w:val="20"/>
        </w:rPr>
        <w:t xml:space="preserve"> </w:t>
      </w:r>
      <w:r>
        <w:rPr>
          <w:rFonts w:ascii="宋体" w:hAnsi="宋体" w:eastAsia="宋体" w:cs="宋体"/>
          <w:spacing w:val="7"/>
          <w:sz w:val="20"/>
          <w:szCs w:val="20"/>
        </w:rPr>
        <w:t>20 争议条目主题及最高选项汇总表</w:t>
      </w:r>
    </w:p>
    <w:p w14:paraId="78DE078A">
      <w:pPr>
        <w:spacing w:line="276" w:lineRule="auto"/>
      </w:pPr>
    </w:p>
    <w:tbl>
      <w:tblPr>
        <w:tblStyle w:val="9"/>
        <w:tblW w:w="9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68"/>
        <w:gridCol w:w="1171"/>
        <w:gridCol w:w="5953"/>
        <w:gridCol w:w="633"/>
        <w:gridCol w:w="942"/>
      </w:tblGrid>
      <w:tr w14:paraId="6BD70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9" w:hRule="atLeast"/>
          <w:jc w:val="center"/>
        </w:trPr>
        <w:tc>
          <w:tcPr>
            <w:tcW w:w="668" w:type="dxa"/>
            <w:vAlign w:val="top"/>
          </w:tcPr>
          <w:p w14:paraId="4FCE36BE">
            <w:pPr>
              <w:spacing w:before="146" w:line="276" w:lineRule="auto"/>
              <w:ind w:left="115"/>
              <w:rPr>
                <w:rFonts w:ascii="宋体" w:hAnsi="宋体" w:eastAsia="宋体" w:cs="宋体"/>
                <w:sz w:val="20"/>
                <w:szCs w:val="20"/>
              </w:rPr>
            </w:pPr>
            <w:r>
              <w:rPr>
                <w:rFonts w:ascii="宋体" w:hAnsi="宋体" w:eastAsia="宋体" w:cs="宋体"/>
                <w:spacing w:val="5"/>
                <w:sz w:val="20"/>
                <w:szCs w:val="20"/>
              </w:rPr>
              <w:t>序号</w:t>
            </w:r>
          </w:p>
        </w:tc>
        <w:tc>
          <w:tcPr>
            <w:tcW w:w="1171" w:type="dxa"/>
            <w:vAlign w:val="top"/>
          </w:tcPr>
          <w:p w14:paraId="34BA3CC7">
            <w:pPr>
              <w:spacing w:before="146" w:line="276" w:lineRule="auto"/>
              <w:ind w:left="158"/>
              <w:rPr>
                <w:rFonts w:ascii="宋体" w:hAnsi="宋体" w:eastAsia="宋体" w:cs="宋体"/>
                <w:sz w:val="20"/>
                <w:szCs w:val="20"/>
              </w:rPr>
            </w:pPr>
            <w:r>
              <w:rPr>
                <w:rFonts w:ascii="宋体" w:hAnsi="宋体" w:eastAsia="宋体" w:cs="宋体"/>
                <w:spacing w:val="3"/>
                <w:sz w:val="20"/>
                <w:szCs w:val="20"/>
              </w:rPr>
              <w:t>条目</w:t>
            </w:r>
          </w:p>
        </w:tc>
        <w:tc>
          <w:tcPr>
            <w:tcW w:w="5953" w:type="dxa"/>
            <w:vAlign w:val="top"/>
          </w:tcPr>
          <w:p w14:paraId="12320F55">
            <w:pPr>
              <w:spacing w:before="146" w:line="276" w:lineRule="auto"/>
              <w:ind w:left="123"/>
              <w:rPr>
                <w:rFonts w:ascii="宋体" w:hAnsi="宋体" w:eastAsia="宋体" w:cs="宋体"/>
                <w:sz w:val="20"/>
                <w:szCs w:val="20"/>
              </w:rPr>
            </w:pPr>
            <w:r>
              <w:rPr>
                <w:rFonts w:ascii="宋体" w:hAnsi="宋体" w:eastAsia="宋体" w:cs="宋体"/>
                <w:spacing w:val="7"/>
                <w:sz w:val="20"/>
                <w:szCs w:val="20"/>
              </w:rPr>
              <w:t>最高支持选项</w:t>
            </w:r>
          </w:p>
        </w:tc>
        <w:tc>
          <w:tcPr>
            <w:tcW w:w="633" w:type="dxa"/>
            <w:vAlign w:val="top"/>
          </w:tcPr>
          <w:p w14:paraId="43466EF3">
            <w:pPr>
              <w:spacing w:before="146" w:line="276" w:lineRule="auto"/>
              <w:ind w:left="114"/>
              <w:rPr>
                <w:rFonts w:ascii="宋体" w:hAnsi="宋体" w:eastAsia="宋体" w:cs="宋体"/>
                <w:sz w:val="20"/>
                <w:szCs w:val="20"/>
              </w:rPr>
            </w:pPr>
            <w:r>
              <w:rPr>
                <w:rFonts w:ascii="宋体" w:hAnsi="宋体" w:eastAsia="宋体" w:cs="宋体"/>
                <w:spacing w:val="4"/>
                <w:sz w:val="20"/>
                <w:szCs w:val="20"/>
              </w:rPr>
              <w:t>频数</w:t>
            </w:r>
          </w:p>
        </w:tc>
        <w:tc>
          <w:tcPr>
            <w:tcW w:w="942" w:type="dxa"/>
            <w:vAlign w:val="top"/>
          </w:tcPr>
          <w:p w14:paraId="47AA4CAC">
            <w:pPr>
              <w:spacing w:before="146" w:line="276" w:lineRule="auto"/>
              <w:ind w:left="152"/>
              <w:rPr>
                <w:rFonts w:ascii="宋体" w:hAnsi="宋体" w:eastAsia="宋体" w:cs="宋体"/>
                <w:sz w:val="20"/>
                <w:szCs w:val="20"/>
              </w:rPr>
            </w:pPr>
            <w:r>
              <w:rPr>
                <w:rFonts w:ascii="宋体" w:hAnsi="宋体" w:eastAsia="宋体" w:cs="宋体"/>
                <w:spacing w:val="4"/>
                <w:sz w:val="20"/>
                <w:szCs w:val="20"/>
              </w:rPr>
              <w:t>百分比</w:t>
            </w:r>
          </w:p>
        </w:tc>
      </w:tr>
      <w:tr w14:paraId="73FA7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84" w:hRule="atLeast"/>
          <w:jc w:val="center"/>
        </w:trPr>
        <w:tc>
          <w:tcPr>
            <w:tcW w:w="668" w:type="dxa"/>
            <w:vAlign w:val="top"/>
          </w:tcPr>
          <w:p w14:paraId="7DB9AD43">
            <w:pPr>
              <w:spacing w:before="140" w:line="276" w:lineRule="auto"/>
              <w:ind w:left="132"/>
              <w:rPr>
                <w:rFonts w:ascii="宋体" w:hAnsi="宋体" w:eastAsia="宋体" w:cs="宋体"/>
                <w:sz w:val="20"/>
                <w:szCs w:val="20"/>
              </w:rPr>
            </w:pPr>
            <w:r>
              <w:rPr>
                <w:rFonts w:ascii="宋体" w:hAnsi="宋体" w:eastAsia="宋体" w:cs="宋体"/>
                <w:position w:val="1"/>
                <w:sz w:val="20"/>
                <w:szCs w:val="20"/>
              </w:rPr>
              <w:t>1</w:t>
            </w:r>
          </w:p>
        </w:tc>
        <w:tc>
          <w:tcPr>
            <w:tcW w:w="1171" w:type="dxa"/>
            <w:vAlign w:val="top"/>
          </w:tcPr>
          <w:p w14:paraId="7504DCA4">
            <w:pPr>
              <w:spacing w:before="140" w:line="276" w:lineRule="auto"/>
              <w:ind w:left="158"/>
              <w:rPr>
                <w:rFonts w:ascii="宋体" w:hAnsi="宋体" w:eastAsia="宋体" w:cs="宋体"/>
                <w:sz w:val="20"/>
                <w:szCs w:val="20"/>
              </w:rPr>
            </w:pPr>
            <w:r>
              <w:rPr>
                <w:rFonts w:ascii="宋体" w:hAnsi="宋体" w:eastAsia="宋体" w:cs="宋体"/>
                <w:spacing w:val="6"/>
                <w:sz w:val="20"/>
                <w:szCs w:val="20"/>
              </w:rPr>
              <w:t>罐具消毒</w:t>
            </w:r>
          </w:p>
        </w:tc>
        <w:tc>
          <w:tcPr>
            <w:tcW w:w="5953" w:type="dxa"/>
            <w:vAlign w:val="top"/>
          </w:tcPr>
          <w:p w14:paraId="41728B49">
            <w:pPr>
              <w:spacing w:before="140" w:line="276" w:lineRule="auto"/>
              <w:ind w:left="119" w:right="57" w:hanging="5"/>
              <w:jc w:val="both"/>
              <w:rPr>
                <w:rFonts w:ascii="宋体" w:hAnsi="宋体" w:eastAsia="宋体" w:cs="宋体"/>
                <w:sz w:val="20"/>
                <w:szCs w:val="20"/>
              </w:rPr>
            </w:pPr>
            <w:r>
              <w:rPr>
                <w:rFonts w:ascii="宋体" w:hAnsi="宋体" w:eastAsia="宋体" w:cs="宋体"/>
                <w:spacing w:val="6"/>
                <w:sz w:val="20"/>
                <w:szCs w:val="20"/>
              </w:rPr>
              <w:t>A. 冲洗：将器械、器具和物品置于流动水下冲洗，</w:t>
            </w:r>
            <w:r>
              <w:rPr>
                <w:rFonts w:ascii="宋体" w:hAnsi="宋体" w:eastAsia="宋体" w:cs="宋体"/>
                <w:spacing w:val="8"/>
                <w:sz w:val="20"/>
                <w:szCs w:val="20"/>
              </w:rPr>
              <w:t>初步去除污染物。洗涤：冲洗后，应使用医用清洗</w:t>
            </w:r>
            <w:r>
              <w:rPr>
                <w:rFonts w:ascii="宋体" w:hAnsi="宋体" w:eastAsia="宋体" w:cs="宋体"/>
                <w:spacing w:val="9"/>
                <w:sz w:val="20"/>
                <w:szCs w:val="20"/>
              </w:rPr>
              <w:t>剂浸泡后刷洗、擦洗。漂洗：洗涤后，再用</w:t>
            </w:r>
            <w:r>
              <w:rPr>
                <w:rFonts w:ascii="宋体" w:hAnsi="宋体" w:eastAsia="宋体" w:cs="宋体"/>
                <w:spacing w:val="8"/>
                <w:sz w:val="20"/>
                <w:szCs w:val="20"/>
              </w:rPr>
              <w:t>流动水</w:t>
            </w:r>
            <w:r>
              <w:rPr>
                <w:rFonts w:ascii="宋体" w:hAnsi="宋体" w:eastAsia="宋体" w:cs="宋体"/>
                <w:spacing w:val="5"/>
                <w:sz w:val="20"/>
                <w:szCs w:val="20"/>
              </w:rPr>
              <w:t>冲洗或刷洗。终末漂洗：应采用电导率≤</w:t>
            </w:r>
            <w:r>
              <w:rPr>
                <w:rFonts w:ascii="Times New Roman" w:hAnsi="Times New Roman" w:eastAsia="Times New Roman" w:cs="Times New Roman"/>
                <w:spacing w:val="5"/>
                <w:sz w:val="20"/>
                <w:szCs w:val="20"/>
              </w:rPr>
              <w:t xml:space="preserve">15 </w:t>
            </w:r>
            <w:r>
              <w:rPr>
                <w:rFonts w:ascii="宋体" w:hAnsi="宋体" w:eastAsia="宋体" w:cs="宋体"/>
                <w:spacing w:val="5"/>
                <w:sz w:val="20"/>
                <w:szCs w:val="20"/>
              </w:rPr>
              <w:t>μ</w:t>
            </w:r>
            <w:r>
              <w:rPr>
                <w:rFonts w:ascii="Times New Roman" w:hAnsi="Times New Roman" w:eastAsia="Times New Roman" w:cs="Times New Roman"/>
                <w:spacing w:val="5"/>
                <w:sz w:val="20"/>
                <w:szCs w:val="20"/>
              </w:rPr>
              <w:t>S/</w:t>
            </w:r>
            <w:r>
              <w:rPr>
                <w:rFonts w:ascii="Times New Roman" w:hAnsi="Times New Roman" w:eastAsia="Times New Roman" w:cs="Times New Roman"/>
                <w:sz w:val="20"/>
                <w:szCs w:val="20"/>
              </w:rPr>
              <w:t>cm</w:t>
            </w:r>
            <w:r>
              <w:rPr>
                <w:rFonts w:ascii="Times New Roman" w:hAnsi="Times New Roman" w:eastAsia="Times New Roman" w:cs="Times New Roman"/>
                <w:spacing w:val="5"/>
                <w:sz w:val="20"/>
                <w:szCs w:val="20"/>
              </w:rPr>
              <w:t xml:space="preserve"> </w:t>
            </w:r>
            <w:r>
              <w:rPr>
                <w:rFonts w:ascii="宋体" w:hAnsi="宋体" w:eastAsia="宋体" w:cs="宋体"/>
                <w:spacing w:val="7"/>
                <w:sz w:val="20"/>
                <w:szCs w:val="20"/>
              </w:rPr>
              <w:t>（</w:t>
            </w:r>
            <w:r>
              <w:rPr>
                <w:rFonts w:ascii="Times New Roman" w:hAnsi="Times New Roman" w:eastAsia="Times New Roman" w:cs="Times New Roman"/>
                <w:spacing w:val="7"/>
                <w:sz w:val="20"/>
                <w:szCs w:val="20"/>
              </w:rPr>
              <w:t>25</w:t>
            </w:r>
            <w:r>
              <w:rPr>
                <w:rFonts w:ascii="Times New Roman" w:hAnsi="Times New Roman" w:eastAsia="Times New Roman" w:cs="Times New Roman"/>
                <w:spacing w:val="-5"/>
                <w:sz w:val="20"/>
                <w:szCs w:val="20"/>
              </w:rPr>
              <w:t xml:space="preserve"> </w:t>
            </w:r>
            <w:r>
              <w:rPr>
                <w:rFonts w:ascii="宋体" w:hAnsi="宋体" w:eastAsia="宋体" w:cs="宋体"/>
                <w:spacing w:val="7"/>
                <w:sz w:val="20"/>
                <w:szCs w:val="20"/>
              </w:rPr>
              <w:t>°</w:t>
            </w:r>
            <w:r>
              <w:rPr>
                <w:rFonts w:ascii="Times New Roman" w:hAnsi="Times New Roman" w:eastAsia="Times New Roman" w:cs="Times New Roman"/>
                <w:spacing w:val="7"/>
                <w:sz w:val="20"/>
                <w:szCs w:val="20"/>
              </w:rPr>
              <w:t>C</w:t>
            </w:r>
            <w:r>
              <w:rPr>
                <w:rFonts w:ascii="宋体" w:hAnsi="宋体" w:eastAsia="宋体" w:cs="宋体"/>
                <w:spacing w:val="7"/>
                <w:sz w:val="20"/>
                <w:szCs w:val="20"/>
              </w:rPr>
              <w:t>）的水进行漂洗。注意事项：手工清洗时</w:t>
            </w:r>
            <w:r>
              <w:rPr>
                <w:rFonts w:ascii="宋体" w:hAnsi="宋体" w:eastAsia="宋体" w:cs="宋体"/>
                <w:spacing w:val="6"/>
                <w:sz w:val="20"/>
                <w:szCs w:val="20"/>
              </w:rPr>
              <w:t>水温宜为</w:t>
            </w:r>
            <w:r>
              <w:rPr>
                <w:rFonts w:ascii="宋体" w:hAnsi="宋体" w:eastAsia="宋体" w:cs="宋体"/>
                <w:spacing w:val="-17"/>
                <w:sz w:val="20"/>
                <w:szCs w:val="20"/>
              </w:rPr>
              <w:t xml:space="preserve"> </w:t>
            </w:r>
            <w:r>
              <w:rPr>
                <w:rFonts w:ascii="Times New Roman" w:hAnsi="Times New Roman" w:eastAsia="Times New Roman" w:cs="Times New Roman"/>
                <w:spacing w:val="6"/>
                <w:sz w:val="20"/>
                <w:szCs w:val="20"/>
              </w:rPr>
              <w:t>15</w:t>
            </w:r>
            <w:r>
              <w:rPr>
                <w:rFonts w:ascii="宋体" w:hAnsi="宋体" w:eastAsia="宋体" w:cs="宋体"/>
                <w:spacing w:val="6"/>
                <w:sz w:val="20"/>
                <w:szCs w:val="20"/>
              </w:rPr>
              <w:t>℃</w:t>
            </w:r>
            <w:r>
              <w:rPr>
                <w:rFonts w:ascii="Times New Roman" w:hAnsi="Times New Roman" w:eastAsia="Times New Roman" w:cs="Times New Roman"/>
                <w:spacing w:val="6"/>
                <w:sz w:val="20"/>
                <w:szCs w:val="20"/>
              </w:rPr>
              <w:t>~30</w:t>
            </w:r>
            <w:r>
              <w:rPr>
                <w:rFonts w:ascii="宋体" w:hAnsi="宋体" w:eastAsia="宋体" w:cs="宋体"/>
                <w:spacing w:val="6"/>
                <w:sz w:val="20"/>
                <w:szCs w:val="20"/>
              </w:rPr>
              <w:t>℃</w:t>
            </w:r>
            <w:r>
              <w:rPr>
                <w:rFonts w:ascii="宋体" w:hAnsi="宋体" w:eastAsia="宋体" w:cs="宋体"/>
                <w:spacing w:val="-70"/>
                <w:sz w:val="20"/>
                <w:szCs w:val="20"/>
              </w:rPr>
              <w:t xml:space="preserve"> </w:t>
            </w:r>
            <w:r>
              <w:rPr>
                <w:rFonts w:ascii="宋体" w:hAnsi="宋体" w:eastAsia="宋体" w:cs="宋体"/>
                <w:spacing w:val="6"/>
                <w:sz w:val="20"/>
                <w:szCs w:val="20"/>
              </w:rPr>
              <w:t>。去除干涸的污渍应先用医用</w:t>
            </w:r>
            <w:r>
              <w:rPr>
                <w:rFonts w:ascii="宋体" w:hAnsi="宋体" w:eastAsia="宋体" w:cs="宋体"/>
                <w:spacing w:val="9"/>
                <w:sz w:val="20"/>
                <w:szCs w:val="20"/>
              </w:rPr>
              <w:t>清洗剂浸泡，再刷洗或擦洗。有锈迹，应除</w:t>
            </w:r>
            <w:r>
              <w:rPr>
                <w:rFonts w:ascii="宋体" w:hAnsi="宋体" w:eastAsia="宋体" w:cs="宋体"/>
                <w:spacing w:val="8"/>
                <w:sz w:val="20"/>
                <w:szCs w:val="20"/>
              </w:rPr>
              <w:t>锈。刷</w:t>
            </w:r>
            <w:r>
              <w:rPr>
                <w:rFonts w:ascii="宋体" w:hAnsi="宋体" w:eastAsia="宋体" w:cs="宋体"/>
                <w:spacing w:val="9"/>
                <w:sz w:val="20"/>
                <w:szCs w:val="20"/>
              </w:rPr>
              <w:t>洗操作应在水面下进行，防止产生气溶胶。</w:t>
            </w:r>
            <w:r>
              <w:rPr>
                <w:rFonts w:ascii="宋体" w:hAnsi="宋体" w:eastAsia="宋体" w:cs="宋体"/>
                <w:spacing w:val="8"/>
                <w:sz w:val="20"/>
                <w:szCs w:val="20"/>
              </w:rPr>
              <w:t>器械可拆卸的部分应拆开后清洗。管腔器械宜先选用合适的清洗刷清洗内腔，再用压力水枪冲洗。不应使用</w:t>
            </w:r>
            <w:r>
              <w:rPr>
                <w:rFonts w:ascii="宋体" w:hAnsi="宋体" w:eastAsia="宋体" w:cs="宋体"/>
                <w:spacing w:val="9"/>
                <w:sz w:val="20"/>
                <w:szCs w:val="20"/>
              </w:rPr>
              <w:t>研磨型清洗材料和用具用于器械处理，应选</w:t>
            </w:r>
            <w:r>
              <w:rPr>
                <w:rFonts w:ascii="宋体" w:hAnsi="宋体" w:eastAsia="宋体" w:cs="宋体"/>
                <w:spacing w:val="8"/>
                <w:sz w:val="20"/>
                <w:szCs w:val="20"/>
              </w:rPr>
              <w:t>用与器械材质相匹配的刷洗用具和用品。（出处：中华人</w:t>
            </w:r>
            <w:r>
              <w:rPr>
                <w:rFonts w:ascii="宋体" w:hAnsi="宋体" w:eastAsia="宋体" w:cs="宋体"/>
                <w:spacing w:val="7"/>
                <w:sz w:val="20"/>
                <w:szCs w:val="20"/>
              </w:rPr>
              <w:t xml:space="preserve">民共和国卫生行业标准  </w:t>
            </w:r>
            <w:r>
              <w:rPr>
                <w:rFonts w:ascii="Times New Roman" w:hAnsi="Times New Roman" w:eastAsia="Times New Roman" w:cs="Times New Roman"/>
                <w:sz w:val="20"/>
                <w:szCs w:val="20"/>
              </w:rPr>
              <w:t>WS</w:t>
            </w:r>
            <w:r>
              <w:rPr>
                <w:rFonts w:ascii="Times New Roman" w:hAnsi="Times New Roman" w:eastAsia="Times New Roman" w:cs="Times New Roman"/>
                <w:spacing w:val="7"/>
                <w:sz w:val="20"/>
                <w:szCs w:val="20"/>
              </w:rPr>
              <w:t xml:space="preserve">310.2--2016  </w:t>
            </w:r>
            <w:r>
              <w:rPr>
                <w:rFonts w:ascii="宋体" w:hAnsi="宋体" w:eastAsia="宋体" w:cs="宋体"/>
                <w:spacing w:val="7"/>
                <w:sz w:val="20"/>
                <w:szCs w:val="20"/>
              </w:rPr>
              <w:t>《医院消</w:t>
            </w:r>
            <w:r>
              <w:rPr>
                <w:rFonts w:ascii="宋体" w:hAnsi="宋体" w:eastAsia="宋体" w:cs="宋体"/>
                <w:spacing w:val="8"/>
                <w:sz w:val="20"/>
                <w:szCs w:val="20"/>
              </w:rPr>
              <w:t>毒供应中心 第</w:t>
            </w:r>
            <w:r>
              <w:rPr>
                <w:rFonts w:ascii="宋体" w:hAnsi="宋体" w:eastAsia="宋体" w:cs="宋体"/>
                <w:spacing w:val="-31"/>
                <w:sz w:val="20"/>
                <w:szCs w:val="20"/>
              </w:rPr>
              <w:t xml:space="preserve"> </w:t>
            </w:r>
            <w:r>
              <w:rPr>
                <w:rFonts w:ascii="Times New Roman" w:hAnsi="Times New Roman" w:eastAsia="Times New Roman" w:cs="Times New Roman"/>
                <w:spacing w:val="8"/>
                <w:sz w:val="20"/>
                <w:szCs w:val="20"/>
              </w:rPr>
              <w:t xml:space="preserve">2 </w:t>
            </w:r>
            <w:r>
              <w:rPr>
                <w:rFonts w:ascii="宋体" w:hAnsi="宋体" w:eastAsia="宋体" w:cs="宋体"/>
                <w:spacing w:val="8"/>
                <w:sz w:val="20"/>
                <w:szCs w:val="20"/>
              </w:rPr>
              <w:t>部分：清洗消毒及灭菌技术操作</w:t>
            </w:r>
            <w:r>
              <w:rPr>
                <w:rFonts w:ascii="宋体" w:hAnsi="宋体" w:eastAsia="宋体" w:cs="宋体"/>
                <w:spacing w:val="3"/>
                <w:sz w:val="20"/>
                <w:szCs w:val="20"/>
              </w:rPr>
              <w:t>规范》）</w:t>
            </w:r>
          </w:p>
        </w:tc>
        <w:tc>
          <w:tcPr>
            <w:tcW w:w="633" w:type="dxa"/>
            <w:vAlign w:val="top"/>
          </w:tcPr>
          <w:p w14:paraId="418AC2EF">
            <w:pPr>
              <w:spacing w:before="140" w:line="276" w:lineRule="auto"/>
              <w:ind w:left="129"/>
              <w:rPr>
                <w:rFonts w:ascii="宋体" w:hAnsi="宋体" w:eastAsia="宋体" w:cs="宋体"/>
                <w:sz w:val="20"/>
                <w:szCs w:val="20"/>
              </w:rPr>
            </w:pPr>
            <w:r>
              <w:rPr>
                <w:rFonts w:ascii="宋体" w:hAnsi="宋体" w:eastAsia="宋体" w:cs="宋体"/>
                <w:spacing w:val="-7"/>
                <w:position w:val="1"/>
                <w:sz w:val="20"/>
                <w:szCs w:val="20"/>
              </w:rPr>
              <w:t>14</w:t>
            </w:r>
          </w:p>
        </w:tc>
        <w:tc>
          <w:tcPr>
            <w:tcW w:w="942" w:type="dxa"/>
            <w:vAlign w:val="top"/>
          </w:tcPr>
          <w:p w14:paraId="28D82D24">
            <w:pPr>
              <w:spacing w:before="140" w:line="276" w:lineRule="auto"/>
              <w:ind w:left="143"/>
              <w:rPr>
                <w:rFonts w:ascii="宋体" w:hAnsi="宋体" w:eastAsia="宋体" w:cs="宋体"/>
                <w:sz w:val="20"/>
                <w:szCs w:val="20"/>
              </w:rPr>
            </w:pPr>
            <w:r>
              <w:rPr>
                <w:rFonts w:ascii="宋体" w:hAnsi="宋体" w:eastAsia="宋体" w:cs="宋体"/>
                <w:spacing w:val="3"/>
                <w:position w:val="1"/>
                <w:sz w:val="20"/>
                <w:szCs w:val="20"/>
              </w:rPr>
              <w:t>47.00%</w:t>
            </w:r>
          </w:p>
        </w:tc>
      </w:tr>
      <w:tr w14:paraId="128A8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6" w:hRule="atLeast"/>
          <w:jc w:val="center"/>
        </w:trPr>
        <w:tc>
          <w:tcPr>
            <w:tcW w:w="668" w:type="dxa"/>
            <w:vMerge w:val="restart"/>
            <w:vAlign w:val="top"/>
          </w:tcPr>
          <w:p w14:paraId="12E5CDE9">
            <w:pPr>
              <w:spacing w:before="156" w:line="276" w:lineRule="auto"/>
              <w:ind w:left="119"/>
              <w:rPr>
                <w:rFonts w:ascii="宋体" w:hAnsi="宋体" w:eastAsia="宋体" w:cs="宋体"/>
                <w:sz w:val="20"/>
                <w:szCs w:val="20"/>
              </w:rPr>
            </w:pPr>
            <w:r>
              <w:rPr>
                <w:rFonts w:ascii="宋体" w:hAnsi="宋体" w:eastAsia="宋体" w:cs="宋体"/>
                <w:position w:val="1"/>
                <w:sz w:val="20"/>
                <w:szCs w:val="20"/>
              </w:rPr>
              <w:t>2</w:t>
            </w:r>
          </w:p>
        </w:tc>
        <w:tc>
          <w:tcPr>
            <w:tcW w:w="1171" w:type="dxa"/>
            <w:vAlign w:val="top"/>
          </w:tcPr>
          <w:p w14:paraId="7AB4E3F5">
            <w:pPr>
              <w:spacing w:before="156" w:line="276" w:lineRule="auto"/>
              <w:jc w:val="right"/>
              <w:rPr>
                <w:rFonts w:ascii="宋体" w:hAnsi="宋体" w:eastAsia="宋体" w:cs="宋体"/>
                <w:sz w:val="20"/>
                <w:szCs w:val="20"/>
              </w:rPr>
            </w:pPr>
            <w:r>
              <w:rPr>
                <w:rFonts w:ascii="宋体" w:hAnsi="宋体" w:eastAsia="宋体" w:cs="宋体"/>
                <w:spacing w:val="-9"/>
                <w:sz w:val="20"/>
                <w:szCs w:val="20"/>
              </w:rPr>
              <w:t>“角罐</w:t>
            </w:r>
            <w:r>
              <w:rPr>
                <w:rFonts w:ascii="宋体" w:hAnsi="宋体" w:eastAsia="宋体" w:cs="宋体"/>
                <w:spacing w:val="-67"/>
                <w:sz w:val="20"/>
                <w:szCs w:val="20"/>
              </w:rPr>
              <w:t xml:space="preserve"> </w:t>
            </w:r>
            <w:r>
              <w:rPr>
                <w:rFonts w:ascii="宋体" w:hAnsi="宋体" w:eastAsia="宋体" w:cs="宋体"/>
                <w:spacing w:val="-9"/>
                <w:sz w:val="20"/>
                <w:szCs w:val="20"/>
              </w:rPr>
              <w:t>”、</w:t>
            </w:r>
          </w:p>
          <w:p w14:paraId="336BC141">
            <w:pPr>
              <w:spacing w:before="155" w:line="276" w:lineRule="auto"/>
              <w:ind w:left="146" w:right="34"/>
              <w:rPr>
                <w:rFonts w:ascii="宋体" w:hAnsi="宋体" w:eastAsia="宋体" w:cs="宋体"/>
                <w:sz w:val="20"/>
                <w:szCs w:val="20"/>
              </w:rPr>
            </w:pPr>
            <w:r>
              <w:rPr>
                <w:rFonts w:ascii="宋体" w:hAnsi="宋体" w:eastAsia="宋体" w:cs="宋体"/>
                <w:spacing w:val="-9"/>
                <w:sz w:val="20"/>
                <w:szCs w:val="20"/>
              </w:rPr>
              <w:t>“竹罐</w:t>
            </w:r>
            <w:r>
              <w:rPr>
                <w:rFonts w:ascii="宋体" w:hAnsi="宋体" w:eastAsia="宋体" w:cs="宋体"/>
                <w:spacing w:val="-67"/>
                <w:sz w:val="20"/>
                <w:szCs w:val="20"/>
              </w:rPr>
              <w:t xml:space="preserve"> </w:t>
            </w:r>
            <w:r>
              <w:rPr>
                <w:rFonts w:ascii="宋体" w:hAnsi="宋体" w:eastAsia="宋体" w:cs="宋体"/>
                <w:spacing w:val="-9"/>
                <w:sz w:val="20"/>
                <w:szCs w:val="20"/>
              </w:rPr>
              <w:t>”、</w:t>
            </w:r>
            <w:r>
              <w:rPr>
                <w:rFonts w:ascii="宋体" w:hAnsi="宋体" w:eastAsia="宋体" w:cs="宋体"/>
                <w:sz w:val="20"/>
                <w:szCs w:val="20"/>
              </w:rPr>
              <w:t xml:space="preserve"> “</w:t>
            </w:r>
            <w:r>
              <w:rPr>
                <w:rFonts w:ascii="宋体" w:hAnsi="宋体" w:eastAsia="宋体" w:cs="宋体"/>
                <w:spacing w:val="65"/>
                <w:sz w:val="20"/>
                <w:szCs w:val="20"/>
              </w:rPr>
              <w:t xml:space="preserve"> </w:t>
            </w:r>
            <w:r>
              <w:rPr>
                <w:rFonts w:ascii="宋体" w:hAnsi="宋体" w:eastAsia="宋体" w:cs="宋体"/>
                <w:sz w:val="20"/>
                <w:szCs w:val="20"/>
              </w:rPr>
              <w:t>陶</w:t>
            </w:r>
            <w:r>
              <w:rPr>
                <w:rFonts w:ascii="宋体" w:hAnsi="宋体" w:eastAsia="宋体" w:cs="宋体"/>
                <w:spacing w:val="57"/>
                <w:sz w:val="20"/>
                <w:szCs w:val="20"/>
              </w:rPr>
              <w:t xml:space="preserve"> </w:t>
            </w:r>
            <w:r>
              <w:rPr>
                <w:rFonts w:ascii="宋体" w:hAnsi="宋体" w:eastAsia="宋体" w:cs="宋体"/>
                <w:sz w:val="20"/>
                <w:szCs w:val="20"/>
              </w:rPr>
              <w:t>瓷</w:t>
            </w:r>
          </w:p>
        </w:tc>
        <w:tc>
          <w:tcPr>
            <w:tcW w:w="5953" w:type="dxa"/>
            <w:vAlign w:val="top"/>
          </w:tcPr>
          <w:p w14:paraId="5BACDBBD">
            <w:pPr>
              <w:spacing w:before="67" w:line="276" w:lineRule="auto"/>
              <w:ind w:left="114"/>
              <w:rPr>
                <w:rFonts w:ascii="宋体" w:hAnsi="宋体" w:eastAsia="宋体" w:cs="宋体"/>
                <w:sz w:val="20"/>
                <w:szCs w:val="20"/>
              </w:rPr>
            </w:pPr>
            <w:r>
              <w:rPr>
                <w:rFonts w:ascii="宋体" w:hAnsi="宋体" w:eastAsia="宋体" w:cs="宋体"/>
                <w:spacing w:val="8"/>
                <w:sz w:val="20"/>
                <w:szCs w:val="20"/>
              </w:rPr>
              <w:t xml:space="preserve">A. </w:t>
            </w:r>
            <w:r>
              <w:rPr>
                <w:rFonts w:ascii="宋体" w:hAnsi="宋体" w:eastAsia="宋体" w:cs="宋体"/>
                <w:b/>
                <w:bCs/>
                <w:spacing w:val="8"/>
                <w:sz w:val="20"/>
                <w:szCs w:val="20"/>
              </w:rPr>
              <w:t>角罐</w:t>
            </w:r>
            <w:r>
              <w:rPr>
                <w:rFonts w:ascii="宋体" w:hAnsi="宋体" w:eastAsia="宋体" w:cs="宋体"/>
                <w:spacing w:val="8"/>
                <w:sz w:val="20"/>
                <w:szCs w:val="20"/>
              </w:rPr>
              <w:t xml:space="preserve">  用牛角或羊角加工制成的罐具。</w:t>
            </w:r>
          </w:p>
          <w:p w14:paraId="715252C1">
            <w:pPr>
              <w:spacing w:before="67" w:line="276" w:lineRule="auto"/>
              <w:ind w:left="120" w:right="110"/>
              <w:rPr>
                <w:rFonts w:ascii="宋体" w:hAnsi="宋体" w:eastAsia="宋体" w:cs="宋体"/>
                <w:sz w:val="20"/>
                <w:szCs w:val="20"/>
              </w:rPr>
            </w:pPr>
            <w:r>
              <w:rPr>
                <w:rFonts w:ascii="宋体" w:hAnsi="宋体" w:eastAsia="宋体" w:cs="宋体"/>
                <w:b/>
                <w:bCs/>
                <w:spacing w:val="8"/>
                <w:sz w:val="20"/>
                <w:szCs w:val="20"/>
              </w:rPr>
              <w:t>竹罐</w:t>
            </w:r>
            <w:r>
              <w:rPr>
                <w:rFonts w:ascii="宋体" w:hAnsi="宋体" w:eastAsia="宋体" w:cs="宋体"/>
                <w:spacing w:val="8"/>
                <w:sz w:val="20"/>
                <w:szCs w:val="20"/>
              </w:rPr>
              <w:t xml:space="preserve">  由成熟的竹子制成。其优点是轻巧，价廉，取材容易，制作简单且有耐煮的特性；缺点是容易爆裂漏气，且质地不透明，难以观察罐内皮肤的变</w:t>
            </w:r>
          </w:p>
        </w:tc>
        <w:tc>
          <w:tcPr>
            <w:tcW w:w="633" w:type="dxa"/>
            <w:vAlign w:val="top"/>
          </w:tcPr>
          <w:p w14:paraId="600D986C">
            <w:pPr>
              <w:spacing w:before="156" w:line="276" w:lineRule="auto"/>
              <w:ind w:left="129"/>
              <w:rPr>
                <w:rFonts w:ascii="宋体" w:hAnsi="宋体" w:eastAsia="宋体" w:cs="宋体"/>
                <w:sz w:val="20"/>
                <w:szCs w:val="20"/>
              </w:rPr>
            </w:pPr>
            <w:r>
              <w:rPr>
                <w:rFonts w:ascii="宋体" w:hAnsi="宋体" w:eastAsia="宋体" w:cs="宋体"/>
                <w:spacing w:val="-7"/>
                <w:position w:val="1"/>
                <w:sz w:val="20"/>
                <w:szCs w:val="20"/>
              </w:rPr>
              <w:t>15</w:t>
            </w:r>
          </w:p>
        </w:tc>
        <w:tc>
          <w:tcPr>
            <w:tcW w:w="942" w:type="dxa"/>
            <w:vAlign w:val="top"/>
          </w:tcPr>
          <w:p w14:paraId="125AA6C5">
            <w:pPr>
              <w:spacing w:before="156" w:line="276" w:lineRule="auto"/>
              <w:ind w:left="148"/>
              <w:rPr>
                <w:rFonts w:ascii="宋体" w:hAnsi="宋体" w:eastAsia="宋体" w:cs="宋体"/>
                <w:sz w:val="20"/>
                <w:szCs w:val="20"/>
              </w:rPr>
            </w:pPr>
            <w:r>
              <w:rPr>
                <w:rFonts w:ascii="宋体" w:hAnsi="宋体" w:eastAsia="宋体" w:cs="宋体"/>
                <w:spacing w:val="2"/>
                <w:position w:val="1"/>
                <w:sz w:val="20"/>
                <w:szCs w:val="20"/>
              </w:rPr>
              <w:t>50.00%</w:t>
            </w:r>
          </w:p>
        </w:tc>
      </w:tr>
      <w:tr w14:paraId="70BD7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6" w:hRule="atLeast"/>
          <w:jc w:val="center"/>
        </w:trPr>
        <w:tc>
          <w:tcPr>
            <w:tcW w:w="668" w:type="dxa"/>
            <w:vMerge w:val="continue"/>
            <w:vAlign w:val="top"/>
          </w:tcPr>
          <w:p w14:paraId="0D77C7BA">
            <w:pPr>
              <w:spacing w:line="276" w:lineRule="auto"/>
              <w:rPr>
                <w:rFonts w:ascii="Arial"/>
                <w:sz w:val="21"/>
              </w:rPr>
            </w:pPr>
          </w:p>
        </w:tc>
        <w:tc>
          <w:tcPr>
            <w:tcW w:w="1171" w:type="dxa"/>
            <w:vAlign w:val="top"/>
          </w:tcPr>
          <w:p w14:paraId="04352674">
            <w:pPr>
              <w:spacing w:before="111" w:line="276" w:lineRule="auto"/>
              <w:ind w:left="156" w:right="105" w:firstLine="1"/>
              <w:rPr>
                <w:rFonts w:ascii="宋体" w:hAnsi="宋体" w:eastAsia="宋体" w:cs="宋体"/>
                <w:sz w:val="20"/>
                <w:szCs w:val="20"/>
              </w:rPr>
            </w:pPr>
            <w:r>
              <w:rPr>
                <w:rFonts w:ascii="宋体" w:hAnsi="宋体" w:eastAsia="宋体" w:cs="宋体"/>
                <w:spacing w:val="-25"/>
                <w:sz w:val="20"/>
                <w:szCs w:val="20"/>
              </w:rPr>
              <w:t>罐</w:t>
            </w:r>
            <w:r>
              <w:rPr>
                <w:rFonts w:ascii="宋体" w:hAnsi="宋体" w:eastAsia="宋体" w:cs="宋体"/>
                <w:spacing w:val="-69"/>
                <w:sz w:val="20"/>
                <w:szCs w:val="20"/>
              </w:rPr>
              <w:t xml:space="preserve"> </w:t>
            </w:r>
            <w:r>
              <w:rPr>
                <w:rFonts w:ascii="宋体" w:hAnsi="宋体" w:eastAsia="宋体" w:cs="宋体"/>
                <w:spacing w:val="-25"/>
                <w:sz w:val="20"/>
                <w:szCs w:val="20"/>
              </w:rPr>
              <w:t>”、“玻</w:t>
            </w:r>
            <w:r>
              <w:rPr>
                <w:rFonts w:ascii="宋体" w:hAnsi="宋体" w:eastAsia="宋体" w:cs="宋体"/>
                <w:spacing w:val="9"/>
                <w:sz w:val="20"/>
                <w:szCs w:val="20"/>
              </w:rPr>
              <w:t>璃罐</w:t>
            </w:r>
            <w:r>
              <w:rPr>
                <w:rFonts w:ascii="宋体" w:hAnsi="宋体" w:eastAsia="宋体" w:cs="宋体"/>
                <w:spacing w:val="-44"/>
                <w:sz w:val="20"/>
                <w:szCs w:val="20"/>
              </w:rPr>
              <w:t xml:space="preserve"> </w:t>
            </w:r>
            <w:r>
              <w:rPr>
                <w:rFonts w:ascii="宋体" w:hAnsi="宋体" w:eastAsia="宋体" w:cs="宋体"/>
                <w:spacing w:val="9"/>
                <w:sz w:val="20"/>
                <w:szCs w:val="20"/>
              </w:rPr>
              <w:t>”、</w:t>
            </w:r>
          </w:p>
        </w:tc>
        <w:tc>
          <w:tcPr>
            <w:tcW w:w="5953" w:type="dxa"/>
            <w:vAlign w:val="top"/>
          </w:tcPr>
          <w:p w14:paraId="2767D552">
            <w:pPr>
              <w:spacing w:before="70" w:line="276" w:lineRule="auto"/>
              <w:ind w:left="121" w:right="112"/>
              <w:jc w:val="both"/>
              <w:rPr>
                <w:rFonts w:ascii="宋体" w:hAnsi="宋体" w:eastAsia="宋体" w:cs="宋体"/>
                <w:sz w:val="20"/>
                <w:szCs w:val="20"/>
              </w:rPr>
            </w:pPr>
            <w:r>
              <w:rPr>
                <w:rFonts w:ascii="宋体" w:hAnsi="宋体" w:eastAsia="宋体" w:cs="宋体"/>
                <w:spacing w:val="8"/>
                <w:sz w:val="20"/>
                <w:szCs w:val="20"/>
              </w:rPr>
              <w:t>化情况。竹罐容易吸附药物，在煮药罐法中常用，可根据不同的疾病使用不同的药物煮罐，以提高疗</w:t>
            </w:r>
            <w:r>
              <w:rPr>
                <w:rFonts w:ascii="宋体" w:hAnsi="宋体" w:eastAsia="宋体" w:cs="宋体"/>
                <w:spacing w:val="-1"/>
                <w:sz w:val="20"/>
                <w:szCs w:val="20"/>
              </w:rPr>
              <w:t>效。</w:t>
            </w:r>
          </w:p>
        </w:tc>
        <w:tc>
          <w:tcPr>
            <w:tcW w:w="633" w:type="dxa"/>
            <w:vAlign w:val="top"/>
          </w:tcPr>
          <w:p w14:paraId="0CF1F4C7">
            <w:pPr>
              <w:spacing w:line="276" w:lineRule="auto"/>
              <w:rPr>
                <w:rFonts w:ascii="Arial"/>
                <w:sz w:val="21"/>
              </w:rPr>
            </w:pPr>
          </w:p>
        </w:tc>
        <w:tc>
          <w:tcPr>
            <w:tcW w:w="942" w:type="dxa"/>
            <w:vAlign w:val="top"/>
          </w:tcPr>
          <w:p w14:paraId="23FC5CB5">
            <w:pPr>
              <w:spacing w:line="276" w:lineRule="auto"/>
              <w:rPr>
                <w:rFonts w:ascii="Arial"/>
                <w:sz w:val="21"/>
              </w:rPr>
            </w:pPr>
          </w:p>
        </w:tc>
      </w:tr>
      <w:tr w14:paraId="06200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0" w:hRule="atLeast"/>
          <w:jc w:val="center"/>
        </w:trPr>
        <w:tc>
          <w:tcPr>
            <w:tcW w:w="668" w:type="dxa"/>
            <w:vMerge w:val="continue"/>
            <w:vAlign w:val="top"/>
          </w:tcPr>
          <w:p w14:paraId="0B0A66F2">
            <w:pPr>
              <w:spacing w:line="276" w:lineRule="auto"/>
              <w:rPr>
                <w:rFonts w:ascii="Arial"/>
                <w:sz w:val="21"/>
              </w:rPr>
            </w:pPr>
          </w:p>
        </w:tc>
        <w:tc>
          <w:tcPr>
            <w:tcW w:w="1171" w:type="dxa"/>
            <w:vAlign w:val="top"/>
          </w:tcPr>
          <w:p w14:paraId="1F978C14">
            <w:pPr>
              <w:spacing w:before="25" w:line="276" w:lineRule="auto"/>
              <w:ind w:left="157" w:right="105" w:hanging="11"/>
              <w:rPr>
                <w:rFonts w:ascii="宋体" w:hAnsi="宋体" w:eastAsia="宋体" w:cs="宋体"/>
                <w:sz w:val="20"/>
                <w:szCs w:val="20"/>
              </w:rPr>
            </w:pPr>
            <w:r>
              <w:rPr>
                <w:rFonts w:ascii="宋体" w:hAnsi="宋体" w:eastAsia="宋体" w:cs="宋体"/>
                <w:spacing w:val="3"/>
                <w:sz w:val="20"/>
                <w:szCs w:val="20"/>
              </w:rPr>
              <w:t>“</w:t>
            </w:r>
            <w:r>
              <w:rPr>
                <w:rFonts w:ascii="宋体" w:hAnsi="宋体" w:eastAsia="宋体" w:cs="宋体"/>
                <w:spacing w:val="56"/>
                <w:sz w:val="20"/>
                <w:szCs w:val="20"/>
              </w:rPr>
              <w:t xml:space="preserve"> </w:t>
            </w:r>
            <w:r>
              <w:rPr>
                <w:rFonts w:ascii="宋体" w:hAnsi="宋体" w:eastAsia="宋体" w:cs="宋体"/>
                <w:spacing w:val="3"/>
                <w:sz w:val="20"/>
                <w:szCs w:val="20"/>
              </w:rPr>
              <w:t>金</w:t>
            </w:r>
            <w:r>
              <w:rPr>
                <w:rFonts w:ascii="宋体" w:hAnsi="宋体" w:eastAsia="宋体" w:cs="宋体"/>
                <w:spacing w:val="53"/>
                <w:sz w:val="20"/>
                <w:szCs w:val="20"/>
              </w:rPr>
              <w:t xml:space="preserve"> </w:t>
            </w:r>
            <w:r>
              <w:rPr>
                <w:rFonts w:ascii="宋体" w:hAnsi="宋体" w:eastAsia="宋体" w:cs="宋体"/>
                <w:spacing w:val="3"/>
                <w:sz w:val="20"/>
                <w:szCs w:val="20"/>
              </w:rPr>
              <w:t>属</w:t>
            </w:r>
            <w:r>
              <w:rPr>
                <w:rFonts w:ascii="宋体" w:hAnsi="宋体" w:eastAsia="宋体" w:cs="宋体"/>
                <w:spacing w:val="-25"/>
                <w:sz w:val="20"/>
                <w:szCs w:val="20"/>
              </w:rPr>
              <w:t>罐</w:t>
            </w:r>
            <w:r>
              <w:rPr>
                <w:rFonts w:ascii="宋体" w:hAnsi="宋体" w:eastAsia="宋体" w:cs="宋体"/>
                <w:spacing w:val="-69"/>
                <w:sz w:val="20"/>
                <w:szCs w:val="20"/>
              </w:rPr>
              <w:t xml:space="preserve"> </w:t>
            </w:r>
            <w:r>
              <w:rPr>
                <w:rFonts w:ascii="宋体" w:hAnsi="宋体" w:eastAsia="宋体" w:cs="宋体"/>
                <w:spacing w:val="-25"/>
                <w:sz w:val="20"/>
                <w:szCs w:val="20"/>
              </w:rPr>
              <w:t>”、“橡</w:t>
            </w:r>
          </w:p>
        </w:tc>
        <w:tc>
          <w:tcPr>
            <w:tcW w:w="5953" w:type="dxa"/>
            <w:vAlign w:val="top"/>
          </w:tcPr>
          <w:p w14:paraId="2F776BFA">
            <w:pPr>
              <w:spacing w:before="120" w:line="276" w:lineRule="auto"/>
              <w:ind w:left="152" w:right="57" w:hanging="20"/>
              <w:rPr>
                <w:rFonts w:ascii="宋体" w:hAnsi="宋体" w:eastAsia="宋体" w:cs="宋体"/>
                <w:sz w:val="20"/>
                <w:szCs w:val="20"/>
              </w:rPr>
            </w:pPr>
            <w:r>
              <w:rPr>
                <w:rFonts w:ascii="宋体" w:hAnsi="宋体" w:eastAsia="宋体" w:cs="宋体"/>
                <w:b/>
                <w:bCs/>
                <w:spacing w:val="1"/>
                <w:sz w:val="20"/>
                <w:szCs w:val="20"/>
              </w:rPr>
              <w:t>陶罐</w:t>
            </w:r>
            <w:r>
              <w:rPr>
                <w:rFonts w:ascii="宋体" w:hAnsi="宋体" w:eastAsia="宋体" w:cs="宋体"/>
                <w:spacing w:val="1"/>
                <w:sz w:val="20"/>
                <w:szCs w:val="20"/>
              </w:rPr>
              <w:t xml:space="preserve">  陶罐由陶土烧制而成，罐口平滑，形如木体，</w:t>
            </w:r>
            <w:r>
              <w:rPr>
                <w:rFonts w:ascii="宋体" w:hAnsi="宋体" w:eastAsia="宋体" w:cs="宋体"/>
                <w:spacing w:val="7"/>
                <w:sz w:val="20"/>
                <w:szCs w:val="20"/>
              </w:rPr>
              <w:t>口底稍小，腔大如鼓，有大、中、小和特小几种类</w:t>
            </w:r>
          </w:p>
        </w:tc>
        <w:tc>
          <w:tcPr>
            <w:tcW w:w="633" w:type="dxa"/>
            <w:vAlign w:val="top"/>
          </w:tcPr>
          <w:p w14:paraId="42FD4813">
            <w:pPr>
              <w:spacing w:line="276" w:lineRule="auto"/>
              <w:rPr>
                <w:rFonts w:ascii="Arial"/>
                <w:sz w:val="21"/>
              </w:rPr>
            </w:pPr>
          </w:p>
        </w:tc>
        <w:tc>
          <w:tcPr>
            <w:tcW w:w="942" w:type="dxa"/>
            <w:vAlign w:val="top"/>
          </w:tcPr>
          <w:p w14:paraId="098596FB">
            <w:pPr>
              <w:spacing w:line="276" w:lineRule="auto"/>
              <w:rPr>
                <w:rFonts w:ascii="Arial"/>
                <w:sz w:val="21"/>
              </w:rPr>
            </w:pPr>
          </w:p>
        </w:tc>
      </w:tr>
      <w:tr w14:paraId="4D707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2" w:hRule="atLeast"/>
          <w:jc w:val="center"/>
        </w:trPr>
        <w:tc>
          <w:tcPr>
            <w:tcW w:w="668" w:type="dxa"/>
            <w:vMerge w:val="continue"/>
            <w:vAlign w:val="top"/>
          </w:tcPr>
          <w:p w14:paraId="73E2D1BC">
            <w:pPr>
              <w:spacing w:line="276" w:lineRule="auto"/>
              <w:rPr>
                <w:rFonts w:ascii="Arial"/>
                <w:sz w:val="21"/>
              </w:rPr>
            </w:pPr>
          </w:p>
        </w:tc>
        <w:tc>
          <w:tcPr>
            <w:tcW w:w="1171" w:type="dxa"/>
            <w:vAlign w:val="top"/>
          </w:tcPr>
          <w:p w14:paraId="771AC03C">
            <w:pPr>
              <w:spacing w:before="155" w:line="276" w:lineRule="auto"/>
              <w:ind w:left="155"/>
              <w:rPr>
                <w:rFonts w:ascii="宋体" w:hAnsi="宋体" w:eastAsia="宋体" w:cs="宋体"/>
                <w:sz w:val="20"/>
                <w:szCs w:val="20"/>
              </w:rPr>
            </w:pPr>
            <w:r>
              <w:rPr>
                <w:rFonts w:ascii="宋体" w:hAnsi="宋体" w:eastAsia="宋体" w:cs="宋体"/>
                <w:spacing w:val="9"/>
                <w:sz w:val="20"/>
                <w:szCs w:val="20"/>
              </w:rPr>
              <w:t>胶罐</w:t>
            </w:r>
            <w:r>
              <w:rPr>
                <w:rFonts w:ascii="宋体" w:hAnsi="宋体" w:eastAsia="宋体" w:cs="宋体"/>
                <w:spacing w:val="-44"/>
                <w:sz w:val="20"/>
                <w:szCs w:val="20"/>
              </w:rPr>
              <w:t xml:space="preserve"> </w:t>
            </w:r>
            <w:r>
              <w:rPr>
                <w:rFonts w:ascii="宋体" w:hAnsi="宋体" w:eastAsia="宋体" w:cs="宋体"/>
                <w:spacing w:val="9"/>
                <w:sz w:val="20"/>
                <w:szCs w:val="20"/>
              </w:rPr>
              <w:t>”、</w:t>
            </w:r>
          </w:p>
        </w:tc>
        <w:tc>
          <w:tcPr>
            <w:tcW w:w="5953" w:type="dxa"/>
            <w:vAlign w:val="top"/>
          </w:tcPr>
          <w:p w14:paraId="7D9B4174">
            <w:pPr>
              <w:spacing w:before="73" w:line="276" w:lineRule="auto"/>
              <w:ind w:left="127"/>
              <w:rPr>
                <w:rFonts w:ascii="宋体" w:hAnsi="宋体" w:eastAsia="宋体" w:cs="宋体"/>
                <w:sz w:val="20"/>
                <w:szCs w:val="20"/>
              </w:rPr>
            </w:pPr>
            <w:r>
              <w:rPr>
                <w:rFonts w:ascii="宋体" w:hAnsi="宋体" w:eastAsia="宋体" w:cs="宋体"/>
                <w:spacing w:val="8"/>
                <w:sz w:val="20"/>
                <w:szCs w:val="20"/>
              </w:rPr>
              <w:t>型。其优点是吸拔力较大、易于高温消毒，适用于</w:t>
            </w:r>
          </w:p>
        </w:tc>
        <w:tc>
          <w:tcPr>
            <w:tcW w:w="633" w:type="dxa"/>
            <w:vAlign w:val="top"/>
          </w:tcPr>
          <w:p w14:paraId="5169A08B">
            <w:pPr>
              <w:spacing w:line="276" w:lineRule="auto"/>
              <w:rPr>
                <w:rFonts w:ascii="Arial"/>
                <w:sz w:val="21"/>
              </w:rPr>
            </w:pPr>
          </w:p>
        </w:tc>
        <w:tc>
          <w:tcPr>
            <w:tcW w:w="942" w:type="dxa"/>
            <w:vAlign w:val="top"/>
          </w:tcPr>
          <w:p w14:paraId="122BA1A2">
            <w:pPr>
              <w:spacing w:line="276" w:lineRule="auto"/>
              <w:rPr>
                <w:rFonts w:ascii="Arial"/>
                <w:sz w:val="21"/>
              </w:rPr>
            </w:pPr>
          </w:p>
        </w:tc>
      </w:tr>
      <w:tr w14:paraId="14303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1" w:hRule="atLeast"/>
          <w:jc w:val="center"/>
        </w:trPr>
        <w:tc>
          <w:tcPr>
            <w:tcW w:w="668" w:type="dxa"/>
            <w:vMerge w:val="continue"/>
            <w:vAlign w:val="top"/>
          </w:tcPr>
          <w:p w14:paraId="19AA1AF7">
            <w:pPr>
              <w:spacing w:line="276" w:lineRule="auto"/>
              <w:rPr>
                <w:rFonts w:ascii="Arial"/>
                <w:sz w:val="21"/>
              </w:rPr>
            </w:pPr>
          </w:p>
        </w:tc>
        <w:tc>
          <w:tcPr>
            <w:tcW w:w="1171" w:type="dxa"/>
            <w:vAlign w:val="top"/>
          </w:tcPr>
          <w:p w14:paraId="076D422A">
            <w:pPr>
              <w:spacing w:before="203" w:line="276" w:lineRule="auto"/>
              <w:ind w:left="146" w:right="34"/>
              <w:jc w:val="both"/>
              <w:rPr>
                <w:rFonts w:ascii="宋体" w:hAnsi="宋体" w:eastAsia="宋体" w:cs="宋体"/>
                <w:sz w:val="20"/>
                <w:szCs w:val="20"/>
              </w:rPr>
            </w:pPr>
            <w:r>
              <w:rPr>
                <w:rFonts w:ascii="宋体" w:hAnsi="宋体" w:eastAsia="宋体" w:cs="宋体"/>
                <w:spacing w:val="20"/>
                <w:sz w:val="20"/>
                <w:szCs w:val="20"/>
              </w:rPr>
              <w:t>“</w:t>
            </w:r>
            <w:r>
              <w:rPr>
                <w:rFonts w:ascii="宋体" w:hAnsi="宋体" w:eastAsia="宋体" w:cs="宋体"/>
                <w:spacing w:val="-60"/>
                <w:sz w:val="20"/>
                <w:szCs w:val="20"/>
              </w:rPr>
              <w:t xml:space="preserve"> </w:t>
            </w:r>
            <w:r>
              <w:rPr>
                <w:rFonts w:ascii="宋体" w:hAnsi="宋体" w:eastAsia="宋体" w:cs="宋体"/>
                <w:spacing w:val="20"/>
                <w:sz w:val="20"/>
                <w:szCs w:val="20"/>
              </w:rPr>
              <w:t>生物陶</w:t>
            </w:r>
            <w:r>
              <w:rPr>
                <w:rFonts w:ascii="宋体" w:hAnsi="宋体" w:eastAsia="宋体" w:cs="宋体"/>
                <w:spacing w:val="-9"/>
                <w:sz w:val="20"/>
                <w:szCs w:val="20"/>
              </w:rPr>
              <w:t>瓷火罐</w:t>
            </w:r>
            <w:r>
              <w:rPr>
                <w:rFonts w:ascii="宋体" w:hAnsi="宋体" w:eastAsia="宋体" w:cs="宋体"/>
                <w:spacing w:val="-67"/>
                <w:sz w:val="20"/>
                <w:szCs w:val="20"/>
              </w:rPr>
              <w:t xml:space="preserve"> </w:t>
            </w:r>
            <w:r>
              <w:rPr>
                <w:rFonts w:ascii="宋体" w:hAnsi="宋体" w:eastAsia="宋体" w:cs="宋体"/>
                <w:spacing w:val="-9"/>
                <w:sz w:val="20"/>
                <w:szCs w:val="20"/>
              </w:rPr>
              <w:t>”、</w:t>
            </w:r>
            <w:r>
              <w:rPr>
                <w:rFonts w:ascii="宋体" w:hAnsi="宋体" w:eastAsia="宋体" w:cs="宋体"/>
                <w:sz w:val="20"/>
                <w:szCs w:val="20"/>
              </w:rPr>
              <w:t xml:space="preserve"> </w:t>
            </w:r>
            <w:r>
              <w:rPr>
                <w:rFonts w:ascii="宋体" w:hAnsi="宋体" w:eastAsia="宋体" w:cs="宋体"/>
                <w:spacing w:val="3"/>
                <w:sz w:val="20"/>
                <w:szCs w:val="20"/>
              </w:rPr>
              <w:t>“</w:t>
            </w:r>
            <w:r>
              <w:rPr>
                <w:rFonts w:ascii="宋体" w:hAnsi="宋体" w:eastAsia="宋体" w:cs="宋体"/>
                <w:spacing w:val="58"/>
                <w:sz w:val="20"/>
                <w:szCs w:val="20"/>
              </w:rPr>
              <w:t xml:space="preserve"> </w:t>
            </w:r>
            <w:r>
              <w:rPr>
                <w:rFonts w:ascii="宋体" w:hAnsi="宋体" w:eastAsia="宋体" w:cs="宋体"/>
                <w:spacing w:val="3"/>
                <w:sz w:val="20"/>
                <w:szCs w:val="20"/>
              </w:rPr>
              <w:t>塑</w:t>
            </w:r>
            <w:r>
              <w:rPr>
                <w:rFonts w:ascii="宋体" w:hAnsi="宋体" w:eastAsia="宋体" w:cs="宋体"/>
                <w:spacing w:val="51"/>
                <w:sz w:val="20"/>
                <w:szCs w:val="20"/>
              </w:rPr>
              <w:t xml:space="preserve"> </w:t>
            </w:r>
            <w:r>
              <w:rPr>
                <w:rFonts w:ascii="宋体" w:hAnsi="宋体" w:eastAsia="宋体" w:cs="宋体"/>
                <w:spacing w:val="3"/>
                <w:sz w:val="20"/>
                <w:szCs w:val="20"/>
              </w:rPr>
              <w:t>胶</w:t>
            </w:r>
            <w:r>
              <w:rPr>
                <w:rFonts w:ascii="宋体" w:hAnsi="宋体" w:eastAsia="宋体" w:cs="宋体"/>
                <w:spacing w:val="2"/>
                <w:sz w:val="20"/>
                <w:szCs w:val="20"/>
              </w:rPr>
              <w:t>罐</w:t>
            </w:r>
            <w:r>
              <w:rPr>
                <w:rFonts w:ascii="宋体" w:hAnsi="宋体" w:eastAsia="宋体" w:cs="宋体"/>
                <w:spacing w:val="-70"/>
                <w:sz w:val="20"/>
                <w:szCs w:val="20"/>
              </w:rPr>
              <w:t xml:space="preserve"> </w:t>
            </w:r>
            <w:r>
              <w:rPr>
                <w:rFonts w:ascii="宋体" w:hAnsi="宋体" w:eastAsia="宋体" w:cs="宋体"/>
                <w:spacing w:val="2"/>
                <w:sz w:val="20"/>
                <w:szCs w:val="20"/>
              </w:rPr>
              <w:t>”定义</w:t>
            </w:r>
          </w:p>
        </w:tc>
        <w:tc>
          <w:tcPr>
            <w:tcW w:w="5953" w:type="dxa"/>
            <w:vAlign w:val="top"/>
          </w:tcPr>
          <w:p w14:paraId="7AB64F08">
            <w:pPr>
              <w:spacing w:before="33" w:line="276" w:lineRule="auto"/>
              <w:ind w:left="120" w:right="110"/>
              <w:jc w:val="both"/>
              <w:rPr>
                <w:rFonts w:ascii="宋体" w:hAnsi="宋体" w:eastAsia="宋体" w:cs="宋体"/>
                <w:sz w:val="20"/>
                <w:szCs w:val="20"/>
              </w:rPr>
            </w:pPr>
            <w:r>
              <w:rPr>
                <w:rFonts w:ascii="宋体" w:hAnsi="宋体" w:eastAsia="宋体" w:cs="宋体"/>
                <w:spacing w:val="8"/>
                <w:sz w:val="20"/>
                <w:szCs w:val="20"/>
              </w:rPr>
              <w:t>全身各部的拔罐：缺点是陶罐体较重，易于破碎，且质地不透明。陶罐较大的吸拔力对体质壮盛的患者或某些深部疾病具有良好的疗效。</w:t>
            </w:r>
          </w:p>
          <w:p w14:paraId="6609DAFC">
            <w:pPr>
              <w:spacing w:before="44" w:line="276" w:lineRule="auto"/>
              <w:ind w:left="0"/>
              <w:rPr>
                <w:rFonts w:ascii="宋体" w:hAnsi="宋体" w:eastAsia="宋体" w:cs="宋体"/>
                <w:spacing w:val="9"/>
                <w:sz w:val="20"/>
                <w:szCs w:val="20"/>
              </w:rPr>
            </w:pPr>
            <w:r>
              <w:rPr>
                <w:rFonts w:ascii="宋体" w:hAnsi="宋体" w:eastAsia="宋体" w:cs="宋体"/>
                <w:b/>
                <w:bCs/>
                <w:spacing w:val="8"/>
                <w:sz w:val="20"/>
                <w:szCs w:val="20"/>
              </w:rPr>
              <w:t>玻璃罐</w:t>
            </w:r>
            <w:r>
              <w:rPr>
                <w:rFonts w:ascii="宋体" w:hAnsi="宋体" w:eastAsia="宋体" w:cs="宋体"/>
                <w:spacing w:val="8"/>
                <w:sz w:val="20"/>
                <w:szCs w:val="20"/>
              </w:rPr>
              <w:t xml:space="preserve">  玻璃罐由耐热质硬的透明玻璃烧制而</w:t>
            </w:r>
            <w:r>
              <w:rPr>
                <w:rFonts w:ascii="宋体" w:hAnsi="宋体" w:eastAsia="宋体" w:cs="宋体"/>
                <w:spacing w:val="7"/>
                <w:sz w:val="20"/>
                <w:szCs w:val="20"/>
              </w:rPr>
              <w:t>成，</w:t>
            </w:r>
            <w:r>
              <w:rPr>
                <w:rFonts w:ascii="宋体" w:hAnsi="宋体" w:eastAsia="宋体" w:cs="宋体"/>
                <w:spacing w:val="5"/>
                <w:sz w:val="20"/>
                <w:szCs w:val="20"/>
              </w:rPr>
              <w:t>罐口平滑，</w:t>
            </w:r>
            <w:r>
              <w:rPr>
                <w:rFonts w:ascii="宋体" w:hAnsi="宋体" w:eastAsia="宋体" w:cs="宋体"/>
                <w:spacing w:val="-59"/>
                <w:sz w:val="20"/>
                <w:szCs w:val="20"/>
              </w:rPr>
              <w:t xml:space="preserve"> </w:t>
            </w:r>
            <w:r>
              <w:rPr>
                <w:rFonts w:ascii="宋体" w:hAnsi="宋体" w:eastAsia="宋体" w:cs="宋体"/>
                <w:spacing w:val="5"/>
                <w:sz w:val="20"/>
                <w:szCs w:val="20"/>
              </w:rPr>
              <w:t>口平腔大底圆，</w:t>
            </w:r>
            <w:r>
              <w:rPr>
                <w:rFonts w:ascii="宋体" w:hAnsi="宋体" w:eastAsia="宋体" w:cs="宋体"/>
                <w:spacing w:val="-58"/>
                <w:sz w:val="20"/>
                <w:szCs w:val="20"/>
              </w:rPr>
              <w:t xml:space="preserve"> </w:t>
            </w:r>
            <w:r>
              <w:rPr>
                <w:rFonts w:ascii="宋体" w:hAnsi="宋体" w:eastAsia="宋体" w:cs="宋体"/>
                <w:spacing w:val="5"/>
                <w:sz w:val="20"/>
                <w:szCs w:val="20"/>
              </w:rPr>
              <w:t>口缘稍厚略外翻</w:t>
            </w:r>
            <w:r>
              <w:rPr>
                <w:rFonts w:ascii="宋体" w:hAnsi="宋体" w:eastAsia="宋体" w:cs="宋体"/>
                <w:spacing w:val="4"/>
                <w:sz w:val="20"/>
                <w:szCs w:val="20"/>
              </w:rPr>
              <w:t>，内外</w:t>
            </w:r>
            <w:r>
              <w:rPr>
                <w:rFonts w:ascii="宋体" w:hAnsi="宋体" w:eastAsia="宋体" w:cs="宋体"/>
                <w:spacing w:val="8"/>
                <w:sz w:val="20"/>
                <w:szCs w:val="20"/>
              </w:rPr>
              <w:t>光滑。其优点是质地透明，使用时可以随时观察罐内皮肤瘀血的程度：缺点是传热较快，容易摔</w:t>
            </w:r>
            <w:r>
              <w:rPr>
                <w:rFonts w:ascii="宋体" w:hAnsi="宋体" w:eastAsia="宋体" w:cs="宋体"/>
                <w:spacing w:val="7"/>
                <w:sz w:val="20"/>
                <w:szCs w:val="20"/>
              </w:rPr>
              <w:t>碎。</w:t>
            </w:r>
            <w:r>
              <w:rPr>
                <w:rFonts w:ascii="宋体" w:hAnsi="宋体" w:eastAsia="宋体" w:cs="宋体"/>
                <w:spacing w:val="9"/>
                <w:sz w:val="20"/>
                <w:szCs w:val="20"/>
              </w:rPr>
              <w:t>玻璃罐临床广泛应用于刺络放血拔罐及推拿罐</w:t>
            </w:r>
            <w:r>
              <w:rPr>
                <w:rFonts w:ascii="宋体" w:hAnsi="宋体" w:eastAsia="宋体" w:cs="宋体"/>
                <w:spacing w:val="8"/>
                <w:sz w:val="20"/>
                <w:szCs w:val="20"/>
              </w:rPr>
              <w:t>等，</w:t>
            </w:r>
            <w:r>
              <w:rPr>
                <w:rFonts w:ascii="宋体" w:hAnsi="宋体" w:eastAsia="宋体" w:cs="宋体"/>
                <w:spacing w:val="9"/>
                <w:sz w:val="20"/>
                <w:szCs w:val="20"/>
              </w:rPr>
              <w:t>对于瘀阻性疾病及寒凝病症具有良好的疗效。</w:t>
            </w:r>
          </w:p>
          <w:p w14:paraId="5FBDCB36">
            <w:pPr>
              <w:spacing w:before="44" w:line="276" w:lineRule="auto"/>
              <w:ind w:left="0" w:right="0" w:firstLine="0"/>
              <w:jc w:val="left"/>
              <w:rPr>
                <w:rFonts w:ascii="宋体" w:hAnsi="宋体" w:eastAsia="宋体" w:cs="宋体"/>
                <w:spacing w:val="8"/>
                <w:sz w:val="20"/>
                <w:szCs w:val="20"/>
              </w:rPr>
            </w:pPr>
            <w:r>
              <w:rPr>
                <w:rFonts w:ascii="宋体" w:hAnsi="宋体" w:eastAsia="宋体" w:cs="宋体"/>
                <w:b/>
                <w:bCs/>
                <w:spacing w:val="3"/>
                <w:sz w:val="20"/>
                <w:szCs w:val="20"/>
              </w:rPr>
              <w:t>金属罐</w:t>
            </w:r>
            <w:r>
              <w:rPr>
                <w:rFonts w:ascii="宋体" w:hAnsi="宋体" w:eastAsia="宋体" w:cs="宋体"/>
                <w:spacing w:val="3"/>
                <w:sz w:val="20"/>
                <w:szCs w:val="20"/>
              </w:rPr>
              <w:t xml:space="preserve">  分为铜罐、铁罐，用钢或铁皮为原料制成。</w:t>
            </w:r>
            <w:r>
              <w:rPr>
                <w:rFonts w:ascii="宋体" w:hAnsi="宋体" w:eastAsia="宋体" w:cs="宋体"/>
                <w:spacing w:val="11"/>
                <w:sz w:val="20"/>
                <w:szCs w:val="20"/>
              </w:rPr>
              <w:t>其形状如玻璃罐，</w:t>
            </w:r>
            <w:r>
              <w:rPr>
                <w:rFonts w:ascii="宋体" w:hAnsi="宋体" w:eastAsia="宋体" w:cs="宋体"/>
                <w:spacing w:val="-49"/>
                <w:sz w:val="20"/>
                <w:szCs w:val="20"/>
              </w:rPr>
              <w:t xml:space="preserve"> </w:t>
            </w:r>
            <w:r>
              <w:rPr>
                <w:rFonts w:ascii="宋体" w:hAnsi="宋体" w:eastAsia="宋体" w:cs="宋体"/>
                <w:spacing w:val="11"/>
                <w:sz w:val="20"/>
                <w:szCs w:val="20"/>
              </w:rPr>
              <w:t>口径大小不 一。其中铜罐比较</w:t>
            </w:r>
            <w:r>
              <w:rPr>
                <w:rFonts w:ascii="宋体" w:hAnsi="宋体" w:eastAsia="宋体" w:cs="宋体"/>
                <w:spacing w:val="8"/>
                <w:sz w:val="20"/>
                <w:szCs w:val="20"/>
              </w:rPr>
              <w:t>常用。金属罐的特点是耐用，导热比较快。</w:t>
            </w:r>
          </w:p>
          <w:p w14:paraId="5AAA0D74">
            <w:pPr>
              <w:spacing w:before="44" w:line="276" w:lineRule="auto"/>
              <w:ind w:left="0" w:right="0" w:firstLine="0"/>
              <w:jc w:val="left"/>
              <w:rPr>
                <w:rFonts w:ascii="宋体" w:hAnsi="宋体" w:eastAsia="宋体" w:cs="宋体"/>
                <w:spacing w:val="8"/>
                <w:sz w:val="20"/>
                <w:szCs w:val="20"/>
              </w:rPr>
            </w:pPr>
            <w:r>
              <w:rPr>
                <w:rFonts w:ascii="宋体" w:hAnsi="宋体" w:eastAsia="宋体" w:cs="宋体"/>
                <w:b/>
                <w:bCs/>
                <w:spacing w:val="17"/>
                <w:sz w:val="20"/>
                <w:szCs w:val="20"/>
              </w:rPr>
              <w:t>生物陶瓷火罐</w:t>
            </w:r>
            <w:r>
              <w:rPr>
                <w:rFonts w:ascii="宋体" w:hAnsi="宋体" w:eastAsia="宋体" w:cs="宋体"/>
                <w:spacing w:val="17"/>
                <w:sz w:val="20"/>
                <w:szCs w:val="20"/>
              </w:rPr>
              <w:t xml:space="preserve">  生物陶瓷火罐是选用多种氧化聚</w:t>
            </w:r>
            <w:r>
              <w:rPr>
                <w:rFonts w:ascii="宋体" w:hAnsi="宋体" w:eastAsia="宋体" w:cs="宋体"/>
                <w:spacing w:val="8"/>
                <w:sz w:val="20"/>
                <w:szCs w:val="20"/>
              </w:rPr>
              <w:t>合物，配合其他辅助材料烧制而成的。</w:t>
            </w:r>
          </w:p>
          <w:p w14:paraId="1F24731C">
            <w:pPr>
              <w:spacing w:before="2" w:line="276" w:lineRule="auto"/>
              <w:ind w:left="0" w:right="112" w:firstLine="0"/>
              <w:jc w:val="both"/>
              <w:rPr>
                <w:rFonts w:ascii="宋体" w:hAnsi="宋体" w:eastAsia="宋体" w:cs="宋体"/>
                <w:sz w:val="20"/>
                <w:szCs w:val="20"/>
              </w:rPr>
            </w:pPr>
            <w:r>
              <w:rPr>
                <w:rFonts w:ascii="宋体" w:hAnsi="宋体" w:eastAsia="宋体" w:cs="宋体"/>
                <w:b/>
                <w:bCs/>
                <w:spacing w:val="8"/>
                <w:sz w:val="20"/>
                <w:szCs w:val="20"/>
              </w:rPr>
              <w:t>塑胶罐</w:t>
            </w:r>
            <w:r>
              <w:rPr>
                <w:rFonts w:ascii="宋体" w:hAnsi="宋体" w:eastAsia="宋体" w:cs="宋体"/>
                <w:spacing w:val="8"/>
                <w:sz w:val="20"/>
                <w:szCs w:val="20"/>
              </w:rPr>
              <w:t xml:space="preserve">  由塑料或以塑料为主的原料制成，价格便宜，不易摔坏。现代临床常用的抽气罐多用塑料制成。（出处：十四五创新教材《中医拔罐疗法》）</w:t>
            </w:r>
          </w:p>
        </w:tc>
        <w:tc>
          <w:tcPr>
            <w:tcW w:w="633" w:type="dxa"/>
            <w:vAlign w:val="top"/>
          </w:tcPr>
          <w:p w14:paraId="6FA9E1E9">
            <w:pPr>
              <w:spacing w:line="276" w:lineRule="auto"/>
              <w:rPr>
                <w:rFonts w:ascii="Arial"/>
                <w:sz w:val="21"/>
              </w:rPr>
            </w:pPr>
          </w:p>
        </w:tc>
        <w:tc>
          <w:tcPr>
            <w:tcW w:w="942" w:type="dxa"/>
            <w:vAlign w:val="top"/>
          </w:tcPr>
          <w:p w14:paraId="417EB712">
            <w:pPr>
              <w:spacing w:line="276" w:lineRule="auto"/>
              <w:rPr>
                <w:rFonts w:ascii="Arial"/>
                <w:sz w:val="21"/>
              </w:rPr>
            </w:pPr>
          </w:p>
        </w:tc>
      </w:tr>
    </w:tbl>
    <w:p w14:paraId="73C5D6AD">
      <w:pPr>
        <w:pStyle w:val="3"/>
        <w:spacing w:line="276" w:lineRule="auto"/>
      </w:pPr>
    </w:p>
    <w:p w14:paraId="7BCD2445">
      <w:pPr>
        <w:spacing w:before="65" w:line="276" w:lineRule="auto"/>
        <w:ind w:left="540"/>
        <w:rPr>
          <w:rFonts w:ascii="宋体" w:hAnsi="宋体" w:eastAsia="宋体" w:cs="宋体"/>
          <w:sz w:val="20"/>
          <w:szCs w:val="20"/>
        </w:rPr>
      </w:pPr>
      <w:r>
        <w:rPr>
          <w:rFonts w:ascii="宋体" w:hAnsi="宋体" w:eastAsia="宋体" w:cs="宋体"/>
          <w:spacing w:val="9"/>
          <w:sz w:val="20"/>
          <w:szCs w:val="20"/>
        </w:rPr>
        <w:t>争议条目国家标准内容、具体选项结果、专家意见分别如下：</w:t>
      </w:r>
    </w:p>
    <w:p w14:paraId="4135B802">
      <w:pPr>
        <w:spacing w:before="153" w:line="276" w:lineRule="auto"/>
        <w:ind w:left="546"/>
        <w:rPr>
          <w:rFonts w:ascii="宋体" w:hAnsi="宋体" w:eastAsia="宋体" w:cs="宋体"/>
          <w:sz w:val="20"/>
          <w:szCs w:val="20"/>
        </w:rPr>
      </w:pPr>
      <w:r>
        <w:rPr>
          <w:rFonts w:ascii="宋体" w:hAnsi="宋体" w:eastAsia="宋体" w:cs="宋体"/>
          <w:spacing w:val="6"/>
          <w:sz w:val="20"/>
          <w:szCs w:val="20"/>
        </w:rPr>
        <w:t>（1）罐具消毒</w:t>
      </w:r>
    </w:p>
    <w:p w14:paraId="339A2DA3">
      <w:pPr>
        <w:spacing w:before="151" w:line="276" w:lineRule="auto"/>
        <w:jc w:val="center"/>
        <w:rPr>
          <w:rFonts w:ascii="宋体" w:hAnsi="宋体" w:eastAsia="宋体" w:cs="宋体"/>
          <w:sz w:val="20"/>
          <w:szCs w:val="20"/>
        </w:rPr>
      </w:pPr>
      <w:r>
        <w:rPr>
          <w:rFonts w:ascii="宋体" w:hAnsi="宋体" w:eastAsia="宋体" w:cs="宋体"/>
          <w:spacing w:val="7"/>
          <w:sz w:val="20"/>
          <w:szCs w:val="20"/>
        </w:rPr>
        <w:t>表 21</w:t>
      </w:r>
      <w:r>
        <w:rPr>
          <w:rFonts w:ascii="宋体" w:hAnsi="宋体" w:eastAsia="宋体" w:cs="宋体"/>
          <w:spacing w:val="16"/>
          <w:sz w:val="20"/>
          <w:szCs w:val="20"/>
        </w:rPr>
        <w:t xml:space="preserve"> </w:t>
      </w:r>
      <w:r>
        <w:rPr>
          <w:rFonts w:ascii="宋体" w:hAnsi="宋体" w:eastAsia="宋体" w:cs="宋体"/>
          <w:spacing w:val="7"/>
          <w:sz w:val="20"/>
          <w:szCs w:val="20"/>
        </w:rPr>
        <w:t>罐具消毒调查结果</w:t>
      </w:r>
    </w:p>
    <w:p w14:paraId="0D81CAB9">
      <w:pPr>
        <w:spacing w:line="276" w:lineRule="auto"/>
        <w:rPr>
          <w:rFonts w:ascii="Arial"/>
          <w:sz w:val="2"/>
        </w:rPr>
      </w:pPr>
    </w:p>
    <w:tbl>
      <w:tblPr>
        <w:tblStyle w:val="9"/>
        <w:tblW w:w="95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711"/>
        <w:gridCol w:w="635"/>
        <w:gridCol w:w="856"/>
        <w:gridCol w:w="425"/>
        <w:gridCol w:w="942"/>
      </w:tblGrid>
      <w:tr w14:paraId="1A3DD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8" w:hRule="atLeast"/>
        </w:trPr>
        <w:tc>
          <w:tcPr>
            <w:tcW w:w="6711" w:type="dxa"/>
            <w:vAlign w:val="top"/>
          </w:tcPr>
          <w:p w14:paraId="6E2B578A">
            <w:pPr>
              <w:spacing w:before="146" w:line="276" w:lineRule="auto"/>
              <w:ind w:left="3151"/>
              <w:rPr>
                <w:rFonts w:ascii="宋体" w:hAnsi="宋体" w:eastAsia="宋体" w:cs="宋体"/>
                <w:sz w:val="20"/>
                <w:szCs w:val="20"/>
              </w:rPr>
            </w:pPr>
            <w:r>
              <w:rPr>
                <w:rFonts w:ascii="宋体" w:hAnsi="宋体" w:eastAsia="宋体" w:cs="宋体"/>
                <w:spacing w:val="5"/>
                <w:sz w:val="20"/>
                <w:szCs w:val="20"/>
              </w:rPr>
              <w:t>选项</w:t>
            </w:r>
          </w:p>
        </w:tc>
        <w:tc>
          <w:tcPr>
            <w:tcW w:w="635" w:type="dxa"/>
            <w:vAlign w:val="top"/>
          </w:tcPr>
          <w:p w14:paraId="7CBDB25E">
            <w:pPr>
              <w:spacing w:before="208" w:line="276" w:lineRule="auto"/>
              <w:ind w:left="247"/>
              <w:rPr>
                <w:rFonts w:ascii="Times New Roman" w:hAnsi="Times New Roman" w:eastAsia="Times New Roman" w:cs="Times New Roman"/>
                <w:sz w:val="25"/>
                <w:szCs w:val="25"/>
              </w:rPr>
            </w:pPr>
            <w:r>
              <w:rPr>
                <w:rFonts w:ascii="Times New Roman" w:hAnsi="Times New Roman" w:eastAsia="Times New Roman" w:cs="Times New Roman"/>
                <w:i/>
                <w:iCs/>
                <w:spacing w:val="9"/>
                <w:sz w:val="25"/>
                <w:szCs w:val="25"/>
              </w:rPr>
              <w:t>x</w:t>
            </w:r>
          </w:p>
        </w:tc>
        <w:tc>
          <w:tcPr>
            <w:tcW w:w="856" w:type="dxa"/>
            <w:vAlign w:val="top"/>
          </w:tcPr>
          <w:p w14:paraId="4BF81EDB">
            <w:pPr>
              <w:spacing w:before="181" w:line="276" w:lineRule="auto"/>
              <w:ind w:left="376"/>
              <w:rPr>
                <w:rFonts w:ascii="宋体" w:hAnsi="宋体" w:eastAsia="宋体" w:cs="宋体"/>
                <w:sz w:val="20"/>
                <w:szCs w:val="20"/>
              </w:rPr>
            </w:pPr>
            <w:r>
              <w:rPr>
                <w:rFonts w:ascii="宋体" w:hAnsi="宋体" w:eastAsia="宋体" w:cs="宋体"/>
                <w:sz w:val="20"/>
                <w:szCs w:val="20"/>
              </w:rPr>
              <w:t>R</w:t>
            </w:r>
          </w:p>
        </w:tc>
        <w:tc>
          <w:tcPr>
            <w:tcW w:w="425" w:type="dxa"/>
            <w:vAlign w:val="top"/>
          </w:tcPr>
          <w:p w14:paraId="72E9CD47">
            <w:pPr>
              <w:spacing w:before="179" w:line="276" w:lineRule="auto"/>
              <w:ind w:left="159"/>
              <w:rPr>
                <w:rFonts w:ascii="宋体" w:hAnsi="宋体" w:eastAsia="宋体" w:cs="宋体"/>
                <w:sz w:val="20"/>
                <w:szCs w:val="20"/>
              </w:rPr>
            </w:pPr>
            <w:r>
              <w:rPr>
                <w:rFonts w:ascii="宋体" w:hAnsi="宋体" w:eastAsia="宋体" w:cs="宋体"/>
                <w:sz w:val="20"/>
                <w:szCs w:val="20"/>
              </w:rPr>
              <w:t>S</w:t>
            </w:r>
          </w:p>
        </w:tc>
        <w:tc>
          <w:tcPr>
            <w:tcW w:w="942" w:type="dxa"/>
            <w:vAlign w:val="top"/>
          </w:tcPr>
          <w:p w14:paraId="55D57DAE">
            <w:pPr>
              <w:spacing w:before="179" w:line="276" w:lineRule="auto"/>
              <w:ind w:left="367"/>
              <w:rPr>
                <w:rFonts w:ascii="宋体" w:hAnsi="宋体" w:eastAsia="宋体" w:cs="宋体"/>
                <w:sz w:val="20"/>
                <w:szCs w:val="20"/>
              </w:rPr>
            </w:pPr>
            <w:r>
              <w:rPr>
                <w:rFonts w:ascii="宋体" w:hAnsi="宋体" w:eastAsia="宋体" w:cs="宋体"/>
                <w:spacing w:val="1"/>
                <w:sz w:val="20"/>
                <w:szCs w:val="20"/>
              </w:rPr>
              <w:t>CV</w:t>
            </w:r>
          </w:p>
        </w:tc>
      </w:tr>
      <w:tr w14:paraId="7EFCC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33" w:hRule="atLeast"/>
        </w:trPr>
        <w:tc>
          <w:tcPr>
            <w:tcW w:w="6711" w:type="dxa"/>
            <w:vAlign w:val="top"/>
          </w:tcPr>
          <w:p w14:paraId="72A58B78">
            <w:pPr>
              <w:spacing w:before="143" w:line="276" w:lineRule="auto"/>
              <w:ind w:left="110"/>
              <w:rPr>
                <w:rFonts w:ascii="宋体" w:hAnsi="宋体" w:eastAsia="宋体" w:cs="宋体"/>
                <w:sz w:val="20"/>
                <w:szCs w:val="20"/>
              </w:rPr>
            </w:pPr>
            <w:r>
              <w:rPr>
                <w:rFonts w:ascii="宋体" w:hAnsi="宋体" w:eastAsia="宋体" w:cs="宋体"/>
                <w:spacing w:val="9"/>
                <w:sz w:val="20"/>
                <w:szCs w:val="20"/>
              </w:rPr>
              <w:t>A. 冲洗：将器械、器具和物品置于流动水下冲洗，初步去除污染物。</w:t>
            </w:r>
          </w:p>
          <w:p w14:paraId="1E6E61FD">
            <w:pPr>
              <w:spacing w:before="157" w:line="276" w:lineRule="auto"/>
              <w:ind w:left="115" w:right="23"/>
              <w:rPr>
                <w:rFonts w:ascii="宋体" w:hAnsi="宋体" w:eastAsia="宋体" w:cs="宋体"/>
                <w:sz w:val="20"/>
                <w:szCs w:val="20"/>
              </w:rPr>
            </w:pPr>
            <w:r>
              <w:rPr>
                <w:rFonts w:ascii="宋体" w:hAnsi="宋体" w:eastAsia="宋体" w:cs="宋体"/>
                <w:spacing w:val="10"/>
                <w:sz w:val="20"/>
                <w:szCs w:val="20"/>
              </w:rPr>
              <w:t>洗涤：冲洗后，应使用医用清洗剂浸泡后刷洗、擦洗。漂洗：洗涤后，</w:t>
            </w:r>
            <w:r>
              <w:rPr>
                <w:rFonts w:ascii="宋体" w:hAnsi="宋体" w:eastAsia="宋体" w:cs="宋体"/>
                <w:spacing w:val="4"/>
                <w:sz w:val="20"/>
                <w:szCs w:val="20"/>
              </w:rPr>
              <w:t>再用流动水冲洗或刷洗。终末漂洗：应采用电导率≤</w:t>
            </w:r>
            <w:r>
              <w:rPr>
                <w:rFonts w:ascii="Times New Roman" w:hAnsi="Times New Roman" w:eastAsia="Times New Roman" w:cs="Times New Roman"/>
                <w:spacing w:val="4"/>
                <w:sz w:val="20"/>
                <w:szCs w:val="20"/>
              </w:rPr>
              <w:t xml:space="preserve">15 </w:t>
            </w:r>
            <w:r>
              <w:rPr>
                <w:rFonts w:ascii="宋体" w:hAnsi="宋体" w:eastAsia="宋体" w:cs="宋体"/>
                <w:spacing w:val="4"/>
                <w:sz w:val="20"/>
                <w:szCs w:val="20"/>
              </w:rPr>
              <w:t>μ</w:t>
            </w:r>
            <w:r>
              <w:rPr>
                <w:rFonts w:ascii="Times New Roman" w:hAnsi="Times New Roman" w:eastAsia="Times New Roman" w:cs="Times New Roman"/>
                <w:spacing w:val="4"/>
                <w:sz w:val="20"/>
                <w:szCs w:val="20"/>
              </w:rPr>
              <w:t>S/</w:t>
            </w:r>
            <w:r>
              <w:rPr>
                <w:rFonts w:ascii="Times New Roman" w:hAnsi="Times New Roman" w:eastAsia="Times New Roman" w:cs="Times New Roman"/>
                <w:sz w:val="20"/>
                <w:szCs w:val="20"/>
              </w:rPr>
              <w:t>cm</w:t>
            </w:r>
            <w:r>
              <w:rPr>
                <w:rFonts w:ascii="宋体" w:hAnsi="宋体" w:eastAsia="宋体" w:cs="宋体"/>
                <w:spacing w:val="4"/>
                <w:sz w:val="20"/>
                <w:szCs w:val="20"/>
              </w:rPr>
              <w:t>（</w:t>
            </w:r>
            <w:r>
              <w:rPr>
                <w:rFonts w:ascii="Times New Roman" w:hAnsi="Times New Roman" w:eastAsia="Times New Roman" w:cs="Times New Roman"/>
                <w:spacing w:val="4"/>
                <w:sz w:val="20"/>
                <w:szCs w:val="20"/>
              </w:rPr>
              <w:t>25</w:t>
            </w:r>
            <w:r>
              <w:rPr>
                <w:rFonts w:ascii="Times New Roman" w:hAnsi="Times New Roman" w:eastAsia="Times New Roman" w:cs="Times New Roman"/>
                <w:spacing w:val="-14"/>
                <w:sz w:val="20"/>
                <w:szCs w:val="20"/>
              </w:rPr>
              <w:t xml:space="preserve"> </w:t>
            </w:r>
            <w:r>
              <w:rPr>
                <w:rFonts w:ascii="宋体" w:hAnsi="宋体" w:eastAsia="宋体" w:cs="宋体"/>
                <w:spacing w:val="4"/>
                <w:sz w:val="20"/>
                <w:szCs w:val="20"/>
              </w:rPr>
              <w:t>°</w:t>
            </w:r>
            <w:r>
              <w:rPr>
                <w:rFonts w:ascii="Times New Roman" w:hAnsi="Times New Roman" w:eastAsia="Times New Roman" w:cs="Times New Roman"/>
                <w:spacing w:val="4"/>
                <w:sz w:val="20"/>
                <w:szCs w:val="20"/>
              </w:rPr>
              <w:t>C</w:t>
            </w:r>
            <w:r>
              <w:rPr>
                <w:rFonts w:ascii="宋体" w:hAnsi="宋体" w:eastAsia="宋体" w:cs="宋体"/>
                <w:spacing w:val="4"/>
                <w:sz w:val="20"/>
                <w:szCs w:val="20"/>
              </w:rPr>
              <w:t>）</w:t>
            </w:r>
            <w:r>
              <w:rPr>
                <w:rFonts w:ascii="宋体" w:hAnsi="宋体" w:eastAsia="宋体" w:cs="宋体"/>
                <w:spacing w:val="7"/>
                <w:sz w:val="20"/>
                <w:szCs w:val="20"/>
              </w:rPr>
              <w:t>的水进行漂洗。注意事项：手工清洗时水温宜为</w:t>
            </w:r>
            <w:r>
              <w:rPr>
                <w:rFonts w:ascii="宋体" w:hAnsi="宋体" w:eastAsia="宋体" w:cs="宋体"/>
                <w:spacing w:val="-13"/>
                <w:sz w:val="20"/>
                <w:szCs w:val="20"/>
              </w:rPr>
              <w:t xml:space="preserve"> </w:t>
            </w:r>
            <w:r>
              <w:rPr>
                <w:rFonts w:ascii="Times New Roman" w:hAnsi="Times New Roman" w:eastAsia="Times New Roman" w:cs="Times New Roman"/>
                <w:spacing w:val="7"/>
                <w:sz w:val="20"/>
                <w:szCs w:val="20"/>
              </w:rPr>
              <w:t>15</w:t>
            </w:r>
            <w:r>
              <w:rPr>
                <w:rFonts w:ascii="宋体" w:hAnsi="宋体" w:eastAsia="宋体" w:cs="宋体"/>
                <w:spacing w:val="7"/>
                <w:sz w:val="20"/>
                <w:szCs w:val="20"/>
              </w:rPr>
              <w:t>℃</w:t>
            </w:r>
            <w:r>
              <w:rPr>
                <w:rFonts w:ascii="Times New Roman" w:hAnsi="Times New Roman" w:eastAsia="Times New Roman" w:cs="Times New Roman"/>
                <w:spacing w:val="7"/>
                <w:sz w:val="20"/>
                <w:szCs w:val="20"/>
              </w:rPr>
              <w:t>~30</w:t>
            </w:r>
            <w:r>
              <w:rPr>
                <w:rFonts w:ascii="宋体" w:hAnsi="宋体" w:eastAsia="宋体" w:cs="宋体"/>
                <w:spacing w:val="7"/>
                <w:sz w:val="20"/>
                <w:szCs w:val="20"/>
              </w:rPr>
              <w:t>℃</w:t>
            </w:r>
            <w:r>
              <w:rPr>
                <w:rFonts w:ascii="宋体" w:hAnsi="宋体" w:eastAsia="宋体" w:cs="宋体"/>
                <w:spacing w:val="-72"/>
                <w:sz w:val="20"/>
                <w:szCs w:val="20"/>
              </w:rPr>
              <w:t xml:space="preserve"> </w:t>
            </w:r>
            <w:r>
              <w:rPr>
                <w:rFonts w:ascii="宋体" w:hAnsi="宋体" w:eastAsia="宋体" w:cs="宋体"/>
                <w:spacing w:val="7"/>
                <w:sz w:val="20"/>
                <w:szCs w:val="20"/>
              </w:rPr>
              <w:t>。去除干涸</w:t>
            </w:r>
            <w:r>
              <w:rPr>
                <w:rFonts w:ascii="宋体" w:hAnsi="宋体" w:eastAsia="宋体" w:cs="宋体"/>
                <w:spacing w:val="9"/>
                <w:sz w:val="20"/>
                <w:szCs w:val="20"/>
              </w:rPr>
              <w:t>的污渍应先用医用清洗剂浸泡，再刷洗或擦洗。有锈迹，应除锈。刷洗操作应在水面下进行，防止产生气溶胶。器械可拆卸的部分应拆开后清洗。管腔器械宜先选用合适的清洗刷清洗内腔，再用压力水枪冲洗。不应使用研磨型清洗材料和用具用于器械处理，应选用与器械材质相匹配的刷洗用具和用品。（出处：中华人民共和国卫生行业标准</w:t>
            </w:r>
          </w:p>
        </w:tc>
        <w:tc>
          <w:tcPr>
            <w:tcW w:w="635" w:type="dxa"/>
            <w:vAlign w:val="top"/>
          </w:tcPr>
          <w:p w14:paraId="7C749DA3">
            <w:pPr>
              <w:spacing w:before="143" w:line="276" w:lineRule="auto"/>
              <w:ind w:left="117"/>
              <w:rPr>
                <w:rFonts w:ascii="宋体" w:hAnsi="宋体" w:eastAsia="宋体" w:cs="宋体"/>
                <w:sz w:val="20"/>
                <w:szCs w:val="20"/>
              </w:rPr>
            </w:pPr>
            <w:r>
              <w:rPr>
                <w:rFonts w:ascii="宋体" w:hAnsi="宋体" w:eastAsia="宋体" w:cs="宋体"/>
                <w:spacing w:val="2"/>
                <w:position w:val="1"/>
                <w:sz w:val="20"/>
                <w:szCs w:val="20"/>
              </w:rPr>
              <w:t>0.47</w:t>
            </w:r>
          </w:p>
        </w:tc>
        <w:tc>
          <w:tcPr>
            <w:tcW w:w="856" w:type="dxa"/>
            <w:vAlign w:val="top"/>
          </w:tcPr>
          <w:p w14:paraId="2CD67055">
            <w:pPr>
              <w:spacing w:before="143" w:line="276" w:lineRule="auto"/>
              <w:ind w:left="121"/>
              <w:rPr>
                <w:rFonts w:ascii="宋体" w:hAnsi="宋体" w:eastAsia="宋体" w:cs="宋体"/>
                <w:sz w:val="20"/>
                <w:szCs w:val="20"/>
              </w:rPr>
            </w:pPr>
            <w:r>
              <w:rPr>
                <w:rFonts w:ascii="宋体" w:hAnsi="宋体" w:eastAsia="宋体" w:cs="宋体"/>
                <w:spacing w:val="2"/>
                <w:position w:val="1"/>
                <w:sz w:val="20"/>
                <w:szCs w:val="20"/>
              </w:rPr>
              <w:t>53.00%</w:t>
            </w:r>
          </w:p>
        </w:tc>
        <w:tc>
          <w:tcPr>
            <w:tcW w:w="425" w:type="dxa"/>
            <w:vAlign w:val="top"/>
          </w:tcPr>
          <w:p w14:paraId="73657095">
            <w:pPr>
              <w:spacing w:before="143" w:line="276" w:lineRule="auto"/>
              <w:ind w:left="123"/>
              <w:rPr>
                <w:rFonts w:ascii="宋体" w:hAnsi="宋体" w:eastAsia="宋体" w:cs="宋体"/>
                <w:sz w:val="20"/>
                <w:szCs w:val="20"/>
              </w:rPr>
            </w:pPr>
            <w:r>
              <w:rPr>
                <w:rFonts w:ascii="宋体" w:hAnsi="宋体" w:eastAsia="宋体" w:cs="宋体"/>
                <w:spacing w:val="-7"/>
                <w:position w:val="1"/>
                <w:sz w:val="20"/>
                <w:szCs w:val="20"/>
              </w:rPr>
              <w:t>14</w:t>
            </w:r>
          </w:p>
        </w:tc>
        <w:tc>
          <w:tcPr>
            <w:tcW w:w="942" w:type="dxa"/>
            <w:vAlign w:val="top"/>
          </w:tcPr>
          <w:p w14:paraId="2389CD2A">
            <w:pPr>
              <w:spacing w:before="143" w:line="276" w:lineRule="auto"/>
              <w:ind w:left="123"/>
              <w:rPr>
                <w:rFonts w:ascii="宋体" w:hAnsi="宋体" w:eastAsia="宋体" w:cs="宋体"/>
                <w:sz w:val="20"/>
                <w:szCs w:val="20"/>
              </w:rPr>
            </w:pPr>
            <w:r>
              <w:rPr>
                <w:rFonts w:ascii="宋体" w:hAnsi="宋体" w:eastAsia="宋体" w:cs="宋体"/>
                <w:spacing w:val="1"/>
                <w:position w:val="1"/>
                <w:sz w:val="20"/>
                <w:szCs w:val="20"/>
              </w:rPr>
              <w:t>107.96%</w:t>
            </w:r>
          </w:p>
        </w:tc>
      </w:tr>
      <w:tr w14:paraId="613D4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6" w:hRule="atLeast"/>
        </w:trPr>
        <w:tc>
          <w:tcPr>
            <w:tcW w:w="6711" w:type="dxa"/>
            <w:vAlign w:val="top"/>
          </w:tcPr>
          <w:p w14:paraId="6B3E3105">
            <w:pPr>
              <w:spacing w:before="116" w:line="276" w:lineRule="auto"/>
              <w:ind w:left="117" w:right="110" w:hanging="6"/>
              <w:rPr>
                <w:rFonts w:ascii="宋体" w:hAnsi="宋体" w:eastAsia="宋体" w:cs="宋体"/>
                <w:sz w:val="20"/>
                <w:szCs w:val="20"/>
              </w:rPr>
            </w:pPr>
            <w:r>
              <w:rPr>
                <w:rFonts w:ascii="Times New Roman" w:hAnsi="Times New Roman" w:eastAsia="Times New Roman" w:cs="Times New Roman"/>
                <w:sz w:val="20"/>
                <w:szCs w:val="20"/>
              </w:rPr>
              <w:t>WS</w:t>
            </w:r>
            <w:r>
              <w:rPr>
                <w:rFonts w:ascii="Times New Roman" w:hAnsi="Times New Roman" w:eastAsia="Times New Roman" w:cs="Times New Roman"/>
                <w:spacing w:val="7"/>
                <w:sz w:val="20"/>
                <w:szCs w:val="20"/>
              </w:rPr>
              <w:t xml:space="preserve">310.2--2016 </w:t>
            </w:r>
            <w:r>
              <w:rPr>
                <w:rFonts w:ascii="宋体" w:hAnsi="宋体" w:eastAsia="宋体" w:cs="宋体"/>
                <w:spacing w:val="7"/>
                <w:sz w:val="20"/>
                <w:szCs w:val="20"/>
              </w:rPr>
              <w:t>《医院消毒供应中</w:t>
            </w:r>
            <w:r>
              <w:rPr>
                <w:rFonts w:ascii="宋体" w:hAnsi="宋体" w:eastAsia="宋体" w:cs="宋体"/>
                <w:spacing w:val="6"/>
                <w:sz w:val="20"/>
                <w:szCs w:val="20"/>
              </w:rPr>
              <w:t>心 第</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 xml:space="preserve">2 </w:t>
            </w:r>
            <w:r>
              <w:rPr>
                <w:rFonts w:ascii="宋体" w:hAnsi="宋体" w:eastAsia="宋体" w:cs="宋体"/>
                <w:spacing w:val="6"/>
                <w:sz w:val="20"/>
                <w:szCs w:val="20"/>
              </w:rPr>
              <w:t>部分：清洗消毒及灭菌技术操</w:t>
            </w:r>
            <w:r>
              <w:rPr>
                <w:rFonts w:ascii="宋体" w:hAnsi="宋体" w:eastAsia="宋体" w:cs="宋体"/>
                <w:spacing w:val="4"/>
                <w:sz w:val="20"/>
                <w:szCs w:val="20"/>
              </w:rPr>
              <w:t>作规范》）</w:t>
            </w:r>
          </w:p>
        </w:tc>
        <w:tc>
          <w:tcPr>
            <w:tcW w:w="635" w:type="dxa"/>
            <w:vAlign w:val="top"/>
          </w:tcPr>
          <w:p w14:paraId="312C6A55">
            <w:pPr>
              <w:spacing w:line="276" w:lineRule="auto"/>
              <w:rPr>
                <w:rFonts w:ascii="Arial"/>
                <w:sz w:val="21"/>
              </w:rPr>
            </w:pPr>
          </w:p>
        </w:tc>
        <w:tc>
          <w:tcPr>
            <w:tcW w:w="856" w:type="dxa"/>
            <w:vAlign w:val="top"/>
          </w:tcPr>
          <w:p w14:paraId="0896B06B">
            <w:pPr>
              <w:spacing w:line="276" w:lineRule="auto"/>
              <w:rPr>
                <w:rFonts w:ascii="Arial"/>
                <w:sz w:val="21"/>
              </w:rPr>
            </w:pPr>
          </w:p>
        </w:tc>
        <w:tc>
          <w:tcPr>
            <w:tcW w:w="425" w:type="dxa"/>
            <w:vAlign w:val="top"/>
          </w:tcPr>
          <w:p w14:paraId="6515D56D">
            <w:pPr>
              <w:spacing w:line="276" w:lineRule="auto"/>
              <w:rPr>
                <w:rFonts w:ascii="Arial"/>
                <w:sz w:val="21"/>
              </w:rPr>
            </w:pPr>
          </w:p>
        </w:tc>
        <w:tc>
          <w:tcPr>
            <w:tcW w:w="942" w:type="dxa"/>
            <w:vAlign w:val="top"/>
          </w:tcPr>
          <w:p w14:paraId="6CCA1772">
            <w:pPr>
              <w:spacing w:line="276" w:lineRule="auto"/>
              <w:rPr>
                <w:rFonts w:ascii="Arial"/>
                <w:sz w:val="21"/>
              </w:rPr>
            </w:pPr>
          </w:p>
        </w:tc>
      </w:tr>
      <w:tr w14:paraId="3BB3F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4" w:hRule="atLeast"/>
        </w:trPr>
        <w:tc>
          <w:tcPr>
            <w:tcW w:w="6711" w:type="dxa"/>
            <w:vAlign w:val="top"/>
          </w:tcPr>
          <w:p w14:paraId="5D9BDC50">
            <w:pPr>
              <w:spacing w:before="121" w:line="276" w:lineRule="auto"/>
              <w:ind w:left="111"/>
              <w:rPr>
                <w:rFonts w:ascii="宋体" w:hAnsi="宋体" w:eastAsia="宋体" w:cs="宋体"/>
                <w:sz w:val="20"/>
                <w:szCs w:val="20"/>
              </w:rPr>
            </w:pPr>
            <w:r>
              <w:rPr>
                <w:rFonts w:ascii="宋体" w:hAnsi="宋体" w:eastAsia="宋体" w:cs="宋体"/>
                <w:spacing w:val="7"/>
                <w:sz w:val="20"/>
                <w:szCs w:val="20"/>
              </w:rPr>
              <w:t>B. 沿用国家标准原文。</w:t>
            </w:r>
          </w:p>
        </w:tc>
        <w:tc>
          <w:tcPr>
            <w:tcW w:w="635" w:type="dxa"/>
            <w:vAlign w:val="top"/>
          </w:tcPr>
          <w:p w14:paraId="14ED803D">
            <w:pPr>
              <w:spacing w:before="120" w:line="276" w:lineRule="auto"/>
              <w:ind w:left="117"/>
              <w:rPr>
                <w:rFonts w:ascii="宋体" w:hAnsi="宋体" w:eastAsia="宋体" w:cs="宋体"/>
                <w:sz w:val="20"/>
                <w:szCs w:val="20"/>
              </w:rPr>
            </w:pPr>
            <w:r>
              <w:rPr>
                <w:rFonts w:ascii="宋体" w:hAnsi="宋体" w:eastAsia="宋体" w:cs="宋体"/>
                <w:spacing w:val="2"/>
                <w:sz w:val="20"/>
                <w:szCs w:val="20"/>
              </w:rPr>
              <w:t>0.43</w:t>
            </w:r>
          </w:p>
        </w:tc>
        <w:tc>
          <w:tcPr>
            <w:tcW w:w="856" w:type="dxa"/>
            <w:vAlign w:val="top"/>
          </w:tcPr>
          <w:p w14:paraId="1A8C19C5">
            <w:pPr>
              <w:spacing w:before="120" w:line="276" w:lineRule="auto"/>
              <w:ind w:left="121"/>
              <w:rPr>
                <w:rFonts w:ascii="宋体" w:hAnsi="宋体" w:eastAsia="宋体" w:cs="宋体"/>
                <w:sz w:val="20"/>
                <w:szCs w:val="20"/>
              </w:rPr>
            </w:pPr>
            <w:r>
              <w:rPr>
                <w:rFonts w:ascii="宋体" w:hAnsi="宋体" w:eastAsia="宋体" w:cs="宋体"/>
                <w:spacing w:val="2"/>
                <w:sz w:val="20"/>
                <w:szCs w:val="20"/>
              </w:rPr>
              <w:t>57.00%</w:t>
            </w:r>
          </w:p>
        </w:tc>
        <w:tc>
          <w:tcPr>
            <w:tcW w:w="425" w:type="dxa"/>
            <w:vAlign w:val="top"/>
          </w:tcPr>
          <w:p w14:paraId="4FE062DD">
            <w:pPr>
              <w:spacing w:before="120" w:line="276" w:lineRule="auto"/>
              <w:ind w:left="123"/>
              <w:rPr>
                <w:rFonts w:ascii="宋体" w:hAnsi="宋体" w:eastAsia="宋体" w:cs="宋体"/>
                <w:sz w:val="20"/>
                <w:szCs w:val="20"/>
              </w:rPr>
            </w:pPr>
            <w:r>
              <w:rPr>
                <w:rFonts w:ascii="宋体" w:hAnsi="宋体" w:eastAsia="宋体" w:cs="宋体"/>
                <w:spacing w:val="-8"/>
                <w:sz w:val="20"/>
                <w:szCs w:val="20"/>
              </w:rPr>
              <w:t>13</w:t>
            </w:r>
          </w:p>
        </w:tc>
        <w:tc>
          <w:tcPr>
            <w:tcW w:w="942" w:type="dxa"/>
            <w:vAlign w:val="top"/>
          </w:tcPr>
          <w:p w14:paraId="40124F5F">
            <w:pPr>
              <w:spacing w:before="120" w:line="276" w:lineRule="auto"/>
              <w:ind w:left="123"/>
              <w:rPr>
                <w:rFonts w:ascii="宋体" w:hAnsi="宋体" w:eastAsia="宋体" w:cs="宋体"/>
                <w:sz w:val="20"/>
                <w:szCs w:val="20"/>
              </w:rPr>
            </w:pPr>
            <w:r>
              <w:rPr>
                <w:rFonts w:ascii="宋体" w:hAnsi="宋体" w:eastAsia="宋体" w:cs="宋体"/>
                <w:spacing w:val="1"/>
                <w:sz w:val="20"/>
                <w:szCs w:val="20"/>
              </w:rPr>
              <w:t>117.21%</w:t>
            </w:r>
          </w:p>
        </w:tc>
      </w:tr>
    </w:tbl>
    <w:p w14:paraId="73524FE9">
      <w:pPr>
        <w:spacing w:before="127" w:line="276" w:lineRule="auto"/>
        <w:ind w:left="132"/>
        <w:rPr>
          <w:rFonts w:ascii="宋体" w:hAnsi="宋体" w:eastAsia="宋体" w:cs="宋体"/>
          <w:sz w:val="20"/>
          <w:szCs w:val="20"/>
        </w:rPr>
      </w:pPr>
      <w:r>
        <w:rPr>
          <w:rFonts w:ascii="宋体" w:hAnsi="宋体" w:eastAsia="宋体" w:cs="宋体"/>
          <w:spacing w:val="9"/>
          <w:sz w:val="20"/>
          <w:szCs w:val="20"/>
        </w:rPr>
        <w:t>关于罐具消毒，专家建议将</w:t>
      </w:r>
      <w:r>
        <w:rPr>
          <w:rFonts w:ascii="宋体" w:hAnsi="宋体" w:eastAsia="宋体" w:cs="宋体"/>
          <w:sz w:val="20"/>
          <w:szCs w:val="20"/>
        </w:rPr>
        <w:t>AB</w:t>
      </w:r>
      <w:r>
        <w:rPr>
          <w:rFonts w:ascii="宋体" w:hAnsi="宋体" w:eastAsia="宋体" w:cs="宋体"/>
          <w:spacing w:val="9"/>
          <w:sz w:val="20"/>
          <w:szCs w:val="20"/>
        </w:rPr>
        <w:t>两项结合，也有专家建议重新撰写此项，因为“（1）</w:t>
      </w:r>
      <w:r>
        <w:rPr>
          <w:rFonts w:ascii="宋体" w:hAnsi="宋体" w:eastAsia="宋体" w:cs="宋体"/>
          <w:spacing w:val="-58"/>
          <w:sz w:val="20"/>
          <w:szCs w:val="20"/>
        </w:rPr>
        <w:t xml:space="preserve"> </w:t>
      </w:r>
      <w:r>
        <w:rPr>
          <w:rFonts w:ascii="宋体" w:hAnsi="宋体" w:eastAsia="宋体" w:cs="宋体"/>
          <w:spacing w:val="9"/>
          <w:sz w:val="20"/>
          <w:szCs w:val="20"/>
        </w:rPr>
        <w:t>国家标准原文</w:t>
      </w:r>
      <w:r>
        <w:rPr>
          <w:rFonts w:ascii="宋体" w:hAnsi="宋体" w:eastAsia="宋体" w:cs="宋体"/>
          <w:spacing w:val="8"/>
          <w:sz w:val="20"/>
          <w:szCs w:val="20"/>
        </w:rPr>
        <w:t>有两个问题，一是84消毒液，这是国内商品名称，按成分命名</w:t>
      </w:r>
      <w:r>
        <w:rPr>
          <w:rFonts w:ascii="宋体" w:hAnsi="宋体" w:eastAsia="宋体" w:cs="宋体"/>
          <w:spacing w:val="7"/>
          <w:sz w:val="20"/>
          <w:szCs w:val="20"/>
        </w:rPr>
        <w:t>应是5.5%～6.5%次氯酸钠溶液</w:t>
      </w:r>
      <w:r>
        <w:rPr>
          <w:rFonts w:ascii="宋体" w:hAnsi="宋体" w:eastAsia="宋体" w:cs="宋体"/>
          <w:sz w:val="20"/>
          <w:szCs w:val="20"/>
        </w:rPr>
        <w:t>（？），</w:t>
      </w:r>
      <w:r>
        <w:rPr>
          <w:rFonts w:ascii="宋体" w:hAnsi="宋体" w:eastAsia="宋体" w:cs="宋体"/>
          <w:spacing w:val="7"/>
          <w:sz w:val="20"/>
          <w:szCs w:val="20"/>
        </w:rPr>
        <w:t>若</w:t>
      </w:r>
      <w:r>
        <w:rPr>
          <w:rFonts w:ascii="宋体" w:hAnsi="宋体" w:eastAsia="宋体" w:cs="宋体"/>
          <w:spacing w:val="5"/>
          <w:sz w:val="20"/>
          <w:szCs w:val="20"/>
        </w:rPr>
        <w:t>作国际标准，不知国外是否通行？查</w:t>
      </w:r>
      <w:r>
        <w:rPr>
          <w:rFonts w:ascii="宋体" w:hAnsi="宋体" w:eastAsia="宋体" w:cs="宋体"/>
          <w:sz w:val="20"/>
          <w:szCs w:val="20"/>
        </w:rPr>
        <w:t>AI</w:t>
      </w:r>
      <w:r>
        <w:rPr>
          <w:rFonts w:ascii="宋体" w:hAnsi="宋体" w:eastAsia="宋体" w:cs="宋体"/>
          <w:spacing w:val="5"/>
          <w:sz w:val="20"/>
          <w:szCs w:val="20"/>
        </w:rPr>
        <w:t>，说是欧盟尚未作</w:t>
      </w:r>
      <w:r>
        <w:rPr>
          <w:rFonts w:ascii="宋体" w:hAnsi="宋体" w:eastAsia="宋体" w:cs="宋体"/>
          <w:spacing w:val="4"/>
          <w:sz w:val="20"/>
          <w:szCs w:val="20"/>
        </w:rPr>
        <w:t>为化学品批准。84消毒液使用也有一系列动作，</w:t>
      </w:r>
      <w:r>
        <w:rPr>
          <w:rFonts w:ascii="宋体" w:hAnsi="宋体" w:eastAsia="宋体" w:cs="宋体"/>
          <w:spacing w:val="12"/>
          <w:sz w:val="20"/>
          <w:szCs w:val="20"/>
        </w:rPr>
        <w:t>如使用后清水冲洗等，现在的表述过于简单。二是“7</w:t>
      </w:r>
      <w:r>
        <w:rPr>
          <w:rFonts w:ascii="宋体" w:hAnsi="宋体" w:eastAsia="宋体" w:cs="宋体"/>
          <w:spacing w:val="11"/>
          <w:sz w:val="20"/>
          <w:szCs w:val="20"/>
        </w:rPr>
        <w:t>5%乙醇棉球反复擦拭</w:t>
      </w:r>
      <w:r>
        <w:rPr>
          <w:rFonts w:ascii="宋体" w:hAnsi="宋体" w:eastAsia="宋体" w:cs="宋体"/>
          <w:spacing w:val="-68"/>
          <w:sz w:val="20"/>
          <w:szCs w:val="20"/>
        </w:rPr>
        <w:t xml:space="preserve"> </w:t>
      </w:r>
      <w:r>
        <w:rPr>
          <w:rFonts w:ascii="宋体" w:hAnsi="宋体" w:eastAsia="宋体" w:cs="宋体"/>
          <w:spacing w:val="11"/>
          <w:sz w:val="20"/>
          <w:szCs w:val="20"/>
        </w:rPr>
        <w:t>”，是否过于简单</w:t>
      </w:r>
      <w:r>
        <w:rPr>
          <w:rFonts w:ascii="宋体" w:hAnsi="宋体" w:eastAsia="宋体" w:cs="宋体"/>
          <w:spacing w:val="-13"/>
          <w:sz w:val="20"/>
          <w:szCs w:val="20"/>
        </w:rPr>
        <w:t>？</w:t>
      </w:r>
      <w:r>
        <w:rPr>
          <w:rFonts w:ascii="宋体" w:hAnsi="宋体" w:eastAsia="宋体" w:cs="宋体"/>
          <w:spacing w:val="-79"/>
          <w:sz w:val="20"/>
          <w:szCs w:val="20"/>
        </w:rPr>
        <w:t xml:space="preserve"> </w:t>
      </w:r>
      <w:r>
        <w:rPr>
          <w:rFonts w:ascii="宋体" w:hAnsi="宋体" w:eastAsia="宋体" w:cs="宋体"/>
          <w:spacing w:val="-13"/>
          <w:sz w:val="20"/>
          <w:szCs w:val="20"/>
        </w:rPr>
        <w:t>（</w:t>
      </w:r>
      <w:r>
        <w:rPr>
          <w:rFonts w:ascii="宋体" w:hAnsi="宋体" w:eastAsia="宋体" w:cs="宋体"/>
          <w:spacing w:val="11"/>
          <w:sz w:val="20"/>
          <w:szCs w:val="20"/>
        </w:rPr>
        <w:t>2）</w:t>
      </w:r>
      <w:r>
        <w:rPr>
          <w:rFonts w:ascii="宋体" w:hAnsi="宋体" w:eastAsia="宋体" w:cs="宋体"/>
          <w:sz w:val="20"/>
          <w:szCs w:val="20"/>
        </w:rPr>
        <w:t xml:space="preserve"> </w:t>
      </w:r>
      <w:r>
        <w:rPr>
          <w:rFonts w:ascii="宋体" w:hAnsi="宋体" w:eastAsia="宋体" w:cs="宋体"/>
          <w:spacing w:val="7"/>
          <w:sz w:val="20"/>
          <w:szCs w:val="20"/>
        </w:rPr>
        <w:t>“</w:t>
      </w:r>
      <w:r>
        <w:rPr>
          <w:rFonts w:ascii="宋体" w:hAnsi="宋体" w:eastAsia="宋体" w:cs="宋体"/>
          <w:sz w:val="20"/>
          <w:szCs w:val="20"/>
        </w:rPr>
        <w:t>WS</w:t>
      </w:r>
      <w:r>
        <w:rPr>
          <w:rFonts w:ascii="宋体" w:hAnsi="宋体" w:eastAsia="宋体" w:cs="宋体"/>
          <w:spacing w:val="7"/>
          <w:sz w:val="20"/>
          <w:szCs w:val="20"/>
        </w:rPr>
        <w:t>310.2--2016 《医院消毒供应中心 第2部分：清洗消毒及灭菌技术操作规范》）”过</w:t>
      </w:r>
      <w:r>
        <w:rPr>
          <w:rFonts w:ascii="宋体" w:hAnsi="宋体" w:eastAsia="宋体" w:cs="宋体"/>
          <w:spacing w:val="6"/>
          <w:sz w:val="20"/>
          <w:szCs w:val="20"/>
        </w:rPr>
        <w:t>于繁琐，且不</w:t>
      </w:r>
      <w:r>
        <w:rPr>
          <w:rFonts w:ascii="宋体" w:hAnsi="宋体" w:eastAsia="宋体" w:cs="宋体"/>
          <w:spacing w:val="8"/>
          <w:sz w:val="20"/>
          <w:szCs w:val="20"/>
        </w:rPr>
        <w:t>是针对罐具消毒的。网上又有新的《医院消毒供应中心 第2部分</w:t>
      </w:r>
      <w:r>
        <w:rPr>
          <w:rFonts w:ascii="宋体" w:hAnsi="宋体" w:eastAsia="宋体" w:cs="宋体"/>
          <w:spacing w:val="7"/>
          <w:sz w:val="20"/>
          <w:szCs w:val="20"/>
        </w:rPr>
        <w:t>：清洗消毒及灭菌技术操作规范》征求</w:t>
      </w:r>
      <w:r>
        <w:rPr>
          <w:rFonts w:ascii="宋体" w:hAnsi="宋体" w:eastAsia="宋体" w:cs="宋体"/>
          <w:spacing w:val="5"/>
          <w:sz w:val="20"/>
          <w:szCs w:val="20"/>
        </w:rPr>
        <w:t>意见稿，恐怕内容也会有变动（见“浙江消毒</w:t>
      </w:r>
      <w:r>
        <w:rPr>
          <w:rFonts w:ascii="宋体" w:hAnsi="宋体" w:eastAsia="宋体" w:cs="宋体"/>
          <w:spacing w:val="-70"/>
          <w:sz w:val="20"/>
          <w:szCs w:val="20"/>
        </w:rPr>
        <w:t xml:space="preserve"> </w:t>
      </w:r>
      <w:r>
        <w:rPr>
          <w:rFonts w:ascii="宋体" w:hAnsi="宋体" w:eastAsia="宋体" w:cs="宋体"/>
          <w:spacing w:val="5"/>
          <w:sz w:val="20"/>
          <w:szCs w:val="20"/>
        </w:rPr>
        <w:t>”微信公众号，</w:t>
      </w:r>
      <w:r>
        <w:rPr>
          <w:rFonts w:ascii="宋体" w:hAnsi="宋体" w:eastAsia="宋体" w:cs="宋体"/>
          <w:spacing w:val="4"/>
          <w:sz w:val="20"/>
          <w:szCs w:val="20"/>
        </w:rPr>
        <w:t>2023年6月2日，“《医院消毒供应中心 第</w:t>
      </w:r>
      <w:r>
        <w:rPr>
          <w:rFonts w:ascii="宋体" w:hAnsi="宋体" w:eastAsia="宋体" w:cs="宋体"/>
          <w:spacing w:val="10"/>
          <w:sz w:val="20"/>
          <w:szCs w:val="20"/>
        </w:rPr>
        <w:t>1部分 管理规范》等三项卫生标准征求意见</w:t>
      </w:r>
      <w:r>
        <w:rPr>
          <w:rFonts w:ascii="宋体" w:hAnsi="宋体" w:eastAsia="宋体" w:cs="宋体"/>
          <w:spacing w:val="-70"/>
          <w:sz w:val="20"/>
          <w:szCs w:val="20"/>
        </w:rPr>
        <w:t xml:space="preserve"> </w:t>
      </w:r>
      <w:r>
        <w:rPr>
          <w:rFonts w:ascii="宋体" w:hAnsi="宋体" w:eastAsia="宋体" w:cs="宋体"/>
          <w:spacing w:val="10"/>
          <w:sz w:val="20"/>
          <w:szCs w:val="20"/>
        </w:rPr>
        <w:t>”）</w:t>
      </w:r>
      <w:r>
        <w:rPr>
          <w:rFonts w:ascii="宋体" w:hAnsi="宋体" w:eastAsia="宋体" w:cs="宋体"/>
          <w:spacing w:val="9"/>
          <w:sz w:val="20"/>
          <w:szCs w:val="20"/>
        </w:rPr>
        <w:t>。</w:t>
      </w:r>
      <w:r>
        <w:rPr>
          <w:rFonts w:ascii="宋体" w:hAnsi="宋体" w:eastAsia="宋体" w:cs="宋体"/>
          <w:spacing w:val="-64"/>
          <w:sz w:val="20"/>
          <w:szCs w:val="20"/>
        </w:rPr>
        <w:t xml:space="preserve"> </w:t>
      </w:r>
      <w:r>
        <w:rPr>
          <w:rFonts w:ascii="宋体" w:hAnsi="宋体" w:eastAsia="宋体" w:cs="宋体"/>
          <w:spacing w:val="9"/>
          <w:sz w:val="20"/>
          <w:szCs w:val="20"/>
        </w:rPr>
        <w:t>”</w:t>
      </w:r>
    </w:p>
    <w:p w14:paraId="321B4745">
      <w:pPr>
        <w:spacing w:before="151" w:line="276" w:lineRule="auto"/>
        <w:ind w:left="546"/>
        <w:rPr>
          <w:rFonts w:ascii="宋体" w:hAnsi="宋体" w:eastAsia="宋体" w:cs="宋体"/>
          <w:sz w:val="20"/>
          <w:szCs w:val="20"/>
        </w:rPr>
      </w:pPr>
      <w:r>
        <w:rPr>
          <w:rFonts w:ascii="宋体" w:hAnsi="宋体" w:eastAsia="宋体" w:cs="宋体"/>
          <w:spacing w:val="5"/>
          <w:sz w:val="20"/>
          <w:szCs w:val="20"/>
        </w:rPr>
        <w:t>（2）</w:t>
      </w:r>
      <w:r>
        <w:rPr>
          <w:rFonts w:ascii="宋体" w:hAnsi="宋体" w:eastAsia="宋体" w:cs="宋体"/>
          <w:spacing w:val="-75"/>
          <w:sz w:val="20"/>
          <w:szCs w:val="20"/>
        </w:rPr>
        <w:t xml:space="preserve"> </w:t>
      </w:r>
      <w:r>
        <w:rPr>
          <w:rFonts w:ascii="宋体" w:hAnsi="宋体" w:eastAsia="宋体" w:cs="宋体"/>
          <w:spacing w:val="5"/>
          <w:sz w:val="20"/>
          <w:szCs w:val="20"/>
        </w:rPr>
        <w:t>“角罐</w:t>
      </w:r>
      <w:r>
        <w:rPr>
          <w:rFonts w:ascii="宋体" w:hAnsi="宋体" w:eastAsia="宋体" w:cs="宋体"/>
          <w:spacing w:val="-72"/>
          <w:sz w:val="20"/>
          <w:szCs w:val="20"/>
        </w:rPr>
        <w:t xml:space="preserve"> </w:t>
      </w:r>
      <w:r>
        <w:rPr>
          <w:rFonts w:ascii="宋体" w:hAnsi="宋体" w:eastAsia="宋体" w:cs="宋体"/>
          <w:spacing w:val="5"/>
          <w:sz w:val="20"/>
          <w:szCs w:val="20"/>
        </w:rPr>
        <w:t>”、“竹罐</w:t>
      </w:r>
      <w:r>
        <w:rPr>
          <w:rFonts w:ascii="宋体" w:hAnsi="宋体" w:eastAsia="宋体" w:cs="宋体"/>
          <w:spacing w:val="-72"/>
          <w:sz w:val="20"/>
          <w:szCs w:val="20"/>
        </w:rPr>
        <w:t xml:space="preserve"> </w:t>
      </w:r>
      <w:r>
        <w:rPr>
          <w:rFonts w:ascii="宋体" w:hAnsi="宋体" w:eastAsia="宋体" w:cs="宋体"/>
          <w:spacing w:val="5"/>
          <w:sz w:val="20"/>
          <w:szCs w:val="20"/>
        </w:rPr>
        <w:t>”、“陶瓷罐</w:t>
      </w:r>
      <w:r>
        <w:rPr>
          <w:rFonts w:ascii="宋体" w:hAnsi="宋体" w:eastAsia="宋体" w:cs="宋体"/>
          <w:spacing w:val="-70"/>
          <w:sz w:val="20"/>
          <w:szCs w:val="20"/>
        </w:rPr>
        <w:t xml:space="preserve"> </w:t>
      </w:r>
      <w:r>
        <w:rPr>
          <w:rFonts w:ascii="宋体" w:hAnsi="宋体" w:eastAsia="宋体" w:cs="宋体"/>
          <w:spacing w:val="5"/>
          <w:sz w:val="20"/>
          <w:szCs w:val="20"/>
        </w:rPr>
        <w:t>”、“玻璃罐</w:t>
      </w:r>
      <w:r>
        <w:rPr>
          <w:rFonts w:ascii="宋体" w:hAnsi="宋体" w:eastAsia="宋体" w:cs="宋体"/>
          <w:spacing w:val="-73"/>
          <w:sz w:val="20"/>
          <w:szCs w:val="20"/>
        </w:rPr>
        <w:t xml:space="preserve"> </w:t>
      </w:r>
      <w:r>
        <w:rPr>
          <w:rFonts w:ascii="宋体" w:hAnsi="宋体" w:eastAsia="宋体" w:cs="宋体"/>
          <w:spacing w:val="5"/>
          <w:sz w:val="20"/>
          <w:szCs w:val="20"/>
        </w:rPr>
        <w:t>”、“金属罐</w:t>
      </w:r>
      <w:r>
        <w:rPr>
          <w:rFonts w:ascii="宋体" w:hAnsi="宋体" w:eastAsia="宋体" w:cs="宋体"/>
          <w:spacing w:val="-70"/>
          <w:sz w:val="20"/>
          <w:szCs w:val="20"/>
        </w:rPr>
        <w:t xml:space="preserve"> </w:t>
      </w:r>
      <w:r>
        <w:rPr>
          <w:rFonts w:ascii="宋体" w:hAnsi="宋体" w:eastAsia="宋体" w:cs="宋体"/>
          <w:spacing w:val="5"/>
          <w:sz w:val="20"/>
          <w:szCs w:val="20"/>
        </w:rPr>
        <w:t>”、“橡胶罐</w:t>
      </w:r>
      <w:r>
        <w:rPr>
          <w:rFonts w:ascii="宋体" w:hAnsi="宋体" w:eastAsia="宋体" w:cs="宋体"/>
          <w:spacing w:val="-72"/>
          <w:sz w:val="20"/>
          <w:szCs w:val="20"/>
        </w:rPr>
        <w:t xml:space="preserve"> </w:t>
      </w:r>
      <w:r>
        <w:rPr>
          <w:rFonts w:ascii="宋体" w:hAnsi="宋体" w:eastAsia="宋体" w:cs="宋体"/>
          <w:spacing w:val="5"/>
          <w:sz w:val="20"/>
          <w:szCs w:val="20"/>
        </w:rPr>
        <w:t>”、“生物陶瓷火</w:t>
      </w:r>
    </w:p>
    <w:p w14:paraId="350C33C1">
      <w:pPr>
        <w:spacing w:before="154" w:line="276" w:lineRule="auto"/>
        <w:ind w:left="118"/>
        <w:rPr>
          <w:rFonts w:ascii="宋体" w:hAnsi="宋体" w:eastAsia="宋体" w:cs="宋体"/>
          <w:sz w:val="20"/>
          <w:szCs w:val="20"/>
        </w:rPr>
      </w:pPr>
      <w:r>
        <w:rPr>
          <w:rFonts w:ascii="宋体" w:hAnsi="宋体" w:eastAsia="宋体" w:cs="宋体"/>
          <w:spacing w:val="3"/>
          <w:sz w:val="20"/>
          <w:szCs w:val="20"/>
        </w:rPr>
        <w:t>罐</w:t>
      </w:r>
      <w:r>
        <w:rPr>
          <w:rFonts w:ascii="宋体" w:hAnsi="宋体" w:eastAsia="宋体" w:cs="宋体"/>
          <w:spacing w:val="-71"/>
          <w:sz w:val="20"/>
          <w:szCs w:val="20"/>
        </w:rPr>
        <w:t xml:space="preserve"> </w:t>
      </w:r>
      <w:r>
        <w:rPr>
          <w:rFonts w:ascii="宋体" w:hAnsi="宋体" w:eastAsia="宋体" w:cs="宋体"/>
          <w:spacing w:val="3"/>
          <w:sz w:val="20"/>
          <w:szCs w:val="20"/>
        </w:rPr>
        <w:t>”、“塑胶罐</w:t>
      </w:r>
      <w:r>
        <w:rPr>
          <w:rFonts w:ascii="宋体" w:hAnsi="宋体" w:eastAsia="宋体" w:cs="宋体"/>
          <w:spacing w:val="-73"/>
          <w:sz w:val="20"/>
          <w:szCs w:val="20"/>
        </w:rPr>
        <w:t xml:space="preserve"> </w:t>
      </w:r>
      <w:r>
        <w:rPr>
          <w:rFonts w:ascii="宋体" w:hAnsi="宋体" w:eastAsia="宋体" w:cs="宋体"/>
          <w:spacing w:val="3"/>
          <w:sz w:val="20"/>
          <w:szCs w:val="20"/>
        </w:rPr>
        <w:t>”定义</w:t>
      </w:r>
    </w:p>
    <w:p w14:paraId="2E9F068D">
      <w:pPr>
        <w:spacing w:before="65" w:line="276" w:lineRule="auto"/>
        <w:jc w:val="center"/>
        <w:rPr>
          <w:rFonts w:ascii="宋体" w:hAnsi="宋体" w:eastAsia="宋体" w:cs="宋体"/>
          <w:sz w:val="20"/>
          <w:szCs w:val="20"/>
        </w:rPr>
      </w:pPr>
      <w:r>
        <w:rPr>
          <w:rFonts w:ascii="宋体" w:hAnsi="宋体" w:eastAsia="宋体" w:cs="宋体"/>
          <w:spacing w:val="2"/>
          <w:sz w:val="20"/>
          <w:szCs w:val="20"/>
        </w:rPr>
        <w:t>表 22“角罐</w:t>
      </w:r>
      <w:r>
        <w:rPr>
          <w:rFonts w:ascii="宋体" w:hAnsi="宋体" w:eastAsia="宋体" w:cs="宋体"/>
          <w:spacing w:val="-52"/>
          <w:sz w:val="20"/>
          <w:szCs w:val="20"/>
        </w:rPr>
        <w:t xml:space="preserve"> </w:t>
      </w:r>
      <w:r>
        <w:rPr>
          <w:rFonts w:ascii="宋体" w:hAnsi="宋体" w:eastAsia="宋体" w:cs="宋体"/>
          <w:spacing w:val="2"/>
          <w:sz w:val="20"/>
          <w:szCs w:val="20"/>
        </w:rPr>
        <w:t>”、“竹罐</w:t>
      </w:r>
      <w:r>
        <w:rPr>
          <w:rFonts w:ascii="宋体" w:hAnsi="宋体" w:eastAsia="宋体" w:cs="宋体"/>
          <w:spacing w:val="-70"/>
          <w:sz w:val="20"/>
          <w:szCs w:val="20"/>
        </w:rPr>
        <w:t xml:space="preserve"> </w:t>
      </w:r>
      <w:r>
        <w:rPr>
          <w:rFonts w:ascii="宋体" w:hAnsi="宋体" w:eastAsia="宋体" w:cs="宋体"/>
          <w:spacing w:val="2"/>
          <w:sz w:val="20"/>
          <w:szCs w:val="20"/>
        </w:rPr>
        <w:t>”、“陶瓷罐</w:t>
      </w:r>
      <w:r>
        <w:rPr>
          <w:rFonts w:ascii="宋体" w:hAnsi="宋体" w:eastAsia="宋体" w:cs="宋体"/>
          <w:spacing w:val="-72"/>
          <w:sz w:val="20"/>
          <w:szCs w:val="20"/>
        </w:rPr>
        <w:t xml:space="preserve"> </w:t>
      </w:r>
      <w:r>
        <w:rPr>
          <w:rFonts w:ascii="宋体" w:hAnsi="宋体" w:eastAsia="宋体" w:cs="宋体"/>
          <w:spacing w:val="2"/>
          <w:sz w:val="20"/>
          <w:szCs w:val="20"/>
        </w:rPr>
        <w:t>”、“玻璃罐</w:t>
      </w:r>
      <w:r>
        <w:rPr>
          <w:rFonts w:ascii="宋体" w:hAnsi="宋体" w:eastAsia="宋体" w:cs="宋体"/>
          <w:spacing w:val="-70"/>
          <w:sz w:val="20"/>
          <w:szCs w:val="20"/>
        </w:rPr>
        <w:t xml:space="preserve"> </w:t>
      </w:r>
      <w:r>
        <w:rPr>
          <w:rFonts w:ascii="宋体" w:hAnsi="宋体" w:eastAsia="宋体" w:cs="宋体"/>
          <w:spacing w:val="2"/>
          <w:sz w:val="20"/>
          <w:szCs w:val="20"/>
        </w:rPr>
        <w:t>”、“金属罐</w:t>
      </w:r>
      <w:r>
        <w:rPr>
          <w:rFonts w:ascii="宋体" w:hAnsi="宋体" w:eastAsia="宋体" w:cs="宋体"/>
          <w:spacing w:val="-73"/>
          <w:sz w:val="20"/>
          <w:szCs w:val="20"/>
        </w:rPr>
        <w:t xml:space="preserve"> </w:t>
      </w:r>
      <w:r>
        <w:rPr>
          <w:rFonts w:ascii="宋体" w:hAnsi="宋体" w:eastAsia="宋体" w:cs="宋体"/>
          <w:spacing w:val="2"/>
          <w:sz w:val="20"/>
          <w:szCs w:val="20"/>
        </w:rPr>
        <w:t>”、“橡胶罐</w:t>
      </w:r>
      <w:r>
        <w:rPr>
          <w:rFonts w:ascii="宋体" w:hAnsi="宋体" w:eastAsia="宋体" w:cs="宋体"/>
          <w:spacing w:val="-72"/>
          <w:sz w:val="20"/>
          <w:szCs w:val="20"/>
        </w:rPr>
        <w:t xml:space="preserve"> </w:t>
      </w:r>
      <w:r>
        <w:rPr>
          <w:rFonts w:ascii="宋体" w:hAnsi="宋体" w:eastAsia="宋体" w:cs="宋体"/>
          <w:spacing w:val="2"/>
          <w:sz w:val="20"/>
          <w:szCs w:val="20"/>
        </w:rPr>
        <w:t>”、</w:t>
      </w:r>
    </w:p>
    <w:p w14:paraId="69C80E87">
      <w:pPr>
        <w:spacing w:before="65" w:line="276" w:lineRule="auto"/>
        <w:jc w:val="center"/>
        <w:rPr>
          <w:rFonts w:ascii="宋体" w:hAnsi="宋体" w:eastAsia="宋体" w:cs="宋体"/>
          <w:sz w:val="20"/>
          <w:szCs w:val="20"/>
        </w:rPr>
      </w:pPr>
      <w:r>
        <w:rPr>
          <w:rFonts w:ascii="宋体" w:hAnsi="宋体" w:eastAsia="宋体" w:cs="宋体"/>
          <w:spacing w:val="2"/>
          <w:sz w:val="20"/>
          <w:szCs w:val="20"/>
        </w:rPr>
        <w:t>“生物陶瓷火罐</w:t>
      </w:r>
      <w:r>
        <w:rPr>
          <w:rFonts w:ascii="宋体" w:hAnsi="宋体" w:eastAsia="宋体" w:cs="宋体"/>
          <w:spacing w:val="-70"/>
          <w:sz w:val="20"/>
          <w:szCs w:val="20"/>
        </w:rPr>
        <w:t xml:space="preserve"> </w:t>
      </w:r>
      <w:r>
        <w:rPr>
          <w:rFonts w:ascii="宋体" w:hAnsi="宋体" w:eastAsia="宋体" w:cs="宋体"/>
          <w:spacing w:val="2"/>
          <w:sz w:val="20"/>
          <w:szCs w:val="20"/>
        </w:rPr>
        <w:t>”、</w:t>
      </w:r>
      <w:r>
        <w:rPr>
          <w:rFonts w:ascii="宋体" w:hAnsi="宋体" w:eastAsia="宋体" w:cs="宋体"/>
          <w:spacing w:val="7"/>
          <w:sz w:val="20"/>
          <w:szCs w:val="20"/>
        </w:rPr>
        <w:t>“塑胶罐</w:t>
      </w:r>
      <w:r>
        <w:rPr>
          <w:rFonts w:ascii="宋体" w:hAnsi="宋体" w:eastAsia="宋体" w:cs="宋体"/>
          <w:spacing w:val="-68"/>
          <w:sz w:val="20"/>
          <w:szCs w:val="20"/>
        </w:rPr>
        <w:t xml:space="preserve"> </w:t>
      </w:r>
      <w:r>
        <w:rPr>
          <w:rFonts w:ascii="宋体" w:hAnsi="宋体" w:eastAsia="宋体" w:cs="宋体"/>
          <w:spacing w:val="7"/>
          <w:sz w:val="20"/>
          <w:szCs w:val="20"/>
        </w:rPr>
        <w:t>”定义调查结果</w:t>
      </w:r>
    </w:p>
    <w:p w14:paraId="50F0E47E">
      <w:pPr>
        <w:spacing w:line="276" w:lineRule="auto"/>
        <w:rPr>
          <w:rFonts w:ascii="Arial"/>
          <w:sz w:val="2"/>
        </w:rPr>
      </w:pPr>
    </w:p>
    <w:tbl>
      <w:tblPr>
        <w:tblStyle w:val="9"/>
        <w:tblW w:w="95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712"/>
        <w:gridCol w:w="634"/>
        <w:gridCol w:w="857"/>
        <w:gridCol w:w="422"/>
        <w:gridCol w:w="945"/>
      </w:tblGrid>
      <w:tr w14:paraId="3F575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8" w:hRule="atLeast"/>
        </w:trPr>
        <w:tc>
          <w:tcPr>
            <w:tcW w:w="6712" w:type="dxa"/>
            <w:vAlign w:val="top"/>
          </w:tcPr>
          <w:p w14:paraId="03417F25">
            <w:pPr>
              <w:spacing w:before="145" w:line="276" w:lineRule="auto"/>
              <w:ind w:left="3151"/>
              <w:rPr>
                <w:rFonts w:ascii="宋体" w:hAnsi="宋体" w:eastAsia="宋体" w:cs="宋体"/>
                <w:sz w:val="20"/>
                <w:szCs w:val="20"/>
              </w:rPr>
            </w:pPr>
            <w:r>
              <w:rPr>
                <w:rFonts w:ascii="宋体" w:hAnsi="宋体" w:eastAsia="宋体" w:cs="宋体"/>
                <w:spacing w:val="5"/>
                <w:sz w:val="20"/>
                <w:szCs w:val="20"/>
              </w:rPr>
              <w:t>选项</w:t>
            </w:r>
          </w:p>
        </w:tc>
        <w:tc>
          <w:tcPr>
            <w:tcW w:w="634" w:type="dxa"/>
            <w:vAlign w:val="top"/>
          </w:tcPr>
          <w:p w14:paraId="7C9957C0">
            <w:pPr>
              <w:spacing w:before="220" w:line="276" w:lineRule="auto"/>
              <w:ind w:left="259"/>
              <w:rPr>
                <w:rFonts w:ascii="Times New Roman" w:hAnsi="Times New Roman" w:eastAsia="Times New Roman" w:cs="Times New Roman"/>
                <w:sz w:val="23"/>
                <w:szCs w:val="23"/>
              </w:rPr>
            </w:pPr>
            <w:r>
              <w:pict>
                <v:shape id="_x0000_s1044" o:spid="_x0000_s1044" style="position:absolute;left:0pt;margin-left:12.85pt;margin-top:6.15pt;height:0.5pt;width:5.55pt;mso-position-horizontal-relative:page;mso-position-vertical-relative:page;z-index:251670528;mso-width-relative:page;mso-height-relative:page;" filled="f" stroked="t" coordsize="111,10" path="m4,4l105,4e">
                  <v:fill on="f" focussize="0,0"/>
                  <v:stroke weight="0.48pt" color="#000000" miterlimit="2" endcap="round"/>
                  <v:imagedata o:title=""/>
                  <o:lock v:ext="edit"/>
                </v:shape>
              </w:pict>
            </w:r>
            <w:r>
              <w:rPr>
                <w:rFonts w:ascii="Times New Roman" w:hAnsi="Times New Roman" w:eastAsia="Times New Roman" w:cs="Times New Roman"/>
                <w:i/>
                <w:iCs/>
                <w:spacing w:val="11"/>
                <w:sz w:val="23"/>
                <w:szCs w:val="23"/>
              </w:rPr>
              <w:t>x</w:t>
            </w:r>
          </w:p>
        </w:tc>
        <w:tc>
          <w:tcPr>
            <w:tcW w:w="857" w:type="dxa"/>
            <w:vAlign w:val="top"/>
          </w:tcPr>
          <w:p w14:paraId="351B7C2D">
            <w:pPr>
              <w:spacing w:before="179" w:line="276" w:lineRule="auto"/>
              <w:ind w:left="376"/>
              <w:rPr>
                <w:rFonts w:ascii="宋体" w:hAnsi="宋体" w:eastAsia="宋体" w:cs="宋体"/>
                <w:sz w:val="20"/>
                <w:szCs w:val="20"/>
              </w:rPr>
            </w:pPr>
            <w:r>
              <w:rPr>
                <w:rFonts w:ascii="宋体" w:hAnsi="宋体" w:eastAsia="宋体" w:cs="宋体"/>
                <w:sz w:val="20"/>
                <w:szCs w:val="20"/>
              </w:rPr>
              <w:t>R</w:t>
            </w:r>
          </w:p>
        </w:tc>
        <w:tc>
          <w:tcPr>
            <w:tcW w:w="422" w:type="dxa"/>
            <w:vAlign w:val="top"/>
          </w:tcPr>
          <w:p w14:paraId="0D7B9A87">
            <w:pPr>
              <w:spacing w:before="177" w:line="276" w:lineRule="auto"/>
              <w:ind w:left="158"/>
              <w:rPr>
                <w:rFonts w:ascii="宋体" w:hAnsi="宋体" w:eastAsia="宋体" w:cs="宋体"/>
                <w:sz w:val="20"/>
                <w:szCs w:val="20"/>
              </w:rPr>
            </w:pPr>
            <w:r>
              <w:rPr>
                <w:rFonts w:ascii="宋体" w:hAnsi="宋体" w:eastAsia="宋体" w:cs="宋体"/>
                <w:sz w:val="20"/>
                <w:szCs w:val="20"/>
              </w:rPr>
              <w:t>S</w:t>
            </w:r>
          </w:p>
        </w:tc>
        <w:tc>
          <w:tcPr>
            <w:tcW w:w="945" w:type="dxa"/>
            <w:vAlign w:val="top"/>
          </w:tcPr>
          <w:p w14:paraId="13DF40F1">
            <w:pPr>
              <w:spacing w:before="177" w:line="276" w:lineRule="auto"/>
              <w:ind w:left="369"/>
              <w:rPr>
                <w:rFonts w:ascii="宋体" w:hAnsi="宋体" w:eastAsia="宋体" w:cs="宋体"/>
                <w:sz w:val="20"/>
                <w:szCs w:val="20"/>
              </w:rPr>
            </w:pPr>
            <w:r>
              <w:rPr>
                <w:rFonts w:ascii="宋体" w:hAnsi="宋体" w:eastAsia="宋体" w:cs="宋体"/>
                <w:spacing w:val="1"/>
                <w:sz w:val="20"/>
                <w:szCs w:val="20"/>
              </w:rPr>
              <w:t>CV</w:t>
            </w:r>
          </w:p>
        </w:tc>
      </w:tr>
      <w:tr w14:paraId="19D97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3" w:hRule="atLeast"/>
        </w:trPr>
        <w:tc>
          <w:tcPr>
            <w:tcW w:w="6712" w:type="dxa"/>
            <w:vAlign w:val="top"/>
          </w:tcPr>
          <w:p w14:paraId="4ADE6F26">
            <w:pPr>
              <w:spacing w:before="53" w:line="276" w:lineRule="auto"/>
              <w:ind w:left="110"/>
              <w:rPr>
                <w:rFonts w:ascii="宋体" w:hAnsi="宋体" w:eastAsia="宋体" w:cs="宋体"/>
                <w:sz w:val="20"/>
                <w:szCs w:val="20"/>
              </w:rPr>
            </w:pPr>
            <w:r>
              <w:rPr>
                <w:rFonts w:ascii="宋体" w:hAnsi="宋体" w:eastAsia="宋体" w:cs="宋体"/>
                <w:spacing w:val="8"/>
                <w:sz w:val="20"/>
                <w:szCs w:val="20"/>
              </w:rPr>
              <w:t xml:space="preserve">A. </w:t>
            </w:r>
            <w:r>
              <w:rPr>
                <w:rFonts w:ascii="宋体" w:hAnsi="宋体" w:eastAsia="宋体" w:cs="宋体"/>
                <w:b/>
                <w:bCs/>
                <w:spacing w:val="8"/>
                <w:sz w:val="20"/>
                <w:szCs w:val="20"/>
              </w:rPr>
              <w:t>角罐</w:t>
            </w:r>
            <w:r>
              <w:rPr>
                <w:rFonts w:ascii="宋体" w:hAnsi="宋体" w:eastAsia="宋体" w:cs="宋体"/>
                <w:spacing w:val="8"/>
                <w:sz w:val="20"/>
                <w:szCs w:val="20"/>
              </w:rPr>
              <w:t xml:space="preserve">  用牛角或羊角加工制成的罐具。</w:t>
            </w:r>
          </w:p>
        </w:tc>
        <w:tc>
          <w:tcPr>
            <w:tcW w:w="634" w:type="dxa"/>
            <w:vAlign w:val="top"/>
          </w:tcPr>
          <w:p w14:paraId="1FFE654E">
            <w:pPr>
              <w:spacing w:before="142" w:line="276" w:lineRule="auto"/>
              <w:ind w:left="116"/>
              <w:rPr>
                <w:rFonts w:ascii="宋体" w:hAnsi="宋体" w:eastAsia="宋体" w:cs="宋体"/>
                <w:sz w:val="20"/>
                <w:szCs w:val="20"/>
              </w:rPr>
            </w:pPr>
            <w:r>
              <w:rPr>
                <w:rFonts w:ascii="宋体" w:hAnsi="宋体" w:eastAsia="宋体" w:cs="宋体"/>
                <w:spacing w:val="1"/>
                <w:sz w:val="20"/>
                <w:szCs w:val="20"/>
              </w:rPr>
              <w:t>0.5</w:t>
            </w:r>
          </w:p>
        </w:tc>
        <w:tc>
          <w:tcPr>
            <w:tcW w:w="857" w:type="dxa"/>
            <w:vAlign w:val="top"/>
          </w:tcPr>
          <w:p w14:paraId="18DB4A0C">
            <w:pPr>
              <w:spacing w:before="142" w:line="276" w:lineRule="auto"/>
              <w:ind w:left="121"/>
              <w:rPr>
                <w:rFonts w:ascii="宋体" w:hAnsi="宋体" w:eastAsia="宋体" w:cs="宋体"/>
                <w:sz w:val="20"/>
                <w:szCs w:val="20"/>
              </w:rPr>
            </w:pPr>
            <w:r>
              <w:rPr>
                <w:rFonts w:ascii="宋体" w:hAnsi="宋体" w:eastAsia="宋体" w:cs="宋体"/>
                <w:spacing w:val="2"/>
                <w:sz w:val="20"/>
                <w:szCs w:val="20"/>
              </w:rPr>
              <w:t>50.00%</w:t>
            </w:r>
          </w:p>
        </w:tc>
        <w:tc>
          <w:tcPr>
            <w:tcW w:w="422" w:type="dxa"/>
            <w:vAlign w:val="top"/>
          </w:tcPr>
          <w:p w14:paraId="1ECE510F">
            <w:pPr>
              <w:spacing w:before="142" w:line="276" w:lineRule="auto"/>
              <w:ind w:left="122"/>
              <w:rPr>
                <w:rFonts w:ascii="宋体" w:hAnsi="宋体" w:eastAsia="宋体" w:cs="宋体"/>
                <w:sz w:val="20"/>
                <w:szCs w:val="20"/>
              </w:rPr>
            </w:pPr>
            <w:r>
              <w:rPr>
                <w:rFonts w:ascii="宋体" w:hAnsi="宋体" w:eastAsia="宋体" w:cs="宋体"/>
                <w:spacing w:val="-7"/>
                <w:sz w:val="20"/>
                <w:szCs w:val="20"/>
              </w:rPr>
              <w:t>15</w:t>
            </w:r>
          </w:p>
        </w:tc>
        <w:tc>
          <w:tcPr>
            <w:tcW w:w="945" w:type="dxa"/>
            <w:vAlign w:val="top"/>
          </w:tcPr>
          <w:p w14:paraId="6A52582C">
            <w:pPr>
              <w:spacing w:before="142" w:line="276" w:lineRule="auto"/>
              <w:ind w:left="125"/>
              <w:rPr>
                <w:rFonts w:ascii="宋体" w:hAnsi="宋体" w:eastAsia="宋体" w:cs="宋体"/>
                <w:sz w:val="20"/>
                <w:szCs w:val="20"/>
              </w:rPr>
            </w:pPr>
            <w:r>
              <w:rPr>
                <w:rFonts w:ascii="宋体" w:hAnsi="宋体" w:eastAsia="宋体" w:cs="宋体"/>
                <w:spacing w:val="1"/>
                <w:sz w:val="20"/>
                <w:szCs w:val="20"/>
              </w:rPr>
              <w:t>101.71%</w:t>
            </w:r>
          </w:p>
        </w:tc>
      </w:tr>
      <w:tr w14:paraId="078F7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1" w:hRule="atLeast"/>
        </w:trPr>
        <w:tc>
          <w:tcPr>
            <w:tcW w:w="6712" w:type="dxa"/>
            <w:vAlign w:val="top"/>
          </w:tcPr>
          <w:p w14:paraId="7053374E">
            <w:pPr>
              <w:spacing w:before="22" w:line="276" w:lineRule="auto"/>
              <w:ind w:left="116" w:right="109"/>
              <w:jc w:val="both"/>
              <w:rPr>
                <w:rFonts w:ascii="宋体" w:hAnsi="宋体" w:eastAsia="宋体" w:cs="宋体"/>
                <w:sz w:val="20"/>
                <w:szCs w:val="20"/>
              </w:rPr>
            </w:pPr>
            <w:r>
              <w:rPr>
                <w:rFonts w:ascii="宋体" w:hAnsi="宋体" w:eastAsia="宋体" w:cs="宋体"/>
                <w:b/>
                <w:bCs/>
                <w:spacing w:val="9"/>
                <w:sz w:val="20"/>
                <w:szCs w:val="20"/>
              </w:rPr>
              <w:t>竹罐</w:t>
            </w:r>
            <w:r>
              <w:rPr>
                <w:rFonts w:ascii="宋体" w:hAnsi="宋体" w:eastAsia="宋体" w:cs="宋体"/>
                <w:spacing w:val="9"/>
                <w:sz w:val="20"/>
                <w:szCs w:val="20"/>
              </w:rPr>
              <w:t xml:space="preserve">  由成熟的竹子制成。其优点是轻巧，价廉</w:t>
            </w:r>
            <w:r>
              <w:rPr>
                <w:rFonts w:ascii="宋体" w:hAnsi="宋体" w:eastAsia="宋体" w:cs="宋体"/>
                <w:spacing w:val="8"/>
                <w:sz w:val="20"/>
                <w:szCs w:val="20"/>
              </w:rPr>
              <w:t>，取材容易，制作简单</w:t>
            </w:r>
            <w:r>
              <w:rPr>
                <w:rFonts w:ascii="宋体" w:hAnsi="宋体" w:eastAsia="宋体" w:cs="宋体"/>
                <w:spacing w:val="9"/>
                <w:sz w:val="20"/>
                <w:szCs w:val="20"/>
              </w:rPr>
              <w:t>且有耐煮的特性；缺点是容易爆裂漏气，且质地不透明，难以观察罐内皮肤的变化情况。竹罐容易吸附药物，在煮药罐法中常用，可根据不同</w:t>
            </w:r>
            <w:r>
              <w:rPr>
                <w:rFonts w:ascii="宋体" w:hAnsi="宋体" w:eastAsia="宋体" w:cs="宋体"/>
                <w:spacing w:val="8"/>
                <w:sz w:val="20"/>
                <w:szCs w:val="20"/>
              </w:rPr>
              <w:t>的疾病使用不同的药物煮罐，以提高疗效。</w:t>
            </w:r>
          </w:p>
        </w:tc>
        <w:tc>
          <w:tcPr>
            <w:tcW w:w="634" w:type="dxa"/>
            <w:vAlign w:val="top"/>
          </w:tcPr>
          <w:p w14:paraId="47DF0F1D">
            <w:pPr>
              <w:spacing w:line="276" w:lineRule="auto"/>
              <w:rPr>
                <w:rFonts w:ascii="Arial"/>
                <w:sz w:val="21"/>
              </w:rPr>
            </w:pPr>
          </w:p>
        </w:tc>
        <w:tc>
          <w:tcPr>
            <w:tcW w:w="857" w:type="dxa"/>
            <w:vAlign w:val="top"/>
          </w:tcPr>
          <w:p w14:paraId="50256945">
            <w:pPr>
              <w:spacing w:line="276" w:lineRule="auto"/>
              <w:rPr>
                <w:rFonts w:ascii="Arial"/>
                <w:sz w:val="21"/>
              </w:rPr>
            </w:pPr>
          </w:p>
        </w:tc>
        <w:tc>
          <w:tcPr>
            <w:tcW w:w="422" w:type="dxa"/>
            <w:vAlign w:val="top"/>
          </w:tcPr>
          <w:p w14:paraId="57227A84">
            <w:pPr>
              <w:spacing w:line="276" w:lineRule="auto"/>
              <w:rPr>
                <w:rFonts w:ascii="Arial"/>
                <w:sz w:val="21"/>
              </w:rPr>
            </w:pPr>
          </w:p>
        </w:tc>
        <w:tc>
          <w:tcPr>
            <w:tcW w:w="945" w:type="dxa"/>
            <w:vAlign w:val="top"/>
          </w:tcPr>
          <w:p w14:paraId="2F7ACC4E">
            <w:pPr>
              <w:spacing w:line="276" w:lineRule="auto"/>
              <w:rPr>
                <w:rFonts w:ascii="Arial"/>
                <w:sz w:val="21"/>
              </w:rPr>
            </w:pPr>
          </w:p>
        </w:tc>
      </w:tr>
      <w:tr w14:paraId="0C750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55" w:hRule="atLeast"/>
        </w:trPr>
        <w:tc>
          <w:tcPr>
            <w:tcW w:w="6712" w:type="dxa"/>
            <w:vAlign w:val="top"/>
          </w:tcPr>
          <w:p w14:paraId="0891E18D">
            <w:pPr>
              <w:spacing w:before="60" w:line="276" w:lineRule="auto"/>
              <w:ind w:left="115" w:right="109" w:firstLine="12"/>
              <w:jc w:val="both"/>
              <w:rPr>
                <w:rFonts w:ascii="宋体" w:hAnsi="宋体" w:eastAsia="宋体" w:cs="宋体"/>
                <w:sz w:val="20"/>
                <w:szCs w:val="20"/>
              </w:rPr>
            </w:pPr>
            <w:r>
              <w:rPr>
                <w:rFonts w:ascii="宋体" w:hAnsi="宋体" w:eastAsia="宋体" w:cs="宋体"/>
                <w:b/>
                <w:bCs/>
                <w:spacing w:val="7"/>
                <w:sz w:val="20"/>
                <w:szCs w:val="20"/>
              </w:rPr>
              <w:t>陶罐</w:t>
            </w:r>
            <w:r>
              <w:rPr>
                <w:rFonts w:ascii="宋体" w:hAnsi="宋体" w:eastAsia="宋体" w:cs="宋体"/>
                <w:spacing w:val="7"/>
                <w:sz w:val="20"/>
                <w:szCs w:val="20"/>
              </w:rPr>
              <w:t xml:space="preserve">  陶罐由陶土烧制而成，罐口平滑，形如木体，</w:t>
            </w:r>
            <w:r>
              <w:rPr>
                <w:rFonts w:ascii="宋体" w:hAnsi="宋体" w:eastAsia="宋体" w:cs="宋体"/>
                <w:spacing w:val="-55"/>
                <w:sz w:val="20"/>
                <w:szCs w:val="20"/>
              </w:rPr>
              <w:t xml:space="preserve"> </w:t>
            </w:r>
            <w:r>
              <w:rPr>
                <w:rFonts w:ascii="宋体" w:hAnsi="宋体" w:eastAsia="宋体" w:cs="宋体"/>
                <w:spacing w:val="7"/>
                <w:sz w:val="20"/>
                <w:szCs w:val="20"/>
              </w:rPr>
              <w:t>口底稍小，腔大如</w:t>
            </w:r>
            <w:r>
              <w:rPr>
                <w:rFonts w:ascii="宋体" w:hAnsi="宋体" w:eastAsia="宋体" w:cs="宋体"/>
                <w:spacing w:val="9"/>
                <w:sz w:val="20"/>
                <w:szCs w:val="20"/>
              </w:rPr>
              <w:t>鼓，有大、中、小和特小几种类型。其优点是吸拔力较大、易于高温消毒，适用于全身各部的拔罐：缺点是陶罐体较重，易于破碎，且质地不透明。陶罐较大的吸拔力对体质壮盛的患者或某些深部疾病具有良好的</w:t>
            </w:r>
            <w:r>
              <w:rPr>
                <w:rFonts w:ascii="宋体" w:hAnsi="宋体" w:eastAsia="宋体" w:cs="宋体"/>
                <w:spacing w:val="3"/>
                <w:sz w:val="20"/>
                <w:szCs w:val="20"/>
              </w:rPr>
              <w:t>疗效。</w:t>
            </w:r>
          </w:p>
        </w:tc>
        <w:tc>
          <w:tcPr>
            <w:tcW w:w="634" w:type="dxa"/>
            <w:vAlign w:val="top"/>
          </w:tcPr>
          <w:p w14:paraId="0815672C">
            <w:pPr>
              <w:spacing w:line="276" w:lineRule="auto"/>
              <w:rPr>
                <w:rFonts w:ascii="Arial"/>
                <w:sz w:val="21"/>
              </w:rPr>
            </w:pPr>
          </w:p>
        </w:tc>
        <w:tc>
          <w:tcPr>
            <w:tcW w:w="857" w:type="dxa"/>
            <w:vAlign w:val="top"/>
          </w:tcPr>
          <w:p w14:paraId="7CCD66DE">
            <w:pPr>
              <w:spacing w:line="276" w:lineRule="auto"/>
              <w:rPr>
                <w:rFonts w:ascii="Arial"/>
                <w:sz w:val="21"/>
              </w:rPr>
            </w:pPr>
          </w:p>
        </w:tc>
        <w:tc>
          <w:tcPr>
            <w:tcW w:w="422" w:type="dxa"/>
            <w:vAlign w:val="top"/>
          </w:tcPr>
          <w:p w14:paraId="4DBD0751">
            <w:pPr>
              <w:spacing w:line="276" w:lineRule="auto"/>
              <w:rPr>
                <w:rFonts w:ascii="Arial"/>
                <w:sz w:val="21"/>
              </w:rPr>
            </w:pPr>
          </w:p>
        </w:tc>
        <w:tc>
          <w:tcPr>
            <w:tcW w:w="945" w:type="dxa"/>
            <w:vAlign w:val="top"/>
          </w:tcPr>
          <w:p w14:paraId="384C49B9">
            <w:pPr>
              <w:spacing w:line="276" w:lineRule="auto"/>
              <w:rPr>
                <w:rFonts w:ascii="Arial"/>
                <w:sz w:val="21"/>
              </w:rPr>
            </w:pPr>
          </w:p>
        </w:tc>
      </w:tr>
      <w:tr w14:paraId="3FBEA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88" w:hRule="atLeast"/>
        </w:trPr>
        <w:tc>
          <w:tcPr>
            <w:tcW w:w="6712" w:type="dxa"/>
            <w:vAlign w:val="top"/>
          </w:tcPr>
          <w:p w14:paraId="41878478">
            <w:pPr>
              <w:spacing w:before="64" w:line="276" w:lineRule="auto"/>
              <w:ind w:left="115" w:right="109" w:firstLine="4"/>
              <w:jc w:val="both"/>
              <w:rPr>
                <w:rFonts w:ascii="宋体" w:hAnsi="宋体" w:eastAsia="宋体" w:cs="宋体"/>
                <w:sz w:val="20"/>
                <w:szCs w:val="20"/>
              </w:rPr>
            </w:pPr>
            <w:r>
              <w:rPr>
                <w:rFonts w:ascii="宋体" w:hAnsi="宋体" w:eastAsia="宋体" w:cs="宋体"/>
                <w:b/>
                <w:bCs/>
                <w:spacing w:val="8"/>
                <w:sz w:val="20"/>
                <w:szCs w:val="20"/>
              </w:rPr>
              <w:t>玻璃罐</w:t>
            </w:r>
            <w:r>
              <w:rPr>
                <w:rFonts w:ascii="宋体" w:hAnsi="宋体" w:eastAsia="宋体" w:cs="宋体"/>
                <w:spacing w:val="8"/>
                <w:sz w:val="20"/>
                <w:szCs w:val="20"/>
              </w:rPr>
              <w:t xml:space="preserve">  玻璃罐由耐热质硬的透明玻璃烧制而成，罐口平滑，口平腔大底圆，</w:t>
            </w:r>
            <w:r>
              <w:rPr>
                <w:rFonts w:ascii="宋体" w:hAnsi="宋体" w:eastAsia="宋体" w:cs="宋体"/>
                <w:spacing w:val="-56"/>
                <w:sz w:val="20"/>
                <w:szCs w:val="20"/>
              </w:rPr>
              <w:t xml:space="preserve"> </w:t>
            </w:r>
            <w:r>
              <w:rPr>
                <w:rFonts w:ascii="宋体" w:hAnsi="宋体" w:eastAsia="宋体" w:cs="宋体"/>
                <w:spacing w:val="8"/>
                <w:sz w:val="20"/>
                <w:szCs w:val="20"/>
              </w:rPr>
              <w:t>口缘稍厚略外翻，内外光滑。其优点是质地</w:t>
            </w:r>
            <w:r>
              <w:rPr>
                <w:rFonts w:ascii="宋体" w:hAnsi="宋体" w:eastAsia="宋体" w:cs="宋体"/>
                <w:spacing w:val="7"/>
                <w:sz w:val="20"/>
                <w:szCs w:val="20"/>
              </w:rPr>
              <w:t>透明，使用时可以随</w:t>
            </w:r>
            <w:r>
              <w:rPr>
                <w:rFonts w:ascii="宋体" w:hAnsi="宋体" w:eastAsia="宋体" w:cs="宋体"/>
                <w:spacing w:val="9"/>
                <w:sz w:val="20"/>
                <w:szCs w:val="20"/>
              </w:rPr>
              <w:t>时观察罐内皮肤瘀血的程度：缺点是传热较快，容易摔碎。玻璃罐临床广泛应用于刺络放血拔罐及推拿罐等，对于瘀阻性疾病及寒凝病症具有</w:t>
            </w:r>
            <w:r>
              <w:rPr>
                <w:rFonts w:ascii="宋体" w:hAnsi="宋体" w:eastAsia="宋体" w:cs="宋体"/>
                <w:spacing w:val="6"/>
                <w:sz w:val="20"/>
                <w:szCs w:val="20"/>
              </w:rPr>
              <w:t>良好的疗效。</w:t>
            </w:r>
          </w:p>
          <w:p w14:paraId="06EF7125">
            <w:pPr>
              <w:spacing w:before="2" w:line="276" w:lineRule="auto"/>
              <w:ind w:left="118" w:right="109"/>
              <w:jc w:val="both"/>
              <w:rPr>
                <w:rFonts w:ascii="宋体" w:hAnsi="宋体" w:eastAsia="宋体" w:cs="宋体"/>
                <w:sz w:val="20"/>
                <w:szCs w:val="20"/>
              </w:rPr>
            </w:pPr>
            <w:r>
              <w:rPr>
                <w:rFonts w:ascii="宋体" w:hAnsi="宋体" w:eastAsia="宋体" w:cs="宋体"/>
                <w:b/>
                <w:bCs/>
                <w:spacing w:val="9"/>
                <w:sz w:val="20"/>
                <w:szCs w:val="20"/>
              </w:rPr>
              <w:t>金属罐</w:t>
            </w:r>
            <w:r>
              <w:rPr>
                <w:rFonts w:ascii="宋体" w:hAnsi="宋体" w:eastAsia="宋体" w:cs="宋体"/>
                <w:spacing w:val="9"/>
                <w:sz w:val="20"/>
                <w:szCs w:val="20"/>
              </w:rPr>
              <w:t xml:space="preserve">  分为铜罐、铁罐，用钢或铁皮为原料</w:t>
            </w:r>
            <w:r>
              <w:rPr>
                <w:rFonts w:ascii="宋体" w:hAnsi="宋体" w:eastAsia="宋体" w:cs="宋体"/>
                <w:spacing w:val="8"/>
                <w:sz w:val="20"/>
                <w:szCs w:val="20"/>
              </w:rPr>
              <w:t>制成。其形状如玻璃罐，</w:t>
            </w:r>
            <w:r>
              <w:rPr>
                <w:rFonts w:ascii="宋体" w:hAnsi="宋体" w:eastAsia="宋体" w:cs="宋体"/>
                <w:spacing w:val="12"/>
                <w:sz w:val="20"/>
                <w:szCs w:val="20"/>
              </w:rPr>
              <w:t>口径大小不 一。其中铜罐比较常用。金属罐的特点是耐用，导热比较</w:t>
            </w:r>
            <w:r>
              <w:rPr>
                <w:rFonts w:ascii="宋体" w:hAnsi="宋体" w:eastAsia="宋体" w:cs="宋体"/>
                <w:spacing w:val="-1"/>
                <w:sz w:val="20"/>
                <w:szCs w:val="20"/>
              </w:rPr>
              <w:t>快。</w:t>
            </w:r>
          </w:p>
        </w:tc>
        <w:tc>
          <w:tcPr>
            <w:tcW w:w="634" w:type="dxa"/>
            <w:vAlign w:val="top"/>
          </w:tcPr>
          <w:p w14:paraId="7955646A">
            <w:pPr>
              <w:spacing w:line="276" w:lineRule="auto"/>
              <w:rPr>
                <w:rFonts w:ascii="Arial"/>
                <w:sz w:val="21"/>
              </w:rPr>
            </w:pPr>
          </w:p>
        </w:tc>
        <w:tc>
          <w:tcPr>
            <w:tcW w:w="857" w:type="dxa"/>
            <w:vAlign w:val="top"/>
          </w:tcPr>
          <w:p w14:paraId="6B5F8780">
            <w:pPr>
              <w:spacing w:line="276" w:lineRule="auto"/>
              <w:rPr>
                <w:rFonts w:ascii="Arial"/>
                <w:sz w:val="21"/>
              </w:rPr>
            </w:pPr>
          </w:p>
        </w:tc>
        <w:tc>
          <w:tcPr>
            <w:tcW w:w="422" w:type="dxa"/>
            <w:vAlign w:val="top"/>
          </w:tcPr>
          <w:p w14:paraId="04F76632">
            <w:pPr>
              <w:spacing w:line="276" w:lineRule="auto"/>
              <w:rPr>
                <w:rFonts w:ascii="Arial"/>
                <w:sz w:val="21"/>
              </w:rPr>
            </w:pPr>
          </w:p>
        </w:tc>
        <w:tc>
          <w:tcPr>
            <w:tcW w:w="945" w:type="dxa"/>
            <w:vAlign w:val="top"/>
          </w:tcPr>
          <w:p w14:paraId="64DD6E70">
            <w:pPr>
              <w:spacing w:line="276" w:lineRule="auto"/>
              <w:rPr>
                <w:rFonts w:ascii="Arial"/>
                <w:sz w:val="21"/>
              </w:rPr>
            </w:pPr>
          </w:p>
        </w:tc>
      </w:tr>
      <w:tr w14:paraId="2F88F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7" w:hRule="atLeast"/>
        </w:trPr>
        <w:tc>
          <w:tcPr>
            <w:tcW w:w="6712" w:type="dxa"/>
            <w:vAlign w:val="top"/>
          </w:tcPr>
          <w:p w14:paraId="52730133">
            <w:pPr>
              <w:spacing w:before="72" w:line="276" w:lineRule="auto"/>
              <w:ind w:left="116" w:right="109" w:firstLine="1"/>
              <w:rPr>
                <w:rFonts w:ascii="宋体" w:hAnsi="宋体" w:eastAsia="宋体" w:cs="宋体"/>
                <w:sz w:val="20"/>
                <w:szCs w:val="20"/>
              </w:rPr>
            </w:pPr>
            <w:r>
              <w:rPr>
                <w:rFonts w:ascii="宋体" w:hAnsi="宋体" w:eastAsia="宋体" w:cs="宋体"/>
                <w:b/>
                <w:bCs/>
                <w:spacing w:val="8"/>
                <w:sz w:val="20"/>
                <w:szCs w:val="20"/>
              </w:rPr>
              <w:t>生物陶瓷火罐</w:t>
            </w:r>
            <w:r>
              <w:rPr>
                <w:rFonts w:ascii="宋体" w:hAnsi="宋体" w:eastAsia="宋体" w:cs="宋体"/>
                <w:spacing w:val="8"/>
                <w:sz w:val="20"/>
                <w:szCs w:val="20"/>
              </w:rPr>
              <w:t xml:space="preserve">  生物陶瓷火罐是选用多种氧化聚合物，配合其他辅助材</w:t>
            </w:r>
            <w:r>
              <w:rPr>
                <w:rFonts w:ascii="宋体" w:hAnsi="宋体" w:eastAsia="宋体" w:cs="宋体"/>
                <w:spacing w:val="7"/>
                <w:sz w:val="20"/>
                <w:szCs w:val="20"/>
              </w:rPr>
              <w:t>料烧制而成的。</w:t>
            </w:r>
          </w:p>
        </w:tc>
        <w:tc>
          <w:tcPr>
            <w:tcW w:w="634" w:type="dxa"/>
            <w:vAlign w:val="top"/>
          </w:tcPr>
          <w:p w14:paraId="12CC07C1">
            <w:pPr>
              <w:spacing w:line="276" w:lineRule="auto"/>
              <w:rPr>
                <w:rFonts w:ascii="Arial"/>
                <w:sz w:val="21"/>
              </w:rPr>
            </w:pPr>
          </w:p>
        </w:tc>
        <w:tc>
          <w:tcPr>
            <w:tcW w:w="857" w:type="dxa"/>
            <w:vAlign w:val="top"/>
          </w:tcPr>
          <w:p w14:paraId="636DEC39">
            <w:pPr>
              <w:spacing w:line="276" w:lineRule="auto"/>
              <w:rPr>
                <w:rFonts w:ascii="Arial"/>
                <w:sz w:val="21"/>
              </w:rPr>
            </w:pPr>
          </w:p>
        </w:tc>
        <w:tc>
          <w:tcPr>
            <w:tcW w:w="422" w:type="dxa"/>
            <w:vAlign w:val="top"/>
          </w:tcPr>
          <w:p w14:paraId="59A5BD85">
            <w:pPr>
              <w:spacing w:line="276" w:lineRule="auto"/>
              <w:rPr>
                <w:rFonts w:ascii="Arial"/>
                <w:sz w:val="21"/>
              </w:rPr>
            </w:pPr>
          </w:p>
        </w:tc>
        <w:tc>
          <w:tcPr>
            <w:tcW w:w="945" w:type="dxa"/>
            <w:vAlign w:val="top"/>
          </w:tcPr>
          <w:p w14:paraId="07C3DB23">
            <w:pPr>
              <w:spacing w:line="276" w:lineRule="auto"/>
              <w:rPr>
                <w:rFonts w:ascii="Arial"/>
                <w:sz w:val="21"/>
              </w:rPr>
            </w:pPr>
          </w:p>
        </w:tc>
      </w:tr>
      <w:tr w14:paraId="7115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6712" w:type="dxa"/>
            <w:vAlign w:val="top"/>
          </w:tcPr>
          <w:p w14:paraId="6552572A">
            <w:pPr>
              <w:spacing w:before="118" w:line="276" w:lineRule="auto"/>
              <w:ind w:left="120"/>
              <w:rPr>
                <w:rFonts w:ascii="宋体" w:hAnsi="宋体" w:eastAsia="宋体" w:cs="宋体"/>
                <w:sz w:val="20"/>
                <w:szCs w:val="20"/>
              </w:rPr>
            </w:pPr>
            <w:r>
              <w:rPr>
                <w:rFonts w:ascii="宋体" w:hAnsi="宋体" w:eastAsia="宋体" w:cs="宋体"/>
                <w:b/>
                <w:bCs/>
                <w:spacing w:val="8"/>
                <w:sz w:val="20"/>
                <w:szCs w:val="20"/>
              </w:rPr>
              <w:t>塑胶罐</w:t>
            </w:r>
            <w:r>
              <w:rPr>
                <w:rFonts w:ascii="宋体" w:hAnsi="宋体" w:eastAsia="宋体" w:cs="宋体"/>
                <w:spacing w:val="8"/>
                <w:sz w:val="20"/>
                <w:szCs w:val="20"/>
              </w:rPr>
              <w:t xml:space="preserve">  由塑料或以塑料为主的原料制成，价格便宜，不易摔坏。现代</w:t>
            </w:r>
          </w:p>
        </w:tc>
        <w:tc>
          <w:tcPr>
            <w:tcW w:w="634" w:type="dxa"/>
            <w:vAlign w:val="top"/>
          </w:tcPr>
          <w:p w14:paraId="796B2FF0">
            <w:pPr>
              <w:spacing w:line="276" w:lineRule="auto"/>
              <w:rPr>
                <w:rFonts w:ascii="Arial"/>
                <w:sz w:val="21"/>
              </w:rPr>
            </w:pPr>
          </w:p>
        </w:tc>
        <w:tc>
          <w:tcPr>
            <w:tcW w:w="857" w:type="dxa"/>
            <w:vAlign w:val="top"/>
          </w:tcPr>
          <w:p w14:paraId="6A66C603">
            <w:pPr>
              <w:spacing w:line="276" w:lineRule="auto"/>
              <w:rPr>
                <w:rFonts w:ascii="Arial"/>
                <w:sz w:val="21"/>
              </w:rPr>
            </w:pPr>
          </w:p>
        </w:tc>
        <w:tc>
          <w:tcPr>
            <w:tcW w:w="422" w:type="dxa"/>
            <w:vAlign w:val="top"/>
          </w:tcPr>
          <w:p w14:paraId="2C0C0CC9">
            <w:pPr>
              <w:spacing w:line="276" w:lineRule="auto"/>
              <w:rPr>
                <w:rFonts w:ascii="Arial"/>
                <w:sz w:val="21"/>
              </w:rPr>
            </w:pPr>
          </w:p>
        </w:tc>
        <w:tc>
          <w:tcPr>
            <w:tcW w:w="945" w:type="dxa"/>
            <w:vAlign w:val="top"/>
          </w:tcPr>
          <w:p w14:paraId="47633C06">
            <w:pPr>
              <w:spacing w:line="276" w:lineRule="auto"/>
              <w:rPr>
                <w:rFonts w:ascii="Arial"/>
                <w:sz w:val="21"/>
              </w:rPr>
            </w:pPr>
          </w:p>
        </w:tc>
      </w:tr>
      <w:tr w14:paraId="15819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8" w:hRule="atLeast"/>
        </w:trPr>
        <w:tc>
          <w:tcPr>
            <w:tcW w:w="6712" w:type="dxa"/>
            <w:vAlign w:val="top"/>
          </w:tcPr>
          <w:p w14:paraId="284F6860">
            <w:pPr>
              <w:spacing w:before="118" w:line="276" w:lineRule="auto"/>
              <w:ind w:left="128"/>
              <w:rPr>
                <w:rFonts w:ascii="宋体" w:hAnsi="宋体" w:eastAsia="宋体" w:cs="宋体"/>
                <w:sz w:val="20"/>
                <w:szCs w:val="20"/>
              </w:rPr>
            </w:pPr>
            <w:r>
              <w:rPr>
                <w:rFonts w:ascii="宋体" w:hAnsi="宋体" w:eastAsia="宋体" w:cs="宋体"/>
                <w:spacing w:val="9"/>
                <w:sz w:val="20"/>
                <w:szCs w:val="20"/>
              </w:rPr>
              <w:t>临床常用的抽气罐多用塑料制成。（出处：十四五创</w:t>
            </w:r>
            <w:r>
              <w:rPr>
                <w:rFonts w:ascii="宋体" w:hAnsi="宋体" w:eastAsia="宋体" w:cs="宋体"/>
                <w:spacing w:val="8"/>
                <w:sz w:val="20"/>
                <w:szCs w:val="20"/>
              </w:rPr>
              <w:t>新教材《中医拔罐</w:t>
            </w:r>
          </w:p>
        </w:tc>
        <w:tc>
          <w:tcPr>
            <w:tcW w:w="634" w:type="dxa"/>
            <w:vAlign w:val="top"/>
          </w:tcPr>
          <w:p w14:paraId="26B5234E">
            <w:pPr>
              <w:spacing w:line="276" w:lineRule="auto"/>
              <w:rPr>
                <w:rFonts w:ascii="Arial"/>
                <w:sz w:val="21"/>
              </w:rPr>
            </w:pPr>
          </w:p>
        </w:tc>
        <w:tc>
          <w:tcPr>
            <w:tcW w:w="857" w:type="dxa"/>
            <w:vAlign w:val="top"/>
          </w:tcPr>
          <w:p w14:paraId="4231CF19">
            <w:pPr>
              <w:spacing w:line="276" w:lineRule="auto"/>
              <w:rPr>
                <w:rFonts w:ascii="Arial"/>
                <w:sz w:val="21"/>
              </w:rPr>
            </w:pPr>
          </w:p>
        </w:tc>
        <w:tc>
          <w:tcPr>
            <w:tcW w:w="422" w:type="dxa"/>
            <w:vAlign w:val="top"/>
          </w:tcPr>
          <w:p w14:paraId="4A02FA0D">
            <w:pPr>
              <w:spacing w:line="276" w:lineRule="auto"/>
              <w:rPr>
                <w:rFonts w:ascii="Arial"/>
                <w:sz w:val="21"/>
              </w:rPr>
            </w:pPr>
          </w:p>
        </w:tc>
        <w:tc>
          <w:tcPr>
            <w:tcW w:w="945" w:type="dxa"/>
            <w:vAlign w:val="top"/>
          </w:tcPr>
          <w:p w14:paraId="36A86F1C">
            <w:pPr>
              <w:spacing w:line="276" w:lineRule="auto"/>
              <w:rPr>
                <w:rFonts w:ascii="Arial"/>
                <w:sz w:val="21"/>
              </w:rPr>
            </w:pPr>
          </w:p>
        </w:tc>
      </w:tr>
      <w:tr w14:paraId="0CAC4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8" w:hRule="atLeast"/>
        </w:trPr>
        <w:tc>
          <w:tcPr>
            <w:tcW w:w="6712" w:type="dxa"/>
            <w:vAlign w:val="top"/>
          </w:tcPr>
          <w:p w14:paraId="46C94D74">
            <w:pPr>
              <w:spacing w:before="119" w:line="276" w:lineRule="auto"/>
              <w:ind w:left="115"/>
              <w:rPr>
                <w:rFonts w:ascii="宋体" w:hAnsi="宋体" w:eastAsia="宋体" w:cs="宋体"/>
                <w:sz w:val="20"/>
                <w:szCs w:val="20"/>
              </w:rPr>
            </w:pPr>
            <w:r>
              <w:rPr>
                <w:rFonts w:ascii="宋体" w:hAnsi="宋体" w:eastAsia="宋体" w:cs="宋体"/>
                <w:spacing w:val="3"/>
                <w:sz w:val="20"/>
                <w:szCs w:val="20"/>
              </w:rPr>
              <w:t>疗法》）</w:t>
            </w:r>
          </w:p>
        </w:tc>
        <w:tc>
          <w:tcPr>
            <w:tcW w:w="634" w:type="dxa"/>
            <w:vAlign w:val="top"/>
          </w:tcPr>
          <w:p w14:paraId="6B7E74EC">
            <w:pPr>
              <w:spacing w:line="276" w:lineRule="auto"/>
              <w:rPr>
                <w:rFonts w:ascii="Arial"/>
                <w:sz w:val="21"/>
              </w:rPr>
            </w:pPr>
          </w:p>
        </w:tc>
        <w:tc>
          <w:tcPr>
            <w:tcW w:w="857" w:type="dxa"/>
            <w:vAlign w:val="top"/>
          </w:tcPr>
          <w:p w14:paraId="351D9122">
            <w:pPr>
              <w:spacing w:line="276" w:lineRule="auto"/>
              <w:rPr>
                <w:rFonts w:ascii="Arial"/>
                <w:sz w:val="21"/>
              </w:rPr>
            </w:pPr>
          </w:p>
        </w:tc>
        <w:tc>
          <w:tcPr>
            <w:tcW w:w="422" w:type="dxa"/>
            <w:vAlign w:val="top"/>
          </w:tcPr>
          <w:p w14:paraId="097D46EC">
            <w:pPr>
              <w:spacing w:line="276" w:lineRule="auto"/>
              <w:rPr>
                <w:rFonts w:ascii="Arial"/>
                <w:sz w:val="21"/>
              </w:rPr>
            </w:pPr>
          </w:p>
        </w:tc>
        <w:tc>
          <w:tcPr>
            <w:tcW w:w="945" w:type="dxa"/>
            <w:vAlign w:val="top"/>
          </w:tcPr>
          <w:p w14:paraId="48DB3334">
            <w:pPr>
              <w:spacing w:line="276" w:lineRule="auto"/>
              <w:rPr>
                <w:rFonts w:ascii="Arial"/>
                <w:sz w:val="21"/>
              </w:rPr>
            </w:pPr>
          </w:p>
        </w:tc>
      </w:tr>
      <w:tr w14:paraId="568AF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5" w:hRule="atLeast"/>
        </w:trPr>
        <w:tc>
          <w:tcPr>
            <w:tcW w:w="6712" w:type="dxa"/>
            <w:vAlign w:val="top"/>
          </w:tcPr>
          <w:p w14:paraId="52668DB9">
            <w:pPr>
              <w:spacing w:before="122" w:line="276" w:lineRule="auto"/>
              <w:ind w:left="111"/>
              <w:rPr>
                <w:rFonts w:ascii="宋体" w:hAnsi="宋体" w:eastAsia="宋体" w:cs="宋体"/>
                <w:sz w:val="20"/>
                <w:szCs w:val="20"/>
              </w:rPr>
            </w:pPr>
            <w:r>
              <w:rPr>
                <w:rFonts w:ascii="宋体" w:hAnsi="宋体" w:eastAsia="宋体" w:cs="宋体"/>
                <w:spacing w:val="7"/>
                <w:sz w:val="20"/>
                <w:szCs w:val="20"/>
              </w:rPr>
              <w:t>B. 沿用国家标准原文。</w:t>
            </w:r>
          </w:p>
        </w:tc>
        <w:tc>
          <w:tcPr>
            <w:tcW w:w="634" w:type="dxa"/>
            <w:vAlign w:val="top"/>
          </w:tcPr>
          <w:p w14:paraId="16B32228">
            <w:pPr>
              <w:spacing w:before="122" w:line="276" w:lineRule="auto"/>
              <w:ind w:left="116"/>
              <w:rPr>
                <w:rFonts w:ascii="宋体" w:hAnsi="宋体" w:eastAsia="宋体" w:cs="宋体"/>
                <w:sz w:val="20"/>
                <w:szCs w:val="20"/>
              </w:rPr>
            </w:pPr>
            <w:r>
              <w:rPr>
                <w:rFonts w:ascii="宋体" w:hAnsi="宋体" w:eastAsia="宋体" w:cs="宋体"/>
                <w:spacing w:val="2"/>
                <w:sz w:val="20"/>
                <w:szCs w:val="20"/>
              </w:rPr>
              <w:t>0.37</w:t>
            </w:r>
          </w:p>
        </w:tc>
        <w:tc>
          <w:tcPr>
            <w:tcW w:w="857" w:type="dxa"/>
            <w:vAlign w:val="top"/>
          </w:tcPr>
          <w:p w14:paraId="220B50CC">
            <w:pPr>
              <w:spacing w:before="122" w:line="276" w:lineRule="auto"/>
              <w:ind w:left="118"/>
              <w:rPr>
                <w:rFonts w:ascii="宋体" w:hAnsi="宋体" w:eastAsia="宋体" w:cs="宋体"/>
                <w:sz w:val="20"/>
                <w:szCs w:val="20"/>
              </w:rPr>
            </w:pPr>
            <w:r>
              <w:rPr>
                <w:rFonts w:ascii="宋体" w:hAnsi="宋体" w:eastAsia="宋体" w:cs="宋体"/>
                <w:spacing w:val="3"/>
                <w:sz w:val="20"/>
                <w:szCs w:val="20"/>
              </w:rPr>
              <w:t>63.00%</w:t>
            </w:r>
          </w:p>
        </w:tc>
        <w:tc>
          <w:tcPr>
            <w:tcW w:w="422" w:type="dxa"/>
            <w:vAlign w:val="top"/>
          </w:tcPr>
          <w:p w14:paraId="13EDD7C8">
            <w:pPr>
              <w:spacing w:before="122" w:line="276" w:lineRule="auto"/>
              <w:ind w:left="122"/>
              <w:rPr>
                <w:rFonts w:ascii="宋体" w:hAnsi="宋体" w:eastAsia="宋体" w:cs="宋体"/>
                <w:sz w:val="20"/>
                <w:szCs w:val="20"/>
              </w:rPr>
            </w:pPr>
            <w:r>
              <w:rPr>
                <w:rFonts w:ascii="宋体" w:hAnsi="宋体" w:eastAsia="宋体" w:cs="宋体"/>
                <w:spacing w:val="-7"/>
                <w:sz w:val="20"/>
                <w:szCs w:val="20"/>
              </w:rPr>
              <w:t>11</w:t>
            </w:r>
          </w:p>
        </w:tc>
        <w:tc>
          <w:tcPr>
            <w:tcW w:w="945" w:type="dxa"/>
            <w:vAlign w:val="top"/>
          </w:tcPr>
          <w:p w14:paraId="65720CCE">
            <w:pPr>
              <w:spacing w:before="122" w:line="276" w:lineRule="auto"/>
              <w:ind w:left="125"/>
              <w:rPr>
                <w:rFonts w:ascii="宋体" w:hAnsi="宋体" w:eastAsia="宋体" w:cs="宋体"/>
                <w:sz w:val="20"/>
                <w:szCs w:val="20"/>
              </w:rPr>
            </w:pPr>
            <w:r>
              <w:rPr>
                <w:rFonts w:ascii="宋体" w:hAnsi="宋体" w:eastAsia="宋体" w:cs="宋体"/>
                <w:spacing w:val="1"/>
                <w:sz w:val="20"/>
                <w:szCs w:val="20"/>
              </w:rPr>
              <w:t>132.47%</w:t>
            </w:r>
          </w:p>
        </w:tc>
      </w:tr>
    </w:tbl>
    <w:p w14:paraId="0A54D8E9">
      <w:pPr>
        <w:pStyle w:val="3"/>
        <w:spacing w:line="276" w:lineRule="auto"/>
      </w:pPr>
    </w:p>
    <w:p w14:paraId="3D1B4C3F">
      <w:pPr>
        <w:spacing w:before="65" w:line="276" w:lineRule="auto"/>
        <w:ind w:left="118" w:right="37" w:firstLine="434"/>
        <w:jc w:val="both"/>
        <w:rPr>
          <w:rFonts w:ascii="宋体" w:hAnsi="宋体" w:eastAsia="宋体" w:cs="宋体"/>
          <w:sz w:val="20"/>
          <w:szCs w:val="20"/>
        </w:rPr>
      </w:pPr>
      <w:r>
        <w:rPr>
          <w:rFonts w:ascii="宋体" w:hAnsi="宋体" w:eastAsia="宋体" w:cs="宋体"/>
          <w:spacing w:val="9"/>
          <w:sz w:val="20"/>
          <w:szCs w:val="20"/>
        </w:rPr>
        <w:t>附录这项的标题是各种罐的定义，有专家意见为：A选项描述详细具体，但是每种罐的特点适用范</w:t>
      </w:r>
      <w:r>
        <w:rPr>
          <w:rFonts w:ascii="宋体" w:hAnsi="宋体" w:eastAsia="宋体" w:cs="宋体"/>
          <w:spacing w:val="8"/>
          <w:sz w:val="20"/>
          <w:szCs w:val="20"/>
        </w:rPr>
        <w:t>围都列在定义里是否太繁琐了，每种罐的特点是否单列岀来或</w:t>
      </w:r>
      <w:r>
        <w:rPr>
          <w:rFonts w:ascii="宋体" w:hAnsi="宋体" w:eastAsia="宋体" w:cs="宋体"/>
          <w:spacing w:val="7"/>
          <w:sz w:val="20"/>
          <w:szCs w:val="20"/>
        </w:rPr>
        <w:t>是标题改为＂定义与特性＂。也有专家建</w:t>
      </w:r>
      <w:r>
        <w:rPr>
          <w:rFonts w:ascii="宋体" w:hAnsi="宋体" w:eastAsia="宋体" w:cs="宋体"/>
          <w:spacing w:val="8"/>
          <w:sz w:val="20"/>
          <w:szCs w:val="20"/>
        </w:rPr>
        <w:t>议综合上述表述，重新撰写。理由是“教材描写各种罐</w:t>
      </w:r>
      <w:r>
        <w:rPr>
          <w:rFonts w:ascii="宋体" w:hAnsi="宋体" w:eastAsia="宋体" w:cs="宋体"/>
          <w:spacing w:val="7"/>
          <w:sz w:val="20"/>
          <w:szCs w:val="20"/>
        </w:rPr>
        <w:t>具优缺点的文字可以不表述在标准中，因为教材</w:t>
      </w:r>
      <w:r>
        <w:rPr>
          <w:rFonts w:ascii="宋体" w:hAnsi="宋体" w:eastAsia="宋体" w:cs="宋体"/>
          <w:spacing w:val="9"/>
          <w:sz w:val="20"/>
          <w:szCs w:val="20"/>
        </w:rPr>
        <w:t>不同于标准，其表述细致一些是适当的。</w:t>
      </w:r>
      <w:r>
        <w:rPr>
          <w:rFonts w:ascii="宋体" w:hAnsi="宋体" w:eastAsia="宋体" w:cs="宋体"/>
          <w:spacing w:val="-57"/>
          <w:sz w:val="20"/>
          <w:szCs w:val="20"/>
        </w:rPr>
        <w:t xml:space="preserve"> </w:t>
      </w:r>
      <w:r>
        <w:rPr>
          <w:rFonts w:ascii="宋体" w:hAnsi="宋体" w:eastAsia="宋体" w:cs="宋体"/>
          <w:spacing w:val="9"/>
          <w:sz w:val="20"/>
          <w:szCs w:val="20"/>
        </w:rPr>
        <w:t>”另有三位专家建议将</w:t>
      </w:r>
      <w:r>
        <w:rPr>
          <w:rFonts w:ascii="宋体" w:hAnsi="宋体" w:eastAsia="宋体" w:cs="宋体"/>
          <w:sz w:val="20"/>
          <w:szCs w:val="20"/>
        </w:rPr>
        <w:t>AB</w:t>
      </w:r>
      <w:r>
        <w:rPr>
          <w:rFonts w:ascii="宋体" w:hAnsi="宋体" w:eastAsia="宋体" w:cs="宋体"/>
          <w:spacing w:val="9"/>
          <w:sz w:val="20"/>
          <w:szCs w:val="20"/>
        </w:rPr>
        <w:t>两项结合。 一位专家建议：采用国</w:t>
      </w:r>
      <w:r>
        <w:rPr>
          <w:rFonts w:ascii="宋体" w:hAnsi="宋体" w:eastAsia="宋体" w:cs="宋体"/>
          <w:spacing w:val="5"/>
          <w:sz w:val="20"/>
          <w:szCs w:val="20"/>
        </w:rPr>
        <w:t>家标准原文为主，可将不同材质的罐具临床优缺点、适用对象结</w:t>
      </w:r>
      <w:r>
        <w:rPr>
          <w:rFonts w:ascii="宋体" w:hAnsi="宋体" w:eastAsia="宋体" w:cs="宋体"/>
          <w:spacing w:val="4"/>
          <w:sz w:val="20"/>
          <w:szCs w:val="20"/>
        </w:rPr>
        <w:t>合儿科应用特点，纳入本标准适当部分。</w:t>
      </w:r>
    </w:p>
    <w:p w14:paraId="6D10D443">
      <w:pPr>
        <w:spacing w:line="276" w:lineRule="auto"/>
        <w:ind w:left="540"/>
        <w:rPr>
          <w:rFonts w:ascii="宋体" w:hAnsi="宋体" w:eastAsia="宋体" w:cs="宋体"/>
          <w:sz w:val="20"/>
          <w:szCs w:val="20"/>
        </w:rPr>
      </w:pPr>
      <w:r>
        <w:rPr>
          <w:rFonts w:ascii="宋体" w:hAnsi="宋体" w:eastAsia="宋体" w:cs="宋体"/>
          <w:b/>
          <w:bCs/>
          <w:spacing w:val="4"/>
          <w:sz w:val="20"/>
          <w:szCs w:val="20"/>
        </w:rPr>
        <w:t>3.3开放性问题</w:t>
      </w:r>
    </w:p>
    <w:p w14:paraId="59D4676D">
      <w:pPr>
        <w:spacing w:before="153" w:line="276" w:lineRule="auto"/>
        <w:ind w:left="115" w:right="107" w:firstLine="430"/>
        <w:rPr>
          <w:rFonts w:ascii="宋体" w:hAnsi="宋体" w:eastAsia="宋体" w:cs="宋体"/>
          <w:sz w:val="20"/>
          <w:szCs w:val="20"/>
        </w:rPr>
      </w:pPr>
      <w:r>
        <w:rPr>
          <w:rFonts w:ascii="宋体" w:hAnsi="宋体" w:eastAsia="宋体" w:cs="宋体"/>
          <w:spacing w:val="7"/>
          <w:sz w:val="20"/>
          <w:szCs w:val="20"/>
        </w:rPr>
        <w:t>（1）本标准正文内容宜参考其他四项标准增加适用于儿童患者的表述。如：“根据小儿年龄大小,</w:t>
      </w:r>
      <w:r>
        <w:rPr>
          <w:rFonts w:ascii="宋体" w:hAnsi="宋体" w:eastAsia="宋体" w:cs="宋体"/>
          <w:spacing w:val="8"/>
          <w:sz w:val="20"/>
          <w:szCs w:val="20"/>
        </w:rPr>
        <w:t>病症、操作部位的不同选择不同材质、大小的罐具。</w:t>
      </w:r>
      <w:r>
        <w:rPr>
          <w:rFonts w:ascii="宋体" w:hAnsi="宋体" w:eastAsia="宋体" w:cs="宋体"/>
          <w:spacing w:val="-55"/>
          <w:sz w:val="20"/>
          <w:szCs w:val="20"/>
        </w:rPr>
        <w:t xml:space="preserve"> </w:t>
      </w:r>
      <w:r>
        <w:rPr>
          <w:rFonts w:ascii="宋体" w:hAnsi="宋体" w:eastAsia="宋体" w:cs="宋体"/>
          <w:spacing w:val="8"/>
          <w:sz w:val="20"/>
          <w:szCs w:val="20"/>
        </w:rPr>
        <w:t>”应有较具体的建议。</w:t>
      </w:r>
    </w:p>
    <w:p w14:paraId="23F32F62">
      <w:pPr>
        <w:spacing w:before="127" w:line="276" w:lineRule="auto"/>
        <w:ind w:left="430"/>
        <w:rPr>
          <w:rFonts w:ascii="宋体" w:hAnsi="宋体" w:eastAsia="宋体" w:cs="宋体"/>
          <w:sz w:val="20"/>
          <w:szCs w:val="20"/>
        </w:rPr>
      </w:pPr>
      <w:r>
        <w:rPr>
          <w:rFonts w:ascii="宋体" w:hAnsi="宋体" w:eastAsia="宋体" w:cs="宋体"/>
          <w:spacing w:val="6"/>
          <w:sz w:val="20"/>
          <w:szCs w:val="20"/>
        </w:rPr>
        <w:t>（2）4.1.4 体位</w:t>
      </w:r>
      <w:r>
        <w:rPr>
          <w:rFonts w:ascii="宋体" w:hAnsi="宋体" w:eastAsia="宋体" w:cs="宋体"/>
          <w:spacing w:val="-64"/>
          <w:sz w:val="20"/>
          <w:szCs w:val="20"/>
        </w:rPr>
        <w:t xml:space="preserve"> </w:t>
      </w:r>
      <w:r>
        <w:rPr>
          <w:rFonts w:ascii="宋体" w:hAnsi="宋体" w:eastAsia="宋体" w:cs="宋体"/>
          <w:spacing w:val="6"/>
          <w:sz w:val="20"/>
          <w:szCs w:val="20"/>
        </w:rPr>
        <w:t>”增加“抱位（正抱、背抱、侧抱）。</w:t>
      </w:r>
    </w:p>
    <w:p w14:paraId="3009CEBC">
      <w:pPr>
        <w:spacing w:before="151" w:line="276" w:lineRule="auto"/>
        <w:ind w:right="45" w:firstLine="430"/>
        <w:rPr>
          <w:rFonts w:ascii="宋体" w:hAnsi="宋体" w:eastAsia="宋体" w:cs="宋体"/>
          <w:sz w:val="20"/>
          <w:szCs w:val="20"/>
        </w:rPr>
      </w:pPr>
      <w:r>
        <w:rPr>
          <w:rFonts w:ascii="宋体" w:hAnsi="宋体" w:eastAsia="宋体" w:cs="宋体"/>
          <w:spacing w:val="8"/>
          <w:sz w:val="20"/>
          <w:szCs w:val="20"/>
        </w:rPr>
        <w:t>（3）</w:t>
      </w:r>
      <w:r>
        <w:rPr>
          <w:rFonts w:ascii="宋体" w:hAnsi="宋体" w:eastAsia="宋体" w:cs="宋体"/>
          <w:spacing w:val="-78"/>
          <w:sz w:val="20"/>
          <w:szCs w:val="20"/>
        </w:rPr>
        <w:t xml:space="preserve"> </w:t>
      </w:r>
      <w:r>
        <w:rPr>
          <w:rFonts w:ascii="宋体" w:hAnsi="宋体" w:eastAsia="宋体" w:cs="宋体"/>
          <w:spacing w:val="8"/>
          <w:sz w:val="20"/>
          <w:szCs w:val="20"/>
        </w:rPr>
        <w:t xml:space="preserve">“拔罐的技术操作规范应符合 </w:t>
      </w:r>
      <w:r>
        <w:rPr>
          <w:rFonts w:ascii="宋体" w:hAnsi="宋体" w:eastAsia="宋体" w:cs="宋体"/>
          <w:sz w:val="20"/>
          <w:szCs w:val="20"/>
        </w:rPr>
        <w:t>GB</w:t>
      </w:r>
      <w:r>
        <w:rPr>
          <w:rFonts w:ascii="宋体" w:hAnsi="宋体" w:eastAsia="宋体" w:cs="宋体"/>
          <w:spacing w:val="8"/>
          <w:sz w:val="20"/>
          <w:szCs w:val="20"/>
        </w:rPr>
        <w:t>/T21709.5的规定</w:t>
      </w:r>
      <w:r>
        <w:rPr>
          <w:rFonts w:ascii="宋体" w:hAnsi="宋体" w:eastAsia="宋体" w:cs="宋体"/>
          <w:spacing w:val="7"/>
          <w:sz w:val="20"/>
          <w:szCs w:val="20"/>
        </w:rPr>
        <w:t>。</w:t>
      </w:r>
      <w:r>
        <w:rPr>
          <w:rFonts w:ascii="宋体" w:hAnsi="宋体" w:eastAsia="宋体" w:cs="宋体"/>
          <w:spacing w:val="-67"/>
          <w:sz w:val="20"/>
          <w:szCs w:val="20"/>
        </w:rPr>
        <w:t xml:space="preserve"> </w:t>
      </w:r>
      <w:r>
        <w:rPr>
          <w:rFonts w:ascii="宋体" w:hAnsi="宋体" w:eastAsia="宋体" w:cs="宋体"/>
          <w:spacing w:val="7"/>
          <w:sz w:val="20"/>
          <w:szCs w:val="20"/>
        </w:rPr>
        <w:t>”就一句话，太原则，应当在总体技术</w:t>
      </w:r>
      <w:r>
        <w:rPr>
          <w:rFonts w:ascii="宋体" w:hAnsi="宋体" w:eastAsia="宋体" w:cs="宋体"/>
          <w:spacing w:val="8"/>
          <w:sz w:val="20"/>
          <w:szCs w:val="20"/>
        </w:rPr>
        <w:t>操作规范的基础上结合儿科特点具体表述。</w:t>
      </w:r>
    </w:p>
    <w:p w14:paraId="5FE41452">
      <w:pPr>
        <w:spacing w:line="276" w:lineRule="auto"/>
        <w:ind w:left="430"/>
        <w:rPr>
          <w:rFonts w:ascii="宋体" w:hAnsi="宋体" w:eastAsia="宋体" w:cs="宋体"/>
          <w:sz w:val="20"/>
          <w:szCs w:val="20"/>
        </w:rPr>
      </w:pPr>
      <w:r>
        <w:rPr>
          <w:rFonts w:ascii="宋体" w:hAnsi="宋体" w:eastAsia="宋体" w:cs="宋体"/>
          <w:spacing w:val="6"/>
          <w:sz w:val="20"/>
          <w:szCs w:val="20"/>
        </w:rPr>
        <w:t>（4）</w:t>
      </w:r>
      <w:r>
        <w:rPr>
          <w:rFonts w:ascii="宋体" w:hAnsi="宋体" w:eastAsia="宋体" w:cs="宋体"/>
          <w:spacing w:val="-74"/>
          <w:sz w:val="20"/>
          <w:szCs w:val="20"/>
        </w:rPr>
        <w:t xml:space="preserve"> </w:t>
      </w:r>
      <w:r>
        <w:rPr>
          <w:rFonts w:ascii="宋体" w:hAnsi="宋体" w:eastAsia="宋体" w:cs="宋体"/>
          <w:spacing w:val="6"/>
          <w:sz w:val="20"/>
          <w:szCs w:val="20"/>
        </w:rPr>
        <w:t>“</w:t>
      </w:r>
      <w:r>
        <w:rPr>
          <w:rFonts w:ascii="宋体" w:hAnsi="宋体" w:eastAsia="宋体" w:cs="宋体"/>
          <w:spacing w:val="-76"/>
          <w:sz w:val="20"/>
          <w:szCs w:val="20"/>
        </w:rPr>
        <w:t xml:space="preserve"> </w:t>
      </w:r>
      <w:r>
        <w:rPr>
          <w:rFonts w:ascii="宋体" w:hAnsi="宋体" w:eastAsia="宋体" w:cs="宋体"/>
          <w:spacing w:val="6"/>
          <w:sz w:val="20"/>
          <w:szCs w:val="20"/>
        </w:rPr>
        <w:t>附录D</w:t>
      </w:r>
      <w:r>
        <w:rPr>
          <w:rFonts w:ascii="宋体" w:hAnsi="宋体" w:eastAsia="宋体" w:cs="宋体"/>
          <w:spacing w:val="-71"/>
          <w:sz w:val="20"/>
          <w:szCs w:val="20"/>
        </w:rPr>
        <w:t xml:space="preserve"> </w:t>
      </w:r>
      <w:r>
        <w:rPr>
          <w:rFonts w:ascii="宋体" w:hAnsi="宋体" w:eastAsia="宋体" w:cs="宋体"/>
          <w:spacing w:val="6"/>
          <w:sz w:val="20"/>
          <w:szCs w:val="20"/>
        </w:rPr>
        <w:t>”有若干病名，应对照</w:t>
      </w:r>
      <w:r>
        <w:rPr>
          <w:rFonts w:ascii="宋体" w:hAnsi="宋体" w:eastAsia="宋体" w:cs="宋体"/>
          <w:sz w:val="20"/>
          <w:szCs w:val="20"/>
        </w:rPr>
        <w:t>WHO</w:t>
      </w:r>
      <w:r>
        <w:rPr>
          <w:rFonts w:ascii="宋体" w:hAnsi="宋体" w:eastAsia="宋体" w:cs="宋体"/>
          <w:spacing w:val="6"/>
          <w:sz w:val="20"/>
          <w:szCs w:val="20"/>
        </w:rPr>
        <w:t>-</w:t>
      </w:r>
      <w:r>
        <w:rPr>
          <w:rFonts w:ascii="宋体" w:hAnsi="宋体" w:eastAsia="宋体" w:cs="宋体"/>
          <w:sz w:val="20"/>
          <w:szCs w:val="20"/>
        </w:rPr>
        <w:t>ICD</w:t>
      </w:r>
      <w:r>
        <w:rPr>
          <w:rFonts w:ascii="宋体" w:hAnsi="宋体" w:eastAsia="宋体" w:cs="宋体"/>
          <w:spacing w:val="6"/>
          <w:sz w:val="20"/>
          <w:szCs w:val="20"/>
        </w:rPr>
        <w:t>11等标准核准。</w:t>
      </w:r>
    </w:p>
    <w:p w14:paraId="1B3B4FC3">
      <w:pPr>
        <w:spacing w:before="152" w:line="276" w:lineRule="auto"/>
        <w:ind w:left="430"/>
        <w:rPr>
          <w:rFonts w:ascii="宋体" w:hAnsi="宋体" w:eastAsia="宋体" w:cs="宋体"/>
          <w:sz w:val="20"/>
          <w:szCs w:val="20"/>
        </w:rPr>
      </w:pPr>
      <w:r>
        <w:rPr>
          <w:rFonts w:ascii="宋体" w:hAnsi="宋体" w:eastAsia="宋体" w:cs="宋体"/>
          <w:spacing w:val="10"/>
          <w:sz w:val="20"/>
          <w:szCs w:val="20"/>
        </w:rPr>
        <w:t>（5）增加文献查阅，如</w:t>
      </w:r>
      <w:r>
        <w:rPr>
          <w:rFonts w:ascii="宋体" w:hAnsi="宋体" w:eastAsia="宋体" w:cs="宋体"/>
          <w:sz w:val="20"/>
          <w:szCs w:val="20"/>
        </w:rPr>
        <w:t>WHO</w:t>
      </w:r>
      <w:r>
        <w:rPr>
          <w:rFonts w:ascii="宋体" w:hAnsi="宋体" w:eastAsia="宋体" w:cs="宋体"/>
          <w:spacing w:val="10"/>
          <w:sz w:val="20"/>
          <w:szCs w:val="20"/>
        </w:rPr>
        <w:t>、</w:t>
      </w:r>
      <w:r>
        <w:rPr>
          <w:rFonts w:ascii="宋体" w:hAnsi="宋体" w:eastAsia="宋体" w:cs="宋体"/>
          <w:sz w:val="20"/>
          <w:szCs w:val="20"/>
        </w:rPr>
        <w:t>ISO</w:t>
      </w:r>
      <w:r>
        <w:rPr>
          <w:rFonts w:ascii="宋体" w:hAnsi="宋体" w:eastAsia="宋体" w:cs="宋体"/>
          <w:spacing w:val="10"/>
          <w:sz w:val="20"/>
          <w:szCs w:val="20"/>
        </w:rPr>
        <w:t>以及</w:t>
      </w:r>
      <w:r>
        <w:rPr>
          <w:rFonts w:ascii="宋体" w:hAnsi="宋体" w:eastAsia="宋体" w:cs="宋体"/>
          <w:sz w:val="20"/>
          <w:szCs w:val="20"/>
        </w:rPr>
        <w:t>GB</w:t>
      </w:r>
      <w:r>
        <w:rPr>
          <w:rFonts w:ascii="宋体" w:hAnsi="宋体" w:eastAsia="宋体" w:cs="宋体"/>
          <w:spacing w:val="10"/>
          <w:sz w:val="20"/>
          <w:szCs w:val="20"/>
        </w:rPr>
        <w:t>与拔罐相关的标准，可以补充查找。</w:t>
      </w:r>
    </w:p>
    <w:p w14:paraId="7F6A5DC7">
      <w:pPr>
        <w:spacing w:before="154" w:line="276" w:lineRule="auto"/>
        <w:ind w:left="440"/>
        <w:rPr>
          <w:rFonts w:ascii="宋体" w:hAnsi="宋体" w:eastAsia="宋体" w:cs="宋体"/>
          <w:sz w:val="20"/>
          <w:szCs w:val="20"/>
        </w:rPr>
      </w:pPr>
      <w:r>
        <w:rPr>
          <w:rFonts w:ascii="宋体" w:hAnsi="宋体" w:eastAsia="宋体" w:cs="宋体"/>
          <w:b/>
          <w:bCs/>
          <w:spacing w:val="1"/>
          <w:sz w:val="20"/>
          <w:szCs w:val="20"/>
        </w:rPr>
        <w:t>四、讨论</w:t>
      </w:r>
    </w:p>
    <w:p w14:paraId="1810FB42">
      <w:pPr>
        <w:spacing w:before="153" w:line="276" w:lineRule="auto"/>
        <w:ind w:left="430"/>
        <w:rPr>
          <w:rFonts w:ascii="宋体" w:hAnsi="宋体" w:eastAsia="宋体" w:cs="宋体"/>
          <w:sz w:val="20"/>
          <w:szCs w:val="20"/>
        </w:rPr>
      </w:pPr>
      <w:r>
        <w:rPr>
          <w:rFonts w:ascii="宋体" w:hAnsi="宋体" w:eastAsia="宋体" w:cs="宋体"/>
          <w:b/>
          <w:bCs/>
          <w:spacing w:val="7"/>
          <w:sz w:val="20"/>
          <w:szCs w:val="20"/>
        </w:rPr>
        <w:t>（一）共识内容的实践价值与国际适配意义</w:t>
      </w:r>
    </w:p>
    <w:p w14:paraId="2DC2F5D7">
      <w:pPr>
        <w:spacing w:before="153" w:line="276" w:lineRule="auto"/>
        <w:ind w:left="1" w:firstLine="420"/>
        <w:rPr>
          <w:rFonts w:ascii="宋体" w:hAnsi="宋体" w:eastAsia="宋体" w:cs="宋体"/>
          <w:sz w:val="20"/>
          <w:szCs w:val="20"/>
        </w:rPr>
      </w:pPr>
      <w:r>
        <w:rPr>
          <w:rFonts w:ascii="宋体" w:hAnsi="宋体" w:eastAsia="宋体" w:cs="宋体"/>
          <w:spacing w:val="8"/>
          <w:sz w:val="20"/>
          <w:szCs w:val="20"/>
        </w:rPr>
        <w:t>本次调查中9条高共识条目（支持率≥53%）的形成，为国家标准向国际标准转化提供了核心支撑，其价值体现在多维度实践适配性上。</w:t>
      </w:r>
    </w:p>
    <w:p w14:paraId="4406278C">
      <w:pPr>
        <w:spacing w:before="1" w:line="276" w:lineRule="auto"/>
        <w:ind w:left="430"/>
        <w:rPr>
          <w:rFonts w:ascii="宋体" w:hAnsi="宋体" w:eastAsia="宋体" w:cs="宋体"/>
          <w:sz w:val="20"/>
          <w:szCs w:val="20"/>
        </w:rPr>
      </w:pPr>
      <w:r>
        <w:rPr>
          <w:rFonts w:ascii="宋体" w:hAnsi="宋体" w:eastAsia="宋体" w:cs="宋体"/>
          <w:b/>
          <w:bCs/>
          <w:spacing w:val="7"/>
          <w:sz w:val="20"/>
          <w:szCs w:val="20"/>
        </w:rPr>
        <w:t>（二）争议条目的核心分歧与深层原因</w:t>
      </w:r>
    </w:p>
    <w:p w14:paraId="0CAB11EB">
      <w:pPr>
        <w:spacing w:before="152" w:line="276" w:lineRule="auto"/>
        <w:ind w:right="47" w:firstLine="422"/>
        <w:rPr>
          <w:rFonts w:ascii="宋体" w:hAnsi="宋体" w:eastAsia="宋体" w:cs="宋体"/>
          <w:sz w:val="20"/>
          <w:szCs w:val="20"/>
        </w:rPr>
      </w:pPr>
      <w:r>
        <w:rPr>
          <w:rFonts w:ascii="宋体" w:hAnsi="宋体" w:eastAsia="宋体" w:cs="宋体"/>
          <w:spacing w:val="7"/>
          <w:sz w:val="20"/>
          <w:szCs w:val="20"/>
        </w:rPr>
        <w:t>2条争议条目（支持率≤50%）的分歧并非单纯技术差异，而是由法规环境、临床实践场景、儿科人</w:t>
      </w:r>
      <w:r>
        <w:rPr>
          <w:rFonts w:ascii="宋体" w:hAnsi="宋体" w:eastAsia="宋体" w:cs="宋体"/>
          <w:spacing w:val="8"/>
          <w:sz w:val="20"/>
          <w:szCs w:val="20"/>
        </w:rPr>
        <w:t>群特殊性等多重因素交织导致。</w:t>
      </w:r>
    </w:p>
    <w:p w14:paraId="5E320A5B">
      <w:pPr>
        <w:spacing w:line="276" w:lineRule="auto"/>
        <w:ind w:right="44" w:firstLine="421"/>
        <w:jc w:val="both"/>
        <w:rPr>
          <w:rFonts w:ascii="宋体" w:hAnsi="宋体" w:eastAsia="宋体" w:cs="宋体"/>
          <w:sz w:val="20"/>
          <w:szCs w:val="20"/>
        </w:rPr>
      </w:pPr>
      <w:r>
        <w:rPr>
          <w:rFonts w:ascii="宋体" w:hAnsi="宋体" w:eastAsia="宋体" w:cs="宋体"/>
          <w:spacing w:val="8"/>
          <w:sz w:val="20"/>
          <w:szCs w:val="20"/>
        </w:rPr>
        <w:t>罐具消毒方法的争议，本质是传统经验型操作与</w:t>
      </w:r>
      <w:r>
        <w:rPr>
          <w:rFonts w:ascii="宋体" w:hAnsi="宋体" w:eastAsia="宋体" w:cs="宋体"/>
          <w:spacing w:val="7"/>
          <w:sz w:val="20"/>
          <w:szCs w:val="20"/>
        </w:rPr>
        <w:t>现代标准化要求的冲突、国内标准与国际标准的冲</w:t>
      </w:r>
      <w:r>
        <w:rPr>
          <w:rFonts w:ascii="宋体" w:hAnsi="宋体" w:eastAsia="宋体" w:cs="宋体"/>
          <w:spacing w:val="6"/>
          <w:sz w:val="20"/>
          <w:szCs w:val="20"/>
        </w:rPr>
        <w:t>突。附录中罐具定义也是同样，越南专家反映，当地只有“竹罐</w:t>
      </w:r>
      <w:r>
        <w:rPr>
          <w:rFonts w:ascii="宋体" w:hAnsi="宋体" w:eastAsia="宋体" w:cs="宋体"/>
          <w:spacing w:val="-57"/>
          <w:sz w:val="20"/>
          <w:szCs w:val="20"/>
        </w:rPr>
        <w:t xml:space="preserve"> </w:t>
      </w:r>
      <w:r>
        <w:rPr>
          <w:rFonts w:ascii="宋体" w:hAnsi="宋体" w:eastAsia="宋体" w:cs="宋体"/>
          <w:spacing w:val="6"/>
          <w:sz w:val="20"/>
          <w:szCs w:val="20"/>
        </w:rPr>
        <w:t>”与“玻璃罐</w:t>
      </w:r>
      <w:r>
        <w:rPr>
          <w:rFonts w:ascii="宋体" w:hAnsi="宋体" w:eastAsia="宋体" w:cs="宋体"/>
          <w:spacing w:val="-70"/>
          <w:sz w:val="20"/>
          <w:szCs w:val="20"/>
        </w:rPr>
        <w:t xml:space="preserve"> </w:t>
      </w:r>
      <w:r>
        <w:rPr>
          <w:rFonts w:ascii="宋体" w:hAnsi="宋体" w:eastAsia="宋体" w:cs="宋体"/>
          <w:spacing w:val="6"/>
          <w:sz w:val="20"/>
          <w:szCs w:val="20"/>
        </w:rPr>
        <w:t>”，而国际关于生产罐具</w:t>
      </w:r>
      <w:r>
        <w:rPr>
          <w:rFonts w:ascii="宋体" w:hAnsi="宋体" w:eastAsia="宋体" w:cs="宋体"/>
          <w:spacing w:val="7"/>
          <w:sz w:val="20"/>
          <w:szCs w:val="20"/>
        </w:rPr>
        <w:t>产品的标准，也只有“玻璃罐</w:t>
      </w:r>
      <w:r>
        <w:rPr>
          <w:rFonts w:ascii="宋体" w:hAnsi="宋体" w:eastAsia="宋体" w:cs="宋体"/>
          <w:spacing w:val="-68"/>
          <w:sz w:val="20"/>
          <w:szCs w:val="20"/>
        </w:rPr>
        <w:t xml:space="preserve"> </w:t>
      </w:r>
      <w:r>
        <w:rPr>
          <w:rFonts w:ascii="宋体" w:hAnsi="宋体" w:eastAsia="宋体" w:cs="宋体"/>
          <w:spacing w:val="7"/>
          <w:sz w:val="20"/>
          <w:szCs w:val="20"/>
        </w:rPr>
        <w:t>”和“手动负压拔罐器</w:t>
      </w:r>
      <w:r>
        <w:rPr>
          <w:rFonts w:ascii="宋体" w:hAnsi="宋体" w:eastAsia="宋体" w:cs="宋体"/>
          <w:spacing w:val="-73"/>
          <w:sz w:val="20"/>
          <w:szCs w:val="20"/>
        </w:rPr>
        <w:t xml:space="preserve"> </w:t>
      </w:r>
      <w:r>
        <w:rPr>
          <w:rFonts w:ascii="宋体" w:hAnsi="宋体" w:eastAsia="宋体" w:cs="宋体"/>
          <w:spacing w:val="7"/>
          <w:sz w:val="20"/>
          <w:szCs w:val="20"/>
        </w:rPr>
        <w:t>”两种。</w:t>
      </w:r>
    </w:p>
    <w:p w14:paraId="0B162D7D">
      <w:pPr>
        <w:spacing w:before="1" w:line="276" w:lineRule="auto"/>
        <w:ind w:left="424"/>
        <w:rPr>
          <w:rFonts w:ascii="宋体" w:hAnsi="宋体" w:eastAsia="宋体" w:cs="宋体"/>
          <w:sz w:val="20"/>
          <w:szCs w:val="20"/>
        </w:rPr>
      </w:pPr>
      <w:r>
        <w:rPr>
          <w:rFonts w:ascii="宋体" w:hAnsi="宋体" w:eastAsia="宋体" w:cs="宋体"/>
          <w:b/>
          <w:bCs/>
          <w:spacing w:val="7"/>
          <w:sz w:val="20"/>
          <w:szCs w:val="20"/>
        </w:rPr>
        <w:t>五、结论与下一步工作计划</w:t>
      </w:r>
    </w:p>
    <w:p w14:paraId="086F321B">
      <w:pPr>
        <w:spacing w:before="152" w:line="276" w:lineRule="auto"/>
        <w:ind w:left="6" w:right="44" w:firstLine="415"/>
        <w:rPr>
          <w:rFonts w:ascii="宋体" w:hAnsi="宋体" w:eastAsia="宋体" w:cs="宋体"/>
          <w:sz w:val="20"/>
          <w:szCs w:val="20"/>
        </w:rPr>
      </w:pPr>
      <w:r>
        <w:rPr>
          <w:rFonts w:ascii="宋体" w:hAnsi="宋体" w:eastAsia="宋体" w:cs="宋体"/>
          <w:spacing w:val="8"/>
          <w:sz w:val="20"/>
          <w:szCs w:val="20"/>
        </w:rPr>
        <w:t>本次问卷为国际标准修订提供了关键依据，部分条</w:t>
      </w:r>
      <w:r>
        <w:rPr>
          <w:rFonts w:ascii="宋体" w:hAnsi="宋体" w:eastAsia="宋体" w:cs="宋体"/>
          <w:spacing w:val="7"/>
          <w:sz w:val="20"/>
          <w:szCs w:val="20"/>
        </w:rPr>
        <w:t>目已形成高一致性意见，可直接纳入修改稿。对</w:t>
      </w:r>
      <w:r>
        <w:rPr>
          <w:rFonts w:ascii="宋体" w:hAnsi="宋体" w:eastAsia="宋体" w:cs="宋体"/>
          <w:spacing w:val="9"/>
          <w:sz w:val="20"/>
          <w:szCs w:val="20"/>
        </w:rPr>
        <w:t>意见分歧显著的条目，将提交后续专家论证会重点</w:t>
      </w:r>
      <w:r>
        <w:rPr>
          <w:rFonts w:ascii="宋体" w:hAnsi="宋体" w:eastAsia="宋体" w:cs="宋体"/>
          <w:spacing w:val="8"/>
          <w:sz w:val="20"/>
          <w:szCs w:val="20"/>
        </w:rPr>
        <w:t>讨论。</w:t>
      </w:r>
    </w:p>
    <w:p w14:paraId="4B2E6444">
      <w:pPr>
        <w:spacing w:line="276" w:lineRule="auto"/>
        <w:ind w:left="17" w:right="44" w:firstLine="410"/>
        <w:rPr>
          <w:rFonts w:ascii="宋体" w:hAnsi="宋体" w:eastAsia="宋体" w:cs="宋体"/>
          <w:sz w:val="20"/>
          <w:szCs w:val="20"/>
        </w:rPr>
      </w:pPr>
      <w:r>
        <w:rPr>
          <w:rFonts w:ascii="宋体" w:hAnsi="宋体" w:eastAsia="宋体" w:cs="宋体"/>
          <w:spacing w:val="7"/>
          <w:sz w:val="20"/>
          <w:szCs w:val="20"/>
        </w:rPr>
        <w:t>下一阶段工作包括：①整理经本次问卷修订的国际标准草稿；②补充规范性引用文件、参考文献等</w:t>
      </w:r>
      <w:r>
        <w:rPr>
          <w:rFonts w:ascii="宋体" w:hAnsi="宋体" w:eastAsia="宋体" w:cs="宋体"/>
          <w:spacing w:val="9"/>
          <w:sz w:val="20"/>
          <w:szCs w:val="20"/>
        </w:rPr>
        <w:t>附录内容；③召开专家论证会；④完成国际标</w:t>
      </w:r>
      <w:r>
        <w:rPr>
          <w:rFonts w:ascii="宋体" w:hAnsi="宋体" w:eastAsia="宋体" w:cs="宋体"/>
          <w:spacing w:val="8"/>
          <w:sz w:val="20"/>
          <w:szCs w:val="20"/>
        </w:rPr>
        <w:t>准提案的最终文本。</w:t>
      </w:r>
    </w:p>
    <w:p w14:paraId="5FD87B6B">
      <w:pPr>
        <w:spacing w:before="2" w:line="276" w:lineRule="auto"/>
        <w:ind w:left="5" w:right="45" w:firstLine="416"/>
        <w:rPr>
          <w:rFonts w:ascii="宋体" w:hAnsi="宋体" w:eastAsia="宋体" w:cs="宋体"/>
          <w:sz w:val="20"/>
          <w:szCs w:val="20"/>
        </w:rPr>
      </w:pPr>
      <w:r>
        <w:rPr>
          <w:rFonts w:ascii="宋体" w:hAnsi="宋体" w:eastAsia="宋体" w:cs="宋体"/>
          <w:spacing w:val="10"/>
          <w:sz w:val="20"/>
          <w:szCs w:val="20"/>
        </w:rPr>
        <w:t>本研究为《中医技术操作规范 儿科 第5部分：小儿拔罐</w:t>
      </w:r>
      <w:r>
        <w:rPr>
          <w:rFonts w:ascii="宋体" w:hAnsi="宋体" w:eastAsia="宋体" w:cs="宋体"/>
          <w:spacing w:val="9"/>
          <w:sz w:val="20"/>
          <w:szCs w:val="20"/>
        </w:rPr>
        <w:t>疗法》国家标准向国际标准转化提供了科学依据，将有助于形成更加严谨、规范、具有国际认可度的中医儿科技术标准。</w:t>
      </w:r>
    </w:p>
    <w:p w14:paraId="4D3A4962">
      <w:pPr>
        <w:spacing w:line="276" w:lineRule="auto"/>
        <w:rPr>
          <w:rFonts w:ascii="宋体" w:hAnsi="宋体" w:eastAsia="宋体" w:cs="宋体"/>
          <w:sz w:val="20"/>
          <w:szCs w:val="20"/>
        </w:rPr>
        <w:sectPr>
          <w:footerReference r:id="rId9" w:type="default"/>
          <w:pgSz w:w="11906" w:h="16839"/>
          <w:pgMar w:top="1431" w:right="1089" w:bottom="1362" w:left="1425" w:header="0" w:footer="1200" w:gutter="0"/>
          <w:cols w:space="720" w:num="1"/>
        </w:sectPr>
      </w:pPr>
    </w:p>
    <w:p w14:paraId="517CE1CF">
      <w:pPr>
        <w:spacing w:before="0" w:beforeLines="100" w:afterLines="100" w:line="276" w:lineRule="auto"/>
        <w:ind w:left="476"/>
        <w:outlineLvl w:val="0"/>
        <w:rPr>
          <w:rFonts w:ascii="黑体" w:hAnsi="黑体" w:eastAsia="黑体" w:cs="黑体"/>
          <w:b/>
          <w:bCs/>
          <w:spacing w:val="-4"/>
          <w:sz w:val="24"/>
          <w:szCs w:val="24"/>
        </w:rPr>
      </w:pPr>
      <w:bookmarkStart w:id="10" w:name="bookmark10"/>
      <w:bookmarkEnd w:id="10"/>
      <w:r>
        <w:rPr>
          <w:rFonts w:ascii="黑体" w:hAnsi="黑体" w:eastAsia="黑体" w:cs="黑体"/>
          <w:b/>
          <w:bCs/>
          <w:spacing w:val="-4"/>
          <w:sz w:val="24"/>
          <w:szCs w:val="24"/>
        </w:rPr>
        <w:t>附件2</w:t>
      </w:r>
      <w:bookmarkStart w:id="11" w:name="bookmark13"/>
      <w:bookmarkEnd w:id="11"/>
      <w:r>
        <w:rPr>
          <w:rFonts w:hint="default" w:ascii="黑体" w:hAnsi="黑体" w:eastAsia="黑体" w:cs="黑体"/>
          <w:b/>
          <w:bCs/>
          <w:spacing w:val="-4"/>
          <w:sz w:val="24"/>
          <w:szCs w:val="24"/>
          <w:lang w:val="en-US" w:eastAsia="zh-CN"/>
        </w:rPr>
        <w:t xml:space="preserve"> </w:t>
      </w:r>
      <w:r>
        <w:rPr>
          <w:rFonts w:ascii="黑体" w:hAnsi="黑体" w:eastAsia="黑体" w:cs="黑体"/>
          <w:b/>
          <w:bCs/>
          <w:spacing w:val="-4"/>
          <w:sz w:val="24"/>
          <w:szCs w:val="24"/>
        </w:rPr>
        <w:t>专家论证会会议纪要</w:t>
      </w:r>
    </w:p>
    <w:p w14:paraId="6DFFBA99">
      <w:pPr>
        <w:pStyle w:val="3"/>
        <w:spacing w:line="276" w:lineRule="auto"/>
      </w:pPr>
    </w:p>
    <w:p w14:paraId="5E84D707">
      <w:pPr>
        <w:spacing w:before="78" w:line="276" w:lineRule="auto"/>
        <w:ind w:left="7"/>
        <w:rPr>
          <w:rFonts w:ascii="仿宋" w:hAnsi="仿宋" w:eastAsia="仿宋" w:cs="仿宋"/>
          <w:sz w:val="24"/>
          <w:szCs w:val="24"/>
        </w:rPr>
      </w:pPr>
      <w:r>
        <w:rPr>
          <w:rFonts w:ascii="仿宋" w:hAnsi="仿宋" w:eastAsia="仿宋" w:cs="仿宋"/>
          <w:b/>
          <w:bCs/>
          <w:spacing w:val="-8"/>
          <w:sz w:val="24"/>
          <w:szCs w:val="24"/>
        </w:rPr>
        <w:t>会议时间</w:t>
      </w:r>
      <w:r>
        <w:rPr>
          <w:rFonts w:ascii="仿宋" w:hAnsi="仿宋" w:eastAsia="仿宋" w:cs="仿宋"/>
          <w:spacing w:val="-8"/>
          <w:sz w:val="24"/>
          <w:szCs w:val="24"/>
        </w:rPr>
        <w:t>：2025</w:t>
      </w:r>
      <w:r>
        <w:rPr>
          <w:rFonts w:ascii="仿宋" w:hAnsi="仿宋" w:eastAsia="仿宋" w:cs="仿宋"/>
          <w:spacing w:val="-29"/>
          <w:sz w:val="24"/>
          <w:szCs w:val="24"/>
        </w:rPr>
        <w:t xml:space="preserve"> </w:t>
      </w:r>
      <w:r>
        <w:rPr>
          <w:rFonts w:ascii="仿宋" w:hAnsi="仿宋" w:eastAsia="仿宋" w:cs="仿宋"/>
          <w:spacing w:val="-8"/>
          <w:sz w:val="24"/>
          <w:szCs w:val="24"/>
        </w:rPr>
        <w:t>年</w:t>
      </w:r>
      <w:r>
        <w:rPr>
          <w:rFonts w:ascii="仿宋" w:hAnsi="仿宋" w:eastAsia="仿宋" w:cs="仿宋"/>
          <w:spacing w:val="-34"/>
          <w:sz w:val="24"/>
          <w:szCs w:val="24"/>
        </w:rPr>
        <w:t xml:space="preserve"> </w:t>
      </w:r>
      <w:r>
        <w:rPr>
          <w:rFonts w:ascii="仿宋" w:hAnsi="仿宋" w:eastAsia="仿宋" w:cs="仿宋"/>
          <w:spacing w:val="-8"/>
          <w:sz w:val="24"/>
          <w:szCs w:val="24"/>
        </w:rPr>
        <w:t>12</w:t>
      </w:r>
      <w:r>
        <w:rPr>
          <w:rFonts w:ascii="仿宋" w:hAnsi="仿宋" w:eastAsia="仿宋" w:cs="仿宋"/>
          <w:spacing w:val="-33"/>
          <w:sz w:val="24"/>
          <w:szCs w:val="24"/>
        </w:rPr>
        <w:t xml:space="preserve"> </w:t>
      </w:r>
      <w:r>
        <w:rPr>
          <w:rFonts w:ascii="仿宋" w:hAnsi="仿宋" w:eastAsia="仿宋" w:cs="仿宋"/>
          <w:spacing w:val="-8"/>
          <w:sz w:val="24"/>
          <w:szCs w:val="24"/>
        </w:rPr>
        <w:t>月</w:t>
      </w:r>
      <w:r>
        <w:rPr>
          <w:rFonts w:ascii="仿宋" w:hAnsi="仿宋" w:eastAsia="仿宋" w:cs="仿宋"/>
          <w:spacing w:val="-47"/>
          <w:sz w:val="24"/>
          <w:szCs w:val="24"/>
        </w:rPr>
        <w:t xml:space="preserve"> </w:t>
      </w:r>
      <w:r>
        <w:rPr>
          <w:rFonts w:ascii="仿宋" w:hAnsi="仿宋" w:eastAsia="仿宋" w:cs="仿宋"/>
          <w:spacing w:val="-8"/>
          <w:sz w:val="24"/>
          <w:szCs w:val="24"/>
        </w:rPr>
        <w:t>3 日</w:t>
      </w:r>
      <w:r>
        <w:rPr>
          <w:rFonts w:ascii="仿宋" w:hAnsi="仿宋" w:eastAsia="仿宋" w:cs="仿宋"/>
          <w:spacing w:val="26"/>
          <w:sz w:val="24"/>
          <w:szCs w:val="24"/>
        </w:rPr>
        <w:t xml:space="preserve"> </w:t>
      </w:r>
      <w:r>
        <w:rPr>
          <w:rFonts w:ascii="仿宋" w:hAnsi="仿宋" w:eastAsia="仿宋" w:cs="仿宋"/>
          <w:spacing w:val="-8"/>
          <w:sz w:val="24"/>
          <w:szCs w:val="24"/>
        </w:rPr>
        <w:t>19:00-21:00</w:t>
      </w:r>
    </w:p>
    <w:p w14:paraId="0AB8EFE0">
      <w:pPr>
        <w:spacing w:before="112" w:line="276" w:lineRule="auto"/>
        <w:ind w:left="7"/>
        <w:rPr>
          <w:rFonts w:ascii="仿宋" w:hAnsi="仿宋" w:eastAsia="仿宋" w:cs="仿宋"/>
          <w:sz w:val="24"/>
          <w:szCs w:val="24"/>
        </w:rPr>
      </w:pPr>
      <w:r>
        <w:rPr>
          <w:rFonts w:ascii="仿宋" w:hAnsi="仿宋" w:eastAsia="仿宋" w:cs="仿宋"/>
          <w:b/>
          <w:bCs/>
          <w:spacing w:val="-9"/>
          <w:sz w:val="24"/>
          <w:szCs w:val="24"/>
        </w:rPr>
        <w:t>会议地点：</w:t>
      </w:r>
      <w:r>
        <w:rPr>
          <w:rFonts w:ascii="仿宋" w:hAnsi="仿宋" w:eastAsia="仿宋" w:cs="仿宋"/>
          <w:spacing w:val="-9"/>
          <w:sz w:val="24"/>
          <w:szCs w:val="24"/>
        </w:rPr>
        <w:t>中国</w:t>
      </w:r>
      <w:r>
        <w:rPr>
          <w:rFonts w:ascii="仿宋" w:hAnsi="仿宋" w:eastAsia="仿宋" w:cs="仿宋"/>
          <w:spacing w:val="-11"/>
          <w:sz w:val="24"/>
          <w:szCs w:val="24"/>
        </w:rPr>
        <w:t xml:space="preserve"> </w:t>
      </w:r>
      <w:r>
        <w:rPr>
          <w:rFonts w:ascii="仿宋" w:hAnsi="仿宋" w:eastAsia="仿宋" w:cs="仿宋"/>
          <w:spacing w:val="-9"/>
          <w:sz w:val="24"/>
          <w:szCs w:val="24"/>
        </w:rPr>
        <w:t>·</w:t>
      </w:r>
      <w:r>
        <w:rPr>
          <w:rFonts w:ascii="仿宋" w:hAnsi="仿宋" w:eastAsia="仿宋" w:cs="仿宋"/>
          <w:spacing w:val="-93"/>
          <w:sz w:val="24"/>
          <w:szCs w:val="24"/>
        </w:rPr>
        <w:t xml:space="preserve"> </w:t>
      </w:r>
      <w:r>
        <w:rPr>
          <w:rFonts w:ascii="仿宋" w:hAnsi="仿宋" w:eastAsia="仿宋" w:cs="仿宋"/>
          <w:spacing w:val="-9"/>
          <w:sz w:val="24"/>
          <w:szCs w:val="24"/>
        </w:rPr>
        <w:t>南京（线下+线上结合）</w:t>
      </w:r>
    </w:p>
    <w:p w14:paraId="50AC780C">
      <w:pPr>
        <w:spacing w:before="110" w:line="276" w:lineRule="auto"/>
        <w:ind w:left="2" w:right="83" w:firstLine="4"/>
        <w:rPr>
          <w:rFonts w:ascii="仿宋" w:hAnsi="仿宋" w:eastAsia="仿宋" w:cs="仿宋"/>
          <w:sz w:val="24"/>
          <w:szCs w:val="24"/>
        </w:rPr>
      </w:pPr>
      <w:r>
        <w:rPr>
          <w:rFonts w:ascii="仿宋" w:hAnsi="仿宋" w:eastAsia="仿宋" w:cs="仿宋"/>
          <w:b/>
          <w:bCs/>
          <w:spacing w:val="-1"/>
          <w:sz w:val="24"/>
          <w:szCs w:val="24"/>
        </w:rPr>
        <w:t>会议性质：</w:t>
      </w:r>
      <w:r>
        <w:rPr>
          <w:rFonts w:ascii="仿宋" w:hAnsi="仿宋" w:eastAsia="仿宋" w:cs="仿宋"/>
          <w:spacing w:val="-1"/>
          <w:sz w:val="24"/>
          <w:szCs w:val="24"/>
        </w:rPr>
        <w:t>国家标准（GB/Z 40893.1-2021）向世界中医药学会联合会（WFCMS）国际标准</w:t>
      </w:r>
      <w:r>
        <w:rPr>
          <w:rFonts w:ascii="仿宋" w:hAnsi="仿宋" w:eastAsia="仿宋" w:cs="仿宋"/>
          <w:spacing w:val="-3"/>
          <w:sz w:val="24"/>
          <w:szCs w:val="24"/>
        </w:rPr>
        <w:t>转化专家论证会</w:t>
      </w:r>
    </w:p>
    <w:p w14:paraId="41A25AB3">
      <w:pPr>
        <w:spacing w:before="2" w:line="276" w:lineRule="auto"/>
        <w:ind w:left="3"/>
        <w:rPr>
          <w:rFonts w:ascii="仿宋" w:hAnsi="仿宋" w:eastAsia="仿宋" w:cs="仿宋"/>
          <w:sz w:val="24"/>
          <w:szCs w:val="24"/>
        </w:rPr>
      </w:pPr>
      <w:r>
        <w:rPr>
          <w:rFonts w:ascii="仿宋" w:hAnsi="仿宋" w:eastAsia="仿宋" w:cs="仿宋"/>
          <w:b/>
          <w:bCs/>
          <w:spacing w:val="-6"/>
          <w:sz w:val="24"/>
          <w:szCs w:val="24"/>
        </w:rPr>
        <w:t>参会人员：</w:t>
      </w:r>
    </w:p>
    <w:p w14:paraId="53CF7790">
      <w:pPr>
        <w:spacing w:before="108" w:line="276" w:lineRule="auto"/>
        <w:ind w:left="480"/>
        <w:rPr>
          <w:rFonts w:ascii="仿宋" w:hAnsi="仿宋" w:eastAsia="仿宋" w:cs="仿宋"/>
          <w:sz w:val="24"/>
          <w:szCs w:val="24"/>
        </w:rPr>
      </w:pPr>
      <w:r>
        <w:rPr>
          <w:rFonts w:ascii="仿宋" w:hAnsi="仿宋" w:eastAsia="仿宋" w:cs="仿宋"/>
          <w:b/>
          <w:bCs/>
          <w:spacing w:val="-2"/>
          <w:sz w:val="24"/>
          <w:szCs w:val="24"/>
        </w:rPr>
        <w:t>项目组组长：</w:t>
      </w:r>
      <w:r>
        <w:rPr>
          <w:rFonts w:ascii="仿宋" w:hAnsi="仿宋" w:eastAsia="仿宋" w:cs="仿宋"/>
          <w:spacing w:val="-2"/>
          <w:sz w:val="24"/>
          <w:szCs w:val="24"/>
        </w:rPr>
        <w:t>汪受传（南京中医药大学</w:t>
      </w:r>
      <w:r>
        <w:rPr>
          <w:rFonts w:ascii="仿宋" w:hAnsi="仿宋" w:eastAsia="仿宋" w:cs="仿宋"/>
          <w:spacing w:val="13"/>
          <w:sz w:val="24"/>
          <w:szCs w:val="24"/>
        </w:rPr>
        <w:t>），</w:t>
      </w:r>
      <w:r>
        <w:rPr>
          <w:rFonts w:ascii="仿宋" w:hAnsi="仿宋" w:eastAsia="仿宋" w:cs="仿宋"/>
          <w:spacing w:val="-2"/>
          <w:sz w:val="24"/>
          <w:szCs w:val="24"/>
        </w:rPr>
        <w:t>各项目负责人、秘书等。</w:t>
      </w:r>
    </w:p>
    <w:p w14:paraId="636C6913">
      <w:pPr>
        <w:spacing w:before="112" w:line="276" w:lineRule="auto"/>
        <w:ind w:left="482"/>
        <w:rPr>
          <w:rFonts w:ascii="仿宋" w:hAnsi="仿宋" w:eastAsia="仿宋" w:cs="仿宋"/>
          <w:sz w:val="24"/>
          <w:szCs w:val="24"/>
        </w:rPr>
      </w:pPr>
      <w:r>
        <w:rPr>
          <w:rFonts w:ascii="仿宋" w:hAnsi="仿宋" w:eastAsia="仿宋" w:cs="仿宋"/>
          <w:b/>
          <w:bCs/>
          <w:spacing w:val="-2"/>
          <w:sz w:val="24"/>
          <w:szCs w:val="24"/>
        </w:rPr>
        <w:t>专家组：组长：</w:t>
      </w:r>
      <w:r>
        <w:rPr>
          <w:rFonts w:ascii="仿宋" w:hAnsi="仿宋" w:eastAsia="仿宋" w:cs="仿宋"/>
          <w:spacing w:val="-2"/>
          <w:sz w:val="24"/>
          <w:szCs w:val="24"/>
        </w:rPr>
        <w:t>丁樱（河南中医药大学）。</w:t>
      </w:r>
    </w:p>
    <w:p w14:paraId="37C87CCF">
      <w:pPr>
        <w:spacing w:before="109" w:line="276" w:lineRule="auto"/>
        <w:ind w:right="6" w:firstLine="481"/>
        <w:jc w:val="both"/>
        <w:rPr>
          <w:rFonts w:ascii="仿宋" w:hAnsi="仿宋" w:eastAsia="仿宋" w:cs="仿宋"/>
          <w:sz w:val="24"/>
          <w:szCs w:val="24"/>
        </w:rPr>
      </w:pPr>
      <w:r>
        <w:rPr>
          <w:rFonts w:ascii="仿宋" w:hAnsi="仿宋" w:eastAsia="仿宋" w:cs="仿宋"/>
          <w:b/>
          <w:bCs/>
          <w:spacing w:val="-2"/>
          <w:sz w:val="24"/>
          <w:szCs w:val="24"/>
        </w:rPr>
        <w:t>专家组成员（按姓氏笔画排序</w:t>
      </w:r>
      <w:r>
        <w:rPr>
          <w:rFonts w:ascii="仿宋" w:hAnsi="仿宋" w:eastAsia="仿宋" w:cs="仿宋"/>
          <w:b/>
          <w:bCs/>
          <w:spacing w:val="5"/>
          <w:sz w:val="24"/>
          <w:szCs w:val="24"/>
        </w:rPr>
        <w:t>）：</w:t>
      </w:r>
      <w:r>
        <w:rPr>
          <w:rFonts w:ascii="仿宋" w:hAnsi="仿宋" w:eastAsia="仿宋" w:cs="仿宋"/>
          <w:spacing w:val="-2"/>
          <w:sz w:val="24"/>
          <w:szCs w:val="24"/>
        </w:rPr>
        <w:t>万力生（深圳市儿童医院）、马融（</w:t>
      </w:r>
      <w:r>
        <w:rPr>
          <w:rFonts w:ascii="仿宋" w:hAnsi="仿宋" w:eastAsia="仿宋" w:cs="仿宋"/>
          <w:spacing w:val="-3"/>
          <w:sz w:val="24"/>
          <w:szCs w:val="24"/>
        </w:rPr>
        <w:t>天津中医药大</w:t>
      </w:r>
      <w:r>
        <w:rPr>
          <w:rFonts w:ascii="仿宋" w:hAnsi="仿宋" w:eastAsia="仿宋" w:cs="仿宋"/>
          <w:spacing w:val="-1"/>
          <w:sz w:val="24"/>
          <w:szCs w:val="24"/>
        </w:rPr>
        <w:t>学第一附属医院）、王有鹏（黑龙江中医药大学附属第二医院）、王丽丽（世界中医药学</w:t>
      </w:r>
      <w:r>
        <w:rPr>
          <w:rFonts w:ascii="仿宋" w:hAnsi="仿宋" w:eastAsia="仿宋" w:cs="仿宋"/>
          <w:spacing w:val="-10"/>
          <w:sz w:val="24"/>
          <w:szCs w:val="24"/>
        </w:rPr>
        <w:t>会联合会国际标准部）、王素梅（北京中医药大学</w:t>
      </w:r>
      <w:r>
        <w:rPr>
          <w:rFonts w:ascii="仿宋" w:hAnsi="仿宋" w:eastAsia="仿宋" w:cs="仿宋"/>
          <w:spacing w:val="-11"/>
          <w:sz w:val="24"/>
          <w:szCs w:val="24"/>
        </w:rPr>
        <w:t>东方医院）、史正刚（甘肃中医药大学）、</w:t>
      </w:r>
      <w:r>
        <w:rPr>
          <w:rFonts w:ascii="仿宋" w:hAnsi="仿宋" w:eastAsia="仿宋" w:cs="仿宋"/>
          <w:spacing w:val="-1"/>
          <w:sz w:val="24"/>
          <w:szCs w:val="24"/>
        </w:rPr>
        <w:t>刘建忠（湖北中医药大学）、张葆青（山东中医药大学附属医院）、俞建（复旦大学儿科医院）、虞坚尔（上海中医药大学）、熊磊（云南中医药大学）、戴启刚（南京中医药大</w:t>
      </w:r>
      <w:r>
        <w:rPr>
          <w:rFonts w:ascii="仿宋" w:hAnsi="仿宋" w:eastAsia="仿宋" w:cs="仿宋"/>
          <w:spacing w:val="-9"/>
          <w:sz w:val="24"/>
          <w:szCs w:val="24"/>
        </w:rPr>
        <w:t>学）</w:t>
      </w:r>
    </w:p>
    <w:p w14:paraId="4CCFE7FB">
      <w:pPr>
        <w:spacing w:before="1" w:line="276" w:lineRule="auto"/>
        <w:ind w:left="483"/>
        <w:rPr>
          <w:rFonts w:ascii="仿宋" w:hAnsi="仿宋" w:eastAsia="仿宋" w:cs="仿宋"/>
          <w:sz w:val="24"/>
          <w:szCs w:val="24"/>
        </w:rPr>
      </w:pPr>
      <w:r>
        <w:rPr>
          <w:rFonts w:ascii="仿宋" w:hAnsi="仿宋" w:eastAsia="仿宋" w:cs="仿宋"/>
          <w:b/>
          <w:bCs/>
          <w:spacing w:val="-4"/>
          <w:sz w:val="24"/>
          <w:szCs w:val="24"/>
        </w:rPr>
        <w:t>一、会议背景与工作基础</w:t>
      </w:r>
    </w:p>
    <w:p w14:paraId="410AEBA3">
      <w:pPr>
        <w:spacing w:before="109" w:line="276" w:lineRule="auto"/>
        <w:ind w:firstLine="480"/>
        <w:jc w:val="both"/>
        <w:rPr>
          <w:rFonts w:ascii="仿宋" w:hAnsi="仿宋" w:eastAsia="仿宋" w:cs="仿宋"/>
          <w:sz w:val="24"/>
          <w:szCs w:val="24"/>
        </w:rPr>
      </w:pPr>
      <w:r>
        <w:rPr>
          <w:rFonts w:ascii="仿宋" w:hAnsi="仿宋" w:eastAsia="仿宋" w:cs="仿宋"/>
          <w:spacing w:val="-1"/>
          <w:sz w:val="24"/>
          <w:szCs w:val="24"/>
        </w:rPr>
        <w:t xml:space="preserve">本次专家论证会是《国际中医技术操作规范 </w:t>
      </w:r>
      <w:r>
        <w:rPr>
          <w:rFonts w:ascii="仿宋" w:hAnsi="仿宋" w:eastAsia="仿宋" w:cs="仿宋"/>
          <w:spacing w:val="-2"/>
          <w:sz w:val="24"/>
          <w:szCs w:val="24"/>
        </w:rPr>
        <w:t>儿科 第</w:t>
      </w:r>
      <w:r>
        <w:rPr>
          <w:rFonts w:ascii="仿宋" w:hAnsi="仿宋" w:eastAsia="仿宋" w:cs="仿宋"/>
          <w:spacing w:val="-46"/>
          <w:sz w:val="24"/>
          <w:szCs w:val="24"/>
        </w:rPr>
        <w:t xml:space="preserve"> </w:t>
      </w:r>
      <w:r>
        <w:rPr>
          <w:rFonts w:ascii="仿宋" w:hAnsi="仿宋" w:eastAsia="仿宋" w:cs="仿宋"/>
          <w:spacing w:val="-2"/>
          <w:sz w:val="24"/>
          <w:szCs w:val="24"/>
        </w:rPr>
        <w:t>5</w:t>
      </w:r>
      <w:r>
        <w:rPr>
          <w:rFonts w:ascii="仿宋" w:hAnsi="仿宋" w:eastAsia="仿宋" w:cs="仿宋"/>
          <w:spacing w:val="-44"/>
          <w:sz w:val="24"/>
          <w:szCs w:val="24"/>
        </w:rPr>
        <w:t xml:space="preserve"> </w:t>
      </w:r>
      <w:r>
        <w:rPr>
          <w:rFonts w:ascii="仿宋" w:hAnsi="仿宋" w:eastAsia="仿宋" w:cs="仿宋"/>
          <w:spacing w:val="-2"/>
          <w:sz w:val="24"/>
          <w:szCs w:val="24"/>
        </w:rPr>
        <w:t>部分：小儿拔罐疗法》国际标</w:t>
      </w:r>
      <w:r>
        <w:rPr>
          <w:rFonts w:ascii="仿宋" w:hAnsi="仿宋" w:eastAsia="仿宋" w:cs="仿宋"/>
          <w:spacing w:val="-1"/>
          <w:sz w:val="24"/>
          <w:szCs w:val="24"/>
        </w:rPr>
        <w:t>准转化项目的关键性节点会议。为提升会议效率与决策科学性，项目组于会前向全体论证专家发送了论证会全套材料，内容包括：《国际中医技</w:t>
      </w:r>
      <w:r>
        <w:rPr>
          <w:rFonts w:ascii="仿宋" w:hAnsi="仿宋" w:eastAsia="仿宋" w:cs="仿宋"/>
          <w:spacing w:val="-2"/>
          <w:sz w:val="24"/>
          <w:szCs w:val="24"/>
        </w:rPr>
        <w:t>术操作规范 儿科 第</w:t>
      </w:r>
      <w:r>
        <w:rPr>
          <w:rFonts w:ascii="仿宋" w:hAnsi="仿宋" w:eastAsia="仿宋" w:cs="仿宋"/>
          <w:spacing w:val="-46"/>
          <w:sz w:val="24"/>
          <w:szCs w:val="24"/>
        </w:rPr>
        <w:t xml:space="preserve"> </w:t>
      </w:r>
      <w:r>
        <w:rPr>
          <w:rFonts w:ascii="仿宋" w:hAnsi="仿宋" w:eastAsia="仿宋" w:cs="仿宋"/>
          <w:spacing w:val="-2"/>
          <w:sz w:val="24"/>
          <w:szCs w:val="24"/>
        </w:rPr>
        <w:t>5</w:t>
      </w:r>
      <w:r>
        <w:rPr>
          <w:rFonts w:ascii="仿宋" w:hAnsi="仿宋" w:eastAsia="仿宋" w:cs="仿宋"/>
          <w:spacing w:val="-44"/>
          <w:sz w:val="24"/>
          <w:szCs w:val="24"/>
        </w:rPr>
        <w:t xml:space="preserve"> </w:t>
      </w:r>
      <w:r>
        <w:rPr>
          <w:rFonts w:ascii="仿宋" w:hAnsi="仿宋" w:eastAsia="仿宋" w:cs="仿宋"/>
          <w:spacing w:val="-2"/>
          <w:sz w:val="24"/>
          <w:szCs w:val="24"/>
        </w:rPr>
        <w:t>部分：小儿</w:t>
      </w:r>
      <w:r>
        <w:rPr>
          <w:rFonts w:ascii="仿宋" w:hAnsi="仿宋" w:eastAsia="仿宋" w:cs="仿宋"/>
          <w:spacing w:val="-1"/>
          <w:sz w:val="24"/>
          <w:szCs w:val="24"/>
        </w:rPr>
        <w:t>拔罐疗法》专家问卷调查总结报告、《国际中医技术操</w:t>
      </w:r>
      <w:r>
        <w:rPr>
          <w:rFonts w:ascii="仿宋" w:hAnsi="仿宋" w:eastAsia="仿宋" w:cs="仿宋"/>
          <w:spacing w:val="-2"/>
          <w:sz w:val="24"/>
          <w:szCs w:val="24"/>
        </w:rPr>
        <w:t>作规范 儿科 第</w:t>
      </w:r>
      <w:r>
        <w:rPr>
          <w:rFonts w:ascii="仿宋" w:hAnsi="仿宋" w:eastAsia="仿宋" w:cs="仿宋"/>
          <w:spacing w:val="-46"/>
          <w:sz w:val="24"/>
          <w:szCs w:val="24"/>
        </w:rPr>
        <w:t xml:space="preserve"> </w:t>
      </w:r>
      <w:r>
        <w:rPr>
          <w:rFonts w:ascii="仿宋" w:hAnsi="仿宋" w:eastAsia="仿宋" w:cs="仿宋"/>
          <w:spacing w:val="-2"/>
          <w:sz w:val="24"/>
          <w:szCs w:val="24"/>
        </w:rPr>
        <w:t>5</w:t>
      </w:r>
      <w:r>
        <w:rPr>
          <w:rFonts w:ascii="仿宋" w:hAnsi="仿宋" w:eastAsia="仿宋" w:cs="仿宋"/>
          <w:spacing w:val="-44"/>
          <w:sz w:val="24"/>
          <w:szCs w:val="24"/>
        </w:rPr>
        <w:t xml:space="preserve"> </w:t>
      </w:r>
      <w:r>
        <w:rPr>
          <w:rFonts w:ascii="仿宋" w:hAnsi="仿宋" w:eastAsia="仿宋" w:cs="仿宋"/>
          <w:spacing w:val="-2"/>
          <w:sz w:val="24"/>
          <w:szCs w:val="24"/>
        </w:rPr>
        <w:t>部分：小儿拔罐</w:t>
      </w:r>
      <w:r>
        <w:rPr>
          <w:rFonts w:ascii="仿宋" w:hAnsi="仿宋" w:eastAsia="仿宋" w:cs="仿宋"/>
          <w:spacing w:val="-3"/>
          <w:sz w:val="24"/>
          <w:szCs w:val="24"/>
        </w:rPr>
        <w:t>疗法》专家论证会征求意见函（包括2</w:t>
      </w:r>
      <w:r>
        <w:rPr>
          <w:rFonts w:ascii="仿宋" w:hAnsi="仿宋" w:eastAsia="仿宋" w:cs="仿宋"/>
          <w:spacing w:val="-43"/>
          <w:sz w:val="24"/>
          <w:szCs w:val="24"/>
        </w:rPr>
        <w:t xml:space="preserve"> </w:t>
      </w:r>
      <w:r>
        <w:rPr>
          <w:rFonts w:ascii="仿宋" w:hAnsi="仿宋" w:eastAsia="仿宋" w:cs="仿宋"/>
          <w:spacing w:val="-3"/>
          <w:sz w:val="24"/>
          <w:szCs w:val="24"/>
        </w:rPr>
        <w:t>项核心争</w:t>
      </w:r>
      <w:r>
        <w:rPr>
          <w:rFonts w:ascii="仿宋" w:hAnsi="仿宋" w:eastAsia="仿宋" w:cs="仿宋"/>
          <w:spacing w:val="-4"/>
          <w:sz w:val="24"/>
          <w:szCs w:val="24"/>
        </w:rPr>
        <w:t>议条目、开放性问题及项目组整合建议）、</w:t>
      </w:r>
      <w:r>
        <w:rPr>
          <w:rFonts w:ascii="仿宋" w:hAnsi="仿宋" w:eastAsia="仿宋" w:cs="仿宋"/>
          <w:spacing w:val="-7"/>
          <w:sz w:val="24"/>
          <w:szCs w:val="24"/>
        </w:rPr>
        <w:t>原国家标准文本《GBZ</w:t>
      </w:r>
      <w:r>
        <w:rPr>
          <w:rFonts w:ascii="仿宋" w:hAnsi="仿宋" w:eastAsia="仿宋" w:cs="仿宋"/>
          <w:spacing w:val="-52"/>
          <w:sz w:val="24"/>
          <w:szCs w:val="24"/>
        </w:rPr>
        <w:t xml:space="preserve"> </w:t>
      </w:r>
      <w:r>
        <w:rPr>
          <w:rFonts w:ascii="仿宋" w:hAnsi="仿宋" w:eastAsia="仿宋" w:cs="仿宋"/>
          <w:spacing w:val="-7"/>
          <w:sz w:val="24"/>
          <w:szCs w:val="24"/>
        </w:rPr>
        <w:t>40893.5-2021</w:t>
      </w:r>
      <w:r>
        <w:rPr>
          <w:rFonts w:ascii="仿宋" w:hAnsi="仿宋" w:eastAsia="仿宋" w:cs="仿宋"/>
          <w:spacing w:val="46"/>
          <w:sz w:val="24"/>
          <w:szCs w:val="24"/>
        </w:rPr>
        <w:t xml:space="preserve"> </w:t>
      </w:r>
      <w:r>
        <w:rPr>
          <w:rFonts w:ascii="仿宋" w:hAnsi="仿宋" w:eastAsia="仿宋" w:cs="仿宋"/>
          <w:spacing w:val="-8"/>
          <w:sz w:val="24"/>
          <w:szCs w:val="24"/>
        </w:rPr>
        <w:t>中医技术操作规范 儿科</w:t>
      </w:r>
      <w:r>
        <w:rPr>
          <w:rFonts w:ascii="仿宋" w:hAnsi="仿宋" w:eastAsia="仿宋" w:cs="仿宋"/>
          <w:spacing w:val="27"/>
          <w:sz w:val="24"/>
          <w:szCs w:val="24"/>
        </w:rPr>
        <w:t xml:space="preserve"> </w:t>
      </w:r>
      <w:r>
        <w:rPr>
          <w:rFonts w:ascii="仿宋" w:hAnsi="仿宋" w:eastAsia="仿宋" w:cs="仿宋"/>
          <w:spacing w:val="-8"/>
          <w:sz w:val="24"/>
          <w:szCs w:val="24"/>
        </w:rPr>
        <w:t>第</w:t>
      </w:r>
      <w:r>
        <w:rPr>
          <w:rFonts w:ascii="仿宋" w:hAnsi="仿宋" w:eastAsia="仿宋" w:cs="仿宋"/>
          <w:spacing w:val="-47"/>
          <w:sz w:val="24"/>
          <w:szCs w:val="24"/>
        </w:rPr>
        <w:t xml:space="preserve"> </w:t>
      </w:r>
      <w:r>
        <w:rPr>
          <w:rFonts w:ascii="仿宋" w:hAnsi="仿宋" w:eastAsia="仿宋" w:cs="仿宋"/>
          <w:spacing w:val="-8"/>
          <w:sz w:val="24"/>
          <w:szCs w:val="24"/>
        </w:rPr>
        <w:t>5</w:t>
      </w:r>
      <w:r>
        <w:rPr>
          <w:rFonts w:ascii="仿宋" w:hAnsi="仿宋" w:eastAsia="仿宋" w:cs="仿宋"/>
          <w:spacing w:val="-43"/>
          <w:sz w:val="24"/>
          <w:szCs w:val="24"/>
        </w:rPr>
        <w:t xml:space="preserve"> </w:t>
      </w:r>
      <w:r>
        <w:rPr>
          <w:rFonts w:ascii="仿宋" w:hAnsi="仿宋" w:eastAsia="仿宋" w:cs="仿宋"/>
          <w:spacing w:val="-8"/>
          <w:sz w:val="24"/>
          <w:szCs w:val="24"/>
        </w:rPr>
        <w:t>部分：小儿拔罐疗法》。</w:t>
      </w:r>
    </w:p>
    <w:p w14:paraId="42319ED9">
      <w:pPr>
        <w:spacing w:before="5" w:line="276" w:lineRule="auto"/>
        <w:ind w:right="83" w:firstLine="487"/>
        <w:jc w:val="both"/>
        <w:rPr>
          <w:rFonts w:ascii="仿宋" w:hAnsi="仿宋" w:eastAsia="仿宋" w:cs="仿宋"/>
          <w:sz w:val="24"/>
          <w:szCs w:val="24"/>
        </w:rPr>
      </w:pPr>
      <w:r>
        <w:rPr>
          <w:rFonts w:ascii="仿宋" w:hAnsi="仿宋" w:eastAsia="仿宋" w:cs="仿宋"/>
          <w:spacing w:val="-2"/>
          <w:sz w:val="24"/>
          <w:szCs w:val="24"/>
        </w:rPr>
        <w:t>会议采取“会前函审+会中论证+会后书面确认</w:t>
      </w:r>
      <w:r>
        <w:rPr>
          <w:rFonts w:ascii="仿宋" w:hAnsi="仿宋" w:eastAsia="仿宋" w:cs="仿宋"/>
          <w:spacing w:val="-76"/>
          <w:sz w:val="24"/>
          <w:szCs w:val="24"/>
        </w:rPr>
        <w:t xml:space="preserve"> </w:t>
      </w:r>
      <w:r>
        <w:rPr>
          <w:rFonts w:ascii="仿宋" w:hAnsi="仿宋" w:eastAsia="仿宋" w:cs="仿宋"/>
          <w:spacing w:val="-2"/>
          <w:sz w:val="24"/>
          <w:szCs w:val="24"/>
        </w:rPr>
        <w:t>”的三段式工作模式。专家在会前已基</w:t>
      </w:r>
      <w:r>
        <w:rPr>
          <w:rFonts w:ascii="仿宋" w:hAnsi="仿宋" w:eastAsia="仿宋" w:cs="仿宋"/>
          <w:spacing w:val="-1"/>
          <w:sz w:val="24"/>
          <w:szCs w:val="24"/>
        </w:rPr>
        <w:t>于征求意见函内容进行独立审阅与初步评分，会中针对重点争议问题进行集中研讨，会后</w:t>
      </w:r>
      <w:r>
        <w:rPr>
          <w:rFonts w:ascii="仿宋" w:hAnsi="仿宋" w:eastAsia="仿宋" w:cs="仿宋"/>
          <w:spacing w:val="-4"/>
          <w:sz w:val="24"/>
          <w:szCs w:val="24"/>
        </w:rPr>
        <w:t>1</w:t>
      </w:r>
      <w:r>
        <w:rPr>
          <w:rFonts w:ascii="仿宋" w:hAnsi="仿宋" w:eastAsia="仿宋" w:cs="仿宋"/>
          <w:spacing w:val="-27"/>
          <w:sz w:val="24"/>
          <w:szCs w:val="24"/>
        </w:rPr>
        <w:t xml:space="preserve"> </w:t>
      </w:r>
      <w:r>
        <w:rPr>
          <w:rFonts w:ascii="仿宋" w:hAnsi="仿宋" w:eastAsia="仿宋" w:cs="仿宋"/>
          <w:spacing w:val="-4"/>
          <w:sz w:val="24"/>
          <w:szCs w:val="24"/>
        </w:rPr>
        <w:t>周内（12</w:t>
      </w:r>
      <w:r>
        <w:rPr>
          <w:rFonts w:ascii="仿宋" w:hAnsi="仿宋" w:eastAsia="仿宋" w:cs="仿宋"/>
          <w:spacing w:val="-33"/>
          <w:sz w:val="24"/>
          <w:szCs w:val="24"/>
        </w:rPr>
        <w:t xml:space="preserve"> </w:t>
      </w:r>
      <w:r>
        <w:rPr>
          <w:rFonts w:ascii="仿宋" w:hAnsi="仿宋" w:eastAsia="仿宋" w:cs="仿宋"/>
          <w:spacing w:val="-4"/>
          <w:sz w:val="24"/>
          <w:szCs w:val="24"/>
        </w:rPr>
        <w:t>月</w:t>
      </w:r>
      <w:r>
        <w:rPr>
          <w:rFonts w:ascii="仿宋" w:hAnsi="仿宋" w:eastAsia="仿宋" w:cs="仿宋"/>
          <w:spacing w:val="-33"/>
          <w:sz w:val="24"/>
          <w:szCs w:val="24"/>
        </w:rPr>
        <w:t xml:space="preserve"> </w:t>
      </w:r>
      <w:r>
        <w:rPr>
          <w:rFonts w:ascii="仿宋" w:hAnsi="仿宋" w:eastAsia="仿宋" w:cs="仿宋"/>
          <w:spacing w:val="-4"/>
          <w:sz w:val="24"/>
          <w:szCs w:val="24"/>
        </w:rPr>
        <w:t>10 日前）将书面意见函返回项目组邮箱，确保每位专家的最终意见得到完整记录。</w:t>
      </w:r>
    </w:p>
    <w:p w14:paraId="1C23D94A">
      <w:pPr>
        <w:spacing w:line="276" w:lineRule="auto"/>
        <w:ind w:left="480"/>
        <w:rPr>
          <w:rFonts w:ascii="仿宋" w:hAnsi="仿宋" w:eastAsia="仿宋" w:cs="仿宋"/>
          <w:sz w:val="24"/>
          <w:szCs w:val="24"/>
        </w:rPr>
      </w:pPr>
      <w:r>
        <w:rPr>
          <w:rFonts w:ascii="仿宋" w:hAnsi="仿宋" w:eastAsia="仿宋" w:cs="仿宋"/>
          <w:spacing w:val="-2"/>
          <w:sz w:val="24"/>
          <w:szCs w:val="24"/>
        </w:rPr>
        <w:t>本会议纪要综合了会议现场讨论记录与</w:t>
      </w:r>
      <w:r>
        <w:rPr>
          <w:rFonts w:ascii="仿宋" w:hAnsi="仿宋" w:eastAsia="仿宋" w:cs="仿宋"/>
          <w:spacing w:val="-21"/>
          <w:sz w:val="24"/>
          <w:szCs w:val="24"/>
        </w:rPr>
        <w:t xml:space="preserve"> </w:t>
      </w:r>
      <w:r>
        <w:rPr>
          <w:rFonts w:ascii="仿宋" w:hAnsi="仿宋" w:eastAsia="仿宋" w:cs="仿宋"/>
          <w:spacing w:val="-2"/>
          <w:sz w:val="24"/>
          <w:szCs w:val="24"/>
        </w:rPr>
        <w:t>13</w:t>
      </w:r>
      <w:r>
        <w:rPr>
          <w:rFonts w:ascii="仿宋" w:hAnsi="仿宋" w:eastAsia="仿宋" w:cs="仿宋"/>
          <w:spacing w:val="-43"/>
          <w:sz w:val="24"/>
          <w:szCs w:val="24"/>
        </w:rPr>
        <w:t xml:space="preserve"> </w:t>
      </w:r>
      <w:r>
        <w:rPr>
          <w:rFonts w:ascii="仿宋" w:hAnsi="仿宋" w:eastAsia="仿宋" w:cs="仿宋"/>
          <w:spacing w:val="-2"/>
          <w:sz w:val="24"/>
          <w:szCs w:val="24"/>
        </w:rPr>
        <w:t>位专家书面返回的征求意见函双重信息，</w:t>
      </w:r>
    </w:p>
    <w:p w14:paraId="404C3D11">
      <w:pPr>
        <w:spacing w:before="114" w:line="276" w:lineRule="auto"/>
        <w:ind w:left="3" w:hanging="2"/>
        <w:rPr>
          <w:rFonts w:ascii="仿宋" w:hAnsi="仿宋" w:eastAsia="仿宋" w:cs="仿宋"/>
          <w:sz w:val="24"/>
          <w:szCs w:val="24"/>
        </w:rPr>
      </w:pPr>
      <w:r>
        <w:rPr>
          <w:rFonts w:ascii="仿宋" w:hAnsi="仿宋" w:eastAsia="仿宋" w:cs="仿宋"/>
          <w:spacing w:val="-1"/>
          <w:sz w:val="24"/>
          <w:szCs w:val="24"/>
        </w:rPr>
        <w:t>对各项争议条目及开放性建议的论证过程、专家评分结果、修改建议及最终决议进行了系</w:t>
      </w:r>
      <w:r>
        <w:rPr>
          <w:rFonts w:ascii="仿宋" w:hAnsi="仿宋" w:eastAsia="仿宋" w:cs="仿宋"/>
          <w:spacing w:val="-5"/>
          <w:sz w:val="24"/>
          <w:szCs w:val="24"/>
        </w:rPr>
        <w:t>统梳理，作为标准编制说明的重要组成部分，提交世界中医药学会联合会国际标准部审查。</w:t>
      </w:r>
    </w:p>
    <w:p w14:paraId="1F2EEF33">
      <w:pPr>
        <w:spacing w:before="3" w:line="276" w:lineRule="auto"/>
        <w:ind w:left="487"/>
        <w:rPr>
          <w:rFonts w:ascii="仿宋" w:hAnsi="仿宋" w:eastAsia="仿宋" w:cs="仿宋"/>
          <w:sz w:val="24"/>
          <w:szCs w:val="24"/>
        </w:rPr>
      </w:pPr>
      <w:r>
        <w:rPr>
          <w:rFonts w:ascii="仿宋" w:hAnsi="仿宋" w:eastAsia="仿宋" w:cs="仿宋"/>
          <w:b/>
          <w:bCs/>
          <w:spacing w:val="-5"/>
          <w:sz w:val="24"/>
          <w:szCs w:val="24"/>
        </w:rPr>
        <w:t>二、项目工作汇报</w:t>
      </w:r>
    </w:p>
    <w:p w14:paraId="0646AD2B">
      <w:pPr>
        <w:spacing w:before="116" w:line="276" w:lineRule="auto"/>
        <w:ind w:left="3" w:right="83" w:firstLine="480"/>
        <w:rPr>
          <w:rFonts w:ascii="仿宋" w:hAnsi="仿宋" w:eastAsia="仿宋" w:cs="仿宋"/>
          <w:sz w:val="24"/>
          <w:szCs w:val="24"/>
        </w:rPr>
      </w:pPr>
      <w:r>
        <w:rPr>
          <w:rFonts w:ascii="仿宋" w:hAnsi="仿宋" w:eastAsia="仿宋" w:cs="仿宋"/>
          <w:sz w:val="24"/>
          <w:szCs w:val="24"/>
        </w:rPr>
        <w:t>五项目总负责人汪受传教授首先介绍了项目背景：本次转化工作源于2021</w:t>
      </w:r>
      <w:r>
        <w:rPr>
          <w:rFonts w:ascii="仿宋" w:hAnsi="仿宋" w:eastAsia="仿宋" w:cs="仿宋"/>
          <w:spacing w:val="-21"/>
          <w:sz w:val="24"/>
          <w:szCs w:val="24"/>
        </w:rPr>
        <w:t xml:space="preserve"> </w:t>
      </w:r>
      <w:r>
        <w:rPr>
          <w:rFonts w:ascii="仿宋" w:hAnsi="仿宋" w:eastAsia="仿宋" w:cs="仿宋"/>
          <w:sz w:val="24"/>
          <w:szCs w:val="24"/>
        </w:rPr>
        <w:t>年发布的</w:t>
      </w:r>
      <w:r>
        <w:rPr>
          <w:rFonts w:ascii="仿宋" w:hAnsi="仿宋" w:eastAsia="仿宋" w:cs="仿宋"/>
          <w:spacing w:val="-1"/>
          <w:sz w:val="24"/>
          <w:szCs w:val="24"/>
        </w:rPr>
        <w:t>中国国家标准，核心目标是通过严谨的循证研究与国际对标，形成具有科学性、安全性、可操作性的国际标准草案，推动中医儿科内治给药技术、小儿外治法、小儿针灸疗法、小</w:t>
      </w:r>
    </w:p>
    <w:p w14:paraId="28D060BA">
      <w:pPr>
        <w:spacing w:line="276" w:lineRule="auto"/>
        <w:rPr>
          <w:rFonts w:ascii="仿宋" w:hAnsi="仿宋" w:eastAsia="仿宋" w:cs="仿宋"/>
          <w:sz w:val="24"/>
          <w:szCs w:val="24"/>
        </w:rPr>
        <w:sectPr>
          <w:footerReference r:id="rId10" w:type="default"/>
          <w:pgSz w:w="11906" w:h="16839"/>
          <w:pgMar w:top="1431" w:right="1051" w:bottom="1362" w:left="1434" w:header="0" w:footer="1200" w:gutter="0"/>
          <w:cols w:space="720" w:num="1"/>
        </w:sectPr>
      </w:pPr>
    </w:p>
    <w:p w14:paraId="662676AA">
      <w:pPr>
        <w:spacing w:before="102" w:line="276" w:lineRule="auto"/>
        <w:ind w:left="24" w:right="99" w:hanging="8"/>
        <w:rPr>
          <w:rFonts w:ascii="仿宋" w:hAnsi="仿宋" w:eastAsia="仿宋" w:cs="仿宋"/>
          <w:sz w:val="24"/>
          <w:szCs w:val="24"/>
        </w:rPr>
      </w:pPr>
      <w:r>
        <w:rPr>
          <w:rFonts w:ascii="仿宋" w:hAnsi="仿宋" w:eastAsia="仿宋" w:cs="仿宋"/>
          <w:spacing w:val="-1"/>
          <w:sz w:val="24"/>
          <w:szCs w:val="24"/>
        </w:rPr>
        <w:t>儿推拿疗法、小儿拔罐疗法在全球范围内的规范化应用。然后，各项目秘书汇报了各个指</w:t>
      </w:r>
      <w:r>
        <w:rPr>
          <w:rFonts w:ascii="仿宋" w:hAnsi="仿宋" w:eastAsia="仿宋" w:cs="仿宋"/>
          <w:spacing w:val="-4"/>
          <w:sz w:val="24"/>
          <w:szCs w:val="24"/>
        </w:rPr>
        <w:t>南的工作情况。</w:t>
      </w:r>
    </w:p>
    <w:p w14:paraId="6629E714">
      <w:pPr>
        <w:spacing w:line="276" w:lineRule="auto"/>
        <w:ind w:left="27" w:right="99" w:firstLine="467"/>
        <w:rPr>
          <w:rFonts w:ascii="仿宋" w:hAnsi="仿宋" w:eastAsia="仿宋" w:cs="仿宋"/>
          <w:sz w:val="24"/>
          <w:szCs w:val="24"/>
        </w:rPr>
      </w:pPr>
      <w:r>
        <w:rPr>
          <w:rFonts w:ascii="仿宋" w:hAnsi="仿宋" w:eastAsia="仿宋" w:cs="仿宋"/>
          <w:spacing w:val="-1"/>
          <w:sz w:val="24"/>
          <w:szCs w:val="24"/>
        </w:rPr>
        <w:t>本项目组秘书杨萌向各位专家汇报了前期工作进展情况，并就专家问卷调查结果，重</w:t>
      </w:r>
      <w:r>
        <w:rPr>
          <w:rFonts w:ascii="仿宋" w:hAnsi="仿宋" w:eastAsia="仿宋" w:cs="仿宋"/>
          <w:sz w:val="24"/>
          <w:szCs w:val="24"/>
        </w:rPr>
        <w:t>点将2</w:t>
      </w:r>
      <w:r>
        <w:rPr>
          <w:rFonts w:ascii="仿宋" w:hAnsi="仿宋" w:eastAsia="仿宋" w:cs="仿宋"/>
          <w:spacing w:val="-31"/>
          <w:sz w:val="24"/>
          <w:szCs w:val="24"/>
        </w:rPr>
        <w:t xml:space="preserve"> </w:t>
      </w:r>
      <w:r>
        <w:rPr>
          <w:rFonts w:ascii="仿宋" w:hAnsi="仿宋" w:eastAsia="仿宋" w:cs="仿宋"/>
          <w:sz w:val="24"/>
          <w:szCs w:val="24"/>
        </w:rPr>
        <w:t>项核心争议条目及开放性意见进行了介绍说明。</w:t>
      </w:r>
    </w:p>
    <w:p w14:paraId="4055B58D">
      <w:pPr>
        <w:spacing w:line="276" w:lineRule="auto"/>
        <w:ind w:left="500"/>
        <w:rPr>
          <w:rFonts w:ascii="仿宋" w:hAnsi="仿宋" w:eastAsia="仿宋" w:cs="仿宋"/>
          <w:sz w:val="24"/>
          <w:szCs w:val="24"/>
        </w:rPr>
      </w:pPr>
      <w:r>
        <w:rPr>
          <w:rFonts w:ascii="仿宋" w:hAnsi="仿宋" w:eastAsia="仿宋" w:cs="仿宋"/>
          <w:b/>
          <w:bCs/>
          <w:spacing w:val="-5"/>
          <w:sz w:val="24"/>
          <w:szCs w:val="24"/>
        </w:rPr>
        <w:t>三、争议条目决议</w:t>
      </w:r>
    </w:p>
    <w:p w14:paraId="211506FB">
      <w:pPr>
        <w:spacing w:before="107" w:line="276" w:lineRule="auto"/>
        <w:ind w:left="15" w:right="99" w:firstLine="480"/>
        <w:jc w:val="both"/>
        <w:rPr>
          <w:rFonts w:ascii="仿宋" w:hAnsi="仿宋" w:eastAsia="仿宋" w:cs="仿宋"/>
          <w:sz w:val="24"/>
          <w:szCs w:val="24"/>
        </w:rPr>
      </w:pPr>
      <w:r>
        <w:rPr>
          <w:rFonts w:ascii="仿宋" w:hAnsi="仿宋" w:eastAsia="仿宋" w:cs="仿宋"/>
          <w:spacing w:val="-1"/>
          <w:sz w:val="24"/>
          <w:szCs w:val="24"/>
        </w:rPr>
        <w:t>专家们会前已收到征求意见函、前期专家问卷调查总结报告及原国家标准电子版，对争议条目及开放性意见进行了认真审阅。会议中专家们积极发言，总体上对项目工作组提出的整合意见给予了肯定，认为技术方案已比较成熟，可以作为国际标准转化的基础。对于具体条款，专家们进行了认真讨论，提出如下论证意见：</w:t>
      </w:r>
    </w:p>
    <w:p w14:paraId="56FEB4F9">
      <w:pPr>
        <w:spacing w:line="276" w:lineRule="auto"/>
        <w:ind w:left="498"/>
        <w:rPr>
          <w:rFonts w:ascii="仿宋" w:hAnsi="仿宋" w:eastAsia="仿宋" w:cs="仿宋"/>
          <w:sz w:val="24"/>
          <w:szCs w:val="24"/>
        </w:rPr>
      </w:pPr>
      <w:r>
        <w:rPr>
          <w:rFonts w:ascii="仿宋" w:hAnsi="仿宋" w:eastAsia="仿宋" w:cs="仿宋"/>
          <w:b/>
          <w:bCs/>
          <w:spacing w:val="-6"/>
          <w:sz w:val="24"/>
          <w:szCs w:val="24"/>
        </w:rPr>
        <w:t>（一）条目</w:t>
      </w:r>
      <w:r>
        <w:rPr>
          <w:rFonts w:ascii="仿宋" w:hAnsi="仿宋" w:eastAsia="仿宋" w:cs="仿宋"/>
          <w:spacing w:val="-37"/>
          <w:sz w:val="24"/>
          <w:szCs w:val="24"/>
        </w:rPr>
        <w:t xml:space="preserve"> </w:t>
      </w:r>
      <w:r>
        <w:rPr>
          <w:rFonts w:ascii="仿宋" w:hAnsi="仿宋" w:eastAsia="仿宋" w:cs="仿宋"/>
          <w:b/>
          <w:bCs/>
          <w:spacing w:val="-6"/>
          <w:sz w:val="24"/>
          <w:szCs w:val="24"/>
        </w:rPr>
        <w:t>1：罐具消毒</w:t>
      </w:r>
    </w:p>
    <w:p w14:paraId="4685AFCC">
      <w:pPr>
        <w:spacing w:before="113" w:line="276" w:lineRule="auto"/>
        <w:ind w:left="504"/>
        <w:rPr>
          <w:rFonts w:ascii="仿宋" w:hAnsi="仿宋" w:eastAsia="仿宋" w:cs="仿宋"/>
          <w:sz w:val="24"/>
          <w:szCs w:val="24"/>
        </w:rPr>
      </w:pPr>
      <w:r>
        <w:rPr>
          <w:rFonts w:ascii="仿宋" w:hAnsi="仿宋" w:eastAsia="仿宋" w:cs="仿宋"/>
          <w:b/>
          <w:bCs/>
          <w:spacing w:val="-5"/>
          <w:sz w:val="24"/>
          <w:szCs w:val="24"/>
        </w:rPr>
        <w:t>1.征求意见函原文</w:t>
      </w:r>
    </w:p>
    <w:p w14:paraId="087B0930">
      <w:pPr>
        <w:spacing w:before="108" w:line="276" w:lineRule="auto"/>
        <w:ind w:left="11" w:right="16" w:firstLine="510"/>
        <w:rPr>
          <w:rFonts w:ascii="仿宋" w:hAnsi="仿宋" w:eastAsia="仿宋" w:cs="仿宋"/>
          <w:sz w:val="24"/>
          <w:szCs w:val="24"/>
        </w:rPr>
      </w:pPr>
      <w:r>
        <w:rPr>
          <w:rFonts w:ascii="仿宋" w:hAnsi="仿宋" w:eastAsia="仿宋" w:cs="仿宋"/>
          <w:sz w:val="24"/>
          <w:szCs w:val="24"/>
        </w:rPr>
        <w:t>国家标准原文：对不同材质、用途的罐具可用不同的消毒方法。玻璃罐用2000mg/L</w:t>
      </w:r>
      <w:r>
        <w:rPr>
          <w:rFonts w:ascii="仿宋" w:hAnsi="仿宋" w:eastAsia="仿宋" w:cs="仿宋"/>
          <w:spacing w:val="5"/>
          <w:sz w:val="24"/>
          <w:szCs w:val="24"/>
        </w:rPr>
        <w:t xml:space="preserve"> </w:t>
      </w:r>
      <w:r>
        <w:rPr>
          <w:rFonts w:ascii="仿宋" w:hAnsi="仿宋" w:eastAsia="仿宋" w:cs="仿宋"/>
          <w:spacing w:val="-2"/>
          <w:sz w:val="24"/>
          <w:szCs w:val="24"/>
        </w:rPr>
        <w:t>的</w:t>
      </w:r>
      <w:r>
        <w:rPr>
          <w:rFonts w:ascii="仿宋" w:hAnsi="仿宋" w:eastAsia="仿宋" w:cs="仿宋"/>
          <w:spacing w:val="-51"/>
          <w:sz w:val="24"/>
          <w:szCs w:val="24"/>
        </w:rPr>
        <w:t xml:space="preserve"> </w:t>
      </w:r>
      <w:r>
        <w:rPr>
          <w:rFonts w:ascii="仿宋" w:hAnsi="仿宋" w:eastAsia="仿宋" w:cs="仿宋"/>
          <w:spacing w:val="-2"/>
          <w:sz w:val="24"/>
          <w:szCs w:val="24"/>
        </w:rPr>
        <w:t>84</w:t>
      </w:r>
      <w:r>
        <w:rPr>
          <w:rFonts w:ascii="仿宋" w:hAnsi="仿宋" w:eastAsia="仿宋" w:cs="仿宋"/>
          <w:spacing w:val="-39"/>
          <w:sz w:val="24"/>
          <w:szCs w:val="24"/>
        </w:rPr>
        <w:t xml:space="preserve"> </w:t>
      </w:r>
      <w:r>
        <w:rPr>
          <w:rFonts w:ascii="仿宋" w:hAnsi="仿宋" w:eastAsia="仿宋" w:cs="仿宋"/>
          <w:spacing w:val="-2"/>
          <w:sz w:val="24"/>
          <w:szCs w:val="24"/>
        </w:rPr>
        <w:t>消毒药液浸泡（消毒液每周更换2</w:t>
      </w:r>
      <w:r>
        <w:rPr>
          <w:rFonts w:ascii="仿宋" w:hAnsi="仿宋" w:eastAsia="仿宋" w:cs="仿宋"/>
          <w:spacing w:val="-44"/>
          <w:sz w:val="24"/>
          <w:szCs w:val="24"/>
        </w:rPr>
        <w:t xml:space="preserve"> </w:t>
      </w:r>
      <w:r>
        <w:rPr>
          <w:rFonts w:ascii="仿宋" w:hAnsi="仿宋" w:eastAsia="仿宋" w:cs="仿宋"/>
          <w:spacing w:val="-2"/>
          <w:sz w:val="24"/>
          <w:szCs w:val="24"/>
        </w:rPr>
        <w:t>次）或</w:t>
      </w:r>
      <w:r>
        <w:rPr>
          <w:rFonts w:ascii="仿宋" w:hAnsi="仿宋" w:eastAsia="仿宋" w:cs="仿宋"/>
          <w:spacing w:val="-46"/>
          <w:sz w:val="24"/>
          <w:szCs w:val="24"/>
        </w:rPr>
        <w:t xml:space="preserve"> </w:t>
      </w:r>
      <w:r>
        <w:rPr>
          <w:rFonts w:ascii="仿宋" w:hAnsi="仿宋" w:eastAsia="仿宋" w:cs="仿宋"/>
          <w:spacing w:val="-2"/>
          <w:sz w:val="24"/>
          <w:szCs w:val="24"/>
        </w:rPr>
        <w:t>75%乙醇棉球反复擦拭；对用于刺络拔罐或污染有血液、脓液、毒液的玻璃罐应一罐一用，并用</w:t>
      </w:r>
      <w:r>
        <w:rPr>
          <w:rFonts w:ascii="仿宋" w:hAnsi="仿宋" w:eastAsia="仿宋" w:cs="仿宋"/>
          <w:spacing w:val="-49"/>
          <w:sz w:val="24"/>
          <w:szCs w:val="24"/>
        </w:rPr>
        <w:t xml:space="preserve"> </w:t>
      </w:r>
      <w:r>
        <w:rPr>
          <w:rFonts w:ascii="仿宋" w:hAnsi="仿宋" w:eastAsia="仿宋" w:cs="仿宋"/>
          <w:spacing w:val="-2"/>
          <w:sz w:val="24"/>
          <w:szCs w:val="24"/>
        </w:rPr>
        <w:t>2000mg/L</w:t>
      </w:r>
      <w:r>
        <w:rPr>
          <w:rFonts w:ascii="仿宋" w:hAnsi="仿宋" w:eastAsia="仿宋" w:cs="仿宋"/>
          <w:spacing w:val="-30"/>
          <w:sz w:val="24"/>
          <w:szCs w:val="24"/>
        </w:rPr>
        <w:t xml:space="preserve"> </w:t>
      </w:r>
      <w:r>
        <w:rPr>
          <w:rFonts w:ascii="仿宋" w:hAnsi="仿宋" w:eastAsia="仿宋" w:cs="仿宋"/>
          <w:spacing w:val="-2"/>
          <w:sz w:val="24"/>
          <w:szCs w:val="24"/>
        </w:rPr>
        <w:t>的</w:t>
      </w:r>
      <w:r>
        <w:rPr>
          <w:rFonts w:ascii="仿宋" w:hAnsi="仿宋" w:eastAsia="仿宋" w:cs="仿宋"/>
          <w:spacing w:val="-51"/>
          <w:sz w:val="24"/>
          <w:szCs w:val="24"/>
        </w:rPr>
        <w:t xml:space="preserve"> </w:t>
      </w:r>
      <w:r>
        <w:rPr>
          <w:rFonts w:ascii="仿宋" w:hAnsi="仿宋" w:eastAsia="仿宋" w:cs="仿宋"/>
          <w:spacing w:val="-2"/>
          <w:sz w:val="24"/>
          <w:szCs w:val="24"/>
        </w:rPr>
        <w:t>84</w:t>
      </w:r>
      <w:r>
        <w:rPr>
          <w:rFonts w:ascii="仿宋" w:hAnsi="仿宋" w:eastAsia="仿宋" w:cs="仿宋"/>
          <w:spacing w:val="-38"/>
          <w:sz w:val="24"/>
          <w:szCs w:val="24"/>
        </w:rPr>
        <w:t xml:space="preserve"> </w:t>
      </w:r>
      <w:r>
        <w:rPr>
          <w:rFonts w:ascii="仿宋" w:hAnsi="仿宋" w:eastAsia="仿宋" w:cs="仿宋"/>
          <w:spacing w:val="-3"/>
          <w:sz w:val="24"/>
          <w:szCs w:val="24"/>
        </w:rPr>
        <w:t>消毒药液浸泡</w:t>
      </w:r>
      <w:r>
        <w:rPr>
          <w:rFonts w:ascii="仿宋" w:hAnsi="仿宋" w:eastAsia="仿宋" w:cs="仿宋"/>
          <w:spacing w:val="-49"/>
          <w:sz w:val="24"/>
          <w:szCs w:val="24"/>
        </w:rPr>
        <w:t xml:space="preserve"> </w:t>
      </w:r>
      <w:r>
        <w:rPr>
          <w:rFonts w:ascii="仿宋" w:hAnsi="仿宋" w:eastAsia="仿宋" w:cs="仿宋"/>
          <w:spacing w:val="-3"/>
          <w:sz w:val="24"/>
          <w:szCs w:val="24"/>
        </w:rPr>
        <w:t>2h(疑</w:t>
      </w:r>
      <w:r>
        <w:rPr>
          <w:rFonts w:ascii="仿宋" w:hAnsi="仿宋" w:eastAsia="仿宋" w:cs="仿宋"/>
          <w:spacing w:val="-2"/>
          <w:sz w:val="24"/>
          <w:szCs w:val="24"/>
        </w:rPr>
        <w:t>有乙肝病毒者浸泡</w:t>
      </w:r>
      <w:r>
        <w:rPr>
          <w:rFonts w:ascii="仿宋" w:hAnsi="仿宋" w:eastAsia="仿宋" w:cs="仿宋"/>
          <w:spacing w:val="-34"/>
          <w:sz w:val="24"/>
          <w:szCs w:val="24"/>
        </w:rPr>
        <w:t xml:space="preserve"> </w:t>
      </w:r>
      <w:r>
        <w:rPr>
          <w:rFonts w:ascii="仿宋" w:hAnsi="仿宋" w:eastAsia="仿宋" w:cs="仿宋"/>
          <w:spacing w:val="-2"/>
          <w:sz w:val="24"/>
          <w:szCs w:val="24"/>
        </w:rPr>
        <w:t>10h）。塑料罐具可用</w:t>
      </w:r>
      <w:r>
        <w:rPr>
          <w:rFonts w:ascii="仿宋" w:hAnsi="仿宋" w:eastAsia="仿宋" w:cs="仿宋"/>
          <w:spacing w:val="-46"/>
          <w:sz w:val="24"/>
          <w:szCs w:val="24"/>
        </w:rPr>
        <w:t xml:space="preserve"> </w:t>
      </w:r>
      <w:r>
        <w:rPr>
          <w:rFonts w:ascii="仿宋" w:hAnsi="仿宋" w:eastAsia="仿宋" w:cs="仿宋"/>
          <w:spacing w:val="-2"/>
          <w:sz w:val="24"/>
          <w:szCs w:val="24"/>
        </w:rPr>
        <w:t>75%乙醇棉球反</w:t>
      </w:r>
      <w:r>
        <w:rPr>
          <w:rFonts w:ascii="仿宋" w:hAnsi="仿宋" w:eastAsia="仿宋" w:cs="仿宋"/>
          <w:spacing w:val="-3"/>
          <w:sz w:val="24"/>
          <w:szCs w:val="24"/>
        </w:rPr>
        <w:t>复擦拭；竹制罐具可用煮沸消毒。</w:t>
      </w:r>
    </w:p>
    <w:p w14:paraId="1D6646EB">
      <w:pPr>
        <w:spacing w:before="1" w:line="276" w:lineRule="auto"/>
        <w:ind w:left="517"/>
        <w:rPr>
          <w:rFonts w:ascii="仿宋" w:hAnsi="仿宋" w:eastAsia="仿宋" w:cs="仿宋"/>
          <w:sz w:val="24"/>
          <w:szCs w:val="24"/>
        </w:rPr>
      </w:pPr>
      <w:r>
        <w:rPr>
          <w:rFonts w:ascii="仿宋" w:hAnsi="仿宋" w:eastAsia="仿宋" w:cs="仿宋"/>
          <w:spacing w:val="-4"/>
          <w:sz w:val="24"/>
          <w:szCs w:val="24"/>
        </w:rPr>
        <w:t>问卷中不同标准选项：</w:t>
      </w:r>
    </w:p>
    <w:p w14:paraId="08CE0A18">
      <w:pPr>
        <w:spacing w:before="112" w:line="276" w:lineRule="auto"/>
        <w:ind w:left="496"/>
        <w:rPr>
          <w:rFonts w:ascii="仿宋" w:hAnsi="仿宋" w:eastAsia="仿宋" w:cs="仿宋"/>
          <w:sz w:val="24"/>
          <w:szCs w:val="24"/>
        </w:rPr>
      </w:pPr>
      <w:r>
        <w:rPr>
          <w:rFonts w:ascii="仿宋" w:hAnsi="仿宋" w:eastAsia="仿宋" w:cs="仿宋"/>
          <w:sz w:val="24"/>
          <w:szCs w:val="24"/>
        </w:rPr>
        <w:t>冲洗：将器械、器具和物品置于流动水下冲洗，初步去除</w:t>
      </w:r>
      <w:r>
        <w:rPr>
          <w:rFonts w:ascii="仿宋" w:hAnsi="仿宋" w:eastAsia="仿宋" w:cs="仿宋"/>
          <w:spacing w:val="-1"/>
          <w:sz w:val="24"/>
          <w:szCs w:val="24"/>
        </w:rPr>
        <w:t>污染物。洗涤：冲洗后，应</w:t>
      </w:r>
    </w:p>
    <w:p w14:paraId="4685EE55">
      <w:pPr>
        <w:spacing w:before="108" w:line="276" w:lineRule="auto"/>
        <w:ind w:firstLine="14"/>
        <w:rPr>
          <w:rFonts w:ascii="仿宋" w:hAnsi="仿宋" w:eastAsia="仿宋" w:cs="仿宋"/>
          <w:sz w:val="24"/>
          <w:szCs w:val="24"/>
        </w:rPr>
      </w:pPr>
      <w:r>
        <w:rPr>
          <w:rFonts w:ascii="仿宋" w:hAnsi="仿宋" w:eastAsia="仿宋" w:cs="仿宋"/>
          <w:sz w:val="24"/>
          <w:szCs w:val="24"/>
        </w:rPr>
        <w:t>使用医用清洗剂浸泡后刷洗、擦洗。漂洗：洗涤</w:t>
      </w:r>
      <w:r>
        <w:rPr>
          <w:rFonts w:ascii="仿宋" w:hAnsi="仿宋" w:eastAsia="仿宋" w:cs="仿宋"/>
          <w:spacing w:val="-1"/>
          <w:sz w:val="24"/>
          <w:szCs w:val="24"/>
        </w:rPr>
        <w:t>后，再用流动水冲洗或刷洗。终末漂洗：应采用电导率≤15μS/cm（25</w:t>
      </w:r>
      <w:r>
        <w:rPr>
          <w:rFonts w:ascii="仿宋" w:hAnsi="仿宋" w:eastAsia="仿宋" w:cs="仿宋"/>
          <w:spacing w:val="-88"/>
          <w:sz w:val="24"/>
          <w:szCs w:val="24"/>
        </w:rPr>
        <w:t xml:space="preserve"> </w:t>
      </w:r>
      <w:r>
        <w:rPr>
          <w:rFonts w:ascii="仿宋" w:hAnsi="仿宋" w:eastAsia="仿宋" w:cs="仿宋"/>
          <w:spacing w:val="-1"/>
          <w:sz w:val="24"/>
          <w:szCs w:val="24"/>
        </w:rPr>
        <w:t>°C）的水进行漂洗</w:t>
      </w:r>
      <w:r>
        <w:rPr>
          <w:rFonts w:ascii="仿宋" w:hAnsi="仿宋" w:eastAsia="仿宋" w:cs="仿宋"/>
          <w:spacing w:val="-2"/>
          <w:sz w:val="24"/>
          <w:szCs w:val="24"/>
        </w:rPr>
        <w:t>。注意事项：手工清洗时水温宜为</w:t>
      </w:r>
      <w:r>
        <w:rPr>
          <w:rFonts w:ascii="仿宋" w:hAnsi="仿宋" w:eastAsia="仿宋" w:cs="仿宋"/>
          <w:spacing w:val="-34"/>
          <w:sz w:val="24"/>
          <w:szCs w:val="24"/>
        </w:rPr>
        <w:t xml:space="preserve"> </w:t>
      </w:r>
      <w:r>
        <w:rPr>
          <w:rFonts w:ascii="仿宋" w:hAnsi="仿宋" w:eastAsia="仿宋" w:cs="仿宋"/>
          <w:spacing w:val="-2"/>
          <w:sz w:val="24"/>
          <w:szCs w:val="24"/>
        </w:rPr>
        <w:t>15℃</w:t>
      </w:r>
      <w:r>
        <w:rPr>
          <w:rFonts w:ascii="仿宋" w:hAnsi="仿宋" w:eastAsia="仿宋" w:cs="仿宋"/>
          <w:sz w:val="24"/>
          <w:szCs w:val="24"/>
        </w:rPr>
        <w:t xml:space="preserve"> </w:t>
      </w:r>
      <w:r>
        <w:rPr>
          <w:rFonts w:ascii="Times New Roman" w:hAnsi="Times New Roman" w:eastAsia="Times New Roman" w:cs="Times New Roman"/>
          <w:spacing w:val="-1"/>
          <w:sz w:val="24"/>
          <w:szCs w:val="24"/>
        </w:rPr>
        <w:t>~</w:t>
      </w:r>
      <w:r>
        <w:rPr>
          <w:rFonts w:ascii="仿宋" w:hAnsi="仿宋" w:eastAsia="仿宋" w:cs="仿宋"/>
          <w:spacing w:val="-1"/>
          <w:sz w:val="24"/>
          <w:szCs w:val="24"/>
        </w:rPr>
        <w:t>30℃</w:t>
      </w:r>
      <w:r>
        <w:rPr>
          <w:rFonts w:ascii="仿宋" w:hAnsi="仿宋" w:eastAsia="仿宋" w:cs="仿宋"/>
          <w:spacing w:val="-84"/>
          <w:sz w:val="24"/>
          <w:szCs w:val="24"/>
        </w:rPr>
        <w:t xml:space="preserve"> </w:t>
      </w:r>
      <w:r>
        <w:rPr>
          <w:rFonts w:ascii="仿宋" w:hAnsi="仿宋" w:eastAsia="仿宋" w:cs="仿宋"/>
          <w:spacing w:val="-1"/>
          <w:sz w:val="24"/>
          <w:szCs w:val="24"/>
        </w:rPr>
        <w:t>。去除干涸的污渍应先用医用清洗剂浸泡，再刷洗或擦洗。有锈迹，应除锈。刷洗</w:t>
      </w:r>
      <w:r>
        <w:rPr>
          <w:rFonts w:ascii="仿宋" w:hAnsi="仿宋" w:eastAsia="仿宋" w:cs="仿宋"/>
          <w:sz w:val="24"/>
          <w:szCs w:val="24"/>
        </w:rPr>
        <w:t>操作应在水面下进行，防止产生气溶胶。器械可拆卸的部分应拆</w:t>
      </w:r>
      <w:r>
        <w:rPr>
          <w:rFonts w:ascii="仿宋" w:hAnsi="仿宋" w:eastAsia="仿宋" w:cs="仿宋"/>
          <w:spacing w:val="-1"/>
          <w:sz w:val="24"/>
          <w:szCs w:val="24"/>
        </w:rPr>
        <w:t>开后清洗。管腔器械宜先</w:t>
      </w:r>
      <w:r>
        <w:rPr>
          <w:rFonts w:ascii="仿宋" w:hAnsi="仿宋" w:eastAsia="仿宋" w:cs="仿宋"/>
          <w:sz w:val="24"/>
          <w:szCs w:val="24"/>
        </w:rPr>
        <w:t>选用合适的清洗刷清洗内腔，再用压力水枪冲洗。不应使用研磨</w:t>
      </w:r>
      <w:r>
        <w:rPr>
          <w:rFonts w:ascii="仿宋" w:hAnsi="仿宋" w:eastAsia="仿宋" w:cs="仿宋"/>
          <w:spacing w:val="-1"/>
          <w:sz w:val="24"/>
          <w:szCs w:val="24"/>
        </w:rPr>
        <w:t>型清洗材料和用具用于器</w:t>
      </w:r>
      <w:r>
        <w:rPr>
          <w:rFonts w:ascii="仿宋" w:hAnsi="仿宋" w:eastAsia="仿宋" w:cs="仿宋"/>
          <w:sz w:val="24"/>
          <w:szCs w:val="24"/>
        </w:rPr>
        <w:t>械处理，应选用与器械材质相匹配的刷洗用具和用品。（出处：</w:t>
      </w:r>
      <w:r>
        <w:rPr>
          <w:rFonts w:ascii="仿宋" w:hAnsi="仿宋" w:eastAsia="仿宋" w:cs="仿宋"/>
          <w:spacing w:val="-1"/>
          <w:sz w:val="24"/>
          <w:szCs w:val="24"/>
        </w:rPr>
        <w:t>中华人民共和国卫生行业标准  WS310.2--2016 《医院消毒供应中心 第</w:t>
      </w:r>
      <w:r>
        <w:rPr>
          <w:rFonts w:ascii="仿宋" w:hAnsi="仿宋" w:eastAsia="仿宋" w:cs="仿宋"/>
          <w:spacing w:val="-49"/>
          <w:sz w:val="24"/>
          <w:szCs w:val="24"/>
        </w:rPr>
        <w:t xml:space="preserve"> </w:t>
      </w:r>
      <w:r>
        <w:rPr>
          <w:rFonts w:ascii="仿宋" w:hAnsi="仿宋" w:eastAsia="仿宋" w:cs="仿宋"/>
          <w:spacing w:val="-1"/>
          <w:sz w:val="24"/>
          <w:szCs w:val="24"/>
        </w:rPr>
        <w:t>2</w:t>
      </w:r>
      <w:r>
        <w:rPr>
          <w:rFonts w:ascii="仿宋" w:hAnsi="仿宋" w:eastAsia="仿宋" w:cs="仿宋"/>
          <w:spacing w:val="-43"/>
          <w:sz w:val="24"/>
          <w:szCs w:val="24"/>
        </w:rPr>
        <w:t xml:space="preserve"> </w:t>
      </w:r>
      <w:r>
        <w:rPr>
          <w:rFonts w:ascii="仿宋" w:hAnsi="仿宋" w:eastAsia="仿宋" w:cs="仿宋"/>
          <w:spacing w:val="-1"/>
          <w:sz w:val="24"/>
          <w:szCs w:val="24"/>
        </w:rPr>
        <w:t>部分：清洗消</w:t>
      </w:r>
      <w:r>
        <w:rPr>
          <w:rFonts w:ascii="仿宋" w:hAnsi="仿宋" w:eastAsia="仿宋" w:cs="仿宋"/>
          <w:spacing w:val="-2"/>
          <w:sz w:val="24"/>
          <w:szCs w:val="24"/>
        </w:rPr>
        <w:t>毒及灭菌技术操作规范》）</w:t>
      </w:r>
    </w:p>
    <w:p w14:paraId="675EDDDC">
      <w:pPr>
        <w:spacing w:before="1" w:line="276" w:lineRule="auto"/>
        <w:ind w:left="501"/>
        <w:rPr>
          <w:rFonts w:ascii="仿宋" w:hAnsi="仿宋" w:eastAsia="仿宋" w:cs="仿宋"/>
          <w:sz w:val="24"/>
          <w:szCs w:val="24"/>
        </w:rPr>
      </w:pPr>
      <w:r>
        <w:rPr>
          <w:rFonts w:ascii="仿宋" w:hAnsi="仿宋" w:eastAsia="仿宋" w:cs="仿宋"/>
          <w:spacing w:val="-3"/>
          <w:sz w:val="24"/>
          <w:szCs w:val="24"/>
        </w:rPr>
        <w:t>重新查阅资料后拟选用：</w:t>
      </w:r>
    </w:p>
    <w:p w14:paraId="57AD41A3">
      <w:pPr>
        <w:spacing w:before="110" w:line="276" w:lineRule="auto"/>
        <w:ind w:right="99" w:firstLine="495"/>
        <w:jc w:val="both"/>
        <w:rPr>
          <w:rFonts w:ascii="仿宋" w:hAnsi="仿宋" w:eastAsia="仿宋" w:cs="仿宋"/>
          <w:sz w:val="24"/>
          <w:szCs w:val="24"/>
        </w:rPr>
      </w:pPr>
      <w:r>
        <w:rPr>
          <w:rFonts w:ascii="仿宋" w:hAnsi="仿宋" w:eastAsia="仿宋" w:cs="仿宋"/>
          <w:spacing w:val="-10"/>
          <w:sz w:val="24"/>
          <w:szCs w:val="24"/>
        </w:rPr>
        <w:t>采用有效氯（有效溴）含量</w:t>
      </w:r>
      <w:r>
        <w:rPr>
          <w:rFonts w:ascii="仿宋" w:hAnsi="仿宋" w:eastAsia="仿宋" w:cs="仿宋"/>
          <w:spacing w:val="-47"/>
          <w:sz w:val="24"/>
          <w:szCs w:val="24"/>
        </w:rPr>
        <w:t xml:space="preserve"> </w:t>
      </w:r>
      <w:r>
        <w:rPr>
          <w:rFonts w:ascii="仿宋" w:hAnsi="仿宋" w:eastAsia="仿宋" w:cs="仿宋"/>
          <w:spacing w:val="-10"/>
          <w:sz w:val="24"/>
          <w:szCs w:val="24"/>
        </w:rPr>
        <w:t>500mg/L</w:t>
      </w:r>
      <w:r>
        <w:rPr>
          <w:rFonts w:ascii="Times New Roman" w:hAnsi="Times New Roman" w:eastAsia="Times New Roman" w:cs="Times New Roman"/>
          <w:spacing w:val="-10"/>
          <w:sz w:val="24"/>
          <w:szCs w:val="24"/>
        </w:rPr>
        <w:t>~</w:t>
      </w:r>
      <w:r>
        <w:rPr>
          <w:rFonts w:ascii="Times New Roman" w:hAnsi="Times New Roman" w:eastAsia="Times New Roman" w:cs="Times New Roman"/>
          <w:spacing w:val="-34"/>
          <w:sz w:val="24"/>
          <w:szCs w:val="24"/>
        </w:rPr>
        <w:t xml:space="preserve"> </w:t>
      </w:r>
      <w:r>
        <w:rPr>
          <w:rFonts w:ascii="仿宋" w:hAnsi="仿宋" w:eastAsia="仿宋" w:cs="仿宋"/>
          <w:spacing w:val="-10"/>
          <w:sz w:val="24"/>
          <w:szCs w:val="24"/>
        </w:rPr>
        <w:t>1000mg/L</w:t>
      </w:r>
      <w:r>
        <w:rPr>
          <w:rFonts w:ascii="仿宋" w:hAnsi="仿宋" w:eastAsia="仿宋" w:cs="仿宋"/>
          <w:spacing w:val="-30"/>
          <w:sz w:val="24"/>
          <w:szCs w:val="24"/>
        </w:rPr>
        <w:t xml:space="preserve"> </w:t>
      </w:r>
      <w:r>
        <w:rPr>
          <w:rFonts w:ascii="仿宋" w:hAnsi="仿宋" w:eastAsia="仿宋" w:cs="仿宋"/>
          <w:spacing w:val="-10"/>
          <w:sz w:val="24"/>
          <w:szCs w:val="24"/>
        </w:rPr>
        <w:t>的含氯（溴）消毒剂，或 2000</w:t>
      </w:r>
      <w:r>
        <w:rPr>
          <w:rFonts w:ascii="仿宋" w:hAnsi="仿宋" w:eastAsia="仿宋" w:cs="仿宋"/>
          <w:spacing w:val="-58"/>
          <w:sz w:val="24"/>
          <w:szCs w:val="24"/>
        </w:rPr>
        <w:t xml:space="preserve"> </w:t>
      </w:r>
      <w:r>
        <w:rPr>
          <w:rFonts w:ascii="仿宋" w:hAnsi="仿宋" w:eastAsia="仿宋" w:cs="仿宋"/>
          <w:spacing w:val="-10"/>
          <w:sz w:val="24"/>
          <w:szCs w:val="24"/>
        </w:rPr>
        <w:t>mg</w:t>
      </w:r>
      <w:r>
        <w:rPr>
          <w:rFonts w:ascii="仿宋" w:hAnsi="仿宋" w:eastAsia="仿宋" w:cs="仿宋"/>
          <w:spacing w:val="-11"/>
          <w:sz w:val="24"/>
          <w:szCs w:val="24"/>
        </w:rPr>
        <w:t>/L</w:t>
      </w:r>
      <w:r>
        <w:rPr>
          <w:rFonts w:ascii="Times New Roman" w:hAnsi="Times New Roman" w:eastAsia="Times New Roman" w:cs="Times New Roman"/>
          <w:spacing w:val="-11"/>
          <w:sz w:val="24"/>
          <w:szCs w:val="24"/>
        </w:rPr>
        <w:t>~</w:t>
      </w:r>
      <w:r>
        <w:rPr>
          <w:rFonts w:ascii="仿宋" w:hAnsi="仿宋" w:eastAsia="仿宋" w:cs="仿宋"/>
          <w:spacing w:val="-11"/>
          <w:sz w:val="24"/>
          <w:szCs w:val="24"/>
        </w:rPr>
        <w:t>5000</w:t>
      </w:r>
      <w:r>
        <w:rPr>
          <w:rFonts w:ascii="仿宋" w:hAnsi="仿宋" w:eastAsia="仿宋" w:cs="仿宋"/>
          <w:sz w:val="24"/>
          <w:szCs w:val="24"/>
        </w:rPr>
        <w:t xml:space="preserve"> </w:t>
      </w:r>
      <w:r>
        <w:rPr>
          <w:rFonts w:ascii="仿宋" w:hAnsi="仿宋" w:eastAsia="仿宋" w:cs="仿宋"/>
          <w:spacing w:val="-5"/>
          <w:sz w:val="24"/>
          <w:szCs w:val="24"/>
        </w:rPr>
        <w:t>mg/L 过 氧</w:t>
      </w:r>
      <w:r>
        <w:rPr>
          <w:rFonts w:ascii="仿宋" w:hAnsi="仿宋" w:eastAsia="仿宋" w:cs="仿宋"/>
          <w:spacing w:val="33"/>
          <w:sz w:val="24"/>
          <w:szCs w:val="24"/>
        </w:rPr>
        <w:t xml:space="preserve"> </w:t>
      </w:r>
      <w:r>
        <w:rPr>
          <w:rFonts w:ascii="仿宋" w:hAnsi="仿宋" w:eastAsia="仿宋" w:cs="仿宋"/>
          <w:spacing w:val="-5"/>
          <w:sz w:val="24"/>
          <w:szCs w:val="24"/>
        </w:rPr>
        <w:t>乙 酸</w:t>
      </w:r>
      <w:r>
        <w:rPr>
          <w:rFonts w:ascii="仿宋" w:hAnsi="仿宋" w:eastAsia="仿宋" w:cs="仿宋"/>
          <w:spacing w:val="15"/>
          <w:sz w:val="24"/>
          <w:szCs w:val="24"/>
        </w:rPr>
        <w:t xml:space="preserve"> </w:t>
      </w:r>
      <w:r>
        <w:rPr>
          <w:rFonts w:ascii="仿宋" w:hAnsi="仿宋" w:eastAsia="仿宋" w:cs="仿宋"/>
          <w:spacing w:val="-5"/>
          <w:sz w:val="24"/>
          <w:szCs w:val="24"/>
        </w:rPr>
        <w:t>溶</w:t>
      </w:r>
      <w:r>
        <w:rPr>
          <w:rFonts w:ascii="仿宋" w:hAnsi="仿宋" w:eastAsia="仿宋" w:cs="仿宋"/>
          <w:spacing w:val="17"/>
          <w:sz w:val="24"/>
          <w:szCs w:val="24"/>
        </w:rPr>
        <w:t xml:space="preserve"> </w:t>
      </w:r>
      <w:r>
        <w:rPr>
          <w:rFonts w:ascii="仿宋" w:hAnsi="仿宋" w:eastAsia="仿宋" w:cs="仿宋"/>
          <w:spacing w:val="-5"/>
          <w:sz w:val="24"/>
          <w:szCs w:val="24"/>
        </w:rPr>
        <w:t>液，或</w:t>
      </w:r>
      <w:r>
        <w:rPr>
          <w:rFonts w:ascii="仿宋" w:hAnsi="仿宋" w:eastAsia="仿宋" w:cs="仿宋"/>
          <w:spacing w:val="13"/>
          <w:sz w:val="24"/>
          <w:szCs w:val="24"/>
        </w:rPr>
        <w:t xml:space="preserve"> </w:t>
      </w:r>
      <w:r>
        <w:rPr>
          <w:rFonts w:ascii="仿宋" w:hAnsi="仿宋" w:eastAsia="仿宋" w:cs="仿宋"/>
          <w:spacing w:val="-5"/>
          <w:sz w:val="24"/>
          <w:szCs w:val="24"/>
        </w:rPr>
        <w:t>30g/L</w:t>
      </w:r>
      <w:r>
        <w:rPr>
          <w:rFonts w:ascii="仿宋" w:hAnsi="仿宋" w:eastAsia="仿宋" w:cs="仿宋"/>
          <w:spacing w:val="19"/>
          <w:sz w:val="24"/>
          <w:szCs w:val="24"/>
        </w:rPr>
        <w:t xml:space="preserve"> </w:t>
      </w:r>
      <w:r>
        <w:rPr>
          <w:rFonts w:ascii="仿宋" w:hAnsi="仿宋" w:eastAsia="仿宋" w:cs="仿宋"/>
          <w:spacing w:val="-5"/>
          <w:sz w:val="24"/>
          <w:szCs w:val="24"/>
        </w:rPr>
        <w:t>过</w:t>
      </w:r>
      <w:r>
        <w:rPr>
          <w:rFonts w:ascii="仿宋" w:hAnsi="仿宋" w:eastAsia="仿宋" w:cs="仿宋"/>
          <w:spacing w:val="20"/>
          <w:sz w:val="24"/>
          <w:szCs w:val="24"/>
        </w:rPr>
        <w:t xml:space="preserve"> </w:t>
      </w:r>
      <w:r>
        <w:rPr>
          <w:rFonts w:ascii="仿宋" w:hAnsi="仿宋" w:eastAsia="仿宋" w:cs="仿宋"/>
          <w:spacing w:val="-5"/>
          <w:sz w:val="24"/>
          <w:szCs w:val="24"/>
        </w:rPr>
        <w:t>氧</w:t>
      </w:r>
      <w:r>
        <w:rPr>
          <w:rFonts w:ascii="仿宋" w:hAnsi="仿宋" w:eastAsia="仿宋" w:cs="仿宋"/>
          <w:spacing w:val="17"/>
          <w:sz w:val="24"/>
          <w:szCs w:val="24"/>
        </w:rPr>
        <w:t xml:space="preserve"> </w:t>
      </w:r>
      <w:r>
        <w:rPr>
          <w:rFonts w:ascii="仿宋" w:hAnsi="仿宋" w:eastAsia="仿宋" w:cs="仿宋"/>
          <w:spacing w:val="-5"/>
          <w:sz w:val="24"/>
          <w:szCs w:val="24"/>
        </w:rPr>
        <w:t>化</w:t>
      </w:r>
      <w:r>
        <w:rPr>
          <w:rFonts w:ascii="仿宋" w:hAnsi="仿宋" w:eastAsia="仿宋" w:cs="仿宋"/>
          <w:spacing w:val="22"/>
          <w:sz w:val="24"/>
          <w:szCs w:val="24"/>
        </w:rPr>
        <w:t xml:space="preserve"> </w:t>
      </w:r>
      <w:r>
        <w:rPr>
          <w:rFonts w:ascii="仿宋" w:hAnsi="仿宋" w:eastAsia="仿宋" w:cs="仿宋"/>
          <w:spacing w:val="-5"/>
          <w:sz w:val="24"/>
          <w:szCs w:val="24"/>
        </w:rPr>
        <w:t>氢</w:t>
      </w:r>
      <w:r>
        <w:rPr>
          <w:rFonts w:ascii="仿宋" w:hAnsi="仿宋" w:eastAsia="仿宋" w:cs="仿宋"/>
          <w:spacing w:val="15"/>
          <w:sz w:val="24"/>
          <w:szCs w:val="24"/>
        </w:rPr>
        <w:t xml:space="preserve"> </w:t>
      </w:r>
      <w:r>
        <w:rPr>
          <w:rFonts w:ascii="仿宋" w:hAnsi="仿宋" w:eastAsia="仿宋" w:cs="仿宋"/>
          <w:spacing w:val="-5"/>
          <w:sz w:val="24"/>
          <w:szCs w:val="24"/>
        </w:rPr>
        <w:t>溶</w:t>
      </w:r>
      <w:r>
        <w:rPr>
          <w:rFonts w:ascii="仿宋" w:hAnsi="仿宋" w:eastAsia="仿宋" w:cs="仿宋"/>
          <w:spacing w:val="17"/>
          <w:sz w:val="24"/>
          <w:szCs w:val="24"/>
        </w:rPr>
        <w:t xml:space="preserve"> </w:t>
      </w:r>
      <w:r>
        <w:rPr>
          <w:rFonts w:ascii="仿宋" w:hAnsi="仿宋" w:eastAsia="仿宋" w:cs="仿宋"/>
          <w:spacing w:val="-5"/>
          <w:sz w:val="24"/>
          <w:szCs w:val="24"/>
        </w:rPr>
        <w:t>液，或</w:t>
      </w:r>
      <w:r>
        <w:rPr>
          <w:rFonts w:ascii="仿宋" w:hAnsi="仿宋" w:eastAsia="仿宋" w:cs="仿宋"/>
          <w:spacing w:val="26"/>
          <w:sz w:val="24"/>
          <w:szCs w:val="24"/>
        </w:rPr>
        <w:t xml:space="preserve"> </w:t>
      </w:r>
      <w:r>
        <w:rPr>
          <w:rFonts w:ascii="仿宋" w:hAnsi="仿宋" w:eastAsia="仿宋" w:cs="仿宋"/>
          <w:spacing w:val="-5"/>
          <w:sz w:val="24"/>
          <w:szCs w:val="24"/>
        </w:rPr>
        <w:t>150</w:t>
      </w:r>
      <w:r>
        <w:rPr>
          <w:rFonts w:ascii="仿宋" w:hAnsi="仿宋" w:eastAsia="仿宋" w:cs="仿宋"/>
          <w:spacing w:val="2"/>
          <w:sz w:val="24"/>
          <w:szCs w:val="24"/>
        </w:rPr>
        <w:t xml:space="preserve"> </w:t>
      </w:r>
      <w:r>
        <w:rPr>
          <w:rFonts w:ascii="仿宋" w:hAnsi="仿宋" w:eastAsia="仿宋" w:cs="仿宋"/>
          <w:spacing w:val="-5"/>
          <w:sz w:val="24"/>
          <w:szCs w:val="24"/>
        </w:rPr>
        <w:t>mg</w:t>
      </w:r>
      <w:r>
        <w:rPr>
          <w:rFonts w:ascii="仿宋" w:hAnsi="仿宋" w:eastAsia="仿宋" w:cs="仿宋"/>
          <w:spacing w:val="-6"/>
          <w:sz w:val="24"/>
          <w:szCs w:val="24"/>
        </w:rPr>
        <w:t>/L</w:t>
      </w:r>
      <w:r>
        <w:rPr>
          <w:rFonts w:ascii="Times New Roman" w:hAnsi="Times New Roman" w:eastAsia="Times New Roman" w:cs="Times New Roman"/>
          <w:spacing w:val="-6"/>
          <w:sz w:val="24"/>
          <w:szCs w:val="24"/>
        </w:rPr>
        <w:t>~</w:t>
      </w:r>
      <w:r>
        <w:rPr>
          <w:rFonts w:ascii="仿宋" w:hAnsi="仿宋" w:eastAsia="仿宋" w:cs="仿宋"/>
          <w:spacing w:val="-6"/>
          <w:sz w:val="24"/>
          <w:szCs w:val="24"/>
        </w:rPr>
        <w:t>500mg/L</w:t>
      </w:r>
      <w:r>
        <w:rPr>
          <w:rFonts w:ascii="仿宋" w:hAnsi="仿宋" w:eastAsia="仿宋" w:cs="仿宋"/>
          <w:spacing w:val="-37"/>
          <w:sz w:val="24"/>
          <w:szCs w:val="24"/>
        </w:rPr>
        <w:t xml:space="preserve"> </w:t>
      </w:r>
      <w:r>
        <w:rPr>
          <w:rFonts w:ascii="仿宋" w:hAnsi="仿宋" w:eastAsia="仿宋" w:cs="仿宋"/>
          <w:spacing w:val="-6"/>
          <w:sz w:val="24"/>
          <w:szCs w:val="24"/>
        </w:rPr>
        <w:t>二氧化</w:t>
      </w:r>
      <w:r>
        <w:rPr>
          <w:rFonts w:ascii="仿宋" w:hAnsi="仿宋" w:eastAsia="仿宋" w:cs="仿宋"/>
          <w:spacing w:val="-1"/>
          <w:sz w:val="24"/>
          <w:szCs w:val="24"/>
        </w:rPr>
        <w:t>氯溶液，1000mg/L</w:t>
      </w:r>
      <w:r>
        <w:rPr>
          <w:rFonts w:ascii="Times New Roman" w:hAnsi="Times New Roman" w:eastAsia="Times New Roman" w:cs="Times New Roman"/>
          <w:spacing w:val="-1"/>
          <w:sz w:val="24"/>
          <w:szCs w:val="24"/>
        </w:rPr>
        <w:t>~</w:t>
      </w:r>
      <w:r>
        <w:rPr>
          <w:rFonts w:ascii="仿宋" w:hAnsi="仿宋" w:eastAsia="仿宋" w:cs="仿宋"/>
          <w:spacing w:val="-1"/>
          <w:sz w:val="24"/>
          <w:szCs w:val="24"/>
        </w:rPr>
        <w:t>5000mg/L</w:t>
      </w:r>
      <w:r>
        <w:rPr>
          <w:rFonts w:ascii="仿宋" w:hAnsi="仿宋" w:eastAsia="仿宋" w:cs="仿宋"/>
          <w:spacing w:val="-40"/>
          <w:sz w:val="24"/>
          <w:szCs w:val="24"/>
        </w:rPr>
        <w:t xml:space="preserve"> </w:t>
      </w:r>
      <w:r>
        <w:rPr>
          <w:rFonts w:ascii="仿宋" w:hAnsi="仿宋" w:eastAsia="仿宋" w:cs="仿宋"/>
          <w:spacing w:val="-1"/>
          <w:sz w:val="24"/>
          <w:szCs w:val="24"/>
        </w:rPr>
        <w:t>季铵盐类消毒剂，或</w:t>
      </w:r>
      <w:r>
        <w:rPr>
          <w:rFonts w:ascii="仿宋" w:hAnsi="仿宋" w:eastAsia="仿宋" w:cs="仿宋"/>
          <w:spacing w:val="-50"/>
          <w:sz w:val="24"/>
          <w:szCs w:val="24"/>
        </w:rPr>
        <w:t xml:space="preserve"> </w:t>
      </w:r>
      <w:r>
        <w:rPr>
          <w:rFonts w:ascii="仿宋" w:hAnsi="仿宋" w:eastAsia="仿宋" w:cs="仿宋"/>
          <w:spacing w:val="-1"/>
          <w:sz w:val="24"/>
          <w:szCs w:val="24"/>
        </w:rPr>
        <w:t>0.5%</w:t>
      </w:r>
      <w:r>
        <w:rPr>
          <w:rFonts w:ascii="Times New Roman" w:hAnsi="Times New Roman" w:eastAsia="Times New Roman" w:cs="Times New Roman"/>
          <w:spacing w:val="-1"/>
          <w:sz w:val="24"/>
          <w:szCs w:val="24"/>
        </w:rPr>
        <w:t>~</w:t>
      </w:r>
      <w:r>
        <w:rPr>
          <w:rFonts w:ascii="Times New Roman" w:hAnsi="Times New Roman" w:eastAsia="Times New Roman" w:cs="Times New Roman"/>
          <w:spacing w:val="-34"/>
          <w:sz w:val="24"/>
          <w:szCs w:val="24"/>
        </w:rPr>
        <w:t xml:space="preserve"> </w:t>
      </w:r>
      <w:r>
        <w:rPr>
          <w:rFonts w:ascii="仿宋" w:hAnsi="仿宋" w:eastAsia="仿宋" w:cs="仿宋"/>
          <w:spacing w:val="-1"/>
          <w:sz w:val="24"/>
          <w:szCs w:val="24"/>
        </w:rPr>
        <w:t>1.0%过碳酸钠溶液、2g/L</w:t>
      </w:r>
      <w:r>
        <w:rPr>
          <w:rFonts w:ascii="Times New Roman" w:hAnsi="Times New Roman" w:eastAsia="Times New Roman" w:cs="Times New Roman"/>
          <w:spacing w:val="-1"/>
          <w:sz w:val="24"/>
          <w:szCs w:val="24"/>
        </w:rPr>
        <w:t>~</w:t>
      </w:r>
      <w:r>
        <w:rPr>
          <w:rFonts w:ascii="仿宋" w:hAnsi="仿宋" w:eastAsia="仿宋" w:cs="仿宋"/>
          <w:spacing w:val="-1"/>
          <w:sz w:val="24"/>
          <w:szCs w:val="24"/>
        </w:rPr>
        <w:t>4</w:t>
      </w:r>
      <w:r>
        <w:rPr>
          <w:rFonts w:ascii="仿宋" w:hAnsi="仿宋" w:eastAsia="仿宋" w:cs="仿宋"/>
          <w:spacing w:val="-2"/>
          <w:sz w:val="24"/>
          <w:szCs w:val="24"/>
        </w:rPr>
        <w:t>5g/L</w:t>
      </w:r>
      <w:r>
        <w:rPr>
          <w:rFonts w:ascii="仿宋" w:hAnsi="仿宋" w:eastAsia="仿宋" w:cs="仿宋"/>
          <w:sz w:val="24"/>
          <w:szCs w:val="24"/>
        </w:rPr>
        <w:t>胍类消毒剂、2%</w:t>
      </w:r>
      <w:r>
        <w:rPr>
          <w:rFonts w:ascii="Times New Roman" w:hAnsi="Times New Roman" w:eastAsia="Times New Roman" w:cs="Times New Roman"/>
          <w:sz w:val="24"/>
          <w:szCs w:val="24"/>
        </w:rPr>
        <w:t>~</w:t>
      </w:r>
      <w:r>
        <w:rPr>
          <w:rFonts w:ascii="仿宋" w:hAnsi="仿宋" w:eastAsia="仿宋" w:cs="仿宋"/>
          <w:sz w:val="24"/>
          <w:szCs w:val="24"/>
        </w:rPr>
        <w:t>3%对氯间二甲苯酚，</w:t>
      </w:r>
      <w:r>
        <w:rPr>
          <w:rFonts w:ascii="仿宋" w:hAnsi="仿宋" w:eastAsia="仿宋" w:cs="仿宋"/>
          <w:spacing w:val="-1"/>
          <w:sz w:val="24"/>
          <w:szCs w:val="24"/>
        </w:rPr>
        <w:t>或</w:t>
      </w:r>
      <w:r>
        <w:rPr>
          <w:rFonts w:ascii="仿宋" w:hAnsi="仿宋" w:eastAsia="仿宋" w:cs="仿宋"/>
          <w:spacing w:val="-48"/>
          <w:sz w:val="24"/>
          <w:szCs w:val="24"/>
        </w:rPr>
        <w:t xml:space="preserve"> </w:t>
      </w:r>
      <w:r>
        <w:rPr>
          <w:rFonts w:ascii="仿宋" w:hAnsi="仿宋" w:eastAsia="仿宋" w:cs="仿宋"/>
          <w:spacing w:val="-1"/>
          <w:sz w:val="24"/>
          <w:szCs w:val="24"/>
        </w:rPr>
        <w:t>2%三氯羟基二苯醚，或</w:t>
      </w:r>
      <w:r>
        <w:rPr>
          <w:rFonts w:ascii="仿宋" w:hAnsi="仿宋" w:eastAsia="仿宋" w:cs="仿宋"/>
          <w:spacing w:val="-50"/>
          <w:sz w:val="24"/>
          <w:szCs w:val="24"/>
        </w:rPr>
        <w:t xml:space="preserve"> </w:t>
      </w:r>
      <w:r>
        <w:rPr>
          <w:rFonts w:ascii="仿宋" w:hAnsi="仿宋" w:eastAsia="仿宋" w:cs="仿宋"/>
          <w:spacing w:val="-1"/>
          <w:sz w:val="24"/>
          <w:szCs w:val="24"/>
        </w:rPr>
        <w:t>60%</w:t>
      </w:r>
      <w:r>
        <w:rPr>
          <w:rFonts w:ascii="Times New Roman" w:hAnsi="Times New Roman" w:eastAsia="Times New Roman" w:cs="Times New Roman"/>
          <w:spacing w:val="-1"/>
          <w:sz w:val="24"/>
          <w:szCs w:val="24"/>
        </w:rPr>
        <w:t>~</w:t>
      </w:r>
      <w:r>
        <w:rPr>
          <w:rFonts w:ascii="仿宋" w:hAnsi="仿宋" w:eastAsia="仿宋" w:cs="仿宋"/>
          <w:spacing w:val="-1"/>
          <w:sz w:val="24"/>
          <w:szCs w:val="24"/>
        </w:rPr>
        <w:t>90%乙醇溶液以及可</w:t>
      </w:r>
      <w:r>
        <w:rPr>
          <w:rFonts w:ascii="仿宋" w:hAnsi="仿宋" w:eastAsia="仿宋" w:cs="仿宋"/>
          <w:spacing w:val="1"/>
          <w:sz w:val="24"/>
          <w:szCs w:val="24"/>
        </w:rPr>
        <w:t>达到消毒效果的其他消毒剂或消毒湿巾，喷洒或浸泡</w:t>
      </w:r>
      <w:r>
        <w:rPr>
          <w:rFonts w:ascii="仿宋" w:hAnsi="仿宋" w:eastAsia="仿宋" w:cs="仿宋"/>
          <w:sz w:val="24"/>
          <w:szCs w:val="24"/>
        </w:rPr>
        <w:t>消毒</w:t>
      </w:r>
      <w:r>
        <w:rPr>
          <w:rFonts w:ascii="仿宋" w:hAnsi="仿宋" w:eastAsia="仿宋" w:cs="仿宋"/>
          <w:spacing w:val="-34"/>
          <w:sz w:val="24"/>
          <w:szCs w:val="24"/>
        </w:rPr>
        <w:t xml:space="preserve"> </w:t>
      </w:r>
      <w:r>
        <w:rPr>
          <w:rFonts w:ascii="仿宋" w:hAnsi="仿宋" w:eastAsia="仿宋" w:cs="仿宋"/>
          <w:sz w:val="24"/>
          <w:szCs w:val="24"/>
        </w:rPr>
        <w:t>10min，或擦拭消毒5min。消毒作用达到规定时间后，清水冲洗或擦拭干净。有芽孢污染或有机</w:t>
      </w:r>
      <w:r>
        <w:rPr>
          <w:rFonts w:ascii="仿宋" w:hAnsi="仿宋" w:eastAsia="仿宋" w:cs="仿宋"/>
          <w:spacing w:val="-1"/>
          <w:sz w:val="24"/>
          <w:szCs w:val="24"/>
        </w:rPr>
        <w:t>物污染严重时，可选择高</w:t>
      </w:r>
      <w:r>
        <w:rPr>
          <w:rFonts w:ascii="仿宋" w:hAnsi="仿宋" w:eastAsia="仿宋" w:cs="仿宋"/>
          <w:sz w:val="24"/>
          <w:szCs w:val="24"/>
        </w:rPr>
        <w:t>效消毒剂，并增加浓度和作用时间。（出处：GB19193—2025《传染病消毒规范》A.</w:t>
      </w:r>
      <w:r>
        <w:rPr>
          <w:rFonts w:ascii="仿宋" w:hAnsi="仿宋" w:eastAsia="仿宋" w:cs="仿宋"/>
          <w:spacing w:val="-1"/>
          <w:sz w:val="24"/>
          <w:szCs w:val="24"/>
        </w:rPr>
        <w:t>2 一般物体表面消毒）</w:t>
      </w:r>
    </w:p>
    <w:p w14:paraId="511CAC7C">
      <w:pPr>
        <w:spacing w:before="1" w:line="276" w:lineRule="auto"/>
        <w:ind w:left="489"/>
        <w:rPr>
          <w:rFonts w:ascii="仿宋" w:hAnsi="仿宋" w:eastAsia="仿宋" w:cs="仿宋"/>
          <w:sz w:val="24"/>
          <w:szCs w:val="24"/>
        </w:rPr>
      </w:pPr>
      <w:r>
        <w:rPr>
          <w:rFonts w:ascii="仿宋" w:hAnsi="仿宋" w:eastAsia="仿宋" w:cs="仿宋"/>
          <w:b/>
          <w:bCs/>
          <w:spacing w:val="-4"/>
          <w:sz w:val="24"/>
          <w:szCs w:val="24"/>
        </w:rPr>
        <w:t>2.专家论证意见</w:t>
      </w:r>
    </w:p>
    <w:p w14:paraId="470694E7">
      <w:pPr>
        <w:spacing w:before="111" w:line="276" w:lineRule="auto"/>
        <w:ind w:left="498"/>
        <w:rPr>
          <w:rFonts w:ascii="仿宋" w:hAnsi="仿宋" w:eastAsia="仿宋" w:cs="仿宋"/>
          <w:sz w:val="24"/>
          <w:szCs w:val="24"/>
        </w:rPr>
      </w:pPr>
      <w:r>
        <w:rPr>
          <w:rFonts w:ascii="仿宋" w:hAnsi="仿宋" w:eastAsia="仿宋" w:cs="仿宋"/>
          <w:spacing w:val="-3"/>
          <w:sz w:val="24"/>
          <w:szCs w:val="24"/>
        </w:rPr>
        <w:t>（1）专家论证结果</w:t>
      </w:r>
    </w:p>
    <w:p w14:paraId="72FBBAB8">
      <w:pPr>
        <w:spacing w:line="276" w:lineRule="auto"/>
        <w:rPr>
          <w:rFonts w:ascii="仿宋" w:hAnsi="仿宋" w:eastAsia="仿宋" w:cs="仿宋"/>
          <w:sz w:val="24"/>
          <w:szCs w:val="24"/>
        </w:rPr>
        <w:sectPr>
          <w:footerReference r:id="rId11" w:type="default"/>
          <w:pgSz w:w="11906" w:h="16839"/>
          <w:pgMar w:top="1431" w:right="1035" w:bottom="1362" w:left="1420" w:header="0" w:footer="1200" w:gutter="0"/>
          <w:cols w:space="720" w:num="1"/>
        </w:sectPr>
      </w:pPr>
    </w:p>
    <w:p w14:paraId="6E0672B4">
      <w:pPr>
        <w:spacing w:before="100" w:line="276" w:lineRule="auto"/>
        <w:ind w:left="445"/>
        <w:rPr>
          <w:rFonts w:ascii="仿宋" w:hAnsi="仿宋" w:eastAsia="仿宋" w:cs="仿宋"/>
          <w:sz w:val="24"/>
          <w:szCs w:val="24"/>
        </w:rPr>
      </w:pPr>
      <w:r>
        <w:rPr>
          <w:rFonts w:ascii="仿宋" w:hAnsi="仿宋" w:eastAsia="仿宋" w:cs="仿宋"/>
          <w:spacing w:val="-3"/>
          <w:sz w:val="24"/>
          <w:szCs w:val="24"/>
        </w:rPr>
        <w:t>全体</w:t>
      </w:r>
      <w:r>
        <w:rPr>
          <w:rFonts w:ascii="仿宋" w:hAnsi="仿宋" w:eastAsia="仿宋" w:cs="仿宋"/>
          <w:spacing w:val="-34"/>
          <w:sz w:val="24"/>
          <w:szCs w:val="24"/>
        </w:rPr>
        <w:t xml:space="preserve"> </w:t>
      </w:r>
      <w:r>
        <w:rPr>
          <w:rFonts w:ascii="仿宋" w:hAnsi="仿宋" w:eastAsia="仿宋" w:cs="仿宋"/>
          <w:spacing w:val="-3"/>
          <w:sz w:val="24"/>
          <w:szCs w:val="24"/>
        </w:rPr>
        <w:t>13</w:t>
      </w:r>
      <w:r>
        <w:rPr>
          <w:rFonts w:ascii="仿宋" w:hAnsi="仿宋" w:eastAsia="仿宋" w:cs="仿宋"/>
          <w:spacing w:val="-43"/>
          <w:sz w:val="24"/>
          <w:szCs w:val="24"/>
        </w:rPr>
        <w:t xml:space="preserve"> </w:t>
      </w:r>
      <w:r>
        <w:rPr>
          <w:rFonts w:ascii="仿宋" w:hAnsi="仿宋" w:eastAsia="仿宋" w:cs="仿宋"/>
          <w:spacing w:val="-3"/>
          <w:sz w:val="24"/>
          <w:szCs w:val="24"/>
        </w:rPr>
        <w:t>位专家中除史正刚专家外一致同意（2</w:t>
      </w:r>
      <w:r>
        <w:rPr>
          <w:rFonts w:ascii="仿宋" w:hAnsi="仿宋" w:eastAsia="仿宋" w:cs="仿宋"/>
          <w:spacing w:val="-41"/>
          <w:sz w:val="24"/>
          <w:szCs w:val="24"/>
        </w:rPr>
        <w:t xml:space="preserve"> </w:t>
      </w:r>
      <w:r>
        <w:rPr>
          <w:rFonts w:ascii="仿宋" w:hAnsi="仿宋" w:eastAsia="仿宋" w:cs="仿宋"/>
          <w:spacing w:val="-3"/>
          <w:sz w:val="24"/>
          <w:szCs w:val="24"/>
        </w:rPr>
        <w:t>分/须选</w:t>
      </w:r>
      <w:r>
        <w:rPr>
          <w:rFonts w:ascii="仿宋" w:hAnsi="仿宋" w:eastAsia="仿宋" w:cs="仿宋"/>
          <w:spacing w:val="8"/>
          <w:sz w:val="24"/>
          <w:szCs w:val="24"/>
        </w:rPr>
        <w:t>），</w:t>
      </w:r>
      <w:r>
        <w:rPr>
          <w:rFonts w:ascii="仿宋" w:hAnsi="仿宋" w:eastAsia="仿宋" w:cs="仿宋"/>
          <w:spacing w:val="-3"/>
          <w:sz w:val="24"/>
          <w:szCs w:val="24"/>
        </w:rPr>
        <w:t>支</w:t>
      </w:r>
      <w:r>
        <w:rPr>
          <w:rFonts w:ascii="仿宋" w:hAnsi="仿宋" w:eastAsia="仿宋" w:cs="仿宋"/>
          <w:spacing w:val="-4"/>
          <w:sz w:val="24"/>
          <w:szCs w:val="24"/>
        </w:rPr>
        <w:t>持率</w:t>
      </w:r>
      <w:r>
        <w:rPr>
          <w:rFonts w:ascii="仿宋" w:hAnsi="仿宋" w:eastAsia="仿宋" w:cs="仿宋"/>
          <w:spacing w:val="-51"/>
          <w:sz w:val="24"/>
          <w:szCs w:val="24"/>
        </w:rPr>
        <w:t xml:space="preserve"> </w:t>
      </w:r>
      <w:r>
        <w:rPr>
          <w:rFonts w:ascii="仿宋" w:hAnsi="仿宋" w:eastAsia="仿宋" w:cs="仿宋"/>
          <w:spacing w:val="-4"/>
          <w:sz w:val="24"/>
          <w:szCs w:val="24"/>
        </w:rPr>
        <w:t>92.3%。</w:t>
      </w:r>
    </w:p>
    <w:p w14:paraId="3325D4E3">
      <w:pPr>
        <w:spacing w:before="113" w:line="276" w:lineRule="auto"/>
        <w:ind w:left="505"/>
        <w:rPr>
          <w:rFonts w:ascii="仿宋" w:hAnsi="仿宋" w:eastAsia="仿宋" w:cs="仿宋"/>
          <w:sz w:val="24"/>
          <w:szCs w:val="24"/>
        </w:rPr>
      </w:pPr>
      <w:r>
        <w:rPr>
          <w:rFonts w:ascii="仿宋" w:hAnsi="仿宋" w:eastAsia="仿宋" w:cs="仿宋"/>
          <w:spacing w:val="-3"/>
          <w:sz w:val="24"/>
          <w:szCs w:val="24"/>
        </w:rPr>
        <w:t>（2）主要修改建议</w:t>
      </w:r>
    </w:p>
    <w:p w14:paraId="1A6353DE">
      <w:pPr>
        <w:spacing w:before="110" w:line="276" w:lineRule="auto"/>
        <w:ind w:left="23" w:right="135" w:firstLine="417"/>
        <w:rPr>
          <w:rFonts w:ascii="仿宋" w:hAnsi="仿宋" w:eastAsia="仿宋" w:cs="仿宋"/>
          <w:sz w:val="24"/>
          <w:szCs w:val="24"/>
        </w:rPr>
      </w:pPr>
      <w:r>
        <w:rPr>
          <w:rFonts w:ascii="仿宋" w:hAnsi="仿宋" w:eastAsia="仿宋" w:cs="仿宋"/>
          <w:sz w:val="24"/>
          <w:szCs w:val="24"/>
        </w:rPr>
        <w:t>戴启刚：拟选用消毒方法强调了消毒剂的不同</w:t>
      </w:r>
      <w:r>
        <w:rPr>
          <w:rFonts w:ascii="仿宋" w:hAnsi="仿宋" w:eastAsia="仿宋" w:cs="仿宋"/>
          <w:spacing w:val="-1"/>
          <w:sz w:val="24"/>
          <w:szCs w:val="24"/>
        </w:rPr>
        <w:t>，但没有强调不同材质的罐具用何种消毒剂，故不能单纯照搬原文，有区别的选用。</w:t>
      </w:r>
    </w:p>
    <w:p w14:paraId="18DFA9D3">
      <w:pPr>
        <w:spacing w:line="276" w:lineRule="auto"/>
        <w:ind w:left="497"/>
        <w:rPr>
          <w:rFonts w:ascii="仿宋" w:hAnsi="仿宋" w:eastAsia="仿宋" w:cs="仿宋"/>
          <w:sz w:val="24"/>
          <w:szCs w:val="24"/>
        </w:rPr>
      </w:pPr>
      <w:r>
        <w:rPr>
          <w:rFonts w:ascii="仿宋" w:hAnsi="仿宋" w:eastAsia="仿宋" w:cs="仿宋"/>
          <w:b/>
          <w:bCs/>
          <w:spacing w:val="-4"/>
          <w:sz w:val="24"/>
          <w:szCs w:val="24"/>
        </w:rPr>
        <w:t>3.项目组决议</w:t>
      </w:r>
    </w:p>
    <w:p w14:paraId="3AD53B18">
      <w:pPr>
        <w:spacing w:before="108" w:line="276" w:lineRule="auto"/>
        <w:ind w:left="502"/>
        <w:rPr>
          <w:rFonts w:ascii="仿宋" w:hAnsi="仿宋" w:eastAsia="仿宋" w:cs="仿宋"/>
          <w:sz w:val="24"/>
          <w:szCs w:val="24"/>
        </w:rPr>
      </w:pPr>
      <w:r>
        <w:rPr>
          <w:rFonts w:ascii="仿宋" w:hAnsi="仿宋" w:eastAsia="仿宋" w:cs="仿宋"/>
          <w:spacing w:val="-3"/>
          <w:sz w:val="24"/>
          <w:szCs w:val="24"/>
        </w:rPr>
        <w:t>采纳项目组意见。</w:t>
      </w:r>
    </w:p>
    <w:p w14:paraId="51989A07">
      <w:pPr>
        <w:spacing w:before="112" w:line="276" w:lineRule="auto"/>
        <w:ind w:right="6" w:firstLine="505"/>
        <w:rPr>
          <w:rFonts w:ascii="仿宋" w:hAnsi="仿宋" w:eastAsia="仿宋" w:cs="仿宋"/>
          <w:sz w:val="24"/>
          <w:szCs w:val="24"/>
        </w:rPr>
      </w:pPr>
      <w:r>
        <w:rPr>
          <w:rFonts w:ascii="仿宋" w:hAnsi="仿宋" w:eastAsia="仿宋" w:cs="仿宋"/>
          <w:b/>
          <w:bCs/>
          <w:spacing w:val="-10"/>
          <w:sz w:val="24"/>
          <w:szCs w:val="24"/>
        </w:rPr>
        <w:t>（二）条目</w:t>
      </w:r>
      <w:r>
        <w:rPr>
          <w:rFonts w:ascii="仿宋" w:hAnsi="仿宋" w:eastAsia="仿宋" w:cs="仿宋"/>
          <w:spacing w:val="-46"/>
          <w:sz w:val="24"/>
          <w:szCs w:val="24"/>
        </w:rPr>
        <w:t xml:space="preserve"> </w:t>
      </w:r>
      <w:r>
        <w:rPr>
          <w:rFonts w:ascii="仿宋" w:hAnsi="仿宋" w:eastAsia="仿宋" w:cs="仿宋"/>
          <w:b/>
          <w:bCs/>
          <w:spacing w:val="-10"/>
          <w:sz w:val="24"/>
          <w:szCs w:val="24"/>
        </w:rPr>
        <w:t>2：附录</w:t>
      </w:r>
      <w:r>
        <w:rPr>
          <w:rFonts w:ascii="仿宋" w:hAnsi="仿宋" w:eastAsia="仿宋" w:cs="仿宋"/>
          <w:spacing w:val="-57"/>
          <w:sz w:val="24"/>
          <w:szCs w:val="24"/>
        </w:rPr>
        <w:t xml:space="preserve"> </w:t>
      </w:r>
      <w:r>
        <w:rPr>
          <w:rFonts w:ascii="仿宋" w:hAnsi="仿宋" w:eastAsia="仿宋" w:cs="仿宋"/>
          <w:b/>
          <w:bCs/>
          <w:spacing w:val="-10"/>
          <w:sz w:val="24"/>
          <w:szCs w:val="24"/>
        </w:rPr>
        <w:t>A“角罐</w:t>
      </w:r>
      <w:r>
        <w:rPr>
          <w:rFonts w:ascii="仿宋" w:hAnsi="仿宋" w:eastAsia="仿宋" w:cs="仿宋"/>
          <w:spacing w:val="-88"/>
          <w:sz w:val="24"/>
          <w:szCs w:val="24"/>
        </w:rPr>
        <w:t xml:space="preserve"> </w:t>
      </w:r>
      <w:r>
        <w:rPr>
          <w:rFonts w:ascii="仿宋" w:hAnsi="仿宋" w:eastAsia="仿宋" w:cs="仿宋"/>
          <w:b/>
          <w:bCs/>
          <w:spacing w:val="-10"/>
          <w:sz w:val="24"/>
          <w:szCs w:val="24"/>
        </w:rPr>
        <w:t>”、“竹罐</w:t>
      </w:r>
      <w:r>
        <w:rPr>
          <w:rFonts w:ascii="仿宋" w:hAnsi="仿宋" w:eastAsia="仿宋" w:cs="仿宋"/>
          <w:spacing w:val="-85"/>
          <w:sz w:val="24"/>
          <w:szCs w:val="24"/>
        </w:rPr>
        <w:t xml:space="preserve"> </w:t>
      </w:r>
      <w:r>
        <w:rPr>
          <w:rFonts w:ascii="仿宋" w:hAnsi="仿宋" w:eastAsia="仿宋" w:cs="仿宋"/>
          <w:b/>
          <w:bCs/>
          <w:spacing w:val="-10"/>
          <w:sz w:val="24"/>
          <w:szCs w:val="24"/>
        </w:rPr>
        <w:t>”、“</w:t>
      </w:r>
      <w:r>
        <w:rPr>
          <w:rFonts w:ascii="仿宋" w:hAnsi="仿宋" w:eastAsia="仿宋" w:cs="仿宋"/>
          <w:spacing w:val="-93"/>
          <w:sz w:val="24"/>
          <w:szCs w:val="24"/>
        </w:rPr>
        <w:t xml:space="preserve"> </w:t>
      </w:r>
      <w:r>
        <w:rPr>
          <w:rFonts w:ascii="仿宋" w:hAnsi="仿宋" w:eastAsia="仿宋" w:cs="仿宋"/>
          <w:b/>
          <w:bCs/>
          <w:spacing w:val="-10"/>
          <w:sz w:val="24"/>
          <w:szCs w:val="24"/>
        </w:rPr>
        <w:t>陶瓷罐</w:t>
      </w:r>
      <w:r>
        <w:rPr>
          <w:rFonts w:ascii="仿宋" w:hAnsi="仿宋" w:eastAsia="仿宋" w:cs="仿宋"/>
          <w:spacing w:val="-88"/>
          <w:sz w:val="24"/>
          <w:szCs w:val="24"/>
        </w:rPr>
        <w:t xml:space="preserve"> </w:t>
      </w:r>
      <w:r>
        <w:rPr>
          <w:rFonts w:ascii="仿宋" w:hAnsi="仿宋" w:eastAsia="仿宋" w:cs="仿宋"/>
          <w:b/>
          <w:bCs/>
          <w:spacing w:val="-10"/>
          <w:sz w:val="24"/>
          <w:szCs w:val="24"/>
        </w:rPr>
        <w:t>”、“玻璃罐</w:t>
      </w:r>
      <w:r>
        <w:rPr>
          <w:rFonts w:ascii="仿宋" w:hAnsi="仿宋" w:eastAsia="仿宋" w:cs="仿宋"/>
          <w:spacing w:val="-86"/>
          <w:sz w:val="24"/>
          <w:szCs w:val="24"/>
        </w:rPr>
        <w:t xml:space="preserve"> </w:t>
      </w:r>
      <w:r>
        <w:rPr>
          <w:rFonts w:ascii="仿宋" w:hAnsi="仿宋" w:eastAsia="仿宋" w:cs="仿宋"/>
          <w:b/>
          <w:bCs/>
          <w:spacing w:val="-10"/>
          <w:sz w:val="24"/>
          <w:szCs w:val="24"/>
        </w:rPr>
        <w:t>”、“金属罐</w:t>
      </w:r>
      <w:r>
        <w:rPr>
          <w:rFonts w:ascii="仿宋" w:hAnsi="仿宋" w:eastAsia="仿宋" w:cs="仿宋"/>
          <w:spacing w:val="-86"/>
          <w:sz w:val="24"/>
          <w:szCs w:val="24"/>
        </w:rPr>
        <w:t xml:space="preserve"> </w:t>
      </w:r>
      <w:r>
        <w:rPr>
          <w:rFonts w:ascii="仿宋" w:hAnsi="仿宋" w:eastAsia="仿宋" w:cs="仿宋"/>
          <w:b/>
          <w:bCs/>
          <w:spacing w:val="-10"/>
          <w:sz w:val="24"/>
          <w:szCs w:val="24"/>
        </w:rPr>
        <w:t>”、</w:t>
      </w:r>
      <w:r>
        <w:rPr>
          <w:rFonts w:ascii="仿宋" w:hAnsi="仿宋" w:eastAsia="仿宋" w:cs="仿宋"/>
          <w:sz w:val="24"/>
          <w:szCs w:val="24"/>
        </w:rPr>
        <w:t xml:space="preserve"> </w:t>
      </w:r>
      <w:r>
        <w:rPr>
          <w:rFonts w:ascii="仿宋" w:hAnsi="仿宋" w:eastAsia="仿宋" w:cs="仿宋"/>
          <w:b/>
          <w:bCs/>
          <w:spacing w:val="-9"/>
          <w:sz w:val="24"/>
          <w:szCs w:val="24"/>
        </w:rPr>
        <w:t>“橡胶罐</w:t>
      </w:r>
      <w:r>
        <w:rPr>
          <w:rFonts w:ascii="仿宋" w:hAnsi="仿宋" w:eastAsia="仿宋" w:cs="仿宋"/>
          <w:spacing w:val="-81"/>
          <w:sz w:val="24"/>
          <w:szCs w:val="24"/>
        </w:rPr>
        <w:t xml:space="preserve"> </w:t>
      </w:r>
      <w:r>
        <w:rPr>
          <w:rFonts w:ascii="仿宋" w:hAnsi="仿宋" w:eastAsia="仿宋" w:cs="仿宋"/>
          <w:b/>
          <w:bCs/>
          <w:spacing w:val="-9"/>
          <w:sz w:val="24"/>
          <w:szCs w:val="24"/>
        </w:rPr>
        <w:t>”、“</w:t>
      </w:r>
      <w:r>
        <w:rPr>
          <w:rFonts w:ascii="仿宋" w:hAnsi="仿宋" w:eastAsia="仿宋" w:cs="仿宋"/>
          <w:spacing w:val="-90"/>
          <w:sz w:val="24"/>
          <w:szCs w:val="24"/>
        </w:rPr>
        <w:t xml:space="preserve"> </w:t>
      </w:r>
      <w:r>
        <w:rPr>
          <w:rFonts w:ascii="仿宋" w:hAnsi="仿宋" w:eastAsia="仿宋" w:cs="仿宋"/>
          <w:b/>
          <w:bCs/>
          <w:spacing w:val="-9"/>
          <w:sz w:val="24"/>
          <w:szCs w:val="24"/>
        </w:rPr>
        <w:t>生物陶瓷火罐</w:t>
      </w:r>
      <w:r>
        <w:rPr>
          <w:rFonts w:ascii="仿宋" w:hAnsi="仿宋" w:eastAsia="仿宋" w:cs="仿宋"/>
          <w:spacing w:val="-86"/>
          <w:sz w:val="24"/>
          <w:szCs w:val="24"/>
        </w:rPr>
        <w:t xml:space="preserve"> </w:t>
      </w:r>
      <w:r>
        <w:rPr>
          <w:rFonts w:ascii="仿宋" w:hAnsi="仿宋" w:eastAsia="仿宋" w:cs="仿宋"/>
          <w:b/>
          <w:bCs/>
          <w:spacing w:val="-9"/>
          <w:sz w:val="24"/>
          <w:szCs w:val="24"/>
        </w:rPr>
        <w:t>”、“</w:t>
      </w:r>
      <w:r>
        <w:rPr>
          <w:rFonts w:ascii="仿宋" w:hAnsi="仿宋" w:eastAsia="仿宋" w:cs="仿宋"/>
          <w:spacing w:val="-93"/>
          <w:sz w:val="24"/>
          <w:szCs w:val="24"/>
        </w:rPr>
        <w:t xml:space="preserve"> </w:t>
      </w:r>
      <w:r>
        <w:rPr>
          <w:rFonts w:ascii="仿宋" w:hAnsi="仿宋" w:eastAsia="仿宋" w:cs="仿宋"/>
          <w:b/>
          <w:bCs/>
          <w:spacing w:val="-9"/>
          <w:sz w:val="24"/>
          <w:szCs w:val="24"/>
        </w:rPr>
        <w:t>塑胶罐</w:t>
      </w:r>
      <w:r>
        <w:rPr>
          <w:rFonts w:ascii="仿宋" w:hAnsi="仿宋" w:eastAsia="仿宋" w:cs="仿宋"/>
          <w:spacing w:val="-88"/>
          <w:sz w:val="24"/>
          <w:szCs w:val="24"/>
        </w:rPr>
        <w:t xml:space="preserve"> </w:t>
      </w:r>
      <w:r>
        <w:rPr>
          <w:rFonts w:ascii="仿宋" w:hAnsi="仿宋" w:eastAsia="仿宋" w:cs="仿宋"/>
          <w:b/>
          <w:bCs/>
          <w:spacing w:val="-9"/>
          <w:sz w:val="24"/>
          <w:szCs w:val="24"/>
        </w:rPr>
        <w:t>”定义</w:t>
      </w:r>
    </w:p>
    <w:p w14:paraId="10921F32">
      <w:pPr>
        <w:spacing w:before="1" w:line="276" w:lineRule="auto"/>
        <w:ind w:left="510"/>
        <w:rPr>
          <w:rFonts w:ascii="仿宋" w:hAnsi="仿宋" w:eastAsia="仿宋" w:cs="仿宋"/>
          <w:sz w:val="24"/>
          <w:szCs w:val="24"/>
        </w:rPr>
      </w:pPr>
      <w:r>
        <w:rPr>
          <w:rFonts w:ascii="仿宋" w:hAnsi="仿宋" w:eastAsia="仿宋" w:cs="仿宋"/>
          <w:b/>
          <w:bCs/>
          <w:spacing w:val="-5"/>
          <w:sz w:val="24"/>
          <w:szCs w:val="24"/>
        </w:rPr>
        <w:t>1.征求意见函原文</w:t>
      </w:r>
    </w:p>
    <w:p w14:paraId="6722C9E9">
      <w:pPr>
        <w:spacing w:before="111" w:line="276" w:lineRule="auto"/>
        <w:ind w:left="505"/>
        <w:rPr>
          <w:rFonts w:ascii="仿宋" w:hAnsi="仿宋" w:eastAsia="仿宋" w:cs="仿宋"/>
          <w:sz w:val="24"/>
          <w:szCs w:val="24"/>
        </w:rPr>
      </w:pPr>
      <w:r>
        <w:rPr>
          <w:rFonts w:ascii="仿宋" w:hAnsi="仿宋" w:eastAsia="仿宋" w:cs="仿宋"/>
          <w:spacing w:val="-2"/>
          <w:sz w:val="24"/>
          <w:szCs w:val="24"/>
        </w:rPr>
        <w:t>（1）</w:t>
      </w:r>
      <w:r>
        <w:rPr>
          <w:rFonts w:ascii="仿宋" w:hAnsi="仿宋" w:eastAsia="仿宋" w:cs="仿宋"/>
          <w:b/>
          <w:bCs/>
          <w:spacing w:val="-2"/>
          <w:sz w:val="24"/>
          <w:szCs w:val="24"/>
        </w:rPr>
        <w:t>角罐</w:t>
      </w:r>
      <w:r>
        <w:rPr>
          <w:rFonts w:ascii="仿宋" w:hAnsi="仿宋" w:eastAsia="仿宋" w:cs="仿宋"/>
          <w:spacing w:val="-2"/>
          <w:sz w:val="24"/>
          <w:szCs w:val="24"/>
        </w:rPr>
        <w:t xml:space="preserve">  用牛角或羊角加工制成的罐具。</w:t>
      </w:r>
    </w:p>
    <w:p w14:paraId="23084CAB">
      <w:pPr>
        <w:spacing w:before="112" w:line="276" w:lineRule="auto"/>
        <w:ind w:left="502"/>
        <w:rPr>
          <w:rFonts w:ascii="仿宋" w:hAnsi="仿宋" w:eastAsia="仿宋" w:cs="仿宋"/>
          <w:sz w:val="24"/>
          <w:szCs w:val="24"/>
        </w:rPr>
      </w:pPr>
      <w:r>
        <w:rPr>
          <w:rFonts w:ascii="仿宋" w:hAnsi="仿宋" w:eastAsia="仿宋" w:cs="仿宋"/>
          <w:b/>
          <w:bCs/>
          <w:spacing w:val="-2"/>
          <w:sz w:val="24"/>
          <w:szCs w:val="24"/>
        </w:rPr>
        <w:t>竹罐</w:t>
      </w:r>
      <w:r>
        <w:rPr>
          <w:rFonts w:ascii="仿宋" w:hAnsi="仿宋" w:eastAsia="仿宋" w:cs="仿宋"/>
          <w:spacing w:val="-2"/>
          <w:sz w:val="24"/>
          <w:szCs w:val="24"/>
        </w:rPr>
        <w:t xml:space="preserve">  用毛竹制成的罐具。一端留节为底、一端为罐</w:t>
      </w:r>
      <w:r>
        <w:rPr>
          <w:rFonts w:ascii="仿宋" w:hAnsi="仿宋" w:eastAsia="仿宋" w:cs="仿宋"/>
          <w:spacing w:val="-61"/>
          <w:sz w:val="24"/>
          <w:szCs w:val="24"/>
        </w:rPr>
        <w:t xml:space="preserve"> </w:t>
      </w:r>
      <w:r>
        <w:rPr>
          <w:rFonts w:ascii="仿宋" w:hAnsi="仿宋" w:eastAsia="仿宋" w:cs="仿宋"/>
          <w:spacing w:val="-2"/>
          <w:sz w:val="24"/>
          <w:szCs w:val="24"/>
        </w:rPr>
        <w:t>口</w:t>
      </w:r>
      <w:r>
        <w:rPr>
          <w:rFonts w:ascii="仿宋" w:hAnsi="仿宋" w:eastAsia="仿宋" w:cs="仿宋"/>
          <w:spacing w:val="-3"/>
          <w:sz w:val="24"/>
          <w:szCs w:val="24"/>
        </w:rPr>
        <w:t>，中间略粗，形同腰鼓。</w:t>
      </w:r>
    </w:p>
    <w:p w14:paraId="55EBC729">
      <w:pPr>
        <w:spacing w:before="110" w:line="276" w:lineRule="auto"/>
        <w:ind w:left="511"/>
        <w:rPr>
          <w:rFonts w:ascii="仿宋" w:hAnsi="仿宋" w:eastAsia="仿宋" w:cs="仿宋"/>
          <w:sz w:val="24"/>
          <w:szCs w:val="24"/>
        </w:rPr>
      </w:pPr>
      <w:r>
        <w:rPr>
          <w:rFonts w:ascii="仿宋" w:hAnsi="仿宋" w:eastAsia="仿宋" w:cs="仿宋"/>
          <w:b/>
          <w:bCs/>
          <w:spacing w:val="-1"/>
          <w:sz w:val="24"/>
          <w:szCs w:val="24"/>
        </w:rPr>
        <w:t>陶瓷罐</w:t>
      </w:r>
      <w:r>
        <w:rPr>
          <w:rFonts w:ascii="仿宋" w:hAnsi="仿宋" w:eastAsia="仿宋" w:cs="仿宋"/>
          <w:spacing w:val="-1"/>
          <w:sz w:val="24"/>
          <w:szCs w:val="24"/>
        </w:rPr>
        <w:t xml:space="preserve">  用陶土烧制而成的罐具。罐的两端较小，中间外展较大，形同腰鼓。</w:t>
      </w:r>
    </w:p>
    <w:p w14:paraId="0BF35B03">
      <w:pPr>
        <w:spacing w:before="114" w:line="276" w:lineRule="auto"/>
        <w:ind w:left="19" w:right="83" w:firstLine="481"/>
        <w:rPr>
          <w:rFonts w:ascii="仿宋" w:hAnsi="仿宋" w:eastAsia="仿宋" w:cs="仿宋"/>
          <w:sz w:val="24"/>
          <w:szCs w:val="24"/>
        </w:rPr>
      </w:pPr>
      <w:r>
        <w:rPr>
          <w:rFonts w:ascii="仿宋" w:hAnsi="仿宋" w:eastAsia="仿宋" w:cs="仿宋"/>
          <w:b/>
          <w:bCs/>
          <w:spacing w:val="-5"/>
          <w:sz w:val="24"/>
          <w:szCs w:val="24"/>
        </w:rPr>
        <w:t>玻璃罐</w:t>
      </w:r>
      <w:r>
        <w:rPr>
          <w:rFonts w:ascii="仿宋" w:hAnsi="仿宋" w:eastAsia="仿宋" w:cs="仿宋"/>
          <w:spacing w:val="-5"/>
          <w:sz w:val="24"/>
          <w:szCs w:val="24"/>
        </w:rPr>
        <w:t xml:space="preserve">  用玻璃制成的罐具。其形如球状，下端开</w:t>
      </w:r>
      <w:r>
        <w:rPr>
          <w:rFonts w:ascii="仿宋" w:hAnsi="仿宋" w:eastAsia="仿宋" w:cs="仿宋"/>
          <w:spacing w:val="-61"/>
          <w:sz w:val="24"/>
          <w:szCs w:val="24"/>
        </w:rPr>
        <w:t xml:space="preserve"> </w:t>
      </w:r>
      <w:r>
        <w:rPr>
          <w:rFonts w:ascii="仿宋" w:hAnsi="仿宋" w:eastAsia="仿宋" w:cs="仿宋"/>
          <w:spacing w:val="-6"/>
          <w:sz w:val="24"/>
          <w:szCs w:val="24"/>
        </w:rPr>
        <w:t>口，</w:t>
      </w:r>
      <w:r>
        <w:rPr>
          <w:rFonts w:ascii="仿宋" w:hAnsi="仿宋" w:eastAsia="仿宋" w:cs="仿宋"/>
          <w:spacing w:val="-64"/>
          <w:sz w:val="24"/>
          <w:szCs w:val="24"/>
        </w:rPr>
        <w:t xml:space="preserve"> </w:t>
      </w:r>
      <w:r>
        <w:rPr>
          <w:rFonts w:ascii="仿宋" w:hAnsi="仿宋" w:eastAsia="仿宋" w:cs="仿宋"/>
          <w:spacing w:val="-6"/>
          <w:sz w:val="24"/>
          <w:szCs w:val="24"/>
        </w:rPr>
        <w:t>口小肚大，</w:t>
      </w:r>
      <w:r>
        <w:rPr>
          <w:rFonts w:ascii="仿宋" w:hAnsi="仿宋" w:eastAsia="仿宋" w:cs="仿宋"/>
          <w:spacing w:val="-63"/>
          <w:sz w:val="24"/>
          <w:szCs w:val="24"/>
        </w:rPr>
        <w:t xml:space="preserve"> </w:t>
      </w:r>
      <w:r>
        <w:rPr>
          <w:rFonts w:ascii="仿宋" w:hAnsi="仿宋" w:eastAsia="仿宋" w:cs="仿宋"/>
          <w:spacing w:val="-6"/>
          <w:sz w:val="24"/>
          <w:szCs w:val="24"/>
        </w:rPr>
        <w:t>口边微厚且略向外</w:t>
      </w:r>
      <w:r>
        <w:rPr>
          <w:rFonts w:ascii="仿宋" w:hAnsi="仿宋" w:eastAsia="仿宋" w:cs="仿宋"/>
          <w:spacing w:val="-4"/>
          <w:sz w:val="24"/>
          <w:szCs w:val="24"/>
        </w:rPr>
        <w:t>翻而平滑。</w:t>
      </w:r>
    </w:p>
    <w:p w14:paraId="11859A77">
      <w:pPr>
        <w:spacing w:line="276" w:lineRule="auto"/>
        <w:jc w:val="right"/>
        <w:rPr>
          <w:rFonts w:ascii="仿宋" w:hAnsi="仿宋" w:eastAsia="仿宋" w:cs="仿宋"/>
          <w:sz w:val="24"/>
          <w:szCs w:val="24"/>
        </w:rPr>
      </w:pPr>
      <w:r>
        <w:rPr>
          <w:rFonts w:ascii="仿宋" w:hAnsi="仿宋" w:eastAsia="仿宋" w:cs="仿宋"/>
          <w:b/>
          <w:bCs/>
          <w:spacing w:val="-5"/>
          <w:sz w:val="24"/>
          <w:szCs w:val="24"/>
        </w:rPr>
        <w:t>金属罐</w:t>
      </w:r>
      <w:r>
        <w:rPr>
          <w:rFonts w:ascii="仿宋" w:hAnsi="仿宋" w:eastAsia="仿宋" w:cs="仿宋"/>
          <w:spacing w:val="-5"/>
          <w:sz w:val="24"/>
          <w:szCs w:val="24"/>
        </w:rPr>
        <w:t xml:space="preserve">  分铜罐、铁罐，用铜或铁皮为原料制成的罐具。形状如竹罐，口径大小不一。</w:t>
      </w:r>
    </w:p>
    <w:p w14:paraId="296A9096">
      <w:pPr>
        <w:spacing w:before="115" w:line="276" w:lineRule="auto"/>
        <w:ind w:left="499"/>
        <w:rPr>
          <w:rFonts w:ascii="仿宋" w:hAnsi="仿宋" w:eastAsia="仿宋" w:cs="仿宋"/>
          <w:sz w:val="24"/>
          <w:szCs w:val="24"/>
        </w:rPr>
      </w:pPr>
      <w:r>
        <w:rPr>
          <w:rFonts w:ascii="仿宋" w:hAnsi="仿宋" w:eastAsia="仿宋" w:cs="仿宋"/>
          <w:b/>
          <w:bCs/>
          <w:spacing w:val="-1"/>
          <w:sz w:val="24"/>
          <w:szCs w:val="24"/>
        </w:rPr>
        <w:t>橡胶罐</w:t>
      </w:r>
      <w:r>
        <w:rPr>
          <w:rFonts w:ascii="仿宋" w:hAnsi="仿宋" w:eastAsia="仿宋" w:cs="仿宋"/>
          <w:spacing w:val="-1"/>
          <w:sz w:val="24"/>
          <w:szCs w:val="24"/>
        </w:rPr>
        <w:t xml:space="preserve">  仿照玻璃罐的形状，以橡胶为原料制作的罐具。</w:t>
      </w:r>
    </w:p>
    <w:p w14:paraId="7F94227C">
      <w:pPr>
        <w:spacing w:before="114" w:line="276" w:lineRule="auto"/>
        <w:ind w:left="514"/>
        <w:rPr>
          <w:rFonts w:ascii="仿宋" w:hAnsi="仿宋" w:eastAsia="仿宋" w:cs="仿宋"/>
          <w:sz w:val="24"/>
          <w:szCs w:val="24"/>
        </w:rPr>
      </w:pPr>
      <w:r>
        <w:rPr>
          <w:rFonts w:ascii="仿宋" w:hAnsi="仿宋" w:eastAsia="仿宋" w:cs="仿宋"/>
          <w:b/>
          <w:bCs/>
          <w:spacing w:val="-1"/>
          <w:sz w:val="24"/>
          <w:szCs w:val="24"/>
        </w:rPr>
        <w:t>生物陶瓷火罐</w:t>
      </w:r>
      <w:r>
        <w:rPr>
          <w:rFonts w:ascii="仿宋" w:hAnsi="仿宋" w:eastAsia="仿宋" w:cs="仿宋"/>
          <w:spacing w:val="-1"/>
          <w:sz w:val="24"/>
          <w:szCs w:val="24"/>
        </w:rPr>
        <w:t xml:space="preserve">  选用多种氧化聚合物，配合其他辅助材料</w:t>
      </w:r>
      <w:r>
        <w:rPr>
          <w:rFonts w:ascii="仿宋" w:hAnsi="仿宋" w:eastAsia="仿宋" w:cs="仿宋"/>
          <w:spacing w:val="-2"/>
          <w:sz w:val="24"/>
          <w:szCs w:val="24"/>
        </w:rPr>
        <w:t>烧制而成的罐具。</w:t>
      </w:r>
    </w:p>
    <w:p w14:paraId="1635BD12">
      <w:pPr>
        <w:spacing w:before="113" w:line="276" w:lineRule="auto"/>
        <w:ind w:left="511"/>
        <w:rPr>
          <w:rFonts w:ascii="仿宋" w:hAnsi="仿宋" w:eastAsia="仿宋" w:cs="仿宋"/>
          <w:sz w:val="24"/>
          <w:szCs w:val="24"/>
        </w:rPr>
      </w:pPr>
      <w:r>
        <w:rPr>
          <w:rFonts w:ascii="仿宋" w:hAnsi="仿宋" w:eastAsia="仿宋" w:cs="仿宋"/>
          <w:b/>
          <w:bCs/>
          <w:spacing w:val="-2"/>
          <w:sz w:val="24"/>
          <w:szCs w:val="24"/>
        </w:rPr>
        <w:t>塑料罐</w:t>
      </w:r>
      <w:r>
        <w:rPr>
          <w:rFonts w:ascii="仿宋" w:hAnsi="仿宋" w:eastAsia="仿宋" w:cs="仿宋"/>
          <w:spacing w:val="-2"/>
          <w:sz w:val="24"/>
          <w:szCs w:val="24"/>
        </w:rPr>
        <w:t xml:space="preserve">  用塑料或以塑料为主的原料制成的罐具。</w:t>
      </w:r>
    </w:p>
    <w:p w14:paraId="24B89400">
      <w:pPr>
        <w:spacing w:before="114" w:line="276" w:lineRule="auto"/>
        <w:ind w:left="505"/>
        <w:rPr>
          <w:rFonts w:ascii="仿宋" w:hAnsi="仿宋" w:eastAsia="仿宋" w:cs="仿宋"/>
          <w:sz w:val="24"/>
          <w:szCs w:val="24"/>
        </w:rPr>
      </w:pPr>
      <w:r>
        <w:rPr>
          <w:rFonts w:ascii="仿宋" w:hAnsi="仿宋" w:eastAsia="仿宋" w:cs="仿宋"/>
          <w:b/>
          <w:bCs/>
          <w:spacing w:val="-5"/>
          <w:sz w:val="24"/>
          <w:szCs w:val="24"/>
        </w:rPr>
        <w:t>（2）项目组意见</w:t>
      </w:r>
    </w:p>
    <w:p w14:paraId="677FAC68">
      <w:pPr>
        <w:spacing w:before="109" w:line="276" w:lineRule="auto"/>
        <w:ind w:left="506"/>
        <w:rPr>
          <w:rFonts w:ascii="宋体" w:hAnsi="宋体" w:eastAsia="宋体" w:cs="宋体"/>
          <w:sz w:val="20"/>
          <w:szCs w:val="20"/>
        </w:rPr>
      </w:pPr>
      <w:r>
        <w:rPr>
          <w:rFonts w:ascii="仿宋" w:hAnsi="仿宋" w:eastAsia="仿宋" w:cs="仿宋"/>
          <w:b/>
          <w:bCs/>
          <w:sz w:val="24"/>
          <w:szCs w:val="24"/>
        </w:rPr>
        <w:t>角罐</w:t>
      </w:r>
      <w:r>
        <w:rPr>
          <w:rFonts w:ascii="仿宋" w:hAnsi="仿宋" w:eastAsia="仿宋" w:cs="仿宋"/>
          <w:sz w:val="24"/>
          <w:szCs w:val="24"/>
        </w:rPr>
        <w:t xml:space="preserve">  用牛角或羊角加工制</w:t>
      </w:r>
      <w:r>
        <w:rPr>
          <w:rFonts w:ascii="宋体" w:hAnsi="宋体" w:eastAsia="宋体" w:cs="宋体"/>
          <w:sz w:val="20"/>
          <w:szCs w:val="20"/>
        </w:rPr>
        <w:t>成的罐具。</w:t>
      </w:r>
    </w:p>
    <w:p w14:paraId="677D4DD3">
      <w:pPr>
        <w:spacing w:before="110" w:line="276" w:lineRule="auto"/>
        <w:ind w:left="24" w:right="83" w:firstLine="478"/>
        <w:rPr>
          <w:rFonts w:ascii="仿宋" w:hAnsi="仿宋" w:eastAsia="仿宋" w:cs="仿宋"/>
          <w:sz w:val="24"/>
          <w:szCs w:val="24"/>
        </w:rPr>
      </w:pPr>
      <w:r>
        <w:rPr>
          <w:rFonts w:ascii="仿宋" w:hAnsi="仿宋" w:eastAsia="仿宋" w:cs="仿宋"/>
          <w:b/>
          <w:bCs/>
          <w:spacing w:val="-1"/>
          <w:sz w:val="24"/>
          <w:szCs w:val="24"/>
        </w:rPr>
        <w:t>竹罐</w:t>
      </w:r>
      <w:r>
        <w:rPr>
          <w:rFonts w:ascii="仿宋" w:hAnsi="仿宋" w:eastAsia="仿宋" w:cs="仿宋"/>
          <w:spacing w:val="-1"/>
          <w:sz w:val="24"/>
          <w:szCs w:val="24"/>
        </w:rPr>
        <w:t xml:space="preserve">  由成熟的竹子制成。其优点是轻巧，价廉，取材容易，制作简单且有耐煮的特性；缺点是容易爆裂漏气，且质地不透明，难以观察罐内皮肤的变化情况。竹罐容易吸附药物，在煮药罐法中常用，可根据不同的疾病使用不同的药物煮罐，以提高疗效。</w:t>
      </w:r>
    </w:p>
    <w:p w14:paraId="4A555EDA">
      <w:pPr>
        <w:spacing w:before="1" w:line="276" w:lineRule="auto"/>
        <w:ind w:left="20" w:right="6" w:firstLine="491"/>
        <w:jc w:val="both"/>
        <w:rPr>
          <w:rFonts w:ascii="仿宋" w:hAnsi="仿宋" w:eastAsia="仿宋" w:cs="仿宋"/>
          <w:sz w:val="24"/>
          <w:szCs w:val="24"/>
        </w:rPr>
      </w:pPr>
      <w:r>
        <w:rPr>
          <w:rFonts w:ascii="仿宋" w:hAnsi="仿宋" w:eastAsia="仿宋" w:cs="仿宋"/>
          <w:b/>
          <w:bCs/>
          <w:spacing w:val="-5"/>
          <w:sz w:val="24"/>
          <w:szCs w:val="24"/>
        </w:rPr>
        <w:t>陶罐</w:t>
      </w:r>
      <w:r>
        <w:rPr>
          <w:rFonts w:ascii="仿宋" w:hAnsi="仿宋" w:eastAsia="仿宋" w:cs="仿宋"/>
          <w:spacing w:val="-5"/>
          <w:sz w:val="24"/>
          <w:szCs w:val="24"/>
        </w:rPr>
        <w:t xml:space="preserve">  陶罐由陶土烧制而成，罐口平滑，形如木体，口底稍小，腔</w:t>
      </w:r>
      <w:r>
        <w:rPr>
          <w:rFonts w:ascii="仿宋" w:hAnsi="仿宋" w:eastAsia="仿宋" w:cs="仿宋"/>
          <w:spacing w:val="-6"/>
          <w:sz w:val="24"/>
          <w:szCs w:val="24"/>
        </w:rPr>
        <w:t>大如鼓，有大、中、</w:t>
      </w:r>
      <w:r>
        <w:rPr>
          <w:rFonts w:ascii="仿宋" w:hAnsi="仿宋" w:eastAsia="仿宋" w:cs="仿宋"/>
          <w:spacing w:val="-1"/>
          <w:sz w:val="24"/>
          <w:szCs w:val="24"/>
        </w:rPr>
        <w:t>小和特小几种类型。其优点是吸拔力较大、易于高温消毒，适用于全身各部的拔罐：缺点是陶罐体较重，易于破碎，且质地不透明。陶罐较大的吸拔力对体质壮盛的患者或某些深</w:t>
      </w:r>
      <w:r>
        <w:rPr>
          <w:rFonts w:ascii="仿宋" w:hAnsi="仿宋" w:eastAsia="仿宋" w:cs="仿宋"/>
          <w:spacing w:val="-2"/>
          <w:sz w:val="24"/>
          <w:szCs w:val="24"/>
        </w:rPr>
        <w:t>部疾病具有良好的疗效。</w:t>
      </w:r>
    </w:p>
    <w:p w14:paraId="39696341">
      <w:pPr>
        <w:spacing w:line="276" w:lineRule="auto"/>
        <w:ind w:left="23" w:right="83" w:firstLine="478"/>
        <w:jc w:val="both"/>
        <w:rPr>
          <w:rFonts w:ascii="仿宋" w:hAnsi="仿宋" w:eastAsia="仿宋" w:cs="仿宋"/>
          <w:sz w:val="24"/>
          <w:szCs w:val="24"/>
        </w:rPr>
      </w:pPr>
      <w:r>
        <w:rPr>
          <w:rFonts w:ascii="仿宋" w:hAnsi="仿宋" w:eastAsia="仿宋" w:cs="仿宋"/>
          <w:b/>
          <w:bCs/>
          <w:spacing w:val="-4"/>
          <w:sz w:val="24"/>
          <w:szCs w:val="24"/>
        </w:rPr>
        <w:t>玻璃罐</w:t>
      </w:r>
      <w:r>
        <w:rPr>
          <w:rFonts w:ascii="仿宋" w:hAnsi="仿宋" w:eastAsia="仿宋" w:cs="仿宋"/>
          <w:spacing w:val="113"/>
          <w:sz w:val="24"/>
          <w:szCs w:val="24"/>
        </w:rPr>
        <w:t xml:space="preserve"> </w:t>
      </w:r>
      <w:r>
        <w:rPr>
          <w:rFonts w:ascii="仿宋" w:hAnsi="仿宋" w:eastAsia="仿宋" w:cs="仿宋"/>
          <w:spacing w:val="-4"/>
          <w:sz w:val="24"/>
          <w:szCs w:val="24"/>
        </w:rPr>
        <w:t>玻璃罐由耐热质硬的透明玻璃烧制而成，罐口平滑，</w:t>
      </w:r>
      <w:r>
        <w:rPr>
          <w:rFonts w:ascii="仿宋" w:hAnsi="仿宋" w:eastAsia="仿宋" w:cs="仿宋"/>
          <w:spacing w:val="-61"/>
          <w:sz w:val="24"/>
          <w:szCs w:val="24"/>
        </w:rPr>
        <w:t xml:space="preserve"> </w:t>
      </w:r>
      <w:r>
        <w:rPr>
          <w:rFonts w:ascii="仿宋" w:hAnsi="仿宋" w:eastAsia="仿宋" w:cs="仿宋"/>
          <w:spacing w:val="-4"/>
          <w:sz w:val="24"/>
          <w:szCs w:val="24"/>
        </w:rPr>
        <w:t>口平腔大底圆，</w:t>
      </w:r>
      <w:r>
        <w:rPr>
          <w:rFonts w:ascii="仿宋" w:hAnsi="仿宋" w:eastAsia="仿宋" w:cs="仿宋"/>
          <w:spacing w:val="-61"/>
          <w:sz w:val="24"/>
          <w:szCs w:val="24"/>
        </w:rPr>
        <w:t xml:space="preserve"> </w:t>
      </w:r>
      <w:r>
        <w:rPr>
          <w:rFonts w:ascii="仿宋" w:hAnsi="仿宋" w:eastAsia="仿宋" w:cs="仿宋"/>
          <w:spacing w:val="-4"/>
          <w:sz w:val="24"/>
          <w:szCs w:val="24"/>
        </w:rPr>
        <w:t>口缘稍</w:t>
      </w:r>
      <w:r>
        <w:rPr>
          <w:rFonts w:ascii="仿宋" w:hAnsi="仿宋" w:eastAsia="仿宋" w:cs="仿宋"/>
          <w:spacing w:val="-1"/>
          <w:sz w:val="24"/>
          <w:szCs w:val="24"/>
        </w:rPr>
        <w:t>厚略外翻，内外光滑。其优点是质地透明，使用时可以随时观察罐内皮肤瘀血的程度：缺点是传热较快，容易摔碎。玻璃罐临床广泛应用于刺络放血拔罐及推拿罐等，对于瘀阻性</w:t>
      </w:r>
      <w:r>
        <w:rPr>
          <w:rFonts w:ascii="仿宋" w:hAnsi="仿宋" w:eastAsia="仿宋" w:cs="仿宋"/>
          <w:spacing w:val="-2"/>
          <w:sz w:val="24"/>
          <w:szCs w:val="24"/>
        </w:rPr>
        <w:t>疾病及寒凝病症具有良好的疗效。</w:t>
      </w:r>
    </w:p>
    <w:p w14:paraId="10E6F008">
      <w:pPr>
        <w:spacing w:line="276" w:lineRule="auto"/>
        <w:ind w:left="22" w:firstLine="478"/>
        <w:rPr>
          <w:rFonts w:ascii="仿宋" w:hAnsi="仿宋" w:eastAsia="仿宋" w:cs="仿宋"/>
          <w:sz w:val="24"/>
          <w:szCs w:val="24"/>
        </w:rPr>
      </w:pPr>
      <w:r>
        <w:rPr>
          <w:rFonts w:ascii="仿宋" w:hAnsi="仿宋" w:eastAsia="仿宋" w:cs="仿宋"/>
          <w:b/>
          <w:bCs/>
          <w:spacing w:val="-8"/>
          <w:sz w:val="24"/>
          <w:szCs w:val="24"/>
        </w:rPr>
        <w:t>金属罐</w:t>
      </w:r>
      <w:r>
        <w:rPr>
          <w:rFonts w:ascii="仿宋" w:hAnsi="仿宋" w:eastAsia="仿宋" w:cs="仿宋"/>
          <w:spacing w:val="115"/>
          <w:sz w:val="24"/>
          <w:szCs w:val="24"/>
        </w:rPr>
        <w:t xml:space="preserve"> </w:t>
      </w:r>
      <w:r>
        <w:rPr>
          <w:rFonts w:ascii="仿宋" w:hAnsi="仿宋" w:eastAsia="仿宋" w:cs="仿宋"/>
          <w:spacing w:val="-8"/>
          <w:sz w:val="24"/>
          <w:szCs w:val="24"/>
        </w:rPr>
        <w:t>分为铜罐、铁罐，用钢或铁皮为原料制成。其形状如玻璃罐，口径大小不 一。</w:t>
      </w:r>
      <w:r>
        <w:rPr>
          <w:rFonts w:ascii="仿宋" w:hAnsi="仿宋" w:eastAsia="仿宋" w:cs="仿宋"/>
          <w:spacing w:val="-1"/>
          <w:sz w:val="24"/>
          <w:szCs w:val="24"/>
        </w:rPr>
        <w:t>其中铜罐比较常用。金属罐的特点是耐用，导热比较快。</w:t>
      </w:r>
    </w:p>
    <w:p w14:paraId="43DA6254">
      <w:pPr>
        <w:spacing w:line="276" w:lineRule="auto"/>
        <w:rPr>
          <w:rFonts w:ascii="仿宋" w:hAnsi="仿宋" w:eastAsia="仿宋" w:cs="仿宋"/>
          <w:sz w:val="24"/>
          <w:szCs w:val="24"/>
        </w:rPr>
        <w:sectPr>
          <w:footerReference r:id="rId12" w:type="default"/>
          <w:pgSz w:w="11906" w:h="16839"/>
          <w:pgMar w:top="1431" w:right="1051" w:bottom="1362" w:left="1414" w:header="0" w:footer="1200" w:gutter="0"/>
          <w:cols w:space="720" w:num="1"/>
        </w:sectPr>
      </w:pPr>
    </w:p>
    <w:p w14:paraId="08D0BED1">
      <w:pPr>
        <w:spacing w:before="101" w:line="276" w:lineRule="auto"/>
        <w:ind w:left="24" w:firstLine="480"/>
        <w:rPr>
          <w:rFonts w:ascii="仿宋" w:hAnsi="仿宋" w:eastAsia="仿宋" w:cs="仿宋"/>
          <w:sz w:val="24"/>
          <w:szCs w:val="24"/>
        </w:rPr>
      </w:pPr>
      <w:r>
        <w:rPr>
          <w:rFonts w:ascii="仿宋" w:hAnsi="仿宋" w:eastAsia="仿宋" w:cs="仿宋"/>
          <w:b/>
          <w:bCs/>
          <w:spacing w:val="5"/>
          <w:sz w:val="24"/>
          <w:szCs w:val="24"/>
        </w:rPr>
        <w:t>生物陶瓷火罐</w:t>
      </w:r>
      <w:r>
        <w:rPr>
          <w:rFonts w:ascii="仿宋" w:hAnsi="仿宋" w:eastAsia="仿宋" w:cs="仿宋"/>
          <w:spacing w:val="5"/>
          <w:sz w:val="24"/>
          <w:szCs w:val="24"/>
        </w:rPr>
        <w:t xml:space="preserve">  生物陶瓷火罐是选用多种氧化聚合物，配合其他辅助材料烧制而成</w:t>
      </w:r>
      <w:r>
        <w:rPr>
          <w:rFonts w:ascii="仿宋" w:hAnsi="仿宋" w:eastAsia="仿宋" w:cs="仿宋"/>
          <w:spacing w:val="-15"/>
          <w:sz w:val="24"/>
          <w:szCs w:val="24"/>
        </w:rPr>
        <w:t>的。</w:t>
      </w:r>
    </w:p>
    <w:p w14:paraId="3BB97AC7">
      <w:pPr>
        <w:spacing w:before="1" w:line="276" w:lineRule="auto"/>
        <w:ind w:left="19" w:firstLine="481"/>
        <w:rPr>
          <w:rFonts w:ascii="仿宋" w:hAnsi="仿宋" w:eastAsia="仿宋" w:cs="仿宋"/>
          <w:sz w:val="24"/>
          <w:szCs w:val="24"/>
        </w:rPr>
      </w:pPr>
      <w:r>
        <w:rPr>
          <w:rFonts w:ascii="仿宋" w:hAnsi="仿宋" w:eastAsia="仿宋" w:cs="仿宋"/>
          <w:b/>
          <w:bCs/>
          <w:spacing w:val="-1"/>
          <w:sz w:val="24"/>
          <w:szCs w:val="24"/>
        </w:rPr>
        <w:t>塑胶罐</w:t>
      </w:r>
      <w:r>
        <w:rPr>
          <w:rFonts w:ascii="仿宋" w:hAnsi="仿宋" w:eastAsia="仿宋" w:cs="仿宋"/>
          <w:spacing w:val="-1"/>
          <w:sz w:val="24"/>
          <w:szCs w:val="24"/>
        </w:rPr>
        <w:t xml:space="preserve">  由塑胶或以塑胶为主的原料制成，价格便宜，不易摔坏。现代临</w:t>
      </w:r>
      <w:r>
        <w:rPr>
          <w:rFonts w:ascii="仿宋" w:hAnsi="仿宋" w:eastAsia="仿宋" w:cs="仿宋"/>
          <w:spacing w:val="-2"/>
          <w:sz w:val="24"/>
          <w:szCs w:val="24"/>
        </w:rPr>
        <w:t>床常用的抽</w:t>
      </w:r>
      <w:r>
        <w:rPr>
          <w:rFonts w:ascii="仿宋" w:hAnsi="仿宋" w:eastAsia="仿宋" w:cs="仿宋"/>
          <w:spacing w:val="-3"/>
          <w:sz w:val="24"/>
          <w:szCs w:val="24"/>
        </w:rPr>
        <w:t>气罐多用塑料制成。</w:t>
      </w:r>
    </w:p>
    <w:p w14:paraId="488C2555">
      <w:pPr>
        <w:spacing w:line="276" w:lineRule="auto"/>
        <w:ind w:left="485"/>
        <w:rPr>
          <w:rFonts w:ascii="仿宋" w:hAnsi="仿宋" w:eastAsia="仿宋" w:cs="仿宋"/>
          <w:sz w:val="24"/>
          <w:szCs w:val="24"/>
        </w:rPr>
      </w:pPr>
      <w:r>
        <w:rPr>
          <w:rFonts w:ascii="仿宋" w:hAnsi="仿宋" w:eastAsia="仿宋" w:cs="仿宋"/>
          <w:b/>
          <w:bCs/>
          <w:spacing w:val="-4"/>
          <w:sz w:val="24"/>
          <w:szCs w:val="24"/>
        </w:rPr>
        <w:t>2.专家论证意见</w:t>
      </w:r>
    </w:p>
    <w:p w14:paraId="18828B4D">
      <w:pPr>
        <w:spacing w:before="111" w:line="276" w:lineRule="auto"/>
        <w:ind w:left="495"/>
        <w:rPr>
          <w:rFonts w:ascii="仿宋" w:hAnsi="仿宋" w:eastAsia="仿宋" w:cs="仿宋"/>
          <w:sz w:val="24"/>
          <w:szCs w:val="24"/>
        </w:rPr>
      </w:pPr>
      <w:r>
        <w:rPr>
          <w:rFonts w:ascii="仿宋" w:hAnsi="仿宋" w:eastAsia="仿宋" w:cs="仿宋"/>
          <w:spacing w:val="-3"/>
          <w:sz w:val="24"/>
          <w:szCs w:val="24"/>
        </w:rPr>
        <w:t>（1）专家论证结果</w:t>
      </w:r>
    </w:p>
    <w:p w14:paraId="23DF500A">
      <w:pPr>
        <w:spacing w:before="111" w:line="276" w:lineRule="auto"/>
        <w:ind w:left="496"/>
        <w:rPr>
          <w:rFonts w:ascii="仿宋" w:hAnsi="仿宋" w:eastAsia="仿宋" w:cs="仿宋"/>
          <w:sz w:val="24"/>
          <w:szCs w:val="24"/>
        </w:rPr>
      </w:pPr>
      <w:r>
        <w:rPr>
          <w:rFonts w:ascii="仿宋" w:hAnsi="仿宋" w:eastAsia="仿宋" w:cs="仿宋"/>
          <w:spacing w:val="-5"/>
          <w:sz w:val="24"/>
          <w:szCs w:val="24"/>
        </w:rPr>
        <w:t>全体</w:t>
      </w:r>
      <w:r>
        <w:rPr>
          <w:rFonts w:ascii="仿宋" w:hAnsi="仿宋" w:eastAsia="仿宋" w:cs="仿宋"/>
          <w:spacing w:val="-34"/>
          <w:sz w:val="24"/>
          <w:szCs w:val="24"/>
        </w:rPr>
        <w:t xml:space="preserve"> </w:t>
      </w:r>
      <w:r>
        <w:rPr>
          <w:rFonts w:ascii="仿宋" w:hAnsi="仿宋" w:eastAsia="仿宋" w:cs="仿宋"/>
          <w:spacing w:val="-5"/>
          <w:sz w:val="24"/>
          <w:szCs w:val="24"/>
        </w:rPr>
        <w:t>13</w:t>
      </w:r>
      <w:r>
        <w:rPr>
          <w:rFonts w:ascii="仿宋" w:hAnsi="仿宋" w:eastAsia="仿宋" w:cs="仿宋"/>
          <w:spacing w:val="-43"/>
          <w:sz w:val="24"/>
          <w:szCs w:val="24"/>
        </w:rPr>
        <w:t xml:space="preserve"> </w:t>
      </w:r>
      <w:r>
        <w:rPr>
          <w:rFonts w:ascii="仿宋" w:hAnsi="仿宋" w:eastAsia="仿宋" w:cs="仿宋"/>
          <w:spacing w:val="-5"/>
          <w:sz w:val="24"/>
          <w:szCs w:val="24"/>
        </w:rPr>
        <w:t>位专家一致同意（2</w:t>
      </w:r>
      <w:r>
        <w:rPr>
          <w:rFonts w:ascii="仿宋" w:hAnsi="仿宋" w:eastAsia="仿宋" w:cs="仿宋"/>
          <w:spacing w:val="-41"/>
          <w:sz w:val="24"/>
          <w:szCs w:val="24"/>
        </w:rPr>
        <w:t xml:space="preserve"> </w:t>
      </w:r>
      <w:r>
        <w:rPr>
          <w:rFonts w:ascii="仿宋" w:hAnsi="仿宋" w:eastAsia="仿宋" w:cs="仿宋"/>
          <w:spacing w:val="-5"/>
          <w:sz w:val="24"/>
          <w:szCs w:val="24"/>
        </w:rPr>
        <w:t>分/须选</w:t>
      </w:r>
      <w:r>
        <w:rPr>
          <w:rFonts w:ascii="仿宋" w:hAnsi="仿宋" w:eastAsia="仿宋" w:cs="仿宋"/>
          <w:spacing w:val="8"/>
          <w:sz w:val="24"/>
          <w:szCs w:val="24"/>
        </w:rPr>
        <w:t>），</w:t>
      </w:r>
      <w:r>
        <w:rPr>
          <w:rFonts w:ascii="仿宋" w:hAnsi="仿宋" w:eastAsia="仿宋" w:cs="仿宋"/>
          <w:spacing w:val="-5"/>
          <w:sz w:val="24"/>
          <w:szCs w:val="24"/>
        </w:rPr>
        <w:t>支持率</w:t>
      </w:r>
      <w:r>
        <w:rPr>
          <w:rFonts w:ascii="仿宋" w:hAnsi="仿宋" w:eastAsia="仿宋" w:cs="仿宋"/>
          <w:spacing w:val="-34"/>
          <w:sz w:val="24"/>
          <w:szCs w:val="24"/>
        </w:rPr>
        <w:t xml:space="preserve"> </w:t>
      </w:r>
      <w:r>
        <w:rPr>
          <w:rFonts w:ascii="仿宋" w:hAnsi="仿宋" w:eastAsia="仿宋" w:cs="仿宋"/>
          <w:spacing w:val="-5"/>
          <w:sz w:val="24"/>
          <w:szCs w:val="24"/>
        </w:rPr>
        <w:t>100</w:t>
      </w:r>
      <w:r>
        <w:rPr>
          <w:rFonts w:ascii="仿宋" w:hAnsi="仿宋" w:eastAsia="仿宋" w:cs="仿宋"/>
          <w:spacing w:val="-6"/>
          <w:sz w:val="24"/>
          <w:szCs w:val="24"/>
        </w:rPr>
        <w:t>%。</w:t>
      </w:r>
    </w:p>
    <w:p w14:paraId="2F5D3C8E">
      <w:pPr>
        <w:spacing w:before="110" w:line="276" w:lineRule="auto"/>
        <w:ind w:left="495"/>
        <w:rPr>
          <w:rFonts w:ascii="仿宋" w:hAnsi="仿宋" w:eastAsia="仿宋" w:cs="仿宋"/>
          <w:sz w:val="24"/>
          <w:szCs w:val="24"/>
        </w:rPr>
      </w:pPr>
      <w:r>
        <w:rPr>
          <w:rFonts w:ascii="仿宋" w:hAnsi="仿宋" w:eastAsia="仿宋" w:cs="仿宋"/>
          <w:spacing w:val="-3"/>
          <w:sz w:val="24"/>
          <w:szCs w:val="24"/>
        </w:rPr>
        <w:t>（2）主要修改建议</w:t>
      </w:r>
    </w:p>
    <w:p w14:paraId="70B71F81">
      <w:pPr>
        <w:spacing w:before="111" w:line="276" w:lineRule="auto"/>
        <w:ind w:left="490"/>
        <w:rPr>
          <w:rFonts w:ascii="仿宋" w:hAnsi="仿宋" w:eastAsia="仿宋" w:cs="仿宋"/>
          <w:sz w:val="24"/>
          <w:szCs w:val="24"/>
        </w:rPr>
      </w:pPr>
      <w:r>
        <w:rPr>
          <w:rFonts w:ascii="仿宋" w:hAnsi="仿宋" w:eastAsia="仿宋" w:cs="仿宋"/>
          <w:spacing w:val="-1"/>
          <w:sz w:val="24"/>
          <w:szCs w:val="24"/>
        </w:rPr>
        <w:t>戴启刚：只表述材质，不描述形状。</w:t>
      </w:r>
    </w:p>
    <w:p w14:paraId="1B761F14">
      <w:pPr>
        <w:spacing w:before="111" w:line="276" w:lineRule="auto"/>
        <w:ind w:left="487"/>
        <w:rPr>
          <w:rFonts w:ascii="仿宋" w:hAnsi="仿宋" w:eastAsia="仿宋" w:cs="仿宋"/>
          <w:sz w:val="24"/>
          <w:szCs w:val="24"/>
        </w:rPr>
      </w:pPr>
      <w:r>
        <w:rPr>
          <w:rFonts w:ascii="仿宋" w:hAnsi="仿宋" w:eastAsia="仿宋" w:cs="仿宋"/>
          <w:b/>
          <w:bCs/>
          <w:spacing w:val="-4"/>
          <w:sz w:val="24"/>
          <w:szCs w:val="24"/>
        </w:rPr>
        <w:t>3.项目组决议</w:t>
      </w:r>
    </w:p>
    <w:p w14:paraId="6B7EA375">
      <w:pPr>
        <w:spacing w:before="108" w:line="276" w:lineRule="auto"/>
        <w:ind w:left="492"/>
        <w:rPr>
          <w:rFonts w:ascii="仿宋" w:hAnsi="仿宋" w:eastAsia="仿宋" w:cs="仿宋"/>
          <w:sz w:val="24"/>
          <w:szCs w:val="24"/>
        </w:rPr>
      </w:pPr>
      <w:r>
        <w:rPr>
          <w:rFonts w:ascii="仿宋" w:hAnsi="仿宋" w:eastAsia="仿宋" w:cs="仿宋"/>
          <w:spacing w:val="-1"/>
          <w:sz w:val="24"/>
          <w:szCs w:val="24"/>
        </w:rPr>
        <w:t>采纳专家意见，适当删减文字，使行文更加规范统一。</w:t>
      </w:r>
    </w:p>
    <w:p w14:paraId="43E5E797">
      <w:pPr>
        <w:spacing w:before="114" w:line="276" w:lineRule="auto"/>
        <w:ind w:left="518"/>
        <w:rPr>
          <w:rFonts w:ascii="仿宋" w:hAnsi="仿宋" w:eastAsia="仿宋" w:cs="仿宋"/>
          <w:sz w:val="24"/>
          <w:szCs w:val="24"/>
        </w:rPr>
      </w:pPr>
      <w:r>
        <w:rPr>
          <w:rFonts w:ascii="仿宋" w:hAnsi="仿宋" w:eastAsia="仿宋" w:cs="仿宋"/>
          <w:b/>
          <w:bCs/>
          <w:spacing w:val="-6"/>
          <w:sz w:val="24"/>
          <w:szCs w:val="24"/>
        </w:rPr>
        <w:t>四、开放性问题专家决议</w:t>
      </w:r>
    </w:p>
    <w:p w14:paraId="3FA5CB7A">
      <w:pPr>
        <w:spacing w:before="114" w:line="276" w:lineRule="auto"/>
        <w:ind w:left="495"/>
        <w:rPr>
          <w:rFonts w:ascii="宋体" w:hAnsi="宋体" w:eastAsia="宋体" w:cs="宋体"/>
          <w:sz w:val="20"/>
          <w:szCs w:val="20"/>
        </w:rPr>
      </w:pPr>
      <w:r>
        <w:rPr>
          <w:rFonts w:ascii="仿宋" w:hAnsi="仿宋" w:eastAsia="仿宋" w:cs="仿宋"/>
          <w:b/>
          <w:bCs/>
          <w:spacing w:val="-1"/>
          <w:sz w:val="24"/>
          <w:szCs w:val="24"/>
        </w:rPr>
        <w:t>（一）条目</w:t>
      </w:r>
      <w:r>
        <w:rPr>
          <w:rFonts w:ascii="仿宋" w:hAnsi="仿宋" w:eastAsia="仿宋" w:cs="仿宋"/>
          <w:spacing w:val="-32"/>
          <w:sz w:val="24"/>
          <w:szCs w:val="24"/>
        </w:rPr>
        <w:t xml:space="preserve"> </w:t>
      </w:r>
      <w:r>
        <w:rPr>
          <w:rFonts w:ascii="仿宋" w:hAnsi="仿宋" w:eastAsia="仿宋" w:cs="仿宋"/>
          <w:b/>
          <w:bCs/>
          <w:spacing w:val="-1"/>
          <w:sz w:val="24"/>
          <w:szCs w:val="24"/>
        </w:rPr>
        <w:t>1：</w:t>
      </w:r>
      <w:r>
        <w:rPr>
          <w:rFonts w:ascii="宋体" w:hAnsi="宋体" w:eastAsia="宋体" w:cs="宋体"/>
          <w:b/>
          <w:bCs/>
          <w:spacing w:val="-1"/>
          <w:sz w:val="20"/>
          <w:szCs w:val="20"/>
        </w:rPr>
        <w:t>罐具型号选择</w:t>
      </w:r>
    </w:p>
    <w:p w14:paraId="49E02501">
      <w:pPr>
        <w:spacing w:before="108" w:line="276" w:lineRule="auto"/>
        <w:ind w:left="500"/>
        <w:rPr>
          <w:rFonts w:ascii="仿宋" w:hAnsi="仿宋" w:eastAsia="仿宋" w:cs="仿宋"/>
          <w:sz w:val="24"/>
          <w:szCs w:val="24"/>
        </w:rPr>
      </w:pPr>
      <w:r>
        <w:rPr>
          <w:rFonts w:ascii="仿宋" w:hAnsi="仿宋" w:eastAsia="仿宋" w:cs="仿宋"/>
          <w:b/>
          <w:bCs/>
          <w:spacing w:val="-5"/>
          <w:sz w:val="24"/>
          <w:szCs w:val="24"/>
        </w:rPr>
        <w:t>1.征求意见函原文</w:t>
      </w:r>
    </w:p>
    <w:p w14:paraId="4E4FEFB8">
      <w:pPr>
        <w:spacing w:before="112" w:line="276" w:lineRule="auto"/>
        <w:ind w:left="495"/>
        <w:rPr>
          <w:rFonts w:ascii="仿宋" w:hAnsi="仿宋" w:eastAsia="仿宋" w:cs="仿宋"/>
          <w:sz w:val="24"/>
          <w:szCs w:val="24"/>
        </w:rPr>
      </w:pPr>
      <w:r>
        <w:rPr>
          <w:rFonts w:ascii="仿宋" w:hAnsi="仿宋" w:eastAsia="仿宋" w:cs="仿宋"/>
          <w:spacing w:val="-3"/>
          <w:sz w:val="24"/>
          <w:szCs w:val="24"/>
        </w:rPr>
        <w:t>（1）国家标准</w:t>
      </w:r>
    </w:p>
    <w:p w14:paraId="771AA599">
      <w:pPr>
        <w:spacing w:before="113" w:line="276" w:lineRule="auto"/>
        <w:ind w:left="16" w:firstLine="475"/>
        <w:rPr>
          <w:rFonts w:ascii="仿宋" w:hAnsi="仿宋" w:eastAsia="仿宋" w:cs="仿宋"/>
          <w:sz w:val="24"/>
          <w:szCs w:val="24"/>
        </w:rPr>
      </w:pPr>
      <w:r>
        <w:rPr>
          <w:rFonts w:ascii="仿宋" w:hAnsi="仿宋" w:eastAsia="仿宋" w:cs="仿宋"/>
          <w:spacing w:val="-4"/>
          <w:sz w:val="24"/>
          <w:szCs w:val="24"/>
        </w:rPr>
        <w:t>依据患儿年龄或身高体重选择罐器，学龄前以5</w:t>
      </w:r>
      <w:r>
        <w:rPr>
          <w:rFonts w:ascii="仿宋" w:hAnsi="仿宋" w:eastAsia="仿宋" w:cs="仿宋"/>
          <w:spacing w:val="-31"/>
          <w:sz w:val="24"/>
          <w:szCs w:val="24"/>
        </w:rPr>
        <w:t xml:space="preserve"> </w:t>
      </w:r>
      <w:r>
        <w:rPr>
          <w:rFonts w:ascii="仿宋" w:hAnsi="仿宋" w:eastAsia="仿宋" w:cs="仿宋"/>
          <w:spacing w:val="-4"/>
          <w:sz w:val="24"/>
          <w:szCs w:val="24"/>
        </w:rPr>
        <w:t>号罐为主，12</w:t>
      </w:r>
      <w:r>
        <w:rPr>
          <w:rFonts w:ascii="仿宋" w:hAnsi="仿宋" w:eastAsia="仿宋" w:cs="仿宋"/>
          <w:spacing w:val="-40"/>
          <w:sz w:val="24"/>
          <w:szCs w:val="24"/>
        </w:rPr>
        <w:t xml:space="preserve"> </w:t>
      </w:r>
      <w:r>
        <w:rPr>
          <w:rFonts w:ascii="仿宋" w:hAnsi="仿宋" w:eastAsia="仿宋" w:cs="仿宋"/>
          <w:spacing w:val="-4"/>
          <w:sz w:val="24"/>
          <w:szCs w:val="24"/>
        </w:rPr>
        <w:t>岁之前以4</w:t>
      </w:r>
      <w:r>
        <w:rPr>
          <w:rFonts w:ascii="仿宋" w:hAnsi="仿宋" w:eastAsia="仿宋" w:cs="仿宋"/>
          <w:spacing w:val="-39"/>
          <w:sz w:val="24"/>
          <w:szCs w:val="24"/>
        </w:rPr>
        <w:t xml:space="preserve"> </w:t>
      </w:r>
      <w:r>
        <w:rPr>
          <w:rFonts w:ascii="仿宋" w:hAnsi="仿宋" w:eastAsia="仿宋" w:cs="仿宋"/>
          <w:spacing w:val="-4"/>
          <w:sz w:val="24"/>
          <w:szCs w:val="24"/>
        </w:rPr>
        <w:t>号罐为主（5</w:t>
      </w:r>
      <w:r>
        <w:rPr>
          <w:rFonts w:ascii="仿宋" w:hAnsi="仿宋" w:eastAsia="仿宋" w:cs="仿宋"/>
          <w:spacing w:val="-3"/>
          <w:sz w:val="24"/>
          <w:szCs w:val="24"/>
        </w:rPr>
        <w:t>号罐内容积</w:t>
      </w:r>
      <w:r>
        <w:rPr>
          <w:rFonts w:ascii="仿宋" w:hAnsi="仿宋" w:eastAsia="仿宋" w:cs="仿宋"/>
          <w:spacing w:val="-50"/>
          <w:sz w:val="24"/>
          <w:szCs w:val="24"/>
        </w:rPr>
        <w:t xml:space="preserve"> </w:t>
      </w:r>
      <w:r>
        <w:rPr>
          <w:rFonts w:ascii="仿宋" w:hAnsi="仿宋" w:eastAsia="仿宋" w:cs="仿宋"/>
          <w:spacing w:val="-3"/>
          <w:sz w:val="24"/>
          <w:szCs w:val="24"/>
        </w:rPr>
        <w:t>95±4.8</w:t>
      </w:r>
      <w:r>
        <w:rPr>
          <w:rFonts w:ascii="仿宋" w:hAnsi="仿宋" w:eastAsia="仿宋" w:cs="仿宋"/>
          <w:spacing w:val="-36"/>
          <w:sz w:val="24"/>
          <w:szCs w:val="24"/>
        </w:rPr>
        <w:t xml:space="preserve"> </w:t>
      </w:r>
      <w:r>
        <w:rPr>
          <w:rFonts w:ascii="仿宋" w:hAnsi="仿宋" w:eastAsia="仿宋" w:cs="仿宋"/>
          <w:spacing w:val="-3"/>
          <w:sz w:val="24"/>
          <w:szCs w:val="24"/>
        </w:rPr>
        <w:t>毫升，4</w:t>
      </w:r>
      <w:r>
        <w:rPr>
          <w:rFonts w:ascii="仿宋" w:hAnsi="仿宋" w:eastAsia="仿宋" w:cs="仿宋"/>
          <w:spacing w:val="-38"/>
          <w:sz w:val="24"/>
          <w:szCs w:val="24"/>
        </w:rPr>
        <w:t xml:space="preserve"> </w:t>
      </w:r>
      <w:r>
        <w:rPr>
          <w:rFonts w:ascii="仿宋" w:hAnsi="仿宋" w:eastAsia="仿宋" w:cs="仿宋"/>
          <w:spacing w:val="-3"/>
          <w:sz w:val="24"/>
          <w:szCs w:val="24"/>
        </w:rPr>
        <w:t>号罐内容积</w:t>
      </w:r>
      <w:r>
        <w:rPr>
          <w:rFonts w:ascii="仿宋" w:hAnsi="仿宋" w:eastAsia="仿宋" w:cs="仿宋"/>
          <w:spacing w:val="-34"/>
          <w:sz w:val="24"/>
          <w:szCs w:val="24"/>
        </w:rPr>
        <w:t xml:space="preserve"> </w:t>
      </w:r>
      <w:r>
        <w:rPr>
          <w:rFonts w:ascii="仿宋" w:hAnsi="仿宋" w:eastAsia="仿宋" w:cs="仿宋"/>
          <w:spacing w:val="-3"/>
          <w:sz w:val="24"/>
          <w:szCs w:val="24"/>
        </w:rPr>
        <w:t>130±6.5</w:t>
      </w:r>
      <w:r>
        <w:rPr>
          <w:rFonts w:ascii="仿宋" w:hAnsi="仿宋" w:eastAsia="仿宋" w:cs="仿宋"/>
          <w:spacing w:val="-36"/>
          <w:sz w:val="24"/>
          <w:szCs w:val="24"/>
        </w:rPr>
        <w:t xml:space="preserve"> </w:t>
      </w:r>
      <w:r>
        <w:rPr>
          <w:rFonts w:ascii="仿宋" w:hAnsi="仿宋" w:eastAsia="仿宋" w:cs="仿宋"/>
          <w:spacing w:val="-3"/>
          <w:sz w:val="24"/>
          <w:szCs w:val="24"/>
        </w:rPr>
        <w:t>毫升，出处</w:t>
      </w:r>
      <w:r>
        <w:rPr>
          <w:rFonts w:ascii="仿宋" w:hAnsi="仿宋" w:eastAsia="仿宋" w:cs="仿宋"/>
          <w:spacing w:val="-38"/>
          <w:sz w:val="24"/>
          <w:szCs w:val="24"/>
        </w:rPr>
        <w:t xml:space="preserve"> </w:t>
      </w:r>
      <w:r>
        <w:rPr>
          <w:rFonts w:ascii="仿宋" w:hAnsi="仿宋" w:eastAsia="仿宋" w:cs="仿宋"/>
          <w:spacing w:val="-3"/>
          <w:sz w:val="24"/>
          <w:szCs w:val="24"/>
        </w:rPr>
        <w:t>ISO—22213:202</w:t>
      </w:r>
      <w:r>
        <w:rPr>
          <w:rFonts w:ascii="仿宋" w:hAnsi="仿宋" w:eastAsia="仿宋" w:cs="仿宋"/>
          <w:spacing w:val="-4"/>
          <w:sz w:val="24"/>
          <w:szCs w:val="24"/>
        </w:rPr>
        <w:t>0(E)</w:t>
      </w:r>
    </w:p>
    <w:p w14:paraId="1F74F89B">
      <w:pPr>
        <w:spacing w:before="1" w:line="276" w:lineRule="auto"/>
        <w:ind w:left="12" w:right="52" w:hanging="12"/>
        <w:rPr>
          <w:rFonts w:ascii="仿宋" w:hAnsi="仿宋" w:eastAsia="仿宋" w:cs="仿宋"/>
          <w:sz w:val="24"/>
          <w:szCs w:val="24"/>
        </w:rPr>
      </w:pPr>
      <w:r>
        <w:rPr>
          <w:rFonts w:ascii="仿宋" w:hAnsi="仿宋" w:eastAsia="仿宋" w:cs="仿宋"/>
          <w:spacing w:val="-1"/>
          <w:sz w:val="24"/>
          <w:szCs w:val="24"/>
        </w:rPr>
        <w:t>Traditional Chinese medicine — Glass cuppi</w:t>
      </w:r>
      <w:r>
        <w:rPr>
          <w:rFonts w:ascii="仿宋" w:hAnsi="仿宋" w:eastAsia="仿宋" w:cs="仿宋"/>
          <w:spacing w:val="-2"/>
          <w:sz w:val="24"/>
          <w:szCs w:val="24"/>
        </w:rPr>
        <w:t>ng device</w:t>
      </w:r>
      <w:r>
        <w:rPr>
          <w:rFonts w:ascii="仿宋" w:hAnsi="仿宋" w:eastAsia="仿宋" w:cs="仿宋"/>
          <w:spacing w:val="-44"/>
          <w:sz w:val="24"/>
          <w:szCs w:val="24"/>
        </w:rPr>
        <w:t xml:space="preserve"> </w:t>
      </w:r>
      <w:r>
        <w:rPr>
          <w:rFonts w:ascii="仿宋" w:hAnsi="仿宋" w:eastAsia="仿宋" w:cs="仿宋"/>
          <w:spacing w:val="-2"/>
          <w:sz w:val="24"/>
          <w:szCs w:val="24"/>
        </w:rPr>
        <w:t>和《YY/T</w:t>
      </w:r>
      <w:r>
        <w:rPr>
          <w:rFonts w:ascii="仿宋" w:hAnsi="仿宋" w:eastAsia="仿宋" w:cs="仿宋"/>
          <w:spacing w:val="26"/>
          <w:sz w:val="24"/>
          <w:szCs w:val="24"/>
        </w:rPr>
        <w:t xml:space="preserve"> </w:t>
      </w:r>
      <w:r>
        <w:rPr>
          <w:rFonts w:ascii="仿宋" w:hAnsi="仿宋" w:eastAsia="仿宋" w:cs="仿宋"/>
          <w:spacing w:val="-2"/>
          <w:sz w:val="24"/>
          <w:szCs w:val="24"/>
        </w:rPr>
        <w:t>1976-2025</w:t>
      </w:r>
      <w:r>
        <w:rPr>
          <w:rFonts w:ascii="仿宋" w:hAnsi="仿宋" w:eastAsia="仿宋" w:cs="仿宋"/>
          <w:spacing w:val="47"/>
          <w:sz w:val="24"/>
          <w:szCs w:val="24"/>
        </w:rPr>
        <w:t xml:space="preserve"> </w:t>
      </w:r>
      <w:r>
        <w:rPr>
          <w:rFonts w:ascii="仿宋" w:hAnsi="仿宋" w:eastAsia="仿宋" w:cs="仿宋"/>
          <w:spacing w:val="-2"/>
          <w:sz w:val="24"/>
          <w:szCs w:val="24"/>
        </w:rPr>
        <w:t>中医器</w:t>
      </w:r>
      <w:r>
        <w:rPr>
          <w:rFonts w:ascii="仿宋" w:hAnsi="仿宋" w:eastAsia="仿宋" w:cs="仿宋"/>
          <w:spacing w:val="-5"/>
          <w:sz w:val="24"/>
          <w:szCs w:val="24"/>
        </w:rPr>
        <w:t>械</w:t>
      </w:r>
      <w:r>
        <w:rPr>
          <w:rFonts w:ascii="仿宋" w:hAnsi="仿宋" w:eastAsia="仿宋" w:cs="仿宋"/>
          <w:spacing w:val="21"/>
          <w:sz w:val="24"/>
          <w:szCs w:val="24"/>
        </w:rPr>
        <w:t xml:space="preserve"> </w:t>
      </w:r>
      <w:r>
        <w:rPr>
          <w:rFonts w:ascii="仿宋" w:hAnsi="仿宋" w:eastAsia="仿宋" w:cs="仿宋"/>
          <w:spacing w:val="-5"/>
          <w:sz w:val="24"/>
          <w:szCs w:val="24"/>
        </w:rPr>
        <w:t>玻璃拔罐器》）</w:t>
      </w:r>
    </w:p>
    <w:p w14:paraId="59845CEA">
      <w:pPr>
        <w:spacing w:before="1" w:line="276" w:lineRule="auto"/>
        <w:ind w:left="495"/>
        <w:rPr>
          <w:rFonts w:ascii="仿宋" w:hAnsi="仿宋" w:eastAsia="仿宋" w:cs="仿宋"/>
          <w:sz w:val="24"/>
          <w:szCs w:val="24"/>
        </w:rPr>
      </w:pPr>
      <w:r>
        <w:rPr>
          <w:rFonts w:ascii="仿宋" w:hAnsi="仿宋" w:eastAsia="仿宋" w:cs="仿宋"/>
          <w:spacing w:val="-3"/>
          <w:sz w:val="24"/>
          <w:szCs w:val="24"/>
        </w:rPr>
        <w:t>（2）项目组意见</w:t>
      </w:r>
    </w:p>
    <w:p w14:paraId="636B6C57">
      <w:pPr>
        <w:spacing w:before="111" w:line="276" w:lineRule="auto"/>
        <w:ind w:left="1" w:firstLine="489"/>
        <w:rPr>
          <w:rFonts w:ascii="仿宋" w:hAnsi="仿宋" w:eastAsia="仿宋" w:cs="仿宋"/>
          <w:sz w:val="24"/>
          <w:szCs w:val="24"/>
        </w:rPr>
      </w:pPr>
      <w:r>
        <w:rPr>
          <w:rFonts w:ascii="仿宋" w:hAnsi="仿宋" w:eastAsia="仿宋" w:cs="仿宋"/>
          <w:spacing w:val="-2"/>
          <w:sz w:val="24"/>
          <w:szCs w:val="24"/>
        </w:rPr>
        <w:t>依据患儿年龄或身高体重以及拔罐部位选择罐器，学龄前以5</w:t>
      </w:r>
      <w:r>
        <w:rPr>
          <w:rFonts w:ascii="仿宋" w:hAnsi="仿宋" w:eastAsia="仿宋" w:cs="仿宋"/>
          <w:spacing w:val="-29"/>
          <w:sz w:val="24"/>
          <w:szCs w:val="24"/>
        </w:rPr>
        <w:t xml:space="preserve"> </w:t>
      </w:r>
      <w:r>
        <w:rPr>
          <w:rFonts w:ascii="仿宋" w:hAnsi="仿宋" w:eastAsia="仿宋" w:cs="仿宋"/>
          <w:spacing w:val="-2"/>
          <w:sz w:val="24"/>
          <w:szCs w:val="24"/>
        </w:rPr>
        <w:t>号罐为主，12</w:t>
      </w:r>
      <w:r>
        <w:rPr>
          <w:rFonts w:ascii="仿宋" w:hAnsi="仿宋" w:eastAsia="仿宋" w:cs="仿宋"/>
          <w:spacing w:val="-41"/>
          <w:sz w:val="24"/>
          <w:szCs w:val="24"/>
        </w:rPr>
        <w:t xml:space="preserve"> </w:t>
      </w:r>
      <w:r>
        <w:rPr>
          <w:rFonts w:ascii="仿宋" w:hAnsi="仿宋" w:eastAsia="仿宋" w:cs="仿宋"/>
          <w:spacing w:val="-2"/>
          <w:sz w:val="24"/>
          <w:szCs w:val="24"/>
        </w:rPr>
        <w:t>岁之前以</w:t>
      </w:r>
      <w:r>
        <w:rPr>
          <w:rFonts w:ascii="仿宋" w:hAnsi="仿宋" w:eastAsia="仿宋" w:cs="仿宋"/>
          <w:spacing w:val="-4"/>
          <w:sz w:val="24"/>
          <w:szCs w:val="24"/>
        </w:rPr>
        <w:t>4</w:t>
      </w:r>
      <w:r>
        <w:rPr>
          <w:rFonts w:ascii="仿宋" w:hAnsi="仿宋" w:eastAsia="仿宋" w:cs="仿宋"/>
          <w:spacing w:val="-38"/>
          <w:sz w:val="24"/>
          <w:szCs w:val="24"/>
        </w:rPr>
        <w:t xml:space="preserve"> </w:t>
      </w:r>
      <w:r>
        <w:rPr>
          <w:rFonts w:ascii="仿宋" w:hAnsi="仿宋" w:eastAsia="仿宋" w:cs="仿宋"/>
          <w:spacing w:val="-4"/>
          <w:sz w:val="24"/>
          <w:szCs w:val="24"/>
        </w:rPr>
        <w:t>号罐为主（5</w:t>
      </w:r>
      <w:r>
        <w:rPr>
          <w:rFonts w:ascii="仿宋" w:hAnsi="仿宋" w:eastAsia="仿宋" w:cs="仿宋"/>
          <w:spacing w:val="-39"/>
          <w:sz w:val="24"/>
          <w:szCs w:val="24"/>
        </w:rPr>
        <w:t xml:space="preserve"> </w:t>
      </w:r>
      <w:r>
        <w:rPr>
          <w:rFonts w:ascii="仿宋" w:hAnsi="仿宋" w:eastAsia="仿宋" w:cs="仿宋"/>
          <w:spacing w:val="-4"/>
          <w:sz w:val="24"/>
          <w:szCs w:val="24"/>
        </w:rPr>
        <w:t>号罐内容积</w:t>
      </w:r>
      <w:r>
        <w:rPr>
          <w:rFonts w:ascii="仿宋" w:hAnsi="仿宋" w:eastAsia="仿宋" w:cs="仿宋"/>
          <w:spacing w:val="-50"/>
          <w:sz w:val="24"/>
          <w:szCs w:val="24"/>
        </w:rPr>
        <w:t xml:space="preserve"> </w:t>
      </w:r>
      <w:r>
        <w:rPr>
          <w:rFonts w:ascii="仿宋" w:hAnsi="仿宋" w:eastAsia="仿宋" w:cs="仿宋"/>
          <w:spacing w:val="-4"/>
          <w:sz w:val="24"/>
          <w:szCs w:val="24"/>
        </w:rPr>
        <w:t>95±4.8</w:t>
      </w:r>
      <w:r>
        <w:rPr>
          <w:rFonts w:ascii="仿宋" w:hAnsi="仿宋" w:eastAsia="仿宋" w:cs="仿宋"/>
          <w:spacing w:val="-36"/>
          <w:sz w:val="24"/>
          <w:szCs w:val="24"/>
        </w:rPr>
        <w:t xml:space="preserve"> </w:t>
      </w:r>
      <w:r>
        <w:rPr>
          <w:rFonts w:ascii="仿宋" w:hAnsi="仿宋" w:eastAsia="仿宋" w:cs="仿宋"/>
          <w:spacing w:val="-4"/>
          <w:sz w:val="24"/>
          <w:szCs w:val="24"/>
        </w:rPr>
        <w:t>毫升，4</w:t>
      </w:r>
      <w:r>
        <w:rPr>
          <w:rFonts w:ascii="仿宋" w:hAnsi="仿宋" w:eastAsia="仿宋" w:cs="仿宋"/>
          <w:spacing w:val="-38"/>
          <w:sz w:val="24"/>
          <w:szCs w:val="24"/>
        </w:rPr>
        <w:t xml:space="preserve"> </w:t>
      </w:r>
      <w:r>
        <w:rPr>
          <w:rFonts w:ascii="仿宋" w:hAnsi="仿宋" w:eastAsia="仿宋" w:cs="仿宋"/>
          <w:spacing w:val="-4"/>
          <w:sz w:val="24"/>
          <w:szCs w:val="24"/>
        </w:rPr>
        <w:t>号罐内容积</w:t>
      </w:r>
      <w:r>
        <w:rPr>
          <w:rFonts w:ascii="仿宋" w:hAnsi="仿宋" w:eastAsia="仿宋" w:cs="仿宋"/>
          <w:spacing w:val="-34"/>
          <w:sz w:val="24"/>
          <w:szCs w:val="24"/>
        </w:rPr>
        <w:t xml:space="preserve"> </w:t>
      </w:r>
      <w:r>
        <w:rPr>
          <w:rFonts w:ascii="仿宋" w:hAnsi="仿宋" w:eastAsia="仿宋" w:cs="仿宋"/>
          <w:spacing w:val="-4"/>
          <w:sz w:val="24"/>
          <w:szCs w:val="24"/>
        </w:rPr>
        <w:t>130±6.5</w:t>
      </w:r>
      <w:r>
        <w:rPr>
          <w:rFonts w:ascii="仿宋" w:hAnsi="仿宋" w:eastAsia="仿宋" w:cs="仿宋"/>
          <w:spacing w:val="-36"/>
          <w:sz w:val="24"/>
          <w:szCs w:val="24"/>
        </w:rPr>
        <w:t xml:space="preserve"> </w:t>
      </w:r>
      <w:r>
        <w:rPr>
          <w:rFonts w:ascii="仿宋" w:hAnsi="仿宋" w:eastAsia="仿宋" w:cs="仿宋"/>
          <w:spacing w:val="-4"/>
          <w:sz w:val="24"/>
          <w:szCs w:val="24"/>
        </w:rPr>
        <w:t>毫</w:t>
      </w:r>
      <w:r>
        <w:rPr>
          <w:rFonts w:ascii="仿宋" w:hAnsi="仿宋" w:eastAsia="仿宋" w:cs="仿宋"/>
          <w:spacing w:val="-5"/>
          <w:sz w:val="24"/>
          <w:szCs w:val="24"/>
        </w:rPr>
        <w:t>升，出处</w:t>
      </w:r>
      <w:r>
        <w:rPr>
          <w:rFonts w:ascii="仿宋" w:hAnsi="仿宋" w:eastAsia="仿宋" w:cs="仿宋"/>
          <w:spacing w:val="-38"/>
          <w:sz w:val="24"/>
          <w:szCs w:val="24"/>
        </w:rPr>
        <w:t xml:space="preserve"> </w:t>
      </w:r>
      <w:r>
        <w:rPr>
          <w:rFonts w:ascii="仿宋" w:hAnsi="仿宋" w:eastAsia="仿宋" w:cs="仿宋"/>
          <w:spacing w:val="-5"/>
          <w:sz w:val="24"/>
          <w:szCs w:val="24"/>
        </w:rPr>
        <w:t>ISO—</w:t>
      </w:r>
    </w:p>
    <w:p w14:paraId="0FEA2355">
      <w:pPr>
        <w:spacing w:before="1" w:line="276" w:lineRule="auto"/>
        <w:ind w:left="19" w:right="412" w:hanging="14"/>
        <w:rPr>
          <w:rFonts w:ascii="仿宋" w:hAnsi="仿宋" w:eastAsia="仿宋" w:cs="仿宋"/>
          <w:sz w:val="24"/>
          <w:szCs w:val="24"/>
        </w:rPr>
      </w:pPr>
      <w:r>
        <w:rPr>
          <w:rFonts w:ascii="仿宋" w:hAnsi="仿宋" w:eastAsia="仿宋" w:cs="仿宋"/>
          <w:spacing w:val="-1"/>
          <w:sz w:val="24"/>
          <w:szCs w:val="24"/>
        </w:rPr>
        <w:t>22213:2020</w:t>
      </w:r>
      <w:r>
        <w:rPr>
          <w:rFonts w:ascii="仿宋" w:hAnsi="仿宋" w:eastAsia="仿宋" w:cs="仿宋"/>
          <w:spacing w:val="-70"/>
          <w:sz w:val="24"/>
          <w:szCs w:val="24"/>
        </w:rPr>
        <w:t xml:space="preserve"> </w:t>
      </w:r>
      <w:r>
        <w:rPr>
          <w:rFonts w:ascii="仿宋" w:hAnsi="仿宋" w:eastAsia="仿宋" w:cs="仿宋"/>
          <w:spacing w:val="-1"/>
          <w:sz w:val="24"/>
          <w:szCs w:val="24"/>
        </w:rPr>
        <w:t>(E) Traditional Chinese medicine — Glass cupping devi</w:t>
      </w:r>
      <w:r>
        <w:rPr>
          <w:rFonts w:ascii="仿宋" w:hAnsi="仿宋" w:eastAsia="仿宋" w:cs="仿宋"/>
          <w:spacing w:val="-2"/>
          <w:sz w:val="24"/>
          <w:szCs w:val="24"/>
        </w:rPr>
        <w:t>ce</w:t>
      </w:r>
      <w:r>
        <w:rPr>
          <w:rFonts w:ascii="仿宋" w:hAnsi="仿宋" w:eastAsia="仿宋" w:cs="仿宋"/>
          <w:spacing w:val="-44"/>
          <w:sz w:val="24"/>
          <w:szCs w:val="24"/>
        </w:rPr>
        <w:t xml:space="preserve"> </w:t>
      </w:r>
      <w:r>
        <w:rPr>
          <w:rFonts w:ascii="仿宋" w:hAnsi="仿宋" w:eastAsia="仿宋" w:cs="仿宋"/>
          <w:spacing w:val="-2"/>
          <w:sz w:val="24"/>
          <w:szCs w:val="24"/>
        </w:rPr>
        <w:t>和《YY/T</w:t>
      </w:r>
      <w:r>
        <w:rPr>
          <w:rFonts w:ascii="仿宋" w:hAnsi="仿宋" w:eastAsia="仿宋" w:cs="仿宋"/>
          <w:sz w:val="24"/>
          <w:szCs w:val="24"/>
        </w:rPr>
        <w:t xml:space="preserve"> </w:t>
      </w:r>
      <w:r>
        <w:rPr>
          <w:rFonts w:ascii="仿宋" w:hAnsi="仿宋" w:eastAsia="仿宋" w:cs="仿宋"/>
          <w:spacing w:val="-4"/>
          <w:sz w:val="24"/>
          <w:szCs w:val="24"/>
        </w:rPr>
        <w:t>1976-2025</w:t>
      </w:r>
      <w:r>
        <w:rPr>
          <w:rFonts w:ascii="仿宋" w:hAnsi="仿宋" w:eastAsia="仿宋" w:cs="仿宋"/>
          <w:spacing w:val="56"/>
          <w:sz w:val="24"/>
          <w:szCs w:val="24"/>
        </w:rPr>
        <w:t xml:space="preserve"> </w:t>
      </w:r>
      <w:r>
        <w:rPr>
          <w:rFonts w:ascii="仿宋" w:hAnsi="仿宋" w:eastAsia="仿宋" w:cs="仿宋"/>
          <w:spacing w:val="-4"/>
          <w:sz w:val="24"/>
          <w:szCs w:val="24"/>
        </w:rPr>
        <w:t>中医器械 玻璃拔罐器》）</w:t>
      </w:r>
    </w:p>
    <w:p w14:paraId="31AB0F71">
      <w:pPr>
        <w:spacing w:line="276" w:lineRule="auto"/>
        <w:ind w:left="485"/>
        <w:rPr>
          <w:rFonts w:ascii="仿宋" w:hAnsi="仿宋" w:eastAsia="仿宋" w:cs="仿宋"/>
          <w:sz w:val="24"/>
          <w:szCs w:val="24"/>
        </w:rPr>
      </w:pPr>
      <w:r>
        <w:rPr>
          <w:rFonts w:ascii="仿宋" w:hAnsi="仿宋" w:eastAsia="仿宋" w:cs="仿宋"/>
          <w:b/>
          <w:bCs/>
          <w:spacing w:val="-4"/>
          <w:sz w:val="24"/>
          <w:szCs w:val="24"/>
        </w:rPr>
        <w:t>2.专家论证意见</w:t>
      </w:r>
    </w:p>
    <w:p w14:paraId="3B90B468">
      <w:pPr>
        <w:spacing w:before="109" w:line="276" w:lineRule="auto"/>
        <w:ind w:left="495"/>
        <w:rPr>
          <w:rFonts w:ascii="仿宋" w:hAnsi="仿宋" w:eastAsia="仿宋" w:cs="仿宋"/>
          <w:sz w:val="24"/>
          <w:szCs w:val="24"/>
        </w:rPr>
      </w:pPr>
      <w:r>
        <w:rPr>
          <w:rFonts w:ascii="仿宋" w:hAnsi="仿宋" w:eastAsia="仿宋" w:cs="仿宋"/>
          <w:spacing w:val="-3"/>
          <w:sz w:val="24"/>
          <w:szCs w:val="24"/>
        </w:rPr>
        <w:t>（1）专家论证结果</w:t>
      </w:r>
    </w:p>
    <w:p w14:paraId="2A12BF29">
      <w:pPr>
        <w:spacing w:before="111" w:line="276" w:lineRule="auto"/>
        <w:ind w:left="436"/>
        <w:rPr>
          <w:rFonts w:ascii="仿宋" w:hAnsi="仿宋" w:eastAsia="仿宋" w:cs="仿宋"/>
          <w:sz w:val="24"/>
          <w:szCs w:val="24"/>
        </w:rPr>
      </w:pPr>
      <w:r>
        <w:rPr>
          <w:rFonts w:ascii="仿宋" w:hAnsi="仿宋" w:eastAsia="仿宋" w:cs="仿宋"/>
          <w:spacing w:val="-5"/>
          <w:sz w:val="24"/>
          <w:szCs w:val="24"/>
        </w:rPr>
        <w:t>全体</w:t>
      </w:r>
      <w:r>
        <w:rPr>
          <w:rFonts w:ascii="仿宋" w:hAnsi="仿宋" w:eastAsia="仿宋" w:cs="仿宋"/>
          <w:spacing w:val="-34"/>
          <w:sz w:val="24"/>
          <w:szCs w:val="24"/>
        </w:rPr>
        <w:t xml:space="preserve"> </w:t>
      </w:r>
      <w:r>
        <w:rPr>
          <w:rFonts w:ascii="仿宋" w:hAnsi="仿宋" w:eastAsia="仿宋" w:cs="仿宋"/>
          <w:spacing w:val="-5"/>
          <w:sz w:val="24"/>
          <w:szCs w:val="24"/>
        </w:rPr>
        <w:t>13</w:t>
      </w:r>
      <w:r>
        <w:rPr>
          <w:rFonts w:ascii="仿宋" w:hAnsi="仿宋" w:eastAsia="仿宋" w:cs="仿宋"/>
          <w:spacing w:val="-43"/>
          <w:sz w:val="24"/>
          <w:szCs w:val="24"/>
        </w:rPr>
        <w:t xml:space="preserve"> </w:t>
      </w:r>
      <w:r>
        <w:rPr>
          <w:rFonts w:ascii="仿宋" w:hAnsi="仿宋" w:eastAsia="仿宋" w:cs="仿宋"/>
          <w:spacing w:val="-5"/>
          <w:sz w:val="24"/>
          <w:szCs w:val="24"/>
        </w:rPr>
        <w:t>位专家一致同意（2</w:t>
      </w:r>
      <w:r>
        <w:rPr>
          <w:rFonts w:ascii="仿宋" w:hAnsi="仿宋" w:eastAsia="仿宋" w:cs="仿宋"/>
          <w:spacing w:val="-41"/>
          <w:sz w:val="24"/>
          <w:szCs w:val="24"/>
        </w:rPr>
        <w:t xml:space="preserve"> </w:t>
      </w:r>
      <w:r>
        <w:rPr>
          <w:rFonts w:ascii="仿宋" w:hAnsi="仿宋" w:eastAsia="仿宋" w:cs="仿宋"/>
          <w:spacing w:val="-5"/>
          <w:sz w:val="24"/>
          <w:szCs w:val="24"/>
        </w:rPr>
        <w:t>分/须选</w:t>
      </w:r>
      <w:r>
        <w:rPr>
          <w:rFonts w:ascii="仿宋" w:hAnsi="仿宋" w:eastAsia="仿宋" w:cs="仿宋"/>
          <w:spacing w:val="8"/>
          <w:sz w:val="24"/>
          <w:szCs w:val="24"/>
        </w:rPr>
        <w:t>），</w:t>
      </w:r>
      <w:r>
        <w:rPr>
          <w:rFonts w:ascii="仿宋" w:hAnsi="仿宋" w:eastAsia="仿宋" w:cs="仿宋"/>
          <w:spacing w:val="-5"/>
          <w:sz w:val="24"/>
          <w:szCs w:val="24"/>
        </w:rPr>
        <w:t>支持率</w:t>
      </w:r>
      <w:r>
        <w:rPr>
          <w:rFonts w:ascii="仿宋" w:hAnsi="仿宋" w:eastAsia="仿宋" w:cs="仿宋"/>
          <w:spacing w:val="-34"/>
          <w:sz w:val="24"/>
          <w:szCs w:val="24"/>
        </w:rPr>
        <w:t xml:space="preserve"> </w:t>
      </w:r>
      <w:r>
        <w:rPr>
          <w:rFonts w:ascii="仿宋" w:hAnsi="仿宋" w:eastAsia="仿宋" w:cs="仿宋"/>
          <w:spacing w:val="-5"/>
          <w:sz w:val="24"/>
          <w:szCs w:val="24"/>
        </w:rPr>
        <w:t>100</w:t>
      </w:r>
      <w:r>
        <w:rPr>
          <w:rFonts w:ascii="仿宋" w:hAnsi="仿宋" w:eastAsia="仿宋" w:cs="仿宋"/>
          <w:spacing w:val="-6"/>
          <w:sz w:val="24"/>
          <w:szCs w:val="24"/>
        </w:rPr>
        <w:t>%。</w:t>
      </w:r>
    </w:p>
    <w:p w14:paraId="149EFE85">
      <w:pPr>
        <w:spacing w:before="113" w:line="276" w:lineRule="auto"/>
        <w:ind w:left="495"/>
        <w:rPr>
          <w:rFonts w:ascii="仿宋" w:hAnsi="仿宋" w:eastAsia="仿宋" w:cs="仿宋"/>
          <w:sz w:val="24"/>
          <w:szCs w:val="24"/>
        </w:rPr>
      </w:pPr>
      <w:r>
        <w:rPr>
          <w:rFonts w:ascii="仿宋" w:hAnsi="仿宋" w:eastAsia="仿宋" w:cs="仿宋"/>
          <w:spacing w:val="-3"/>
          <w:sz w:val="24"/>
          <w:szCs w:val="24"/>
        </w:rPr>
        <w:t>（2）主要修改建议</w:t>
      </w:r>
    </w:p>
    <w:p w14:paraId="406E489F">
      <w:pPr>
        <w:spacing w:before="109" w:line="276" w:lineRule="auto"/>
        <w:ind w:left="10" w:firstLine="480"/>
        <w:rPr>
          <w:rFonts w:ascii="仿宋" w:hAnsi="仿宋" w:eastAsia="仿宋" w:cs="仿宋"/>
          <w:sz w:val="24"/>
          <w:szCs w:val="24"/>
        </w:rPr>
      </w:pPr>
      <w:r>
        <w:rPr>
          <w:rFonts w:ascii="仿宋" w:hAnsi="仿宋" w:eastAsia="仿宋" w:cs="仿宋"/>
          <w:sz w:val="24"/>
          <w:szCs w:val="24"/>
        </w:rPr>
        <w:t>戴启刚：依据患儿年龄或身高体重以及拔罐部位选择适宜的罐器，一般学龄前以5</w:t>
      </w:r>
      <w:r>
        <w:rPr>
          <w:rFonts w:ascii="仿宋" w:hAnsi="仿宋" w:eastAsia="仿宋" w:cs="仿宋"/>
          <w:spacing w:val="-25"/>
          <w:sz w:val="24"/>
          <w:szCs w:val="24"/>
        </w:rPr>
        <w:t xml:space="preserve"> </w:t>
      </w:r>
      <w:r>
        <w:rPr>
          <w:rFonts w:ascii="仿宋" w:hAnsi="仿宋" w:eastAsia="仿宋" w:cs="仿宋"/>
          <w:sz w:val="24"/>
          <w:szCs w:val="24"/>
        </w:rPr>
        <w:t>号</w:t>
      </w:r>
      <w:r>
        <w:rPr>
          <w:rFonts w:ascii="仿宋" w:hAnsi="仿宋" w:eastAsia="仿宋" w:cs="仿宋"/>
          <w:spacing w:val="-6"/>
          <w:sz w:val="24"/>
          <w:szCs w:val="24"/>
        </w:rPr>
        <w:t>罐为主，12</w:t>
      </w:r>
      <w:r>
        <w:rPr>
          <w:rFonts w:ascii="仿宋" w:hAnsi="仿宋" w:eastAsia="仿宋" w:cs="仿宋"/>
          <w:spacing w:val="-31"/>
          <w:sz w:val="24"/>
          <w:szCs w:val="24"/>
        </w:rPr>
        <w:t xml:space="preserve"> </w:t>
      </w:r>
      <w:r>
        <w:rPr>
          <w:rFonts w:ascii="仿宋" w:hAnsi="仿宋" w:eastAsia="仿宋" w:cs="仿宋"/>
          <w:spacing w:val="-6"/>
          <w:sz w:val="24"/>
          <w:szCs w:val="24"/>
        </w:rPr>
        <w:t>岁之前以</w:t>
      </w:r>
      <w:r>
        <w:rPr>
          <w:rFonts w:ascii="仿宋" w:hAnsi="仿宋" w:eastAsia="仿宋" w:cs="仿宋"/>
          <w:spacing w:val="-53"/>
          <w:sz w:val="24"/>
          <w:szCs w:val="24"/>
        </w:rPr>
        <w:t xml:space="preserve"> </w:t>
      </w:r>
      <w:r>
        <w:rPr>
          <w:rFonts w:ascii="仿宋" w:hAnsi="仿宋" w:eastAsia="仿宋" w:cs="仿宋"/>
          <w:spacing w:val="-6"/>
          <w:sz w:val="24"/>
          <w:szCs w:val="24"/>
        </w:rPr>
        <w:t>4</w:t>
      </w:r>
      <w:r>
        <w:rPr>
          <w:rFonts w:ascii="仿宋" w:hAnsi="仿宋" w:eastAsia="仿宋" w:cs="仿宋"/>
          <w:spacing w:val="-38"/>
          <w:sz w:val="24"/>
          <w:szCs w:val="24"/>
        </w:rPr>
        <w:t xml:space="preserve"> </w:t>
      </w:r>
      <w:r>
        <w:rPr>
          <w:rFonts w:ascii="仿宋" w:hAnsi="仿宋" w:eastAsia="仿宋" w:cs="仿宋"/>
          <w:spacing w:val="-6"/>
          <w:sz w:val="24"/>
          <w:szCs w:val="24"/>
        </w:rPr>
        <w:t>号罐为主（5</w:t>
      </w:r>
      <w:r>
        <w:rPr>
          <w:rFonts w:ascii="仿宋" w:hAnsi="仿宋" w:eastAsia="仿宋" w:cs="仿宋"/>
          <w:spacing w:val="-39"/>
          <w:sz w:val="24"/>
          <w:szCs w:val="24"/>
        </w:rPr>
        <w:t xml:space="preserve"> </w:t>
      </w:r>
      <w:r>
        <w:rPr>
          <w:rFonts w:ascii="仿宋" w:hAnsi="仿宋" w:eastAsia="仿宋" w:cs="仿宋"/>
          <w:spacing w:val="-6"/>
          <w:sz w:val="24"/>
          <w:szCs w:val="24"/>
        </w:rPr>
        <w:t>号罐内容积</w:t>
      </w:r>
      <w:r>
        <w:rPr>
          <w:rFonts w:ascii="仿宋" w:hAnsi="仿宋" w:eastAsia="仿宋" w:cs="仿宋"/>
          <w:spacing w:val="-50"/>
          <w:sz w:val="24"/>
          <w:szCs w:val="24"/>
        </w:rPr>
        <w:t xml:space="preserve"> </w:t>
      </w:r>
      <w:r>
        <w:rPr>
          <w:rFonts w:ascii="仿宋" w:hAnsi="仿宋" w:eastAsia="仿宋" w:cs="仿宋"/>
          <w:spacing w:val="-6"/>
          <w:sz w:val="24"/>
          <w:szCs w:val="24"/>
        </w:rPr>
        <w:t>95±4.8</w:t>
      </w:r>
      <w:r>
        <w:rPr>
          <w:rFonts w:ascii="仿宋" w:hAnsi="仿宋" w:eastAsia="仿宋" w:cs="仿宋"/>
          <w:spacing w:val="-36"/>
          <w:sz w:val="24"/>
          <w:szCs w:val="24"/>
        </w:rPr>
        <w:t xml:space="preserve"> </w:t>
      </w:r>
      <w:r>
        <w:rPr>
          <w:rFonts w:ascii="仿宋" w:hAnsi="仿宋" w:eastAsia="仿宋" w:cs="仿宋"/>
          <w:spacing w:val="-6"/>
          <w:sz w:val="24"/>
          <w:szCs w:val="24"/>
        </w:rPr>
        <w:t>毫升，4</w:t>
      </w:r>
      <w:r>
        <w:rPr>
          <w:rFonts w:ascii="仿宋" w:hAnsi="仿宋" w:eastAsia="仿宋" w:cs="仿宋"/>
          <w:spacing w:val="-38"/>
          <w:sz w:val="24"/>
          <w:szCs w:val="24"/>
        </w:rPr>
        <w:t xml:space="preserve"> </w:t>
      </w:r>
      <w:r>
        <w:rPr>
          <w:rFonts w:ascii="仿宋" w:hAnsi="仿宋" w:eastAsia="仿宋" w:cs="仿宋"/>
          <w:spacing w:val="-6"/>
          <w:sz w:val="24"/>
          <w:szCs w:val="24"/>
        </w:rPr>
        <w:t>号罐内容积</w:t>
      </w:r>
      <w:r>
        <w:rPr>
          <w:rFonts w:ascii="仿宋" w:hAnsi="仿宋" w:eastAsia="仿宋" w:cs="仿宋"/>
          <w:spacing w:val="-34"/>
          <w:sz w:val="24"/>
          <w:szCs w:val="24"/>
        </w:rPr>
        <w:t xml:space="preserve"> </w:t>
      </w:r>
      <w:r>
        <w:rPr>
          <w:rFonts w:ascii="仿宋" w:hAnsi="仿宋" w:eastAsia="仿宋" w:cs="仿宋"/>
          <w:spacing w:val="-6"/>
          <w:sz w:val="24"/>
          <w:szCs w:val="24"/>
        </w:rPr>
        <w:t>130±6.5</w:t>
      </w:r>
      <w:r>
        <w:rPr>
          <w:rFonts w:ascii="仿宋" w:hAnsi="仿宋" w:eastAsia="仿宋" w:cs="仿宋"/>
          <w:spacing w:val="-36"/>
          <w:sz w:val="24"/>
          <w:szCs w:val="24"/>
        </w:rPr>
        <w:t xml:space="preserve"> </w:t>
      </w:r>
      <w:r>
        <w:rPr>
          <w:rFonts w:ascii="仿宋" w:hAnsi="仿宋" w:eastAsia="仿宋" w:cs="仿宋"/>
          <w:spacing w:val="-6"/>
          <w:sz w:val="24"/>
          <w:szCs w:val="24"/>
        </w:rPr>
        <w:t>毫</w:t>
      </w:r>
      <w:r>
        <w:rPr>
          <w:rFonts w:ascii="仿宋" w:hAnsi="仿宋" w:eastAsia="仿宋" w:cs="仿宋"/>
          <w:spacing w:val="-2"/>
          <w:sz w:val="24"/>
          <w:szCs w:val="24"/>
        </w:rPr>
        <w:t>升，出处</w:t>
      </w:r>
      <w:r>
        <w:rPr>
          <w:rFonts w:ascii="仿宋" w:hAnsi="仿宋" w:eastAsia="仿宋" w:cs="仿宋"/>
          <w:spacing w:val="-32"/>
          <w:sz w:val="24"/>
          <w:szCs w:val="24"/>
        </w:rPr>
        <w:t xml:space="preserve"> </w:t>
      </w:r>
      <w:r>
        <w:rPr>
          <w:rFonts w:ascii="仿宋" w:hAnsi="仿宋" w:eastAsia="仿宋" w:cs="仿宋"/>
          <w:spacing w:val="-2"/>
          <w:sz w:val="24"/>
          <w:szCs w:val="24"/>
        </w:rPr>
        <w:t>ISO—22213:2020</w:t>
      </w:r>
      <w:r>
        <w:rPr>
          <w:rFonts w:ascii="仿宋" w:hAnsi="仿宋" w:eastAsia="仿宋" w:cs="仿宋"/>
          <w:spacing w:val="-70"/>
          <w:sz w:val="24"/>
          <w:szCs w:val="24"/>
        </w:rPr>
        <w:t xml:space="preserve"> </w:t>
      </w:r>
      <w:r>
        <w:rPr>
          <w:rFonts w:ascii="仿宋" w:hAnsi="仿宋" w:eastAsia="仿宋" w:cs="仿宋"/>
          <w:spacing w:val="-2"/>
          <w:sz w:val="24"/>
          <w:szCs w:val="24"/>
        </w:rPr>
        <w:t>(E)</w:t>
      </w:r>
      <w:r>
        <w:rPr>
          <w:rFonts w:ascii="仿宋" w:hAnsi="仿宋" w:eastAsia="仿宋" w:cs="仿宋"/>
          <w:spacing w:val="-33"/>
          <w:sz w:val="24"/>
          <w:szCs w:val="24"/>
        </w:rPr>
        <w:t xml:space="preserve"> </w:t>
      </w:r>
      <w:r>
        <w:rPr>
          <w:rFonts w:ascii="仿宋" w:hAnsi="仿宋" w:eastAsia="仿宋" w:cs="仿宋"/>
          <w:spacing w:val="-2"/>
          <w:sz w:val="24"/>
          <w:szCs w:val="24"/>
        </w:rPr>
        <w:t>Traditional</w:t>
      </w:r>
      <w:r>
        <w:rPr>
          <w:rFonts w:ascii="仿宋" w:hAnsi="仿宋" w:eastAsia="仿宋" w:cs="仿宋"/>
          <w:spacing w:val="-29"/>
          <w:sz w:val="24"/>
          <w:szCs w:val="24"/>
        </w:rPr>
        <w:t xml:space="preserve"> </w:t>
      </w:r>
      <w:r>
        <w:rPr>
          <w:rFonts w:ascii="仿宋" w:hAnsi="仿宋" w:eastAsia="仿宋" w:cs="仿宋"/>
          <w:spacing w:val="-2"/>
          <w:sz w:val="24"/>
          <w:szCs w:val="24"/>
        </w:rPr>
        <w:t>Chinese</w:t>
      </w:r>
      <w:r>
        <w:rPr>
          <w:rFonts w:ascii="仿宋" w:hAnsi="仿宋" w:eastAsia="仿宋" w:cs="仿宋"/>
          <w:spacing w:val="-37"/>
          <w:sz w:val="24"/>
          <w:szCs w:val="24"/>
        </w:rPr>
        <w:t xml:space="preserve"> </w:t>
      </w:r>
      <w:r>
        <w:rPr>
          <w:rFonts w:ascii="仿宋" w:hAnsi="仿宋" w:eastAsia="仿宋" w:cs="仿宋"/>
          <w:spacing w:val="-2"/>
          <w:sz w:val="24"/>
          <w:szCs w:val="24"/>
        </w:rPr>
        <w:t>medicine — Glass</w:t>
      </w:r>
      <w:r>
        <w:rPr>
          <w:rFonts w:ascii="仿宋" w:hAnsi="仿宋" w:eastAsia="仿宋" w:cs="仿宋"/>
          <w:spacing w:val="-22"/>
          <w:sz w:val="24"/>
          <w:szCs w:val="24"/>
        </w:rPr>
        <w:t xml:space="preserve"> </w:t>
      </w:r>
      <w:r>
        <w:rPr>
          <w:rFonts w:ascii="仿宋" w:hAnsi="仿宋" w:eastAsia="仿宋" w:cs="仿宋"/>
          <w:spacing w:val="-2"/>
          <w:sz w:val="24"/>
          <w:szCs w:val="24"/>
        </w:rPr>
        <w:t>cupping</w:t>
      </w:r>
      <w:r>
        <w:rPr>
          <w:rFonts w:ascii="仿宋" w:hAnsi="仿宋" w:eastAsia="仿宋" w:cs="仿宋"/>
          <w:spacing w:val="-26"/>
          <w:sz w:val="24"/>
          <w:szCs w:val="24"/>
        </w:rPr>
        <w:t xml:space="preserve"> </w:t>
      </w:r>
      <w:r>
        <w:rPr>
          <w:rFonts w:ascii="仿宋" w:hAnsi="仿宋" w:eastAsia="仿宋" w:cs="仿宋"/>
          <w:spacing w:val="-2"/>
          <w:sz w:val="24"/>
          <w:szCs w:val="24"/>
        </w:rPr>
        <w:t>device</w:t>
      </w:r>
      <w:r>
        <w:rPr>
          <w:rFonts w:ascii="仿宋" w:hAnsi="仿宋" w:eastAsia="仿宋" w:cs="仿宋"/>
          <w:spacing w:val="-3"/>
          <w:sz w:val="24"/>
          <w:szCs w:val="24"/>
        </w:rPr>
        <w:t>和《YY/T 1976-2025</w:t>
      </w:r>
      <w:r>
        <w:rPr>
          <w:rFonts w:ascii="仿宋" w:hAnsi="仿宋" w:eastAsia="仿宋" w:cs="仿宋"/>
          <w:spacing w:val="47"/>
          <w:sz w:val="24"/>
          <w:szCs w:val="24"/>
        </w:rPr>
        <w:t xml:space="preserve"> </w:t>
      </w:r>
      <w:r>
        <w:rPr>
          <w:rFonts w:ascii="仿宋" w:hAnsi="仿宋" w:eastAsia="仿宋" w:cs="仿宋"/>
          <w:spacing w:val="-3"/>
          <w:sz w:val="24"/>
          <w:szCs w:val="24"/>
        </w:rPr>
        <w:t>中医器械</w:t>
      </w:r>
      <w:r>
        <w:rPr>
          <w:rFonts w:ascii="仿宋" w:hAnsi="仿宋" w:eastAsia="仿宋" w:cs="仿宋"/>
          <w:spacing w:val="17"/>
          <w:sz w:val="24"/>
          <w:szCs w:val="24"/>
        </w:rPr>
        <w:t xml:space="preserve"> </w:t>
      </w:r>
      <w:r>
        <w:rPr>
          <w:rFonts w:ascii="仿宋" w:hAnsi="仿宋" w:eastAsia="仿宋" w:cs="仿宋"/>
          <w:spacing w:val="-3"/>
          <w:sz w:val="24"/>
          <w:szCs w:val="24"/>
        </w:rPr>
        <w:t>玻璃拔罐器》）</w:t>
      </w:r>
    </w:p>
    <w:p w14:paraId="44374B6E">
      <w:pPr>
        <w:spacing w:line="276" w:lineRule="auto"/>
        <w:ind w:left="487"/>
        <w:rPr>
          <w:rFonts w:ascii="仿宋" w:hAnsi="仿宋" w:eastAsia="仿宋" w:cs="仿宋"/>
          <w:sz w:val="24"/>
          <w:szCs w:val="24"/>
        </w:rPr>
      </w:pPr>
      <w:r>
        <w:rPr>
          <w:rFonts w:ascii="仿宋" w:hAnsi="仿宋" w:eastAsia="仿宋" w:cs="仿宋"/>
          <w:b/>
          <w:bCs/>
          <w:spacing w:val="-4"/>
          <w:sz w:val="24"/>
          <w:szCs w:val="24"/>
        </w:rPr>
        <w:t>3.项目组决议</w:t>
      </w:r>
    </w:p>
    <w:p w14:paraId="1B39FA63">
      <w:pPr>
        <w:spacing w:before="111" w:line="276" w:lineRule="auto"/>
        <w:ind w:left="492"/>
        <w:rPr>
          <w:rFonts w:ascii="仿宋" w:hAnsi="仿宋" w:eastAsia="仿宋" w:cs="仿宋"/>
          <w:sz w:val="24"/>
          <w:szCs w:val="24"/>
        </w:rPr>
      </w:pPr>
      <w:r>
        <w:rPr>
          <w:rFonts w:ascii="仿宋" w:hAnsi="仿宋" w:eastAsia="仿宋" w:cs="仿宋"/>
          <w:spacing w:val="-3"/>
          <w:sz w:val="24"/>
          <w:szCs w:val="24"/>
        </w:rPr>
        <w:t>采纳修改建议，结合专家建议修改“适宜</w:t>
      </w:r>
      <w:r>
        <w:rPr>
          <w:rFonts w:ascii="仿宋" w:hAnsi="仿宋" w:eastAsia="仿宋" w:cs="仿宋"/>
          <w:spacing w:val="-88"/>
          <w:sz w:val="24"/>
          <w:szCs w:val="24"/>
        </w:rPr>
        <w:t xml:space="preserve"> </w:t>
      </w:r>
      <w:r>
        <w:rPr>
          <w:rFonts w:ascii="仿宋" w:hAnsi="仿宋" w:eastAsia="仿宋" w:cs="仿宋"/>
          <w:spacing w:val="-3"/>
          <w:sz w:val="24"/>
          <w:szCs w:val="24"/>
        </w:rPr>
        <w:t>”及“一般</w:t>
      </w:r>
      <w:r>
        <w:rPr>
          <w:rFonts w:ascii="仿宋" w:hAnsi="仿宋" w:eastAsia="仿宋" w:cs="仿宋"/>
          <w:spacing w:val="-88"/>
          <w:sz w:val="24"/>
          <w:szCs w:val="24"/>
        </w:rPr>
        <w:t xml:space="preserve"> </w:t>
      </w:r>
      <w:r>
        <w:rPr>
          <w:rFonts w:ascii="仿宋" w:hAnsi="仿宋" w:eastAsia="仿宋" w:cs="仿宋"/>
          <w:spacing w:val="-3"/>
          <w:sz w:val="24"/>
          <w:szCs w:val="24"/>
        </w:rPr>
        <w:t>”表</w:t>
      </w:r>
      <w:r>
        <w:rPr>
          <w:rFonts w:ascii="仿宋" w:hAnsi="仿宋" w:eastAsia="仿宋" w:cs="仿宋"/>
          <w:spacing w:val="-4"/>
          <w:sz w:val="24"/>
          <w:szCs w:val="24"/>
        </w:rPr>
        <w:t>述。</w:t>
      </w:r>
    </w:p>
    <w:p w14:paraId="3740EF33">
      <w:pPr>
        <w:spacing w:before="100" w:line="276" w:lineRule="auto"/>
        <w:ind w:left="485"/>
        <w:rPr>
          <w:rFonts w:ascii="仿宋" w:hAnsi="仿宋" w:eastAsia="仿宋" w:cs="仿宋"/>
          <w:sz w:val="24"/>
          <w:szCs w:val="24"/>
        </w:rPr>
      </w:pPr>
      <w:r>
        <w:rPr>
          <w:rFonts w:ascii="仿宋" w:hAnsi="仿宋" w:eastAsia="仿宋" w:cs="仿宋"/>
          <w:b/>
          <w:bCs/>
          <w:spacing w:val="-6"/>
          <w:sz w:val="24"/>
          <w:szCs w:val="24"/>
        </w:rPr>
        <w:t>（二）条目</w:t>
      </w:r>
      <w:r>
        <w:rPr>
          <w:rFonts w:ascii="仿宋" w:hAnsi="仿宋" w:eastAsia="仿宋" w:cs="仿宋"/>
          <w:spacing w:val="-46"/>
          <w:sz w:val="24"/>
          <w:szCs w:val="24"/>
        </w:rPr>
        <w:t xml:space="preserve"> </w:t>
      </w:r>
      <w:r>
        <w:rPr>
          <w:rFonts w:ascii="仿宋" w:hAnsi="仿宋" w:eastAsia="仿宋" w:cs="仿宋"/>
          <w:b/>
          <w:bCs/>
          <w:spacing w:val="-6"/>
          <w:sz w:val="24"/>
          <w:szCs w:val="24"/>
        </w:rPr>
        <w:t>2：体位</w:t>
      </w:r>
    </w:p>
    <w:p w14:paraId="538E8C13">
      <w:pPr>
        <w:spacing w:before="113" w:line="276" w:lineRule="auto"/>
        <w:ind w:left="491"/>
        <w:rPr>
          <w:rFonts w:ascii="仿宋" w:hAnsi="仿宋" w:eastAsia="仿宋" w:cs="仿宋"/>
          <w:sz w:val="24"/>
          <w:szCs w:val="24"/>
        </w:rPr>
      </w:pPr>
      <w:r>
        <w:rPr>
          <w:rFonts w:ascii="仿宋" w:hAnsi="仿宋" w:eastAsia="仿宋" w:cs="仿宋"/>
          <w:b/>
          <w:bCs/>
          <w:spacing w:val="-5"/>
          <w:sz w:val="24"/>
          <w:szCs w:val="24"/>
        </w:rPr>
        <w:t>1.征求意见函原文</w:t>
      </w:r>
    </w:p>
    <w:p w14:paraId="30BC4D1E">
      <w:pPr>
        <w:spacing w:before="109" w:line="276" w:lineRule="auto"/>
        <w:ind w:left="485"/>
        <w:rPr>
          <w:rFonts w:ascii="仿宋" w:hAnsi="仿宋" w:eastAsia="仿宋" w:cs="仿宋"/>
          <w:sz w:val="24"/>
          <w:szCs w:val="24"/>
        </w:rPr>
      </w:pPr>
      <w:r>
        <w:rPr>
          <w:rFonts w:ascii="仿宋" w:hAnsi="仿宋" w:eastAsia="仿宋" w:cs="仿宋"/>
          <w:spacing w:val="-3"/>
          <w:sz w:val="24"/>
          <w:szCs w:val="24"/>
        </w:rPr>
        <w:t>（1）国家标准</w:t>
      </w:r>
    </w:p>
    <w:p w14:paraId="02669B9B">
      <w:pPr>
        <w:spacing w:before="111" w:line="276" w:lineRule="auto"/>
        <w:ind w:left="480"/>
        <w:rPr>
          <w:rFonts w:ascii="仿宋" w:hAnsi="仿宋" w:eastAsia="仿宋" w:cs="仿宋"/>
          <w:sz w:val="24"/>
          <w:szCs w:val="24"/>
        </w:rPr>
      </w:pPr>
      <w:r>
        <w:rPr>
          <w:rFonts w:ascii="仿宋" w:hAnsi="仿宋" w:eastAsia="仿宋" w:cs="仿宋"/>
          <w:spacing w:val="-1"/>
          <w:sz w:val="24"/>
          <w:szCs w:val="24"/>
        </w:rPr>
        <w:t>应选择患儿舒适、医师便于操作的治疗体位，如坐位、俯卧位、仰卧位。</w:t>
      </w:r>
    </w:p>
    <w:p w14:paraId="2585A1D1">
      <w:pPr>
        <w:spacing w:before="114" w:line="276" w:lineRule="auto"/>
        <w:ind w:left="485"/>
        <w:rPr>
          <w:rFonts w:ascii="仿宋" w:hAnsi="仿宋" w:eastAsia="仿宋" w:cs="仿宋"/>
          <w:sz w:val="24"/>
          <w:szCs w:val="24"/>
        </w:rPr>
      </w:pPr>
      <w:r>
        <w:rPr>
          <w:rFonts w:ascii="仿宋" w:hAnsi="仿宋" w:eastAsia="仿宋" w:cs="仿宋"/>
          <w:spacing w:val="-3"/>
          <w:sz w:val="24"/>
          <w:szCs w:val="24"/>
        </w:rPr>
        <w:t>（2）项目组意见</w:t>
      </w:r>
    </w:p>
    <w:p w14:paraId="16D6A14E">
      <w:pPr>
        <w:spacing w:before="109" w:line="276" w:lineRule="auto"/>
        <w:ind w:firstLine="480"/>
        <w:rPr>
          <w:rFonts w:ascii="仿宋" w:hAnsi="仿宋" w:eastAsia="仿宋" w:cs="仿宋"/>
          <w:sz w:val="24"/>
          <w:szCs w:val="24"/>
        </w:rPr>
      </w:pPr>
      <w:r>
        <w:rPr>
          <w:rFonts w:ascii="仿宋" w:hAnsi="仿宋" w:eastAsia="仿宋" w:cs="仿宋"/>
          <w:spacing w:val="-1"/>
          <w:sz w:val="24"/>
          <w:szCs w:val="24"/>
        </w:rPr>
        <w:t>应选择患儿舒适、医师便于操作的治疗体位，如坐位、俯卧位、仰卧位，对于年龄较小的患儿，可采用监护人辅助的正抱、背抱、侧抱等抱位。</w:t>
      </w:r>
    </w:p>
    <w:p w14:paraId="743FDAE4">
      <w:pPr>
        <w:spacing w:line="276" w:lineRule="auto"/>
        <w:ind w:left="476"/>
        <w:rPr>
          <w:rFonts w:ascii="仿宋" w:hAnsi="仿宋" w:eastAsia="仿宋" w:cs="仿宋"/>
          <w:sz w:val="24"/>
          <w:szCs w:val="24"/>
        </w:rPr>
      </w:pPr>
      <w:r>
        <w:rPr>
          <w:rFonts w:ascii="仿宋" w:hAnsi="仿宋" w:eastAsia="仿宋" w:cs="仿宋"/>
          <w:b/>
          <w:bCs/>
          <w:spacing w:val="-4"/>
          <w:sz w:val="24"/>
          <w:szCs w:val="24"/>
        </w:rPr>
        <w:t>2.专家论证意见</w:t>
      </w:r>
    </w:p>
    <w:p w14:paraId="41E69CC3">
      <w:pPr>
        <w:spacing w:before="109" w:line="276" w:lineRule="auto"/>
        <w:ind w:left="485"/>
        <w:rPr>
          <w:rFonts w:ascii="仿宋" w:hAnsi="仿宋" w:eastAsia="仿宋" w:cs="仿宋"/>
          <w:sz w:val="24"/>
          <w:szCs w:val="24"/>
        </w:rPr>
      </w:pPr>
      <w:r>
        <w:rPr>
          <w:rFonts w:ascii="仿宋" w:hAnsi="仿宋" w:eastAsia="仿宋" w:cs="仿宋"/>
          <w:spacing w:val="-3"/>
          <w:sz w:val="24"/>
          <w:szCs w:val="24"/>
        </w:rPr>
        <w:t>（1）专家论证结果</w:t>
      </w:r>
    </w:p>
    <w:p w14:paraId="342B2558">
      <w:pPr>
        <w:spacing w:before="111" w:line="276" w:lineRule="auto"/>
        <w:ind w:left="426"/>
        <w:rPr>
          <w:rFonts w:ascii="仿宋" w:hAnsi="仿宋" w:eastAsia="仿宋" w:cs="仿宋"/>
          <w:sz w:val="24"/>
          <w:szCs w:val="24"/>
        </w:rPr>
      </w:pPr>
      <w:r>
        <w:rPr>
          <w:rFonts w:ascii="仿宋" w:hAnsi="仿宋" w:eastAsia="仿宋" w:cs="仿宋"/>
          <w:spacing w:val="-5"/>
          <w:sz w:val="24"/>
          <w:szCs w:val="24"/>
        </w:rPr>
        <w:t>全体</w:t>
      </w:r>
      <w:r>
        <w:rPr>
          <w:rFonts w:ascii="仿宋" w:hAnsi="仿宋" w:eastAsia="仿宋" w:cs="仿宋"/>
          <w:spacing w:val="-34"/>
          <w:sz w:val="24"/>
          <w:szCs w:val="24"/>
        </w:rPr>
        <w:t xml:space="preserve"> </w:t>
      </w:r>
      <w:r>
        <w:rPr>
          <w:rFonts w:ascii="仿宋" w:hAnsi="仿宋" w:eastAsia="仿宋" w:cs="仿宋"/>
          <w:spacing w:val="-5"/>
          <w:sz w:val="24"/>
          <w:szCs w:val="24"/>
        </w:rPr>
        <w:t>13</w:t>
      </w:r>
      <w:r>
        <w:rPr>
          <w:rFonts w:ascii="仿宋" w:hAnsi="仿宋" w:eastAsia="仿宋" w:cs="仿宋"/>
          <w:spacing w:val="-43"/>
          <w:sz w:val="24"/>
          <w:szCs w:val="24"/>
        </w:rPr>
        <w:t xml:space="preserve"> </w:t>
      </w:r>
      <w:r>
        <w:rPr>
          <w:rFonts w:ascii="仿宋" w:hAnsi="仿宋" w:eastAsia="仿宋" w:cs="仿宋"/>
          <w:spacing w:val="-5"/>
          <w:sz w:val="24"/>
          <w:szCs w:val="24"/>
        </w:rPr>
        <w:t>位专家一致同意（2</w:t>
      </w:r>
      <w:r>
        <w:rPr>
          <w:rFonts w:ascii="仿宋" w:hAnsi="仿宋" w:eastAsia="仿宋" w:cs="仿宋"/>
          <w:spacing w:val="-41"/>
          <w:sz w:val="24"/>
          <w:szCs w:val="24"/>
        </w:rPr>
        <w:t xml:space="preserve"> </w:t>
      </w:r>
      <w:r>
        <w:rPr>
          <w:rFonts w:ascii="仿宋" w:hAnsi="仿宋" w:eastAsia="仿宋" w:cs="仿宋"/>
          <w:spacing w:val="-5"/>
          <w:sz w:val="24"/>
          <w:szCs w:val="24"/>
        </w:rPr>
        <w:t>分/须选</w:t>
      </w:r>
      <w:r>
        <w:rPr>
          <w:rFonts w:ascii="仿宋" w:hAnsi="仿宋" w:eastAsia="仿宋" w:cs="仿宋"/>
          <w:spacing w:val="8"/>
          <w:sz w:val="24"/>
          <w:szCs w:val="24"/>
        </w:rPr>
        <w:t>），</w:t>
      </w:r>
      <w:r>
        <w:rPr>
          <w:rFonts w:ascii="仿宋" w:hAnsi="仿宋" w:eastAsia="仿宋" w:cs="仿宋"/>
          <w:spacing w:val="-5"/>
          <w:sz w:val="24"/>
          <w:szCs w:val="24"/>
        </w:rPr>
        <w:t>支持率</w:t>
      </w:r>
      <w:r>
        <w:rPr>
          <w:rFonts w:ascii="仿宋" w:hAnsi="仿宋" w:eastAsia="仿宋" w:cs="仿宋"/>
          <w:spacing w:val="-34"/>
          <w:sz w:val="24"/>
          <w:szCs w:val="24"/>
        </w:rPr>
        <w:t xml:space="preserve"> </w:t>
      </w:r>
      <w:r>
        <w:rPr>
          <w:rFonts w:ascii="仿宋" w:hAnsi="仿宋" w:eastAsia="仿宋" w:cs="仿宋"/>
          <w:spacing w:val="-5"/>
          <w:sz w:val="24"/>
          <w:szCs w:val="24"/>
        </w:rPr>
        <w:t>100</w:t>
      </w:r>
      <w:r>
        <w:rPr>
          <w:rFonts w:ascii="仿宋" w:hAnsi="仿宋" w:eastAsia="仿宋" w:cs="仿宋"/>
          <w:spacing w:val="-6"/>
          <w:sz w:val="24"/>
          <w:szCs w:val="24"/>
        </w:rPr>
        <w:t>%。</w:t>
      </w:r>
    </w:p>
    <w:p w14:paraId="2E2B9A4E">
      <w:pPr>
        <w:spacing w:before="113" w:line="276" w:lineRule="auto"/>
        <w:ind w:left="478"/>
        <w:rPr>
          <w:rFonts w:ascii="仿宋" w:hAnsi="仿宋" w:eastAsia="仿宋" w:cs="仿宋"/>
          <w:sz w:val="24"/>
          <w:szCs w:val="24"/>
        </w:rPr>
      </w:pPr>
      <w:r>
        <w:rPr>
          <w:rFonts w:ascii="仿宋" w:hAnsi="仿宋" w:eastAsia="仿宋" w:cs="仿宋"/>
          <w:b/>
          <w:bCs/>
          <w:spacing w:val="-4"/>
          <w:sz w:val="24"/>
          <w:szCs w:val="24"/>
        </w:rPr>
        <w:t>3.项目组决议</w:t>
      </w:r>
    </w:p>
    <w:p w14:paraId="55C873C9">
      <w:pPr>
        <w:spacing w:before="109" w:line="276" w:lineRule="auto"/>
        <w:ind w:left="480"/>
        <w:rPr>
          <w:rFonts w:ascii="仿宋" w:hAnsi="仿宋" w:eastAsia="仿宋" w:cs="仿宋"/>
          <w:sz w:val="24"/>
          <w:szCs w:val="24"/>
        </w:rPr>
      </w:pPr>
      <w:r>
        <w:rPr>
          <w:rFonts w:ascii="仿宋" w:hAnsi="仿宋" w:eastAsia="仿宋" w:cs="仿宋"/>
          <w:spacing w:val="-2"/>
          <w:sz w:val="24"/>
          <w:szCs w:val="24"/>
        </w:rPr>
        <w:t>基本采纳项目组意见。</w:t>
      </w:r>
    </w:p>
    <w:p w14:paraId="220786C5">
      <w:pPr>
        <w:spacing w:before="112" w:line="276" w:lineRule="auto"/>
        <w:ind w:left="485"/>
        <w:rPr>
          <w:rFonts w:ascii="仿宋" w:hAnsi="仿宋" w:eastAsia="仿宋" w:cs="仿宋"/>
          <w:sz w:val="24"/>
          <w:szCs w:val="24"/>
        </w:rPr>
      </w:pPr>
      <w:r>
        <w:rPr>
          <w:rFonts w:ascii="仿宋" w:hAnsi="仿宋" w:eastAsia="仿宋" w:cs="仿宋"/>
          <w:b/>
          <w:bCs/>
          <w:spacing w:val="-4"/>
          <w:sz w:val="24"/>
          <w:szCs w:val="24"/>
        </w:rPr>
        <w:t>（三）条目</w:t>
      </w:r>
      <w:r>
        <w:rPr>
          <w:rFonts w:ascii="仿宋" w:hAnsi="仿宋" w:eastAsia="仿宋" w:cs="仿宋"/>
          <w:spacing w:val="-43"/>
          <w:sz w:val="24"/>
          <w:szCs w:val="24"/>
        </w:rPr>
        <w:t xml:space="preserve"> </w:t>
      </w:r>
      <w:r>
        <w:rPr>
          <w:rFonts w:ascii="仿宋" w:hAnsi="仿宋" w:eastAsia="仿宋" w:cs="仿宋"/>
          <w:b/>
          <w:bCs/>
          <w:spacing w:val="-4"/>
          <w:sz w:val="24"/>
          <w:szCs w:val="24"/>
        </w:rPr>
        <w:t>3：</w:t>
      </w:r>
      <w:r>
        <w:rPr>
          <w:rFonts w:ascii="仿宋" w:hAnsi="仿宋" w:eastAsia="仿宋" w:cs="仿宋"/>
          <w:spacing w:val="-4"/>
          <w:sz w:val="24"/>
          <w:szCs w:val="24"/>
        </w:rPr>
        <w:t>技术操作规范</w:t>
      </w:r>
    </w:p>
    <w:p w14:paraId="3E281D46">
      <w:pPr>
        <w:spacing w:before="115" w:line="276" w:lineRule="auto"/>
        <w:ind w:left="491"/>
        <w:rPr>
          <w:rFonts w:ascii="仿宋" w:hAnsi="仿宋" w:eastAsia="仿宋" w:cs="仿宋"/>
          <w:sz w:val="24"/>
          <w:szCs w:val="24"/>
        </w:rPr>
      </w:pPr>
      <w:r>
        <w:rPr>
          <w:rFonts w:ascii="仿宋" w:hAnsi="仿宋" w:eastAsia="仿宋" w:cs="仿宋"/>
          <w:b/>
          <w:bCs/>
          <w:spacing w:val="-5"/>
          <w:sz w:val="24"/>
          <w:szCs w:val="24"/>
        </w:rPr>
        <w:t>1.征求意见函原文</w:t>
      </w:r>
    </w:p>
    <w:p w14:paraId="4B06F503">
      <w:pPr>
        <w:spacing w:before="109" w:line="276" w:lineRule="auto"/>
        <w:ind w:left="485"/>
        <w:rPr>
          <w:rFonts w:ascii="仿宋" w:hAnsi="仿宋" w:eastAsia="仿宋" w:cs="仿宋"/>
          <w:sz w:val="24"/>
          <w:szCs w:val="24"/>
        </w:rPr>
      </w:pPr>
      <w:r>
        <w:rPr>
          <w:rFonts w:ascii="仿宋" w:hAnsi="仿宋" w:eastAsia="仿宋" w:cs="仿宋"/>
          <w:spacing w:val="-3"/>
          <w:sz w:val="24"/>
          <w:szCs w:val="24"/>
        </w:rPr>
        <w:t>（1）国家标准</w:t>
      </w:r>
    </w:p>
    <w:p w14:paraId="5D548D8F">
      <w:pPr>
        <w:spacing w:before="112" w:line="276" w:lineRule="auto"/>
        <w:ind w:left="481"/>
        <w:rPr>
          <w:rFonts w:ascii="仿宋" w:hAnsi="仿宋" w:eastAsia="仿宋" w:cs="仿宋"/>
          <w:sz w:val="24"/>
          <w:szCs w:val="24"/>
        </w:rPr>
      </w:pPr>
      <w:r>
        <w:rPr>
          <w:rFonts w:ascii="仿宋" w:hAnsi="仿宋" w:eastAsia="仿宋" w:cs="仿宋"/>
          <w:spacing w:val="-2"/>
          <w:sz w:val="24"/>
          <w:szCs w:val="24"/>
        </w:rPr>
        <w:t>拔罐的技术操作规范应符合 GB/T21709.5</w:t>
      </w:r>
      <w:r>
        <w:rPr>
          <w:rFonts w:ascii="仿宋" w:hAnsi="仿宋" w:eastAsia="仿宋" w:cs="仿宋"/>
          <w:spacing w:val="-22"/>
          <w:sz w:val="24"/>
          <w:szCs w:val="24"/>
        </w:rPr>
        <w:t xml:space="preserve"> </w:t>
      </w:r>
      <w:r>
        <w:rPr>
          <w:rFonts w:ascii="仿宋" w:hAnsi="仿宋" w:eastAsia="仿宋" w:cs="仿宋"/>
          <w:spacing w:val="-2"/>
          <w:sz w:val="24"/>
          <w:szCs w:val="24"/>
        </w:rPr>
        <w:t>的规定。</w:t>
      </w:r>
    </w:p>
    <w:p w14:paraId="7780AF15">
      <w:pPr>
        <w:spacing w:before="115" w:line="276" w:lineRule="auto"/>
        <w:ind w:left="485"/>
        <w:rPr>
          <w:rFonts w:ascii="仿宋" w:hAnsi="仿宋" w:eastAsia="仿宋" w:cs="仿宋"/>
          <w:sz w:val="24"/>
          <w:szCs w:val="24"/>
        </w:rPr>
      </w:pPr>
      <w:r>
        <w:rPr>
          <w:rFonts w:ascii="仿宋" w:hAnsi="仿宋" w:eastAsia="仿宋" w:cs="仿宋"/>
          <w:spacing w:val="-3"/>
          <w:sz w:val="24"/>
          <w:szCs w:val="24"/>
        </w:rPr>
        <w:t>（2）项目组意见</w:t>
      </w:r>
    </w:p>
    <w:p w14:paraId="53A941B1">
      <w:pPr>
        <w:spacing w:before="106" w:line="276" w:lineRule="auto"/>
        <w:ind w:firstLine="480"/>
        <w:rPr>
          <w:rFonts w:ascii="仿宋" w:hAnsi="仿宋" w:eastAsia="仿宋" w:cs="仿宋"/>
          <w:sz w:val="24"/>
          <w:szCs w:val="24"/>
        </w:rPr>
      </w:pPr>
      <w:r>
        <w:rPr>
          <w:rFonts w:ascii="仿宋" w:hAnsi="仿宋" w:eastAsia="仿宋" w:cs="仿宋"/>
          <w:spacing w:val="-3"/>
          <w:sz w:val="24"/>
          <w:szCs w:val="24"/>
        </w:rPr>
        <w:t>拔罐的技术操作规范在符合 GB/T21709.5</w:t>
      </w:r>
      <w:r>
        <w:rPr>
          <w:rFonts w:ascii="仿宋" w:hAnsi="仿宋" w:eastAsia="仿宋" w:cs="仿宋"/>
          <w:spacing w:val="-17"/>
          <w:sz w:val="24"/>
          <w:szCs w:val="24"/>
        </w:rPr>
        <w:t xml:space="preserve"> </w:t>
      </w:r>
      <w:r>
        <w:rPr>
          <w:rFonts w:ascii="仿宋" w:hAnsi="仿宋" w:eastAsia="仿宋" w:cs="仿宋"/>
          <w:spacing w:val="-3"/>
          <w:sz w:val="24"/>
          <w:szCs w:val="24"/>
        </w:rPr>
        <w:t>的规定的基础上，结合小儿生理特点，适当</w:t>
      </w:r>
      <w:r>
        <w:rPr>
          <w:rFonts w:ascii="仿宋" w:hAnsi="仿宋" w:eastAsia="仿宋" w:cs="仿宋"/>
          <w:spacing w:val="-1"/>
          <w:sz w:val="24"/>
          <w:szCs w:val="24"/>
        </w:rPr>
        <w:t>减少罐内负压、减少留罐时间、降低治疗频率，并及时关注小儿情绪，选择在患儿情绪平稳愿意配合时操作，当患儿出现哭闹、挣扎时立刻停止操作。</w:t>
      </w:r>
    </w:p>
    <w:p w14:paraId="6ABFCF41">
      <w:pPr>
        <w:spacing w:line="276" w:lineRule="auto"/>
        <w:ind w:left="476"/>
        <w:rPr>
          <w:rFonts w:ascii="仿宋" w:hAnsi="仿宋" w:eastAsia="仿宋" w:cs="仿宋"/>
          <w:sz w:val="24"/>
          <w:szCs w:val="24"/>
        </w:rPr>
      </w:pPr>
      <w:r>
        <w:rPr>
          <w:rFonts w:ascii="仿宋" w:hAnsi="仿宋" w:eastAsia="仿宋" w:cs="仿宋"/>
          <w:b/>
          <w:bCs/>
          <w:spacing w:val="-4"/>
          <w:sz w:val="24"/>
          <w:szCs w:val="24"/>
        </w:rPr>
        <w:t>2.专家论证意见</w:t>
      </w:r>
    </w:p>
    <w:p w14:paraId="0E30B7F8">
      <w:pPr>
        <w:spacing w:before="111" w:line="276" w:lineRule="auto"/>
        <w:ind w:left="485"/>
        <w:rPr>
          <w:rFonts w:ascii="仿宋" w:hAnsi="仿宋" w:eastAsia="仿宋" w:cs="仿宋"/>
          <w:sz w:val="24"/>
          <w:szCs w:val="24"/>
        </w:rPr>
      </w:pPr>
      <w:r>
        <w:rPr>
          <w:rFonts w:ascii="仿宋" w:hAnsi="仿宋" w:eastAsia="仿宋" w:cs="仿宋"/>
          <w:spacing w:val="-3"/>
          <w:sz w:val="24"/>
          <w:szCs w:val="24"/>
        </w:rPr>
        <w:t>（1）专家论证结果</w:t>
      </w:r>
    </w:p>
    <w:p w14:paraId="7C5FF253">
      <w:pPr>
        <w:spacing w:before="111" w:line="276" w:lineRule="auto"/>
        <w:ind w:left="486"/>
        <w:rPr>
          <w:rFonts w:ascii="仿宋" w:hAnsi="仿宋" w:eastAsia="仿宋" w:cs="仿宋"/>
          <w:sz w:val="24"/>
          <w:szCs w:val="24"/>
        </w:rPr>
      </w:pPr>
      <w:r>
        <w:rPr>
          <w:rFonts w:ascii="仿宋" w:hAnsi="仿宋" w:eastAsia="仿宋" w:cs="仿宋"/>
          <w:spacing w:val="-5"/>
          <w:sz w:val="24"/>
          <w:szCs w:val="24"/>
        </w:rPr>
        <w:t>全体</w:t>
      </w:r>
      <w:r>
        <w:rPr>
          <w:rFonts w:ascii="仿宋" w:hAnsi="仿宋" w:eastAsia="仿宋" w:cs="仿宋"/>
          <w:spacing w:val="-34"/>
          <w:sz w:val="24"/>
          <w:szCs w:val="24"/>
        </w:rPr>
        <w:t xml:space="preserve"> </w:t>
      </w:r>
      <w:r>
        <w:rPr>
          <w:rFonts w:ascii="仿宋" w:hAnsi="仿宋" w:eastAsia="仿宋" w:cs="仿宋"/>
          <w:spacing w:val="-5"/>
          <w:sz w:val="24"/>
          <w:szCs w:val="24"/>
        </w:rPr>
        <w:t>13</w:t>
      </w:r>
      <w:r>
        <w:rPr>
          <w:rFonts w:ascii="仿宋" w:hAnsi="仿宋" w:eastAsia="仿宋" w:cs="仿宋"/>
          <w:spacing w:val="-43"/>
          <w:sz w:val="24"/>
          <w:szCs w:val="24"/>
        </w:rPr>
        <w:t xml:space="preserve"> </w:t>
      </w:r>
      <w:r>
        <w:rPr>
          <w:rFonts w:ascii="仿宋" w:hAnsi="仿宋" w:eastAsia="仿宋" w:cs="仿宋"/>
          <w:spacing w:val="-5"/>
          <w:sz w:val="24"/>
          <w:szCs w:val="24"/>
        </w:rPr>
        <w:t>位专家一致同意（2</w:t>
      </w:r>
      <w:r>
        <w:rPr>
          <w:rFonts w:ascii="仿宋" w:hAnsi="仿宋" w:eastAsia="仿宋" w:cs="仿宋"/>
          <w:spacing w:val="-41"/>
          <w:sz w:val="24"/>
          <w:szCs w:val="24"/>
        </w:rPr>
        <w:t xml:space="preserve"> </w:t>
      </w:r>
      <w:r>
        <w:rPr>
          <w:rFonts w:ascii="仿宋" w:hAnsi="仿宋" w:eastAsia="仿宋" w:cs="仿宋"/>
          <w:spacing w:val="-5"/>
          <w:sz w:val="24"/>
          <w:szCs w:val="24"/>
        </w:rPr>
        <w:t>分/须选</w:t>
      </w:r>
      <w:r>
        <w:rPr>
          <w:rFonts w:ascii="仿宋" w:hAnsi="仿宋" w:eastAsia="仿宋" w:cs="仿宋"/>
          <w:spacing w:val="8"/>
          <w:sz w:val="24"/>
          <w:szCs w:val="24"/>
        </w:rPr>
        <w:t>），</w:t>
      </w:r>
      <w:r>
        <w:rPr>
          <w:rFonts w:ascii="仿宋" w:hAnsi="仿宋" w:eastAsia="仿宋" w:cs="仿宋"/>
          <w:spacing w:val="-5"/>
          <w:sz w:val="24"/>
          <w:szCs w:val="24"/>
        </w:rPr>
        <w:t>支持率</w:t>
      </w:r>
      <w:r>
        <w:rPr>
          <w:rFonts w:ascii="仿宋" w:hAnsi="仿宋" w:eastAsia="仿宋" w:cs="仿宋"/>
          <w:spacing w:val="-34"/>
          <w:sz w:val="24"/>
          <w:szCs w:val="24"/>
        </w:rPr>
        <w:t xml:space="preserve"> </w:t>
      </w:r>
      <w:r>
        <w:rPr>
          <w:rFonts w:ascii="仿宋" w:hAnsi="仿宋" w:eastAsia="仿宋" w:cs="仿宋"/>
          <w:spacing w:val="-5"/>
          <w:sz w:val="24"/>
          <w:szCs w:val="24"/>
        </w:rPr>
        <w:t>100</w:t>
      </w:r>
      <w:r>
        <w:rPr>
          <w:rFonts w:ascii="仿宋" w:hAnsi="仿宋" w:eastAsia="仿宋" w:cs="仿宋"/>
          <w:spacing w:val="-6"/>
          <w:sz w:val="24"/>
          <w:szCs w:val="24"/>
        </w:rPr>
        <w:t>%。</w:t>
      </w:r>
    </w:p>
    <w:p w14:paraId="46FFC8F8">
      <w:pPr>
        <w:spacing w:before="111" w:line="276" w:lineRule="auto"/>
        <w:ind w:left="485"/>
        <w:rPr>
          <w:rFonts w:ascii="仿宋" w:hAnsi="仿宋" w:eastAsia="仿宋" w:cs="仿宋"/>
          <w:sz w:val="24"/>
          <w:szCs w:val="24"/>
        </w:rPr>
      </w:pPr>
      <w:r>
        <w:rPr>
          <w:rFonts w:ascii="仿宋" w:hAnsi="仿宋" w:eastAsia="仿宋" w:cs="仿宋"/>
          <w:spacing w:val="-3"/>
          <w:sz w:val="24"/>
          <w:szCs w:val="24"/>
        </w:rPr>
        <w:t>（2）主要修改意见</w:t>
      </w:r>
    </w:p>
    <w:p w14:paraId="6CA4931D">
      <w:pPr>
        <w:spacing w:before="113" w:line="276" w:lineRule="auto"/>
        <w:ind w:left="3" w:right="112" w:firstLine="480"/>
        <w:rPr>
          <w:rFonts w:ascii="仿宋" w:hAnsi="仿宋" w:eastAsia="仿宋" w:cs="仿宋"/>
          <w:sz w:val="24"/>
          <w:szCs w:val="24"/>
        </w:rPr>
      </w:pPr>
      <w:r>
        <w:rPr>
          <w:rFonts w:ascii="仿宋" w:hAnsi="仿宋" w:eastAsia="仿宋" w:cs="仿宋"/>
          <w:spacing w:val="1"/>
          <w:sz w:val="24"/>
          <w:szCs w:val="24"/>
        </w:rPr>
        <w:t>五项目总负责人汪受传教授提出，作为国际标准， 应</w:t>
      </w:r>
      <w:r>
        <w:rPr>
          <w:rFonts w:ascii="仿宋" w:hAnsi="仿宋" w:eastAsia="仿宋" w:cs="仿宋"/>
          <w:sz w:val="24"/>
          <w:szCs w:val="24"/>
        </w:rPr>
        <w:t>将GB/T21709.5</w:t>
      </w:r>
      <w:r>
        <w:rPr>
          <w:rFonts w:ascii="仿宋" w:hAnsi="仿宋" w:eastAsia="仿宋" w:cs="仿宋"/>
          <w:spacing w:val="-45"/>
          <w:sz w:val="24"/>
          <w:szCs w:val="24"/>
        </w:rPr>
        <w:t xml:space="preserve"> </w:t>
      </w:r>
      <w:r>
        <w:rPr>
          <w:rFonts w:ascii="仿宋" w:hAnsi="仿宋" w:eastAsia="仿宋" w:cs="仿宋"/>
          <w:sz w:val="24"/>
          <w:szCs w:val="24"/>
        </w:rPr>
        <w:t>规定内容细化</w:t>
      </w:r>
      <w:r>
        <w:rPr>
          <w:rFonts w:ascii="仿宋" w:hAnsi="仿宋" w:eastAsia="仿宋" w:cs="仿宋"/>
          <w:spacing w:val="-1"/>
          <w:sz w:val="24"/>
          <w:szCs w:val="24"/>
        </w:rPr>
        <w:t>致本标准，使之更严谨同时也方便操作者查阅。</w:t>
      </w:r>
    </w:p>
    <w:p w14:paraId="329212DF">
      <w:pPr>
        <w:spacing w:line="276" w:lineRule="auto"/>
        <w:ind w:left="478"/>
        <w:rPr>
          <w:rFonts w:ascii="仿宋" w:hAnsi="仿宋" w:eastAsia="仿宋" w:cs="仿宋"/>
          <w:sz w:val="24"/>
          <w:szCs w:val="24"/>
        </w:rPr>
      </w:pPr>
      <w:r>
        <w:rPr>
          <w:rFonts w:ascii="仿宋" w:hAnsi="仿宋" w:eastAsia="仿宋" w:cs="仿宋"/>
          <w:b/>
          <w:bCs/>
          <w:spacing w:val="-4"/>
          <w:sz w:val="24"/>
          <w:szCs w:val="24"/>
        </w:rPr>
        <w:t>3.项目组决议</w:t>
      </w:r>
    </w:p>
    <w:p w14:paraId="7997548A">
      <w:pPr>
        <w:spacing w:before="111" w:line="276" w:lineRule="auto"/>
        <w:ind w:left="482"/>
        <w:rPr>
          <w:rFonts w:ascii="仿宋" w:hAnsi="仿宋" w:eastAsia="仿宋" w:cs="仿宋"/>
          <w:sz w:val="24"/>
          <w:szCs w:val="24"/>
        </w:rPr>
      </w:pPr>
      <w:r>
        <w:rPr>
          <w:rFonts w:ascii="仿宋" w:hAnsi="仿宋" w:eastAsia="仿宋" w:cs="仿宋"/>
          <w:spacing w:val="-1"/>
          <w:sz w:val="24"/>
          <w:szCs w:val="24"/>
        </w:rPr>
        <w:t>采纳专家意见，在原文基础上细化标准。</w:t>
      </w:r>
    </w:p>
    <w:p w14:paraId="22878B96">
      <w:pPr>
        <w:spacing w:before="116" w:line="276" w:lineRule="auto"/>
        <w:ind w:left="484"/>
        <w:rPr>
          <w:rFonts w:ascii="仿宋" w:hAnsi="仿宋" w:eastAsia="仿宋" w:cs="仿宋"/>
          <w:sz w:val="24"/>
          <w:szCs w:val="24"/>
        </w:rPr>
      </w:pPr>
      <w:r>
        <w:rPr>
          <w:rFonts w:ascii="仿宋" w:hAnsi="仿宋" w:eastAsia="仿宋" w:cs="仿宋"/>
          <w:b/>
          <w:bCs/>
          <w:spacing w:val="-4"/>
          <w:sz w:val="24"/>
          <w:szCs w:val="24"/>
        </w:rPr>
        <w:t>五、对全文的综合性修改意见</w:t>
      </w:r>
    </w:p>
    <w:p w14:paraId="62FE6D5F">
      <w:pPr>
        <w:spacing w:before="113" w:line="276" w:lineRule="auto"/>
        <w:ind w:left="492"/>
        <w:rPr>
          <w:rFonts w:ascii="仿宋" w:hAnsi="仿宋" w:eastAsia="仿宋" w:cs="仿宋"/>
          <w:sz w:val="24"/>
          <w:szCs w:val="24"/>
        </w:rPr>
      </w:pPr>
      <w:r>
        <w:rPr>
          <w:rFonts w:ascii="仿宋" w:hAnsi="仿宋" w:eastAsia="仿宋" w:cs="仿宋"/>
          <w:spacing w:val="-1"/>
          <w:sz w:val="24"/>
          <w:szCs w:val="24"/>
        </w:rPr>
        <w:t>除上述条目共性问题外，专家在论证会及征求意见函中提出以下综合性意见。</w:t>
      </w:r>
    </w:p>
    <w:p w14:paraId="4C6D61D6">
      <w:pPr>
        <w:spacing w:before="116" w:line="276" w:lineRule="auto"/>
        <w:ind w:left="491"/>
        <w:rPr>
          <w:rFonts w:ascii="仿宋" w:hAnsi="仿宋" w:eastAsia="仿宋" w:cs="仿宋"/>
          <w:sz w:val="24"/>
          <w:szCs w:val="24"/>
        </w:rPr>
      </w:pPr>
      <w:r>
        <w:rPr>
          <w:rFonts w:ascii="仿宋" w:hAnsi="仿宋" w:eastAsia="仿宋" w:cs="仿宋"/>
          <w:b/>
          <w:bCs/>
          <w:spacing w:val="-5"/>
          <w:sz w:val="24"/>
          <w:szCs w:val="24"/>
        </w:rPr>
        <w:t>1.术语与表述统一化</w:t>
      </w:r>
    </w:p>
    <w:p w14:paraId="405CF4ED">
      <w:pPr>
        <w:spacing w:before="112" w:line="276" w:lineRule="auto"/>
        <w:ind w:left="485"/>
        <w:rPr>
          <w:rFonts w:ascii="仿宋" w:hAnsi="仿宋" w:eastAsia="仿宋" w:cs="仿宋"/>
          <w:sz w:val="24"/>
          <w:szCs w:val="24"/>
        </w:rPr>
      </w:pPr>
      <w:r>
        <w:rPr>
          <w:rFonts w:ascii="仿宋" w:hAnsi="仿宋" w:eastAsia="仿宋" w:cs="仿宋"/>
          <w:spacing w:val="-3"/>
          <w:sz w:val="24"/>
          <w:szCs w:val="24"/>
        </w:rPr>
        <w:t>（1）专家讨论意见</w:t>
      </w:r>
    </w:p>
    <w:p w14:paraId="55802DE2">
      <w:pPr>
        <w:spacing w:before="107" w:line="276" w:lineRule="auto"/>
        <w:ind w:firstLine="425"/>
        <w:rPr>
          <w:rFonts w:ascii="仿宋" w:hAnsi="仿宋" w:eastAsia="仿宋" w:cs="仿宋"/>
          <w:sz w:val="24"/>
          <w:szCs w:val="24"/>
        </w:rPr>
      </w:pPr>
      <w:r>
        <w:rPr>
          <w:rFonts w:ascii="仿宋" w:hAnsi="仿宋" w:eastAsia="仿宋" w:cs="仿宋"/>
          <w:spacing w:val="-2"/>
          <w:sz w:val="24"/>
          <w:szCs w:val="24"/>
        </w:rPr>
        <w:t>史正刚教授提出需与同期其他转化项目统一“</w:t>
      </w:r>
      <w:r>
        <w:rPr>
          <w:rFonts w:ascii="仿宋" w:hAnsi="仿宋" w:eastAsia="仿宋" w:cs="仿宋"/>
          <w:spacing w:val="-83"/>
          <w:sz w:val="24"/>
          <w:szCs w:val="24"/>
        </w:rPr>
        <w:t xml:space="preserve"> </w:t>
      </w:r>
      <w:r>
        <w:rPr>
          <w:rFonts w:ascii="仿宋" w:hAnsi="仿宋" w:eastAsia="仿宋" w:cs="仿宋"/>
          <w:spacing w:val="-2"/>
          <w:sz w:val="24"/>
          <w:szCs w:val="24"/>
        </w:rPr>
        <w:t>医师/</w:t>
      </w:r>
      <w:r>
        <w:rPr>
          <w:rFonts w:ascii="仿宋" w:hAnsi="仿宋" w:eastAsia="仿宋" w:cs="仿宋"/>
          <w:spacing w:val="-3"/>
          <w:sz w:val="24"/>
          <w:szCs w:val="24"/>
        </w:rPr>
        <w:t>医生/操作者</w:t>
      </w:r>
      <w:r>
        <w:rPr>
          <w:rFonts w:ascii="仿宋" w:hAnsi="仿宋" w:eastAsia="仿宋" w:cs="仿宋"/>
          <w:spacing w:val="-88"/>
          <w:sz w:val="24"/>
          <w:szCs w:val="24"/>
        </w:rPr>
        <w:t xml:space="preserve"> </w:t>
      </w:r>
      <w:r>
        <w:rPr>
          <w:rFonts w:ascii="仿宋" w:hAnsi="仿宋" w:eastAsia="仿宋" w:cs="仿宋"/>
          <w:spacing w:val="-3"/>
          <w:sz w:val="24"/>
          <w:szCs w:val="24"/>
        </w:rPr>
        <w:t>”等术语，并建议标</w:t>
      </w:r>
      <w:r>
        <w:rPr>
          <w:rFonts w:ascii="仿宋" w:hAnsi="仿宋" w:eastAsia="仿宋" w:cs="仿宋"/>
          <w:spacing w:val="-2"/>
          <w:sz w:val="24"/>
          <w:szCs w:val="24"/>
        </w:rPr>
        <w:t>准中统一其中的时间单位书写方式，可以统一为英文，如“min</w:t>
      </w:r>
      <w:r>
        <w:rPr>
          <w:rFonts w:ascii="仿宋" w:hAnsi="仿宋" w:eastAsia="仿宋" w:cs="仿宋"/>
          <w:spacing w:val="-88"/>
          <w:sz w:val="24"/>
          <w:szCs w:val="24"/>
        </w:rPr>
        <w:t xml:space="preserve"> </w:t>
      </w:r>
      <w:r>
        <w:rPr>
          <w:rFonts w:ascii="仿宋" w:hAnsi="仿宋" w:eastAsia="仿宋" w:cs="仿宋"/>
          <w:spacing w:val="-2"/>
          <w:sz w:val="24"/>
          <w:szCs w:val="24"/>
        </w:rPr>
        <w:t>”、“h</w:t>
      </w:r>
      <w:r>
        <w:rPr>
          <w:rFonts w:ascii="仿宋" w:hAnsi="仿宋" w:eastAsia="仿宋" w:cs="仿宋"/>
          <w:spacing w:val="-88"/>
          <w:sz w:val="24"/>
          <w:szCs w:val="24"/>
        </w:rPr>
        <w:t xml:space="preserve"> </w:t>
      </w:r>
      <w:r>
        <w:rPr>
          <w:rFonts w:ascii="仿宋" w:hAnsi="仿宋" w:eastAsia="仿宋" w:cs="仿宋"/>
          <w:spacing w:val="-2"/>
          <w:sz w:val="24"/>
          <w:szCs w:val="24"/>
        </w:rPr>
        <w:t>”；</w:t>
      </w:r>
      <w:r>
        <w:rPr>
          <w:rFonts w:ascii="仿宋" w:hAnsi="仿宋" w:eastAsia="仿宋" w:cs="仿宋"/>
          <w:spacing w:val="-3"/>
          <w:sz w:val="24"/>
          <w:szCs w:val="24"/>
        </w:rPr>
        <w:t>马融教授、丁</w:t>
      </w:r>
      <w:r>
        <w:rPr>
          <w:rFonts w:ascii="仿宋" w:hAnsi="仿宋" w:eastAsia="仿宋" w:cs="仿宋"/>
          <w:spacing w:val="-1"/>
          <w:sz w:val="24"/>
          <w:szCs w:val="24"/>
        </w:rPr>
        <w:t>樱教授、王丽丽主任提出年龄表述不使用“幼儿、</w:t>
      </w:r>
      <w:r>
        <w:rPr>
          <w:rFonts w:ascii="仿宋" w:hAnsi="仿宋" w:eastAsia="仿宋" w:cs="仿宋"/>
          <w:spacing w:val="-2"/>
          <w:sz w:val="24"/>
          <w:szCs w:val="24"/>
        </w:rPr>
        <w:t>婴儿</w:t>
      </w:r>
      <w:r>
        <w:rPr>
          <w:rFonts w:ascii="仿宋" w:hAnsi="仿宋" w:eastAsia="仿宋" w:cs="仿宋"/>
          <w:spacing w:val="-88"/>
          <w:sz w:val="24"/>
          <w:szCs w:val="24"/>
        </w:rPr>
        <w:t xml:space="preserve"> </w:t>
      </w:r>
      <w:r>
        <w:rPr>
          <w:rFonts w:ascii="仿宋" w:hAnsi="仿宋" w:eastAsia="仿宋" w:cs="仿宋"/>
          <w:spacing w:val="-2"/>
          <w:sz w:val="24"/>
          <w:szCs w:val="24"/>
        </w:rPr>
        <w:t>”等本土化词汇，改用国际通用年</w:t>
      </w:r>
    </w:p>
    <w:p w14:paraId="0E28CF37">
      <w:pPr>
        <w:spacing w:before="101" w:line="276" w:lineRule="auto"/>
        <w:rPr>
          <w:rFonts w:ascii="仿宋" w:hAnsi="仿宋" w:eastAsia="仿宋" w:cs="仿宋"/>
          <w:sz w:val="24"/>
          <w:szCs w:val="24"/>
        </w:rPr>
      </w:pPr>
      <w:r>
        <w:rPr>
          <w:rFonts w:ascii="仿宋" w:hAnsi="仿宋" w:eastAsia="仿宋" w:cs="仿宋"/>
          <w:spacing w:val="-5"/>
          <w:sz w:val="24"/>
          <w:szCs w:val="24"/>
        </w:rPr>
        <w:t>龄数值（如：3</w:t>
      </w:r>
      <w:r>
        <w:rPr>
          <w:rFonts w:ascii="仿宋" w:hAnsi="仿宋" w:eastAsia="仿宋" w:cs="仿宋"/>
          <w:spacing w:val="-31"/>
          <w:sz w:val="24"/>
          <w:szCs w:val="24"/>
        </w:rPr>
        <w:t xml:space="preserve"> </w:t>
      </w:r>
      <w:r>
        <w:rPr>
          <w:rFonts w:ascii="仿宋" w:hAnsi="仿宋" w:eastAsia="仿宋" w:cs="仿宋"/>
          <w:spacing w:val="-5"/>
          <w:sz w:val="24"/>
          <w:szCs w:val="24"/>
        </w:rPr>
        <w:t>岁、6</w:t>
      </w:r>
      <w:r>
        <w:rPr>
          <w:rFonts w:ascii="仿宋" w:hAnsi="仿宋" w:eastAsia="仿宋" w:cs="仿宋"/>
          <w:spacing w:val="-41"/>
          <w:sz w:val="24"/>
          <w:szCs w:val="24"/>
        </w:rPr>
        <w:t xml:space="preserve"> </w:t>
      </w:r>
      <w:r>
        <w:rPr>
          <w:rFonts w:ascii="仿宋" w:hAnsi="仿宋" w:eastAsia="仿宋" w:cs="仿宋"/>
          <w:spacing w:val="-5"/>
          <w:sz w:val="24"/>
          <w:szCs w:val="24"/>
        </w:rPr>
        <w:t>岁）。</w:t>
      </w:r>
    </w:p>
    <w:p w14:paraId="4C102A58">
      <w:pPr>
        <w:spacing w:before="110" w:line="276" w:lineRule="auto"/>
        <w:ind w:left="485"/>
        <w:rPr>
          <w:rFonts w:ascii="仿宋" w:hAnsi="仿宋" w:eastAsia="仿宋" w:cs="仿宋"/>
          <w:sz w:val="24"/>
          <w:szCs w:val="24"/>
        </w:rPr>
      </w:pPr>
      <w:r>
        <w:rPr>
          <w:rFonts w:ascii="仿宋" w:hAnsi="仿宋" w:eastAsia="仿宋" w:cs="仿宋"/>
          <w:spacing w:val="-3"/>
          <w:sz w:val="24"/>
          <w:szCs w:val="24"/>
        </w:rPr>
        <w:t>（2）项目组决议</w:t>
      </w:r>
    </w:p>
    <w:p w14:paraId="38A251EB">
      <w:pPr>
        <w:spacing w:before="109" w:line="276" w:lineRule="auto"/>
        <w:ind w:right="52" w:firstLine="422"/>
        <w:rPr>
          <w:rFonts w:ascii="仿宋" w:hAnsi="仿宋" w:eastAsia="仿宋" w:cs="仿宋"/>
          <w:sz w:val="24"/>
          <w:szCs w:val="24"/>
        </w:rPr>
      </w:pPr>
      <w:r>
        <w:rPr>
          <w:rFonts w:ascii="仿宋" w:hAnsi="仿宋" w:eastAsia="仿宋" w:cs="仿宋"/>
          <w:spacing w:val="-1"/>
          <w:sz w:val="24"/>
          <w:szCs w:val="24"/>
        </w:rPr>
        <w:t>采纳专家建议，全文统审，项目组将召开五项目协调会统一处理，协调同期儿科国际</w:t>
      </w:r>
      <w:r>
        <w:rPr>
          <w:rFonts w:ascii="仿宋" w:hAnsi="仿宋" w:eastAsia="仿宋" w:cs="仿宋"/>
          <w:spacing w:val="-2"/>
          <w:sz w:val="24"/>
          <w:szCs w:val="24"/>
        </w:rPr>
        <w:t>标准转化项目的术语一致性。</w:t>
      </w:r>
    </w:p>
    <w:p w14:paraId="10DB3589">
      <w:pPr>
        <w:spacing w:before="1" w:line="276" w:lineRule="auto"/>
        <w:ind w:left="476"/>
        <w:rPr>
          <w:rFonts w:ascii="仿宋" w:hAnsi="仿宋" w:eastAsia="仿宋" w:cs="仿宋"/>
          <w:sz w:val="24"/>
          <w:szCs w:val="24"/>
        </w:rPr>
      </w:pPr>
      <w:r>
        <w:rPr>
          <w:rFonts w:ascii="仿宋" w:hAnsi="仿宋" w:eastAsia="仿宋" w:cs="仿宋"/>
          <w:b/>
          <w:bCs/>
          <w:spacing w:val="-4"/>
          <w:sz w:val="24"/>
          <w:szCs w:val="24"/>
        </w:rPr>
        <w:t>2.标准行文精简</w:t>
      </w:r>
    </w:p>
    <w:p w14:paraId="593EFA7F">
      <w:pPr>
        <w:spacing w:before="112" w:line="276" w:lineRule="auto"/>
        <w:ind w:left="485"/>
        <w:rPr>
          <w:rFonts w:ascii="仿宋" w:hAnsi="仿宋" w:eastAsia="仿宋" w:cs="仿宋"/>
          <w:sz w:val="24"/>
          <w:szCs w:val="24"/>
        </w:rPr>
      </w:pPr>
      <w:r>
        <w:rPr>
          <w:rFonts w:ascii="仿宋" w:hAnsi="仿宋" w:eastAsia="仿宋" w:cs="仿宋"/>
          <w:spacing w:val="-3"/>
          <w:sz w:val="24"/>
          <w:szCs w:val="24"/>
        </w:rPr>
        <w:t>（1）专家讨论意见</w:t>
      </w:r>
    </w:p>
    <w:p w14:paraId="41E5BE96">
      <w:pPr>
        <w:spacing w:before="111" w:line="276" w:lineRule="auto"/>
        <w:ind w:left="492"/>
        <w:rPr>
          <w:rFonts w:ascii="仿宋" w:hAnsi="仿宋" w:eastAsia="仿宋" w:cs="仿宋"/>
          <w:sz w:val="24"/>
          <w:szCs w:val="24"/>
        </w:rPr>
      </w:pPr>
      <w:r>
        <w:rPr>
          <w:rFonts w:ascii="仿宋" w:hAnsi="仿宋" w:eastAsia="仿宋" w:cs="仿宋"/>
          <w:spacing w:val="-2"/>
          <w:sz w:val="24"/>
          <w:szCs w:val="24"/>
        </w:rPr>
        <w:t>熊磊、戴启刚提出，标准应“要言不繁</w:t>
      </w:r>
      <w:r>
        <w:rPr>
          <w:rFonts w:ascii="仿宋" w:hAnsi="仿宋" w:eastAsia="仿宋" w:cs="仿宋"/>
          <w:spacing w:val="-83"/>
          <w:sz w:val="24"/>
          <w:szCs w:val="24"/>
        </w:rPr>
        <w:t xml:space="preserve"> </w:t>
      </w:r>
      <w:r>
        <w:rPr>
          <w:rFonts w:ascii="仿宋" w:hAnsi="仿宋" w:eastAsia="仿宋" w:cs="仿宋"/>
          <w:spacing w:val="-2"/>
          <w:sz w:val="24"/>
          <w:szCs w:val="24"/>
        </w:rPr>
        <w:t>”，在保证操作性前提下精简表述。</w:t>
      </w:r>
    </w:p>
    <w:p w14:paraId="68F94E6C">
      <w:pPr>
        <w:spacing w:before="116" w:line="276" w:lineRule="auto"/>
        <w:ind w:left="485"/>
        <w:rPr>
          <w:rFonts w:ascii="仿宋" w:hAnsi="仿宋" w:eastAsia="仿宋" w:cs="仿宋"/>
          <w:sz w:val="24"/>
          <w:szCs w:val="24"/>
        </w:rPr>
      </w:pPr>
      <w:r>
        <w:rPr>
          <w:rFonts w:ascii="仿宋" w:hAnsi="仿宋" w:eastAsia="仿宋" w:cs="仿宋"/>
          <w:spacing w:val="-3"/>
          <w:sz w:val="24"/>
          <w:szCs w:val="24"/>
        </w:rPr>
        <w:t>（2）项目组决议</w:t>
      </w:r>
    </w:p>
    <w:p w14:paraId="579A10FE">
      <w:pPr>
        <w:spacing w:before="108" w:line="276" w:lineRule="auto"/>
        <w:ind w:left="481"/>
        <w:rPr>
          <w:rFonts w:ascii="仿宋" w:hAnsi="仿宋" w:eastAsia="仿宋" w:cs="仿宋"/>
          <w:sz w:val="24"/>
          <w:szCs w:val="24"/>
        </w:rPr>
      </w:pPr>
      <w:r>
        <w:rPr>
          <w:rFonts w:ascii="仿宋" w:hAnsi="仿宋" w:eastAsia="仿宋" w:cs="仿宋"/>
          <w:spacing w:val="-1"/>
          <w:sz w:val="24"/>
          <w:szCs w:val="24"/>
        </w:rPr>
        <w:t>项目组对全文进行审查核对，删除重复性描述，保证细化操作的前提下尽量精简。</w:t>
      </w:r>
    </w:p>
    <w:p w14:paraId="160EE2FE">
      <w:pPr>
        <w:spacing w:before="114" w:line="276" w:lineRule="auto"/>
        <w:ind w:left="478"/>
        <w:rPr>
          <w:rFonts w:ascii="仿宋" w:hAnsi="仿宋" w:eastAsia="仿宋" w:cs="仿宋"/>
          <w:sz w:val="24"/>
          <w:szCs w:val="24"/>
        </w:rPr>
      </w:pPr>
      <w:r>
        <w:rPr>
          <w:rFonts w:ascii="仿宋" w:hAnsi="仿宋" w:eastAsia="仿宋" w:cs="仿宋"/>
          <w:b/>
          <w:bCs/>
          <w:spacing w:val="-4"/>
          <w:sz w:val="24"/>
          <w:szCs w:val="24"/>
        </w:rPr>
        <w:t>3.专家信息表优化</w:t>
      </w:r>
    </w:p>
    <w:p w14:paraId="2F44E556">
      <w:pPr>
        <w:spacing w:before="113" w:line="276" w:lineRule="auto"/>
        <w:ind w:left="485"/>
        <w:rPr>
          <w:rFonts w:ascii="仿宋" w:hAnsi="仿宋" w:eastAsia="仿宋" w:cs="仿宋"/>
          <w:sz w:val="24"/>
          <w:szCs w:val="24"/>
        </w:rPr>
      </w:pPr>
      <w:r>
        <w:rPr>
          <w:rFonts w:ascii="仿宋" w:hAnsi="仿宋" w:eastAsia="仿宋" w:cs="仿宋"/>
          <w:spacing w:val="-3"/>
          <w:sz w:val="24"/>
          <w:szCs w:val="24"/>
        </w:rPr>
        <w:t>（1）专家讨论意见</w:t>
      </w:r>
    </w:p>
    <w:p w14:paraId="17C8AC9C">
      <w:pPr>
        <w:spacing w:before="107" w:line="276" w:lineRule="auto"/>
        <w:ind w:left="25" w:firstLine="460"/>
        <w:rPr>
          <w:rFonts w:ascii="仿宋" w:hAnsi="仿宋" w:eastAsia="仿宋" w:cs="仿宋"/>
          <w:sz w:val="24"/>
          <w:szCs w:val="24"/>
        </w:rPr>
      </w:pPr>
      <w:r>
        <w:rPr>
          <w:rFonts w:ascii="仿宋" w:hAnsi="仿宋" w:eastAsia="仿宋" w:cs="仿宋"/>
          <w:spacing w:val="-1"/>
          <w:sz w:val="24"/>
          <w:szCs w:val="24"/>
        </w:rPr>
        <w:t>马融教授提出区分“学历/学位</w:t>
      </w:r>
      <w:r>
        <w:rPr>
          <w:rFonts w:ascii="仿宋" w:hAnsi="仿宋" w:eastAsia="仿宋" w:cs="仿宋"/>
          <w:spacing w:val="-88"/>
          <w:sz w:val="24"/>
          <w:szCs w:val="24"/>
        </w:rPr>
        <w:t xml:space="preserve"> </w:t>
      </w:r>
      <w:r>
        <w:rPr>
          <w:rFonts w:ascii="仿宋" w:hAnsi="仿宋" w:eastAsia="仿宋" w:cs="仿宋"/>
          <w:spacing w:val="-1"/>
          <w:sz w:val="24"/>
          <w:szCs w:val="24"/>
        </w:rPr>
        <w:t>”表述，明确</w:t>
      </w:r>
      <w:r>
        <w:rPr>
          <w:rFonts w:ascii="仿宋" w:hAnsi="仿宋" w:eastAsia="仿宋" w:cs="仿宋"/>
          <w:spacing w:val="-2"/>
          <w:sz w:val="24"/>
          <w:szCs w:val="24"/>
        </w:rPr>
        <w:t>学历与学位的区别；建议统一职称，如</w:t>
      </w:r>
      <w:r>
        <w:rPr>
          <w:rFonts w:ascii="仿宋" w:hAnsi="仿宋" w:eastAsia="仿宋" w:cs="仿宋"/>
          <w:spacing w:val="-1"/>
          <w:sz w:val="24"/>
          <w:szCs w:val="24"/>
        </w:rPr>
        <w:t>以临床工作为主的专家职称仅填写主任医师、副主任医师等；如以</w:t>
      </w:r>
      <w:r>
        <w:rPr>
          <w:rFonts w:ascii="仿宋" w:hAnsi="仿宋" w:eastAsia="仿宋" w:cs="仿宋"/>
          <w:spacing w:val="-2"/>
          <w:sz w:val="24"/>
          <w:szCs w:val="24"/>
        </w:rPr>
        <w:t>基础研究为主的专家则</w:t>
      </w:r>
      <w:r>
        <w:rPr>
          <w:rFonts w:ascii="仿宋" w:hAnsi="仿宋" w:eastAsia="仿宋" w:cs="仿宋"/>
          <w:spacing w:val="-5"/>
          <w:sz w:val="24"/>
          <w:szCs w:val="24"/>
        </w:rPr>
        <w:t>以教授、副教授论。</w:t>
      </w:r>
    </w:p>
    <w:p w14:paraId="7C4E5F37">
      <w:pPr>
        <w:spacing w:line="276" w:lineRule="auto"/>
        <w:ind w:left="485"/>
        <w:rPr>
          <w:rFonts w:ascii="仿宋" w:hAnsi="仿宋" w:eastAsia="仿宋" w:cs="仿宋"/>
          <w:sz w:val="24"/>
          <w:szCs w:val="24"/>
        </w:rPr>
      </w:pPr>
      <w:r>
        <w:rPr>
          <w:rFonts w:ascii="仿宋" w:hAnsi="仿宋" w:eastAsia="仿宋" w:cs="仿宋"/>
          <w:spacing w:val="-3"/>
          <w:sz w:val="24"/>
          <w:szCs w:val="24"/>
        </w:rPr>
        <w:t>（2）项目组决议</w:t>
      </w:r>
    </w:p>
    <w:p w14:paraId="765853C4">
      <w:pPr>
        <w:spacing w:before="110" w:line="276" w:lineRule="auto"/>
        <w:ind w:firstLine="480"/>
        <w:rPr>
          <w:rFonts w:ascii="仿宋" w:hAnsi="仿宋" w:eastAsia="仿宋" w:cs="仿宋"/>
          <w:sz w:val="24"/>
          <w:szCs w:val="24"/>
        </w:rPr>
      </w:pPr>
      <w:r>
        <w:rPr>
          <w:rFonts w:ascii="仿宋" w:hAnsi="仿宋" w:eastAsia="仿宋" w:cs="仿宋"/>
          <w:spacing w:val="-7"/>
          <w:sz w:val="24"/>
          <w:szCs w:val="24"/>
        </w:rPr>
        <w:t>修正《专家信息表》模板，规范职称填写标准，职称统计仅为国内专家，国内专家“职</w:t>
      </w:r>
      <w:r>
        <w:rPr>
          <w:rFonts w:ascii="仿宋" w:hAnsi="仿宋" w:eastAsia="仿宋" w:cs="仿宋"/>
          <w:spacing w:val="-2"/>
          <w:sz w:val="24"/>
          <w:szCs w:val="24"/>
        </w:rPr>
        <w:t>称</w:t>
      </w:r>
      <w:r>
        <w:rPr>
          <w:rFonts w:ascii="仿宋" w:hAnsi="仿宋" w:eastAsia="仿宋" w:cs="仿宋"/>
          <w:spacing w:val="-89"/>
          <w:sz w:val="24"/>
          <w:szCs w:val="24"/>
        </w:rPr>
        <w:t xml:space="preserve"> </w:t>
      </w:r>
      <w:r>
        <w:rPr>
          <w:rFonts w:ascii="仿宋" w:hAnsi="仿宋" w:eastAsia="仿宋" w:cs="仿宋"/>
          <w:spacing w:val="-2"/>
          <w:sz w:val="24"/>
          <w:szCs w:val="24"/>
        </w:rPr>
        <w:t>”按“初级、中级、副高级、正高级</w:t>
      </w:r>
      <w:r>
        <w:rPr>
          <w:rFonts w:ascii="仿宋" w:hAnsi="仿宋" w:eastAsia="仿宋" w:cs="仿宋"/>
          <w:spacing w:val="-88"/>
          <w:sz w:val="24"/>
          <w:szCs w:val="24"/>
        </w:rPr>
        <w:t xml:space="preserve"> </w:t>
      </w:r>
      <w:r>
        <w:rPr>
          <w:rFonts w:ascii="仿宋" w:hAnsi="仿宋" w:eastAsia="仿宋" w:cs="仿宋"/>
          <w:spacing w:val="-2"/>
          <w:sz w:val="24"/>
          <w:szCs w:val="24"/>
        </w:rPr>
        <w:t>”分类统计，不再区分医师/教师系列；国外</w:t>
      </w:r>
      <w:r>
        <w:rPr>
          <w:rFonts w:ascii="仿宋" w:hAnsi="仿宋" w:eastAsia="仿宋" w:cs="仿宋"/>
          <w:spacing w:val="-3"/>
          <w:sz w:val="24"/>
          <w:szCs w:val="24"/>
        </w:rPr>
        <w:t>专家</w:t>
      </w:r>
      <w:r>
        <w:rPr>
          <w:rFonts w:ascii="仿宋" w:hAnsi="仿宋" w:eastAsia="仿宋" w:cs="仿宋"/>
          <w:spacing w:val="-1"/>
          <w:sz w:val="24"/>
          <w:szCs w:val="24"/>
        </w:rPr>
        <w:t>职称保留原始表述，单独分类统计。</w:t>
      </w:r>
    </w:p>
    <w:p w14:paraId="4D5546C9">
      <w:pPr>
        <w:spacing w:line="276" w:lineRule="auto"/>
        <w:ind w:left="482"/>
        <w:rPr>
          <w:rFonts w:ascii="仿宋" w:hAnsi="仿宋" w:eastAsia="仿宋" w:cs="仿宋"/>
          <w:sz w:val="24"/>
          <w:szCs w:val="24"/>
        </w:rPr>
      </w:pPr>
      <w:r>
        <w:rPr>
          <w:rFonts w:ascii="仿宋" w:hAnsi="仿宋" w:eastAsia="仿宋" w:cs="仿宋"/>
          <w:b/>
          <w:bCs/>
          <w:spacing w:val="-4"/>
          <w:sz w:val="24"/>
          <w:szCs w:val="24"/>
        </w:rPr>
        <w:t>六、安全性问题专项总结</w:t>
      </w:r>
    </w:p>
    <w:p w14:paraId="5FA948CC">
      <w:pPr>
        <w:spacing w:before="114" w:line="276" w:lineRule="auto"/>
        <w:ind w:left="2" w:firstLine="479"/>
        <w:rPr>
          <w:rFonts w:ascii="仿宋" w:hAnsi="仿宋" w:eastAsia="仿宋" w:cs="仿宋"/>
          <w:sz w:val="24"/>
          <w:szCs w:val="24"/>
        </w:rPr>
      </w:pPr>
      <w:r>
        <w:rPr>
          <w:rFonts w:ascii="仿宋" w:hAnsi="仿宋" w:eastAsia="仿宋" w:cs="仿宋"/>
          <w:spacing w:val="-1"/>
          <w:sz w:val="24"/>
          <w:szCs w:val="24"/>
        </w:rPr>
        <w:t>本次会议中，安全性既是专家论证的核心关切，也是国际标准转化必须坚守的底线。专家组从操作安全、器具安全、特殊人群保护三个维度，对标准草案进行了系统性安全审</w:t>
      </w:r>
      <w:r>
        <w:rPr>
          <w:rFonts w:ascii="仿宋" w:hAnsi="仿宋" w:eastAsia="仿宋" w:cs="仿宋"/>
          <w:spacing w:val="-2"/>
          <w:sz w:val="24"/>
          <w:szCs w:val="24"/>
        </w:rPr>
        <w:t>查，形成以下共识：</w:t>
      </w:r>
    </w:p>
    <w:p w14:paraId="521EBD7E">
      <w:pPr>
        <w:spacing w:line="276" w:lineRule="auto"/>
        <w:ind w:left="485"/>
        <w:rPr>
          <w:rFonts w:ascii="仿宋" w:hAnsi="仿宋" w:eastAsia="仿宋" w:cs="仿宋"/>
          <w:sz w:val="24"/>
          <w:szCs w:val="24"/>
        </w:rPr>
      </w:pPr>
      <w:r>
        <w:rPr>
          <w:rFonts w:ascii="仿宋" w:hAnsi="仿宋" w:eastAsia="仿宋" w:cs="仿宋"/>
          <w:b/>
          <w:bCs/>
          <w:spacing w:val="-5"/>
          <w:sz w:val="24"/>
          <w:szCs w:val="24"/>
        </w:rPr>
        <w:t>（一）操作安全</w:t>
      </w:r>
    </w:p>
    <w:p w14:paraId="652A42BA">
      <w:pPr>
        <w:spacing w:before="111" w:line="276" w:lineRule="auto"/>
        <w:ind w:left="12" w:firstLine="476"/>
        <w:jc w:val="both"/>
        <w:rPr>
          <w:rFonts w:ascii="仿宋" w:hAnsi="仿宋" w:eastAsia="仿宋" w:cs="仿宋"/>
          <w:sz w:val="24"/>
          <w:szCs w:val="24"/>
        </w:rPr>
      </w:pPr>
      <w:r>
        <w:rPr>
          <w:rFonts w:ascii="仿宋" w:hAnsi="仿宋" w:eastAsia="仿宋" w:cs="仿宋"/>
          <w:spacing w:val="-1"/>
          <w:sz w:val="24"/>
          <w:szCs w:val="24"/>
        </w:rPr>
        <w:t>会议决议强调，操作流程的规范化描述是保障全球范围内操作一致性、降低临床风险的关键，必须确保每一步操作有明确指引。操作流程具有安全性是本操作规范能够在海外</w:t>
      </w:r>
      <w:r>
        <w:rPr>
          <w:rFonts w:ascii="仿宋" w:hAnsi="仿宋" w:eastAsia="仿宋" w:cs="仿宋"/>
          <w:spacing w:val="-3"/>
          <w:sz w:val="24"/>
          <w:szCs w:val="24"/>
        </w:rPr>
        <w:t>落地实施并推广的首要前提。</w:t>
      </w:r>
    </w:p>
    <w:p w14:paraId="3B970E6B">
      <w:pPr>
        <w:spacing w:before="1" w:line="276" w:lineRule="auto"/>
        <w:ind w:left="485"/>
        <w:rPr>
          <w:rFonts w:ascii="仿宋" w:hAnsi="仿宋" w:eastAsia="仿宋" w:cs="仿宋"/>
          <w:sz w:val="24"/>
          <w:szCs w:val="24"/>
        </w:rPr>
      </w:pPr>
      <w:r>
        <w:rPr>
          <w:rFonts w:ascii="仿宋" w:hAnsi="仿宋" w:eastAsia="仿宋" w:cs="仿宋"/>
          <w:b/>
          <w:bCs/>
          <w:spacing w:val="-5"/>
          <w:sz w:val="24"/>
          <w:szCs w:val="24"/>
        </w:rPr>
        <w:t>（二）特殊人群保护</w:t>
      </w:r>
    </w:p>
    <w:p w14:paraId="5A805E09">
      <w:pPr>
        <w:spacing w:before="111" w:line="276" w:lineRule="auto"/>
        <w:ind w:left="1" w:firstLine="479"/>
        <w:jc w:val="both"/>
        <w:rPr>
          <w:rFonts w:ascii="仿宋" w:hAnsi="仿宋" w:eastAsia="仿宋" w:cs="仿宋"/>
          <w:sz w:val="24"/>
          <w:szCs w:val="24"/>
        </w:rPr>
      </w:pPr>
      <w:r>
        <w:rPr>
          <w:rFonts w:ascii="仿宋" w:hAnsi="仿宋" w:eastAsia="仿宋" w:cs="仿宋"/>
          <w:spacing w:val="-1"/>
          <w:sz w:val="24"/>
          <w:szCs w:val="24"/>
        </w:rPr>
        <w:t>小儿拔罐操作需针对不同年龄阶段的患儿实施不同层次的操作，以保护不同年龄阶段</w:t>
      </w:r>
      <w:r>
        <w:rPr>
          <w:rFonts w:ascii="仿宋" w:hAnsi="仿宋" w:eastAsia="仿宋" w:cs="仿宋"/>
          <w:spacing w:val="-4"/>
          <w:sz w:val="24"/>
          <w:szCs w:val="24"/>
        </w:rPr>
        <w:t>的患儿。专家组特别建议，儿童年龄表述应采用国际通用的数值分段（如“</w:t>
      </w:r>
      <w:r>
        <w:rPr>
          <w:rFonts w:ascii="仿宋" w:hAnsi="仿宋" w:eastAsia="仿宋" w:cs="仿宋"/>
          <w:spacing w:val="-94"/>
          <w:sz w:val="24"/>
          <w:szCs w:val="24"/>
        </w:rPr>
        <w:t xml:space="preserve"> </w:t>
      </w:r>
      <w:r>
        <w:rPr>
          <w:rFonts w:ascii="仿宋" w:hAnsi="仿宋" w:eastAsia="仿宋" w:cs="仿宋"/>
          <w:spacing w:val="-4"/>
          <w:sz w:val="24"/>
          <w:szCs w:val="24"/>
        </w:rPr>
        <w:t>1</w:t>
      </w:r>
      <w:r>
        <w:rPr>
          <w:rFonts w:ascii="仿宋" w:hAnsi="仿宋" w:eastAsia="仿宋" w:cs="仿宋"/>
          <w:spacing w:val="-40"/>
          <w:sz w:val="24"/>
          <w:szCs w:val="24"/>
        </w:rPr>
        <w:t xml:space="preserve"> </w:t>
      </w:r>
      <w:r>
        <w:rPr>
          <w:rFonts w:ascii="仿宋" w:hAnsi="仿宋" w:eastAsia="仿宋" w:cs="仿宋"/>
          <w:spacing w:val="-4"/>
          <w:sz w:val="24"/>
          <w:szCs w:val="24"/>
        </w:rPr>
        <w:t>岁以上</w:t>
      </w:r>
      <w:r>
        <w:rPr>
          <w:rFonts w:ascii="仿宋" w:hAnsi="仿宋" w:eastAsia="仿宋" w:cs="仿宋"/>
          <w:spacing w:val="-89"/>
          <w:sz w:val="24"/>
          <w:szCs w:val="24"/>
        </w:rPr>
        <w:t xml:space="preserve"> </w:t>
      </w:r>
      <w:r>
        <w:rPr>
          <w:rFonts w:ascii="仿宋" w:hAnsi="仿宋" w:eastAsia="仿宋" w:cs="仿宋"/>
          <w:spacing w:val="-5"/>
          <w:sz w:val="24"/>
          <w:szCs w:val="24"/>
        </w:rPr>
        <w:t>”“6</w:t>
      </w:r>
      <w:r>
        <w:rPr>
          <w:rFonts w:ascii="仿宋" w:hAnsi="仿宋" w:eastAsia="仿宋" w:cs="仿宋"/>
          <w:spacing w:val="-2"/>
          <w:sz w:val="24"/>
          <w:szCs w:val="24"/>
        </w:rPr>
        <w:t>岁以上</w:t>
      </w:r>
      <w:r>
        <w:rPr>
          <w:rFonts w:ascii="仿宋" w:hAnsi="仿宋" w:eastAsia="仿宋" w:cs="仿宋"/>
          <w:spacing w:val="-87"/>
          <w:sz w:val="24"/>
          <w:szCs w:val="24"/>
        </w:rPr>
        <w:t xml:space="preserve"> </w:t>
      </w:r>
      <w:r>
        <w:rPr>
          <w:rFonts w:ascii="仿宋" w:hAnsi="仿宋" w:eastAsia="仿宋" w:cs="仿宋"/>
          <w:spacing w:val="-2"/>
          <w:sz w:val="24"/>
          <w:szCs w:val="24"/>
        </w:rPr>
        <w:t>”</w:t>
      </w:r>
      <w:r>
        <w:rPr>
          <w:rFonts w:ascii="仿宋" w:hAnsi="仿宋" w:eastAsia="仿宋" w:cs="仿宋"/>
          <w:spacing w:val="-8"/>
          <w:sz w:val="24"/>
          <w:szCs w:val="24"/>
        </w:rPr>
        <w:t>），</w:t>
      </w:r>
      <w:r>
        <w:rPr>
          <w:rFonts w:ascii="仿宋" w:hAnsi="仿宋" w:eastAsia="仿宋" w:cs="仿宋"/>
          <w:spacing w:val="-2"/>
          <w:sz w:val="24"/>
          <w:szCs w:val="24"/>
        </w:rPr>
        <w:t>而非“幼儿、学龄期儿童</w:t>
      </w:r>
      <w:r>
        <w:rPr>
          <w:rFonts w:ascii="仿宋" w:hAnsi="仿宋" w:eastAsia="仿宋" w:cs="仿宋"/>
          <w:spacing w:val="-89"/>
          <w:sz w:val="24"/>
          <w:szCs w:val="24"/>
        </w:rPr>
        <w:t xml:space="preserve"> </w:t>
      </w:r>
      <w:r>
        <w:rPr>
          <w:rFonts w:ascii="仿宋" w:hAnsi="仿宋" w:eastAsia="仿宋" w:cs="仿宋"/>
          <w:spacing w:val="-2"/>
          <w:sz w:val="24"/>
          <w:szCs w:val="24"/>
        </w:rPr>
        <w:t>”等传统医学分期。此举既符合国际标准面向全球</w:t>
      </w:r>
      <w:r>
        <w:rPr>
          <w:rFonts w:ascii="仿宋" w:hAnsi="仿宋" w:eastAsia="仿宋" w:cs="仿宋"/>
          <w:spacing w:val="-1"/>
          <w:sz w:val="24"/>
          <w:szCs w:val="24"/>
        </w:rPr>
        <w:t>儿童的普适性要求，又能使医务人员快速、直观地识别适用人群，避免因文化差异或理解偏差导致错误，是保障儿童安全的重要措施。</w:t>
      </w:r>
    </w:p>
    <w:p w14:paraId="6E7E5D07">
      <w:pPr>
        <w:spacing w:before="1" w:line="276" w:lineRule="auto"/>
        <w:ind w:left="485"/>
        <w:rPr>
          <w:rFonts w:ascii="仿宋" w:hAnsi="仿宋" w:eastAsia="仿宋" w:cs="仿宋"/>
          <w:sz w:val="24"/>
          <w:szCs w:val="24"/>
        </w:rPr>
      </w:pPr>
      <w:r>
        <w:rPr>
          <w:rFonts w:ascii="仿宋" w:hAnsi="仿宋" w:eastAsia="仿宋" w:cs="仿宋"/>
          <w:b/>
          <w:bCs/>
          <w:spacing w:val="-5"/>
          <w:sz w:val="24"/>
          <w:szCs w:val="24"/>
        </w:rPr>
        <w:t>（三）法规合规</w:t>
      </w:r>
    </w:p>
    <w:p w14:paraId="2BCB8A78">
      <w:pPr>
        <w:spacing w:before="102" w:line="276" w:lineRule="auto"/>
        <w:ind w:right="83" w:firstLine="5"/>
        <w:rPr>
          <w:rFonts w:ascii="仿宋" w:hAnsi="仿宋" w:eastAsia="仿宋" w:cs="仿宋"/>
          <w:sz w:val="24"/>
          <w:szCs w:val="24"/>
        </w:rPr>
      </w:pPr>
      <w:r>
        <w:rPr>
          <w:rFonts w:ascii="仿宋" w:hAnsi="仿宋" w:eastAsia="仿宋" w:cs="仿宋"/>
          <w:spacing w:val="-1"/>
          <w:sz w:val="24"/>
          <w:szCs w:val="24"/>
        </w:rPr>
        <w:t>符合当地法律法规被专家组视为操作安全的前提条件，并非独立于技术之外的行政要求。虞坚尔教授、王有鹏教授、王丽丽主任特别强调，不符合法规的操作即使技术正确也不安全，可能导致法律责任、执业资格丧失等风险。因此，会议全票通过在标准显著位置</w:t>
      </w:r>
      <w:r>
        <w:rPr>
          <w:rFonts w:ascii="仿宋" w:hAnsi="仿宋" w:eastAsia="仿宋" w:cs="仿宋"/>
          <w:spacing w:val="-2"/>
          <w:sz w:val="24"/>
          <w:szCs w:val="24"/>
        </w:rPr>
        <w:t>增加法规限制声明，确立“安全性以合规性为基础</w:t>
      </w:r>
      <w:r>
        <w:rPr>
          <w:rFonts w:ascii="仿宋" w:hAnsi="仿宋" w:eastAsia="仿宋" w:cs="仿宋"/>
          <w:spacing w:val="-71"/>
          <w:sz w:val="24"/>
          <w:szCs w:val="24"/>
        </w:rPr>
        <w:t xml:space="preserve"> </w:t>
      </w:r>
      <w:r>
        <w:rPr>
          <w:rFonts w:ascii="仿宋" w:hAnsi="仿宋" w:eastAsia="仿宋" w:cs="仿宋"/>
          <w:spacing w:val="-2"/>
          <w:sz w:val="24"/>
          <w:szCs w:val="24"/>
        </w:rPr>
        <w:t>”的国际标准实施原则。</w:t>
      </w:r>
    </w:p>
    <w:p w14:paraId="1C97E868">
      <w:pPr>
        <w:spacing w:line="276" w:lineRule="auto"/>
        <w:ind w:left="20" w:right="83" w:firstLine="460"/>
        <w:rPr>
          <w:rFonts w:ascii="仿宋" w:hAnsi="仿宋" w:eastAsia="仿宋" w:cs="仿宋"/>
          <w:sz w:val="24"/>
          <w:szCs w:val="24"/>
        </w:rPr>
      </w:pPr>
      <w:r>
        <w:rPr>
          <w:rFonts w:ascii="仿宋" w:hAnsi="仿宋" w:eastAsia="仿宋" w:cs="仿宋"/>
          <w:spacing w:val="-1"/>
          <w:sz w:val="24"/>
          <w:szCs w:val="24"/>
        </w:rPr>
        <w:t>项目组承诺：上述所有安全性决议将在标准修订中优先落实，确保本标准成为全球中</w:t>
      </w:r>
      <w:r>
        <w:rPr>
          <w:rFonts w:ascii="仿宋" w:hAnsi="仿宋" w:eastAsia="仿宋" w:cs="仿宋"/>
          <w:spacing w:val="-3"/>
          <w:sz w:val="24"/>
          <w:szCs w:val="24"/>
        </w:rPr>
        <w:t>医小儿拔罐疗法的安全操作规范。</w:t>
      </w:r>
    </w:p>
    <w:p w14:paraId="4CDBE29F">
      <w:pPr>
        <w:spacing w:line="276" w:lineRule="auto"/>
        <w:ind w:left="484"/>
        <w:rPr>
          <w:rFonts w:ascii="仿宋" w:hAnsi="仿宋" w:eastAsia="仿宋" w:cs="仿宋"/>
          <w:sz w:val="24"/>
          <w:szCs w:val="24"/>
        </w:rPr>
      </w:pPr>
      <w:r>
        <w:rPr>
          <w:rFonts w:ascii="仿宋" w:hAnsi="仿宋" w:eastAsia="仿宋" w:cs="仿宋"/>
          <w:b/>
          <w:bCs/>
          <w:spacing w:val="-5"/>
          <w:sz w:val="24"/>
          <w:szCs w:val="24"/>
        </w:rPr>
        <w:t>七、后续工作安排</w:t>
      </w:r>
    </w:p>
    <w:p w14:paraId="5D44BDC4">
      <w:pPr>
        <w:spacing w:before="111" w:line="276" w:lineRule="auto"/>
        <w:jc w:val="right"/>
        <w:rPr>
          <w:rFonts w:ascii="仿宋" w:hAnsi="仿宋" w:eastAsia="仿宋" w:cs="仿宋"/>
          <w:sz w:val="24"/>
          <w:szCs w:val="24"/>
        </w:rPr>
      </w:pPr>
      <w:r>
        <w:rPr>
          <w:rFonts w:ascii="仿宋" w:hAnsi="仿宋" w:eastAsia="仿宋" w:cs="仿宋"/>
          <w:spacing w:val="-7"/>
          <w:sz w:val="24"/>
          <w:szCs w:val="24"/>
        </w:rPr>
        <w:t>（1）联合协调：2025</w:t>
      </w:r>
      <w:r>
        <w:rPr>
          <w:rFonts w:ascii="仿宋" w:hAnsi="仿宋" w:eastAsia="仿宋" w:cs="仿宋"/>
          <w:spacing w:val="-32"/>
          <w:sz w:val="24"/>
          <w:szCs w:val="24"/>
        </w:rPr>
        <w:t xml:space="preserve"> </w:t>
      </w:r>
      <w:r>
        <w:rPr>
          <w:rFonts w:ascii="仿宋" w:hAnsi="仿宋" w:eastAsia="仿宋" w:cs="仿宋"/>
          <w:spacing w:val="-7"/>
          <w:sz w:val="24"/>
          <w:szCs w:val="24"/>
        </w:rPr>
        <w:t>年</w:t>
      </w:r>
      <w:r>
        <w:rPr>
          <w:rFonts w:ascii="仿宋" w:hAnsi="仿宋" w:eastAsia="仿宋" w:cs="仿宋"/>
          <w:spacing w:val="-34"/>
          <w:sz w:val="24"/>
          <w:szCs w:val="24"/>
        </w:rPr>
        <w:t xml:space="preserve"> </w:t>
      </w:r>
      <w:r>
        <w:rPr>
          <w:rFonts w:ascii="仿宋" w:hAnsi="仿宋" w:eastAsia="仿宋" w:cs="仿宋"/>
          <w:spacing w:val="-7"/>
          <w:sz w:val="24"/>
          <w:szCs w:val="24"/>
        </w:rPr>
        <w:t>12</w:t>
      </w:r>
      <w:r>
        <w:rPr>
          <w:rFonts w:ascii="仿宋" w:hAnsi="仿宋" w:eastAsia="仿宋" w:cs="仿宋"/>
          <w:spacing w:val="-33"/>
          <w:sz w:val="24"/>
          <w:szCs w:val="24"/>
        </w:rPr>
        <w:t xml:space="preserve"> </w:t>
      </w:r>
      <w:r>
        <w:rPr>
          <w:rFonts w:ascii="仿宋" w:hAnsi="仿宋" w:eastAsia="仿宋" w:cs="仿宋"/>
          <w:spacing w:val="-7"/>
          <w:sz w:val="24"/>
          <w:szCs w:val="24"/>
        </w:rPr>
        <w:t>月</w:t>
      </w:r>
      <w:r>
        <w:rPr>
          <w:rFonts w:ascii="仿宋" w:hAnsi="仿宋" w:eastAsia="仿宋" w:cs="仿宋"/>
          <w:spacing w:val="-33"/>
          <w:sz w:val="24"/>
          <w:szCs w:val="24"/>
        </w:rPr>
        <w:t xml:space="preserve"> </w:t>
      </w:r>
      <w:r>
        <w:rPr>
          <w:rFonts w:ascii="仿宋" w:hAnsi="仿宋" w:eastAsia="仿宋" w:cs="仿宋"/>
          <w:spacing w:val="-7"/>
          <w:sz w:val="24"/>
          <w:szCs w:val="24"/>
        </w:rPr>
        <w:t>15 日前召开同期转化项目协调会，统一共性术语问题。</w:t>
      </w:r>
    </w:p>
    <w:p w14:paraId="57F7E5A7">
      <w:pPr>
        <w:spacing w:before="117" w:line="276" w:lineRule="auto"/>
        <w:ind w:left="5" w:right="83" w:firstLine="480"/>
        <w:rPr>
          <w:rFonts w:ascii="仿宋" w:hAnsi="仿宋" w:eastAsia="仿宋" w:cs="仿宋"/>
          <w:sz w:val="24"/>
          <w:szCs w:val="24"/>
        </w:rPr>
      </w:pPr>
      <w:r>
        <w:rPr>
          <w:rFonts w:ascii="仿宋" w:hAnsi="仿宋" w:eastAsia="仿宋" w:cs="仿宋"/>
          <w:spacing w:val="-4"/>
          <w:sz w:val="24"/>
          <w:szCs w:val="24"/>
        </w:rPr>
        <w:t>（2）文件修订：项目组将于</w:t>
      </w:r>
      <w:r>
        <w:rPr>
          <w:rFonts w:ascii="仿宋" w:hAnsi="仿宋" w:eastAsia="仿宋" w:cs="仿宋"/>
          <w:spacing w:val="-49"/>
          <w:sz w:val="24"/>
          <w:szCs w:val="24"/>
        </w:rPr>
        <w:t xml:space="preserve"> </w:t>
      </w:r>
      <w:r>
        <w:rPr>
          <w:rFonts w:ascii="仿宋" w:hAnsi="仿宋" w:eastAsia="仿宋" w:cs="仿宋"/>
          <w:spacing w:val="-4"/>
          <w:sz w:val="24"/>
          <w:szCs w:val="24"/>
        </w:rPr>
        <w:t>2025</w:t>
      </w:r>
      <w:r>
        <w:rPr>
          <w:rFonts w:ascii="仿宋" w:hAnsi="仿宋" w:eastAsia="仿宋" w:cs="仿宋"/>
          <w:spacing w:val="-39"/>
          <w:sz w:val="24"/>
          <w:szCs w:val="24"/>
        </w:rPr>
        <w:t xml:space="preserve"> </w:t>
      </w:r>
      <w:r>
        <w:rPr>
          <w:rFonts w:ascii="仿宋" w:hAnsi="仿宋" w:eastAsia="仿宋" w:cs="仿宋"/>
          <w:spacing w:val="-4"/>
          <w:sz w:val="24"/>
          <w:szCs w:val="24"/>
        </w:rPr>
        <w:t>年</w:t>
      </w:r>
      <w:r>
        <w:rPr>
          <w:rFonts w:ascii="仿宋" w:hAnsi="仿宋" w:eastAsia="仿宋" w:cs="仿宋"/>
          <w:spacing w:val="-34"/>
          <w:sz w:val="24"/>
          <w:szCs w:val="24"/>
        </w:rPr>
        <w:t xml:space="preserve"> </w:t>
      </w:r>
      <w:r>
        <w:rPr>
          <w:rFonts w:ascii="仿宋" w:hAnsi="仿宋" w:eastAsia="仿宋" w:cs="仿宋"/>
          <w:spacing w:val="-4"/>
          <w:sz w:val="24"/>
          <w:szCs w:val="24"/>
        </w:rPr>
        <w:t>1</w:t>
      </w:r>
      <w:r>
        <w:rPr>
          <w:rFonts w:ascii="仿宋" w:hAnsi="仿宋" w:eastAsia="仿宋" w:cs="仿宋"/>
          <w:spacing w:val="-5"/>
          <w:sz w:val="24"/>
          <w:szCs w:val="24"/>
        </w:rPr>
        <w:t>2</w:t>
      </w:r>
      <w:r>
        <w:rPr>
          <w:rFonts w:ascii="仿宋" w:hAnsi="仿宋" w:eastAsia="仿宋" w:cs="仿宋"/>
          <w:spacing w:val="-33"/>
          <w:sz w:val="24"/>
          <w:szCs w:val="24"/>
        </w:rPr>
        <w:t xml:space="preserve"> </w:t>
      </w:r>
      <w:r>
        <w:rPr>
          <w:rFonts w:ascii="仿宋" w:hAnsi="仿宋" w:eastAsia="仿宋" w:cs="仿宋"/>
          <w:spacing w:val="-5"/>
          <w:sz w:val="24"/>
          <w:szCs w:val="24"/>
        </w:rPr>
        <w:t>月</w:t>
      </w:r>
      <w:r>
        <w:rPr>
          <w:rFonts w:ascii="仿宋" w:hAnsi="仿宋" w:eastAsia="仿宋" w:cs="仿宋"/>
          <w:spacing w:val="-49"/>
          <w:sz w:val="24"/>
          <w:szCs w:val="24"/>
        </w:rPr>
        <w:t xml:space="preserve"> </w:t>
      </w:r>
      <w:r>
        <w:rPr>
          <w:rFonts w:ascii="仿宋" w:hAnsi="仿宋" w:eastAsia="仿宋" w:cs="仿宋"/>
          <w:spacing w:val="-5"/>
          <w:sz w:val="24"/>
          <w:szCs w:val="24"/>
        </w:rPr>
        <w:t>22 日前完成标准草案修订，形成标准草案（初稿）。</w:t>
      </w:r>
    </w:p>
    <w:p w14:paraId="5048D68A">
      <w:pPr>
        <w:spacing w:before="1" w:line="276" w:lineRule="auto"/>
        <w:ind w:left="1" w:right="195" w:firstLine="483"/>
        <w:rPr>
          <w:rFonts w:ascii="仿宋" w:hAnsi="仿宋" w:eastAsia="仿宋" w:cs="仿宋"/>
          <w:sz w:val="24"/>
          <w:szCs w:val="24"/>
        </w:rPr>
      </w:pPr>
      <w:r>
        <w:rPr>
          <w:rFonts w:ascii="仿宋" w:hAnsi="仿宋" w:eastAsia="仿宋" w:cs="仿宋"/>
          <w:spacing w:val="-1"/>
          <w:sz w:val="24"/>
          <w:szCs w:val="24"/>
        </w:rPr>
        <w:t>（3）对照表总结：文件修订时同步完成《标准修订对照表》，逐条标注修改内容及</w:t>
      </w:r>
      <w:r>
        <w:rPr>
          <w:rFonts w:ascii="仿宋" w:hAnsi="仿宋" w:eastAsia="仿宋" w:cs="仿宋"/>
          <w:spacing w:val="-6"/>
          <w:sz w:val="24"/>
          <w:szCs w:val="24"/>
        </w:rPr>
        <w:t>理由。</w:t>
      </w:r>
    </w:p>
    <w:p w14:paraId="71E74127">
      <w:pPr>
        <w:spacing w:before="1" w:line="276" w:lineRule="auto"/>
        <w:ind w:right="83" w:firstLine="484"/>
        <w:rPr>
          <w:rFonts w:ascii="仿宋" w:hAnsi="仿宋" w:eastAsia="仿宋" w:cs="仿宋"/>
          <w:sz w:val="24"/>
          <w:szCs w:val="24"/>
        </w:rPr>
      </w:pPr>
      <w:r>
        <w:rPr>
          <w:rFonts w:ascii="仿宋" w:hAnsi="仿宋" w:eastAsia="仿宋" w:cs="仿宋"/>
          <w:spacing w:val="-4"/>
          <w:sz w:val="24"/>
          <w:szCs w:val="24"/>
        </w:rPr>
        <w:t>（4）编制说明撰写：项目组将于</w:t>
      </w:r>
      <w:r>
        <w:rPr>
          <w:rFonts w:ascii="仿宋" w:hAnsi="仿宋" w:eastAsia="仿宋" w:cs="仿宋"/>
          <w:spacing w:val="-49"/>
          <w:sz w:val="24"/>
          <w:szCs w:val="24"/>
        </w:rPr>
        <w:t xml:space="preserve"> </w:t>
      </w:r>
      <w:r>
        <w:rPr>
          <w:rFonts w:ascii="仿宋" w:hAnsi="仿宋" w:eastAsia="仿宋" w:cs="仿宋"/>
          <w:spacing w:val="-4"/>
          <w:sz w:val="24"/>
          <w:szCs w:val="24"/>
        </w:rPr>
        <w:t>2025</w:t>
      </w:r>
      <w:r>
        <w:rPr>
          <w:rFonts w:ascii="仿宋" w:hAnsi="仿宋" w:eastAsia="仿宋" w:cs="仿宋"/>
          <w:spacing w:val="-39"/>
          <w:sz w:val="24"/>
          <w:szCs w:val="24"/>
        </w:rPr>
        <w:t xml:space="preserve"> </w:t>
      </w:r>
      <w:r>
        <w:rPr>
          <w:rFonts w:ascii="仿宋" w:hAnsi="仿宋" w:eastAsia="仿宋" w:cs="仿宋"/>
          <w:spacing w:val="-5"/>
          <w:sz w:val="24"/>
          <w:szCs w:val="24"/>
        </w:rPr>
        <w:t>年</w:t>
      </w:r>
      <w:r>
        <w:rPr>
          <w:rFonts w:ascii="仿宋" w:hAnsi="仿宋" w:eastAsia="仿宋" w:cs="仿宋"/>
          <w:spacing w:val="-34"/>
          <w:sz w:val="24"/>
          <w:szCs w:val="24"/>
        </w:rPr>
        <w:t xml:space="preserve"> </w:t>
      </w:r>
      <w:r>
        <w:rPr>
          <w:rFonts w:ascii="仿宋" w:hAnsi="仿宋" w:eastAsia="仿宋" w:cs="仿宋"/>
          <w:spacing w:val="-5"/>
          <w:sz w:val="24"/>
          <w:szCs w:val="24"/>
        </w:rPr>
        <w:t>12</w:t>
      </w:r>
      <w:r>
        <w:rPr>
          <w:rFonts w:ascii="仿宋" w:hAnsi="仿宋" w:eastAsia="仿宋" w:cs="仿宋"/>
          <w:spacing w:val="-33"/>
          <w:sz w:val="24"/>
          <w:szCs w:val="24"/>
        </w:rPr>
        <w:t xml:space="preserve"> </w:t>
      </w:r>
      <w:r>
        <w:rPr>
          <w:rFonts w:ascii="仿宋" w:hAnsi="仿宋" w:eastAsia="仿宋" w:cs="仿宋"/>
          <w:spacing w:val="-5"/>
          <w:sz w:val="24"/>
          <w:szCs w:val="24"/>
        </w:rPr>
        <w:t>月</w:t>
      </w:r>
      <w:r>
        <w:rPr>
          <w:rFonts w:ascii="仿宋" w:hAnsi="仿宋" w:eastAsia="仿宋" w:cs="仿宋"/>
          <w:spacing w:val="-49"/>
          <w:sz w:val="24"/>
          <w:szCs w:val="24"/>
        </w:rPr>
        <w:t xml:space="preserve"> </w:t>
      </w:r>
      <w:r>
        <w:rPr>
          <w:rFonts w:ascii="仿宋" w:hAnsi="仿宋" w:eastAsia="仿宋" w:cs="仿宋"/>
          <w:spacing w:val="-5"/>
          <w:sz w:val="24"/>
          <w:szCs w:val="24"/>
        </w:rPr>
        <w:t>28 日前完成《编制说明》撰写，详细</w:t>
      </w:r>
      <w:r>
        <w:rPr>
          <w:rFonts w:ascii="仿宋" w:hAnsi="仿宋" w:eastAsia="仿宋" w:cs="仿宋"/>
          <w:spacing w:val="-2"/>
          <w:sz w:val="24"/>
          <w:szCs w:val="24"/>
        </w:rPr>
        <w:t>说明本标准编制过程，并附文件。</w:t>
      </w:r>
    </w:p>
    <w:p w14:paraId="1BF02B82">
      <w:pPr>
        <w:spacing w:before="3" w:line="276" w:lineRule="auto"/>
        <w:ind w:left="1" w:right="135" w:firstLine="483"/>
        <w:rPr>
          <w:rFonts w:ascii="仿宋" w:hAnsi="仿宋" w:eastAsia="仿宋" w:cs="仿宋"/>
          <w:sz w:val="24"/>
          <w:szCs w:val="24"/>
        </w:rPr>
      </w:pPr>
      <w:r>
        <w:rPr>
          <w:rFonts w:ascii="仿宋" w:hAnsi="仿宋" w:eastAsia="仿宋" w:cs="仿宋"/>
          <w:spacing w:val="-4"/>
          <w:sz w:val="24"/>
          <w:szCs w:val="24"/>
        </w:rPr>
        <w:t>（5）材料上报：2025</w:t>
      </w:r>
      <w:r>
        <w:rPr>
          <w:rFonts w:ascii="仿宋" w:hAnsi="仿宋" w:eastAsia="仿宋" w:cs="仿宋"/>
          <w:spacing w:val="-40"/>
          <w:sz w:val="24"/>
          <w:szCs w:val="24"/>
        </w:rPr>
        <w:t xml:space="preserve"> </w:t>
      </w:r>
      <w:r>
        <w:rPr>
          <w:rFonts w:ascii="仿宋" w:hAnsi="仿宋" w:eastAsia="仿宋" w:cs="仿宋"/>
          <w:spacing w:val="-4"/>
          <w:sz w:val="24"/>
          <w:szCs w:val="24"/>
        </w:rPr>
        <w:t>年</w:t>
      </w:r>
      <w:r>
        <w:rPr>
          <w:rFonts w:ascii="仿宋" w:hAnsi="仿宋" w:eastAsia="仿宋" w:cs="仿宋"/>
          <w:spacing w:val="-34"/>
          <w:sz w:val="24"/>
          <w:szCs w:val="24"/>
        </w:rPr>
        <w:t xml:space="preserve"> </w:t>
      </w:r>
      <w:r>
        <w:rPr>
          <w:rFonts w:ascii="仿宋" w:hAnsi="仿宋" w:eastAsia="仿宋" w:cs="仿宋"/>
          <w:spacing w:val="-4"/>
          <w:sz w:val="24"/>
          <w:szCs w:val="24"/>
        </w:rPr>
        <w:t>12</w:t>
      </w:r>
      <w:r>
        <w:rPr>
          <w:rFonts w:ascii="仿宋" w:hAnsi="仿宋" w:eastAsia="仿宋" w:cs="仿宋"/>
          <w:spacing w:val="-33"/>
          <w:sz w:val="24"/>
          <w:szCs w:val="24"/>
        </w:rPr>
        <w:t xml:space="preserve"> </w:t>
      </w:r>
      <w:r>
        <w:rPr>
          <w:rFonts w:ascii="仿宋" w:hAnsi="仿宋" w:eastAsia="仿宋" w:cs="仿宋"/>
          <w:spacing w:val="-4"/>
          <w:sz w:val="24"/>
          <w:szCs w:val="24"/>
        </w:rPr>
        <w:t>月</w:t>
      </w:r>
      <w:r>
        <w:rPr>
          <w:rFonts w:ascii="仿宋" w:hAnsi="仿宋" w:eastAsia="仿宋" w:cs="仿宋"/>
          <w:spacing w:val="-46"/>
          <w:sz w:val="24"/>
          <w:szCs w:val="24"/>
        </w:rPr>
        <w:t xml:space="preserve"> </w:t>
      </w:r>
      <w:r>
        <w:rPr>
          <w:rFonts w:ascii="仿宋" w:hAnsi="仿宋" w:eastAsia="仿宋" w:cs="仿宋"/>
          <w:spacing w:val="-4"/>
          <w:sz w:val="24"/>
          <w:szCs w:val="24"/>
        </w:rPr>
        <w:t>31 日前将《标准草案》《编制说明》《标</w:t>
      </w:r>
      <w:r>
        <w:rPr>
          <w:rFonts w:ascii="仿宋" w:hAnsi="仿宋" w:eastAsia="仿宋" w:cs="仿宋"/>
          <w:spacing w:val="-5"/>
          <w:sz w:val="24"/>
          <w:szCs w:val="24"/>
        </w:rPr>
        <w:t>准修订对照</w:t>
      </w:r>
      <w:r>
        <w:rPr>
          <w:rFonts w:ascii="仿宋" w:hAnsi="仿宋" w:eastAsia="仿宋" w:cs="仿宋"/>
          <w:spacing w:val="-2"/>
          <w:sz w:val="24"/>
          <w:szCs w:val="24"/>
        </w:rPr>
        <w:t>表》一并提交世界中联国际标准部。</w:t>
      </w:r>
    </w:p>
    <w:p w14:paraId="6BD169F4">
      <w:pPr>
        <w:spacing w:line="276" w:lineRule="auto"/>
        <w:ind w:left="479"/>
        <w:rPr>
          <w:rFonts w:ascii="仿宋" w:hAnsi="仿宋" w:eastAsia="仿宋" w:cs="仿宋"/>
          <w:sz w:val="24"/>
          <w:szCs w:val="24"/>
        </w:rPr>
      </w:pPr>
      <w:r>
        <w:rPr>
          <w:rFonts w:ascii="仿宋" w:hAnsi="仿宋" w:eastAsia="仿宋" w:cs="仿宋"/>
          <w:b/>
          <w:bCs/>
          <w:spacing w:val="-6"/>
          <w:sz w:val="24"/>
          <w:szCs w:val="24"/>
        </w:rPr>
        <w:t>八、声明</w:t>
      </w:r>
    </w:p>
    <w:p w14:paraId="5116E285">
      <w:pPr>
        <w:spacing w:before="111" w:line="276" w:lineRule="auto"/>
        <w:ind w:right="83" w:firstLine="480"/>
        <w:jc w:val="both"/>
        <w:rPr>
          <w:rFonts w:ascii="仿宋" w:hAnsi="仿宋" w:eastAsia="仿宋" w:cs="仿宋"/>
          <w:sz w:val="24"/>
          <w:szCs w:val="24"/>
        </w:rPr>
      </w:pPr>
      <w:r>
        <w:rPr>
          <w:rFonts w:ascii="仿宋" w:hAnsi="仿宋" w:eastAsia="仿宋" w:cs="仿宋"/>
          <w:spacing w:val="-3"/>
          <w:sz w:val="24"/>
          <w:szCs w:val="24"/>
        </w:rPr>
        <w:t>本文件全面记录了2025</w:t>
      </w:r>
      <w:r>
        <w:rPr>
          <w:rFonts w:ascii="仿宋" w:hAnsi="仿宋" w:eastAsia="仿宋" w:cs="仿宋"/>
          <w:spacing w:val="-32"/>
          <w:sz w:val="24"/>
          <w:szCs w:val="24"/>
        </w:rPr>
        <w:t xml:space="preserve"> </w:t>
      </w:r>
      <w:r>
        <w:rPr>
          <w:rFonts w:ascii="仿宋" w:hAnsi="仿宋" w:eastAsia="仿宋" w:cs="仿宋"/>
          <w:spacing w:val="-3"/>
          <w:sz w:val="24"/>
          <w:szCs w:val="24"/>
        </w:rPr>
        <w:t>年</w:t>
      </w:r>
      <w:r>
        <w:rPr>
          <w:rFonts w:ascii="仿宋" w:hAnsi="仿宋" w:eastAsia="仿宋" w:cs="仿宋"/>
          <w:spacing w:val="-34"/>
          <w:sz w:val="24"/>
          <w:szCs w:val="24"/>
        </w:rPr>
        <w:t xml:space="preserve"> </w:t>
      </w:r>
      <w:r>
        <w:rPr>
          <w:rFonts w:ascii="仿宋" w:hAnsi="仿宋" w:eastAsia="仿宋" w:cs="仿宋"/>
          <w:spacing w:val="-3"/>
          <w:sz w:val="24"/>
          <w:szCs w:val="24"/>
        </w:rPr>
        <w:t>12</w:t>
      </w:r>
      <w:r>
        <w:rPr>
          <w:rFonts w:ascii="仿宋" w:hAnsi="仿宋" w:eastAsia="仿宋" w:cs="仿宋"/>
          <w:spacing w:val="-33"/>
          <w:sz w:val="24"/>
          <w:szCs w:val="24"/>
        </w:rPr>
        <w:t xml:space="preserve"> </w:t>
      </w:r>
      <w:r>
        <w:rPr>
          <w:rFonts w:ascii="仿宋" w:hAnsi="仿宋" w:eastAsia="仿宋" w:cs="仿宋"/>
          <w:spacing w:val="-3"/>
          <w:sz w:val="24"/>
          <w:szCs w:val="24"/>
        </w:rPr>
        <w:t>月</w:t>
      </w:r>
      <w:r>
        <w:rPr>
          <w:rFonts w:ascii="仿宋" w:hAnsi="仿宋" w:eastAsia="仿宋" w:cs="仿宋"/>
          <w:spacing w:val="-47"/>
          <w:sz w:val="24"/>
          <w:szCs w:val="24"/>
        </w:rPr>
        <w:t xml:space="preserve"> </w:t>
      </w:r>
      <w:r>
        <w:rPr>
          <w:rFonts w:ascii="仿宋" w:hAnsi="仿宋" w:eastAsia="仿宋" w:cs="仿宋"/>
          <w:spacing w:val="-3"/>
          <w:sz w:val="24"/>
          <w:szCs w:val="24"/>
        </w:rPr>
        <w:t>3 日专家论证会技术决议，所有修改意见均基于专家</w:t>
      </w:r>
      <w:r>
        <w:rPr>
          <w:rFonts w:ascii="仿宋" w:hAnsi="仿宋" w:eastAsia="仿宋" w:cs="仿宋"/>
          <w:spacing w:val="-1"/>
          <w:sz w:val="24"/>
          <w:szCs w:val="24"/>
        </w:rPr>
        <w:t>评分及文字反馈，无遗漏、无篡改。项目组对参会专家的专业贡献表示衷心感谢，并承诺严格执行会议决议，高质量完成国际标准转化任务。</w:t>
      </w:r>
    </w:p>
    <w:p w14:paraId="0905CF83">
      <w:pPr>
        <w:pStyle w:val="3"/>
        <w:spacing w:line="276" w:lineRule="auto"/>
      </w:pPr>
    </w:p>
    <w:p w14:paraId="7D8414BB">
      <w:pPr>
        <w:spacing w:before="78" w:line="276" w:lineRule="auto"/>
        <w:ind w:left="1679"/>
        <w:rPr>
          <w:rFonts w:ascii="仿宋" w:hAnsi="仿宋" w:eastAsia="仿宋" w:cs="仿宋"/>
          <w:sz w:val="24"/>
          <w:szCs w:val="24"/>
        </w:rPr>
      </w:pPr>
      <w:r>
        <w:rPr>
          <w:rFonts w:ascii="仿宋" w:hAnsi="仿宋" w:eastAsia="仿宋" w:cs="仿宋"/>
          <w:spacing w:val="-2"/>
          <w:sz w:val="24"/>
          <w:szCs w:val="24"/>
        </w:rPr>
        <w:t>《国际中医技术操作规范 儿科 第</w:t>
      </w:r>
      <w:r>
        <w:rPr>
          <w:rFonts w:ascii="仿宋" w:hAnsi="仿宋" w:eastAsia="仿宋" w:cs="仿宋"/>
          <w:spacing w:val="-30"/>
          <w:sz w:val="24"/>
          <w:szCs w:val="24"/>
        </w:rPr>
        <w:t xml:space="preserve"> </w:t>
      </w:r>
      <w:r>
        <w:rPr>
          <w:rFonts w:ascii="仿宋" w:hAnsi="仿宋" w:eastAsia="仿宋" w:cs="仿宋"/>
          <w:spacing w:val="-2"/>
          <w:sz w:val="24"/>
          <w:szCs w:val="24"/>
        </w:rPr>
        <w:t>5</w:t>
      </w:r>
      <w:r>
        <w:rPr>
          <w:rFonts w:ascii="仿宋" w:hAnsi="仿宋" w:eastAsia="仿宋" w:cs="仿宋"/>
          <w:spacing w:val="-43"/>
          <w:sz w:val="24"/>
          <w:szCs w:val="24"/>
        </w:rPr>
        <w:t xml:space="preserve"> </w:t>
      </w:r>
      <w:r>
        <w:rPr>
          <w:rFonts w:ascii="仿宋" w:hAnsi="仿宋" w:eastAsia="仿宋" w:cs="仿宋"/>
          <w:spacing w:val="-2"/>
          <w:sz w:val="24"/>
          <w:szCs w:val="24"/>
        </w:rPr>
        <w:t>部分：小儿拔罐疗法》项目工作组</w:t>
      </w:r>
    </w:p>
    <w:p w14:paraId="25EF72F4">
      <w:pPr>
        <w:spacing w:before="113" w:line="276" w:lineRule="auto"/>
        <w:ind w:left="7041"/>
        <w:rPr>
          <w:rFonts w:ascii="仿宋" w:hAnsi="仿宋" w:eastAsia="仿宋" w:cs="仿宋"/>
          <w:sz w:val="24"/>
          <w:szCs w:val="24"/>
        </w:rPr>
      </w:pPr>
      <w:r>
        <w:rPr>
          <w:rFonts w:ascii="仿宋" w:hAnsi="仿宋" w:eastAsia="仿宋" w:cs="仿宋"/>
          <w:spacing w:val="-8"/>
          <w:sz w:val="24"/>
          <w:szCs w:val="24"/>
        </w:rPr>
        <w:t>2025</w:t>
      </w:r>
      <w:r>
        <w:rPr>
          <w:rFonts w:ascii="仿宋" w:hAnsi="仿宋" w:eastAsia="仿宋" w:cs="仿宋"/>
          <w:spacing w:val="-37"/>
          <w:sz w:val="24"/>
          <w:szCs w:val="24"/>
        </w:rPr>
        <w:t xml:space="preserve"> </w:t>
      </w:r>
      <w:r>
        <w:rPr>
          <w:rFonts w:ascii="仿宋" w:hAnsi="仿宋" w:eastAsia="仿宋" w:cs="仿宋"/>
          <w:spacing w:val="-8"/>
          <w:sz w:val="24"/>
          <w:szCs w:val="24"/>
        </w:rPr>
        <w:t>年</w:t>
      </w:r>
      <w:r>
        <w:rPr>
          <w:rFonts w:ascii="仿宋" w:hAnsi="仿宋" w:eastAsia="仿宋" w:cs="仿宋"/>
          <w:spacing w:val="-34"/>
          <w:sz w:val="24"/>
          <w:szCs w:val="24"/>
        </w:rPr>
        <w:t xml:space="preserve"> </w:t>
      </w:r>
      <w:r>
        <w:rPr>
          <w:rFonts w:ascii="仿宋" w:hAnsi="仿宋" w:eastAsia="仿宋" w:cs="仿宋"/>
          <w:spacing w:val="-8"/>
          <w:sz w:val="24"/>
          <w:szCs w:val="24"/>
        </w:rPr>
        <w:t>12</w:t>
      </w:r>
      <w:r>
        <w:rPr>
          <w:rFonts w:ascii="仿宋" w:hAnsi="仿宋" w:eastAsia="仿宋" w:cs="仿宋"/>
          <w:spacing w:val="-32"/>
          <w:sz w:val="24"/>
          <w:szCs w:val="24"/>
        </w:rPr>
        <w:t xml:space="preserve"> </w:t>
      </w:r>
      <w:r>
        <w:rPr>
          <w:rFonts w:ascii="仿宋" w:hAnsi="仿宋" w:eastAsia="仿宋" w:cs="仿宋"/>
          <w:spacing w:val="-8"/>
          <w:sz w:val="24"/>
          <w:szCs w:val="24"/>
        </w:rPr>
        <w:t>月</w:t>
      </w:r>
      <w:r>
        <w:rPr>
          <w:rFonts w:ascii="仿宋" w:hAnsi="仿宋" w:eastAsia="仿宋" w:cs="仿宋"/>
          <w:spacing w:val="-47"/>
          <w:sz w:val="24"/>
          <w:szCs w:val="24"/>
        </w:rPr>
        <w:t xml:space="preserve"> </w:t>
      </w:r>
      <w:r>
        <w:rPr>
          <w:rFonts w:ascii="仿宋" w:hAnsi="仿宋" w:eastAsia="仿宋" w:cs="仿宋"/>
          <w:spacing w:val="-8"/>
          <w:sz w:val="24"/>
          <w:szCs w:val="24"/>
        </w:rPr>
        <w:t>30 日</w:t>
      </w:r>
    </w:p>
    <w:p w14:paraId="35CABBC5">
      <w:pPr>
        <w:spacing w:line="276" w:lineRule="auto"/>
        <w:rPr>
          <w:rFonts w:ascii="仿宋" w:hAnsi="仿宋" w:eastAsia="仿宋" w:cs="仿宋"/>
          <w:sz w:val="24"/>
          <w:szCs w:val="24"/>
        </w:rPr>
        <w:sectPr>
          <w:footerReference r:id="rId13" w:type="default"/>
          <w:pgSz w:w="11906" w:h="16839"/>
          <w:pgMar w:top="1431" w:right="1051" w:bottom="1362" w:left="1434" w:header="0" w:footer="1200" w:gutter="0"/>
          <w:cols w:space="720" w:num="1"/>
        </w:sectPr>
      </w:pPr>
    </w:p>
    <w:p w14:paraId="77E5652D">
      <w:pPr>
        <w:spacing w:before="0" w:beforeLines="100" w:afterLines="100" w:line="276" w:lineRule="auto"/>
        <w:ind w:left="476"/>
        <w:outlineLvl w:val="0"/>
        <w:rPr>
          <w:rFonts w:ascii="黑体" w:hAnsi="黑体" w:eastAsia="黑体" w:cs="黑体"/>
          <w:b/>
          <w:bCs/>
          <w:spacing w:val="-4"/>
          <w:sz w:val="24"/>
          <w:szCs w:val="24"/>
        </w:rPr>
      </w:pPr>
      <w:bookmarkStart w:id="12" w:name="bookmark11"/>
      <w:bookmarkEnd w:id="12"/>
      <w:r>
        <w:rPr>
          <w:rFonts w:ascii="黑体" w:hAnsi="黑体" w:eastAsia="黑体" w:cs="黑体"/>
          <w:b/>
          <w:bCs/>
          <w:spacing w:val="-4"/>
          <w:sz w:val="24"/>
          <w:szCs w:val="24"/>
        </w:rPr>
        <w:t>附件3</w:t>
      </w:r>
      <w:r>
        <w:rPr>
          <w:rFonts w:hint="default" w:ascii="黑体" w:hAnsi="黑体" w:eastAsia="黑体" w:cs="黑体"/>
          <w:b/>
          <w:bCs/>
          <w:spacing w:val="-4"/>
          <w:sz w:val="24"/>
          <w:szCs w:val="24"/>
          <w:lang w:val="en-US" w:eastAsia="zh-CN"/>
        </w:rPr>
        <w:t xml:space="preserve"> </w:t>
      </w:r>
      <w:r>
        <w:rPr>
          <w:rFonts w:ascii="黑体" w:hAnsi="黑体" w:eastAsia="黑体" w:cs="黑体"/>
          <w:b/>
          <w:bCs/>
          <w:spacing w:val="-4"/>
          <w:sz w:val="24"/>
          <w:szCs w:val="24"/>
        </w:rPr>
        <w:t>专家指导组审核总结</w:t>
      </w:r>
    </w:p>
    <w:p w14:paraId="32A66D17">
      <w:pPr>
        <w:pStyle w:val="3"/>
        <w:spacing w:line="276" w:lineRule="auto"/>
      </w:pPr>
    </w:p>
    <w:p w14:paraId="5A069FA7">
      <w:pPr>
        <w:spacing w:before="78" w:line="276" w:lineRule="auto"/>
        <w:ind w:right="76" w:firstLine="482"/>
        <w:jc w:val="both"/>
        <w:rPr>
          <w:rFonts w:ascii="仿宋" w:hAnsi="仿宋" w:eastAsia="仿宋" w:cs="仿宋"/>
          <w:sz w:val="24"/>
          <w:szCs w:val="24"/>
        </w:rPr>
      </w:pPr>
      <w:r>
        <w:rPr>
          <w:rFonts w:ascii="仿宋" w:hAnsi="仿宋" w:eastAsia="仿宋" w:cs="仿宋"/>
          <w:spacing w:val="-1"/>
          <w:sz w:val="24"/>
          <w:szCs w:val="24"/>
        </w:rPr>
        <w:t>《国际中医技术操作规范 儿科 第</w:t>
      </w:r>
      <w:r>
        <w:rPr>
          <w:rFonts w:ascii="仿宋" w:hAnsi="仿宋" w:eastAsia="仿宋" w:cs="仿宋"/>
          <w:spacing w:val="-47"/>
          <w:sz w:val="24"/>
          <w:szCs w:val="24"/>
        </w:rPr>
        <w:t xml:space="preserve"> </w:t>
      </w:r>
      <w:r>
        <w:rPr>
          <w:rFonts w:ascii="仿宋" w:hAnsi="仿宋" w:eastAsia="仿宋" w:cs="仿宋"/>
          <w:spacing w:val="-1"/>
          <w:sz w:val="24"/>
          <w:szCs w:val="24"/>
        </w:rPr>
        <w:t>5</w:t>
      </w:r>
      <w:r>
        <w:rPr>
          <w:rFonts w:ascii="仿宋" w:hAnsi="仿宋" w:eastAsia="仿宋" w:cs="仿宋"/>
          <w:spacing w:val="-43"/>
          <w:sz w:val="24"/>
          <w:szCs w:val="24"/>
        </w:rPr>
        <w:t xml:space="preserve"> </w:t>
      </w:r>
      <w:r>
        <w:rPr>
          <w:rFonts w:ascii="仿宋" w:hAnsi="仿宋" w:eastAsia="仿宋" w:cs="仿宋"/>
          <w:spacing w:val="-1"/>
          <w:sz w:val="24"/>
          <w:szCs w:val="24"/>
        </w:rPr>
        <w:t>部分：小儿</w:t>
      </w:r>
      <w:r>
        <w:rPr>
          <w:rFonts w:ascii="仿宋" w:hAnsi="仿宋" w:eastAsia="仿宋" w:cs="仿宋"/>
          <w:spacing w:val="-2"/>
          <w:sz w:val="24"/>
          <w:szCs w:val="24"/>
        </w:rPr>
        <w:t>拔罐疗法》项目按照世界中医药学会</w:t>
      </w:r>
      <w:r>
        <w:rPr>
          <w:rFonts w:ascii="仿宋" w:hAnsi="仿宋" w:eastAsia="仿宋" w:cs="仿宋"/>
          <w:spacing w:val="-1"/>
          <w:sz w:val="24"/>
          <w:szCs w:val="24"/>
        </w:rPr>
        <w:t>联合会国际组织标准制定程序要求，在完成专家问卷调查和专家论证会论证工作后，形成了专家指导组审核稿及配套编制说明等材料，并提交专家指导组进行审核。</w:t>
      </w:r>
    </w:p>
    <w:p w14:paraId="2D3A3697">
      <w:pPr>
        <w:spacing w:before="5" w:line="276" w:lineRule="auto"/>
        <w:ind w:left="2" w:firstLine="480"/>
        <w:jc w:val="both"/>
        <w:rPr>
          <w:rFonts w:ascii="仿宋" w:hAnsi="仿宋" w:eastAsia="仿宋" w:cs="仿宋"/>
          <w:sz w:val="24"/>
          <w:szCs w:val="24"/>
        </w:rPr>
      </w:pPr>
      <w:r>
        <w:rPr>
          <w:rFonts w:ascii="仿宋" w:hAnsi="仿宋" w:eastAsia="仿宋" w:cs="仿宋"/>
          <w:spacing w:val="-5"/>
          <w:sz w:val="24"/>
          <w:szCs w:val="24"/>
        </w:rPr>
        <w:t>本项目专家指导组组长丁樱教授为国医大师、中国民族医药学会儿科分会会长，马融、</w:t>
      </w:r>
      <w:r>
        <w:rPr>
          <w:rFonts w:ascii="仿宋" w:hAnsi="仿宋" w:eastAsia="仿宋" w:cs="仿宋"/>
          <w:spacing w:val="2"/>
          <w:sz w:val="24"/>
          <w:szCs w:val="24"/>
        </w:rPr>
        <w:t>熊磊教授为岐黄学者、</w:t>
      </w:r>
      <w:r>
        <w:rPr>
          <w:rFonts w:ascii="仿宋" w:hAnsi="仿宋" w:eastAsia="仿宋" w:cs="仿宋"/>
          <w:spacing w:val="-60"/>
          <w:sz w:val="24"/>
          <w:szCs w:val="24"/>
        </w:rPr>
        <w:t xml:space="preserve"> </w:t>
      </w:r>
      <w:r>
        <w:rPr>
          <w:rFonts w:ascii="仿宋" w:hAnsi="仿宋" w:eastAsia="仿宋" w:cs="仿宋"/>
          <w:spacing w:val="2"/>
          <w:sz w:val="24"/>
          <w:szCs w:val="24"/>
        </w:rPr>
        <w:t>中华中医药学会儿科分会第6～9</w:t>
      </w:r>
      <w:r>
        <w:rPr>
          <w:rFonts w:ascii="仿宋" w:hAnsi="仿宋" w:eastAsia="仿宋" w:cs="仿宋"/>
          <w:spacing w:val="-43"/>
          <w:sz w:val="24"/>
          <w:szCs w:val="24"/>
        </w:rPr>
        <w:t xml:space="preserve"> </w:t>
      </w:r>
      <w:r>
        <w:rPr>
          <w:rFonts w:ascii="仿宋" w:hAnsi="仿宋" w:eastAsia="仿宋" w:cs="仿宋"/>
          <w:spacing w:val="2"/>
          <w:sz w:val="24"/>
          <w:szCs w:val="24"/>
        </w:rPr>
        <w:t>届主任委员，俞建教授为中国中</w:t>
      </w:r>
      <w:r>
        <w:rPr>
          <w:rFonts w:ascii="仿宋" w:hAnsi="仿宋" w:eastAsia="仿宋" w:cs="仿宋"/>
          <w:spacing w:val="-1"/>
          <w:sz w:val="24"/>
          <w:szCs w:val="24"/>
        </w:rPr>
        <w:t>西医结合学会儿科分会主任委员，其他多数专家均为现任世界中医药学会儿科专业委员会副会长或中华中医药学会儿科分会副主任委员。项目工作组在规定时间内，向专家指导组成员发送了标准草案、标准修改对照表、编制说明等文件，请专家围绕标准定位、技术边</w:t>
      </w:r>
      <w:r>
        <w:rPr>
          <w:rFonts w:ascii="仿宋" w:hAnsi="仿宋" w:eastAsia="仿宋" w:cs="仿宋"/>
          <w:sz w:val="24"/>
          <w:szCs w:val="24"/>
        </w:rPr>
        <w:t>界、条文表述及国际适用性等方面提出审核意见</w:t>
      </w:r>
      <w:r>
        <w:rPr>
          <w:rFonts w:ascii="仿宋" w:hAnsi="仿宋" w:eastAsia="仿宋" w:cs="仿宋"/>
          <w:spacing w:val="-1"/>
          <w:sz w:val="24"/>
          <w:szCs w:val="24"/>
        </w:rPr>
        <w:t>。专家以书面形式对标准提出了意见。</w:t>
      </w:r>
    </w:p>
    <w:p w14:paraId="6D7AC16F">
      <w:pPr>
        <w:spacing w:before="27" w:line="276" w:lineRule="auto"/>
        <w:ind w:left="458"/>
        <w:rPr>
          <w:rFonts w:ascii="仿宋" w:hAnsi="仿宋" w:eastAsia="仿宋" w:cs="仿宋"/>
          <w:sz w:val="20"/>
          <w:szCs w:val="20"/>
        </w:rPr>
      </w:pPr>
      <w:r>
        <w:rPr>
          <w:rFonts w:ascii="仿宋" w:hAnsi="仿宋" w:eastAsia="仿宋" w:cs="仿宋"/>
          <w:b/>
          <w:bCs/>
          <w:spacing w:val="7"/>
          <w:sz w:val="20"/>
          <w:szCs w:val="20"/>
        </w:rPr>
        <w:t>《国际中医技术操作规范</w:t>
      </w:r>
      <w:r>
        <w:rPr>
          <w:rFonts w:ascii="仿宋" w:hAnsi="仿宋" w:eastAsia="仿宋" w:cs="仿宋"/>
          <w:spacing w:val="7"/>
          <w:sz w:val="20"/>
          <w:szCs w:val="20"/>
        </w:rPr>
        <w:t xml:space="preserve"> </w:t>
      </w:r>
      <w:r>
        <w:rPr>
          <w:rFonts w:ascii="仿宋" w:hAnsi="仿宋" w:eastAsia="仿宋" w:cs="仿宋"/>
          <w:b/>
          <w:bCs/>
          <w:spacing w:val="7"/>
          <w:sz w:val="20"/>
          <w:szCs w:val="20"/>
        </w:rPr>
        <w:t>儿科</w:t>
      </w:r>
      <w:r>
        <w:rPr>
          <w:rFonts w:ascii="仿宋" w:hAnsi="仿宋" w:eastAsia="仿宋" w:cs="仿宋"/>
          <w:spacing w:val="7"/>
          <w:sz w:val="20"/>
          <w:szCs w:val="20"/>
        </w:rPr>
        <w:t xml:space="preserve"> </w:t>
      </w:r>
      <w:r>
        <w:rPr>
          <w:rFonts w:ascii="仿宋" w:hAnsi="仿宋" w:eastAsia="仿宋" w:cs="仿宋"/>
          <w:b/>
          <w:bCs/>
          <w:spacing w:val="7"/>
          <w:sz w:val="20"/>
          <w:szCs w:val="20"/>
        </w:rPr>
        <w:t>第</w:t>
      </w:r>
      <w:r>
        <w:rPr>
          <w:rFonts w:ascii="仿宋" w:hAnsi="仿宋" w:eastAsia="仿宋" w:cs="仿宋"/>
          <w:spacing w:val="-21"/>
          <w:sz w:val="20"/>
          <w:szCs w:val="20"/>
        </w:rPr>
        <w:t xml:space="preserve"> </w:t>
      </w:r>
      <w:r>
        <w:rPr>
          <w:rFonts w:ascii="仿宋" w:hAnsi="仿宋" w:eastAsia="仿宋" w:cs="仿宋"/>
          <w:b/>
          <w:bCs/>
          <w:spacing w:val="7"/>
          <w:sz w:val="20"/>
          <w:szCs w:val="20"/>
        </w:rPr>
        <w:t>5</w:t>
      </w:r>
      <w:r>
        <w:rPr>
          <w:rFonts w:ascii="仿宋" w:hAnsi="仿宋" w:eastAsia="仿宋" w:cs="仿宋"/>
          <w:spacing w:val="-32"/>
          <w:sz w:val="20"/>
          <w:szCs w:val="20"/>
        </w:rPr>
        <w:t xml:space="preserve"> </w:t>
      </w:r>
      <w:r>
        <w:rPr>
          <w:rFonts w:ascii="仿宋" w:hAnsi="仿宋" w:eastAsia="仿宋" w:cs="仿宋"/>
          <w:b/>
          <w:bCs/>
          <w:spacing w:val="7"/>
          <w:sz w:val="20"/>
          <w:szCs w:val="20"/>
        </w:rPr>
        <w:t>部分：小儿拔罐疗法》专家指导组审核征求意见情况表</w:t>
      </w:r>
    </w:p>
    <w:p w14:paraId="7E9E39AC">
      <w:pPr>
        <w:spacing w:line="276" w:lineRule="auto"/>
        <w:rPr>
          <w:rFonts w:ascii="Arial"/>
          <w:sz w:val="2"/>
        </w:rPr>
      </w:pPr>
    </w:p>
    <w:tbl>
      <w:tblPr>
        <w:tblStyle w:val="9"/>
        <w:tblW w:w="8323" w:type="dxa"/>
        <w:tblInd w:w="5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9"/>
        <w:gridCol w:w="4108"/>
        <w:gridCol w:w="1575"/>
        <w:gridCol w:w="1811"/>
      </w:tblGrid>
      <w:tr w14:paraId="19505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829" w:type="dxa"/>
            <w:vAlign w:val="top"/>
          </w:tcPr>
          <w:p w14:paraId="28D64FC6">
            <w:pPr>
              <w:pStyle w:val="10"/>
              <w:spacing w:before="146" w:line="276" w:lineRule="auto"/>
              <w:ind w:left="214"/>
            </w:pPr>
            <w:r>
              <w:rPr>
                <w:spacing w:val="2"/>
              </w:rPr>
              <w:t>序号</w:t>
            </w:r>
          </w:p>
        </w:tc>
        <w:tc>
          <w:tcPr>
            <w:tcW w:w="4108" w:type="dxa"/>
            <w:vAlign w:val="top"/>
          </w:tcPr>
          <w:p w14:paraId="78C83FF4">
            <w:pPr>
              <w:pStyle w:val="10"/>
              <w:spacing w:before="146" w:line="276" w:lineRule="auto"/>
              <w:ind w:left="1644"/>
            </w:pPr>
            <w:r>
              <w:rPr>
                <w:spacing w:val="5"/>
              </w:rPr>
              <w:t>征求单位</w:t>
            </w:r>
          </w:p>
        </w:tc>
        <w:tc>
          <w:tcPr>
            <w:tcW w:w="1575" w:type="dxa"/>
            <w:vAlign w:val="top"/>
          </w:tcPr>
          <w:p w14:paraId="79EE981E">
            <w:pPr>
              <w:pStyle w:val="10"/>
              <w:spacing w:before="145" w:line="276" w:lineRule="auto"/>
              <w:ind w:left="488"/>
            </w:pPr>
            <w:r>
              <w:rPr>
                <w:spacing w:val="-4"/>
              </w:rPr>
              <w:t>专</w:t>
            </w:r>
            <w:r>
              <w:rPr>
                <w:spacing w:val="13"/>
              </w:rPr>
              <w:t xml:space="preserve">  </w:t>
            </w:r>
            <w:r>
              <w:rPr>
                <w:spacing w:val="-4"/>
              </w:rPr>
              <w:t>家</w:t>
            </w:r>
          </w:p>
        </w:tc>
        <w:tc>
          <w:tcPr>
            <w:tcW w:w="1811" w:type="dxa"/>
            <w:vAlign w:val="top"/>
          </w:tcPr>
          <w:p w14:paraId="745A98ED">
            <w:pPr>
              <w:pStyle w:val="10"/>
              <w:spacing w:before="146" w:line="276" w:lineRule="auto"/>
              <w:ind w:left="286"/>
            </w:pPr>
            <w:r>
              <w:rPr>
                <w:spacing w:val="7"/>
              </w:rPr>
              <w:t>是否回复意见</w:t>
            </w:r>
          </w:p>
        </w:tc>
      </w:tr>
      <w:tr w14:paraId="708B39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829" w:type="dxa"/>
            <w:vAlign w:val="top"/>
          </w:tcPr>
          <w:p w14:paraId="09C752DB">
            <w:pPr>
              <w:pStyle w:val="10"/>
              <w:spacing w:before="140" w:line="276" w:lineRule="auto"/>
              <w:ind w:left="381"/>
            </w:pPr>
            <w:r>
              <w:t>1</w:t>
            </w:r>
          </w:p>
        </w:tc>
        <w:tc>
          <w:tcPr>
            <w:tcW w:w="4108" w:type="dxa"/>
            <w:vAlign w:val="top"/>
          </w:tcPr>
          <w:p w14:paraId="480788A8">
            <w:pPr>
              <w:pStyle w:val="10"/>
              <w:spacing w:before="140" w:line="276" w:lineRule="auto"/>
              <w:ind w:left="123"/>
            </w:pPr>
            <w:r>
              <w:rPr>
                <w:spacing w:val="8"/>
              </w:rPr>
              <w:t>河南中医药大学第一附属医院儿科医院</w:t>
            </w:r>
          </w:p>
        </w:tc>
        <w:tc>
          <w:tcPr>
            <w:tcW w:w="1575" w:type="dxa"/>
            <w:vAlign w:val="top"/>
          </w:tcPr>
          <w:p w14:paraId="38A1C193">
            <w:pPr>
              <w:pStyle w:val="10"/>
              <w:spacing w:before="140" w:line="276" w:lineRule="auto"/>
              <w:ind w:left="493"/>
            </w:pPr>
            <w:r>
              <w:rPr>
                <w:spacing w:val="-7"/>
              </w:rPr>
              <w:t>丁</w:t>
            </w:r>
            <w:r>
              <w:rPr>
                <w:spacing w:val="12"/>
              </w:rPr>
              <w:t xml:space="preserve">  </w:t>
            </w:r>
            <w:r>
              <w:rPr>
                <w:spacing w:val="-7"/>
              </w:rPr>
              <w:t>樱</w:t>
            </w:r>
          </w:p>
        </w:tc>
        <w:tc>
          <w:tcPr>
            <w:tcW w:w="1811" w:type="dxa"/>
            <w:vAlign w:val="top"/>
          </w:tcPr>
          <w:p w14:paraId="1B489C6E">
            <w:pPr>
              <w:pStyle w:val="10"/>
              <w:spacing w:before="140" w:line="276" w:lineRule="auto"/>
              <w:ind w:left="731"/>
            </w:pPr>
            <w:r>
              <w:rPr>
                <w:spacing w:val="-11"/>
              </w:rPr>
              <w:t>回复</w:t>
            </w:r>
          </w:p>
        </w:tc>
      </w:tr>
      <w:tr w14:paraId="1877EB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829" w:type="dxa"/>
            <w:vAlign w:val="top"/>
          </w:tcPr>
          <w:p w14:paraId="0014BB2E">
            <w:pPr>
              <w:pStyle w:val="10"/>
              <w:spacing w:before="141" w:line="276" w:lineRule="auto"/>
              <w:ind w:left="369"/>
            </w:pPr>
            <w:r>
              <w:t>2</w:t>
            </w:r>
          </w:p>
        </w:tc>
        <w:tc>
          <w:tcPr>
            <w:tcW w:w="4108" w:type="dxa"/>
            <w:vAlign w:val="top"/>
          </w:tcPr>
          <w:p w14:paraId="1ABA984E">
            <w:pPr>
              <w:pStyle w:val="10"/>
              <w:spacing w:before="142" w:line="276" w:lineRule="auto"/>
              <w:ind w:left="119"/>
            </w:pPr>
            <w:r>
              <w:rPr>
                <w:spacing w:val="7"/>
              </w:rPr>
              <w:t>深圳市儿童医院</w:t>
            </w:r>
          </w:p>
        </w:tc>
        <w:tc>
          <w:tcPr>
            <w:tcW w:w="1575" w:type="dxa"/>
            <w:vAlign w:val="top"/>
          </w:tcPr>
          <w:p w14:paraId="609B68A9">
            <w:pPr>
              <w:pStyle w:val="10"/>
              <w:spacing w:before="142" w:line="276" w:lineRule="auto"/>
              <w:ind w:left="487"/>
            </w:pPr>
            <w:r>
              <w:rPr>
                <w:spacing w:val="4"/>
              </w:rPr>
              <w:t>万力生</w:t>
            </w:r>
          </w:p>
        </w:tc>
        <w:tc>
          <w:tcPr>
            <w:tcW w:w="1811" w:type="dxa"/>
            <w:vAlign w:val="top"/>
          </w:tcPr>
          <w:p w14:paraId="1D90E3DF">
            <w:pPr>
              <w:pStyle w:val="10"/>
              <w:spacing w:before="142" w:line="276" w:lineRule="auto"/>
              <w:ind w:left="731"/>
            </w:pPr>
            <w:r>
              <w:rPr>
                <w:spacing w:val="-11"/>
              </w:rPr>
              <w:t>回复</w:t>
            </w:r>
          </w:p>
        </w:tc>
      </w:tr>
      <w:tr w14:paraId="2DCF2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829" w:type="dxa"/>
            <w:vAlign w:val="top"/>
          </w:tcPr>
          <w:p w14:paraId="154C0E76">
            <w:pPr>
              <w:pStyle w:val="10"/>
              <w:spacing w:before="143" w:line="276" w:lineRule="auto"/>
              <w:ind w:left="370"/>
            </w:pPr>
            <w:r>
              <w:t>3</w:t>
            </w:r>
          </w:p>
        </w:tc>
        <w:tc>
          <w:tcPr>
            <w:tcW w:w="4108" w:type="dxa"/>
            <w:vAlign w:val="top"/>
          </w:tcPr>
          <w:p w14:paraId="480BB054">
            <w:pPr>
              <w:pStyle w:val="10"/>
              <w:spacing w:before="143" w:line="276" w:lineRule="auto"/>
              <w:ind w:left="118"/>
            </w:pPr>
            <w:r>
              <w:rPr>
                <w:spacing w:val="8"/>
              </w:rPr>
              <w:t>天津中医药大学第一附属医院</w:t>
            </w:r>
          </w:p>
        </w:tc>
        <w:tc>
          <w:tcPr>
            <w:tcW w:w="1575" w:type="dxa"/>
            <w:vAlign w:val="top"/>
          </w:tcPr>
          <w:p w14:paraId="5A136208">
            <w:pPr>
              <w:pStyle w:val="10"/>
              <w:spacing w:before="143" w:line="276" w:lineRule="auto"/>
              <w:ind w:left="489"/>
            </w:pPr>
            <w:r>
              <w:rPr>
                <w:spacing w:val="-5"/>
              </w:rPr>
              <w:t>马</w:t>
            </w:r>
            <w:r>
              <w:rPr>
                <w:spacing w:val="15"/>
              </w:rPr>
              <w:t xml:space="preserve">  </w:t>
            </w:r>
            <w:r>
              <w:rPr>
                <w:spacing w:val="-5"/>
              </w:rPr>
              <w:t>融</w:t>
            </w:r>
          </w:p>
        </w:tc>
        <w:tc>
          <w:tcPr>
            <w:tcW w:w="1811" w:type="dxa"/>
            <w:vAlign w:val="top"/>
          </w:tcPr>
          <w:p w14:paraId="4DA5EBED">
            <w:pPr>
              <w:pStyle w:val="10"/>
              <w:spacing w:before="143" w:line="276" w:lineRule="auto"/>
              <w:ind w:left="731"/>
            </w:pPr>
            <w:r>
              <w:rPr>
                <w:spacing w:val="-11"/>
              </w:rPr>
              <w:t>回复</w:t>
            </w:r>
          </w:p>
        </w:tc>
      </w:tr>
      <w:tr w14:paraId="461311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29" w:type="dxa"/>
            <w:vAlign w:val="top"/>
          </w:tcPr>
          <w:p w14:paraId="2DFA3B6B">
            <w:pPr>
              <w:pStyle w:val="10"/>
              <w:spacing w:before="144" w:line="276" w:lineRule="auto"/>
              <w:ind w:left="365"/>
            </w:pPr>
            <w:r>
              <w:t>4</w:t>
            </w:r>
          </w:p>
        </w:tc>
        <w:tc>
          <w:tcPr>
            <w:tcW w:w="4108" w:type="dxa"/>
            <w:vAlign w:val="top"/>
          </w:tcPr>
          <w:p w14:paraId="0D854E21">
            <w:pPr>
              <w:pStyle w:val="10"/>
              <w:spacing w:before="144" w:line="276" w:lineRule="auto"/>
              <w:ind w:left="125"/>
            </w:pPr>
            <w:r>
              <w:rPr>
                <w:spacing w:val="8"/>
              </w:rPr>
              <w:t>黑龙江中医药大学附属第二医院</w:t>
            </w:r>
          </w:p>
        </w:tc>
        <w:tc>
          <w:tcPr>
            <w:tcW w:w="1575" w:type="dxa"/>
            <w:vAlign w:val="top"/>
          </w:tcPr>
          <w:p w14:paraId="1175EE19">
            <w:pPr>
              <w:pStyle w:val="10"/>
              <w:spacing w:before="144" w:line="276" w:lineRule="auto"/>
              <w:ind w:left="488"/>
            </w:pPr>
            <w:r>
              <w:rPr>
                <w:spacing w:val="4"/>
              </w:rPr>
              <w:t>王有鹏</w:t>
            </w:r>
          </w:p>
        </w:tc>
        <w:tc>
          <w:tcPr>
            <w:tcW w:w="1811" w:type="dxa"/>
            <w:vAlign w:val="top"/>
          </w:tcPr>
          <w:p w14:paraId="6FDF4CD2">
            <w:pPr>
              <w:pStyle w:val="10"/>
              <w:spacing w:before="144" w:line="276" w:lineRule="auto"/>
              <w:ind w:left="731"/>
            </w:pPr>
            <w:r>
              <w:rPr>
                <w:spacing w:val="-11"/>
              </w:rPr>
              <w:t>回复</w:t>
            </w:r>
          </w:p>
        </w:tc>
      </w:tr>
      <w:tr w14:paraId="0E3544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29" w:type="dxa"/>
            <w:vAlign w:val="top"/>
          </w:tcPr>
          <w:p w14:paraId="03DE28A1">
            <w:pPr>
              <w:pStyle w:val="10"/>
              <w:spacing w:before="144" w:line="276" w:lineRule="auto"/>
              <w:ind w:left="370"/>
            </w:pPr>
            <w:r>
              <w:t>5</w:t>
            </w:r>
          </w:p>
        </w:tc>
        <w:tc>
          <w:tcPr>
            <w:tcW w:w="4108" w:type="dxa"/>
            <w:vAlign w:val="top"/>
          </w:tcPr>
          <w:p w14:paraId="5E7C370B">
            <w:pPr>
              <w:pStyle w:val="10"/>
              <w:spacing w:before="144" w:line="276" w:lineRule="auto"/>
              <w:ind w:left="119"/>
            </w:pPr>
            <w:r>
              <w:rPr>
                <w:spacing w:val="8"/>
              </w:rPr>
              <w:t>世界中医药学会联合会国际标准部</w:t>
            </w:r>
          </w:p>
        </w:tc>
        <w:tc>
          <w:tcPr>
            <w:tcW w:w="1575" w:type="dxa"/>
            <w:vAlign w:val="top"/>
          </w:tcPr>
          <w:p w14:paraId="2FB5A2D2">
            <w:pPr>
              <w:pStyle w:val="10"/>
              <w:spacing w:before="144" w:line="276" w:lineRule="auto"/>
              <w:ind w:left="488"/>
            </w:pPr>
            <w:r>
              <w:rPr>
                <w:spacing w:val="4"/>
              </w:rPr>
              <w:t>王丽丽</w:t>
            </w:r>
          </w:p>
        </w:tc>
        <w:tc>
          <w:tcPr>
            <w:tcW w:w="1811" w:type="dxa"/>
            <w:vAlign w:val="top"/>
          </w:tcPr>
          <w:p w14:paraId="65A06041">
            <w:pPr>
              <w:pStyle w:val="10"/>
              <w:spacing w:before="144" w:line="276" w:lineRule="auto"/>
              <w:ind w:left="731"/>
            </w:pPr>
            <w:r>
              <w:rPr>
                <w:spacing w:val="-11"/>
              </w:rPr>
              <w:t>回复</w:t>
            </w:r>
          </w:p>
        </w:tc>
      </w:tr>
      <w:tr w14:paraId="36C0B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29" w:type="dxa"/>
            <w:vAlign w:val="top"/>
          </w:tcPr>
          <w:p w14:paraId="6F1E41FF">
            <w:pPr>
              <w:pStyle w:val="10"/>
              <w:spacing w:before="145" w:line="276" w:lineRule="auto"/>
              <w:ind w:left="368"/>
            </w:pPr>
            <w:r>
              <w:t>6</w:t>
            </w:r>
          </w:p>
        </w:tc>
        <w:tc>
          <w:tcPr>
            <w:tcW w:w="4108" w:type="dxa"/>
            <w:vAlign w:val="top"/>
          </w:tcPr>
          <w:p w14:paraId="4E41F288">
            <w:pPr>
              <w:pStyle w:val="10"/>
              <w:spacing w:before="145" w:line="276" w:lineRule="auto"/>
              <w:ind w:left="123"/>
            </w:pPr>
            <w:r>
              <w:rPr>
                <w:spacing w:val="8"/>
              </w:rPr>
              <w:t>北京中医药大学东方医院</w:t>
            </w:r>
          </w:p>
        </w:tc>
        <w:tc>
          <w:tcPr>
            <w:tcW w:w="1575" w:type="dxa"/>
            <w:vAlign w:val="top"/>
          </w:tcPr>
          <w:p w14:paraId="7E6279C7">
            <w:pPr>
              <w:pStyle w:val="10"/>
              <w:spacing w:before="145" w:line="276" w:lineRule="auto"/>
              <w:ind w:left="488"/>
            </w:pPr>
            <w:r>
              <w:rPr>
                <w:spacing w:val="4"/>
              </w:rPr>
              <w:t>王素梅</w:t>
            </w:r>
          </w:p>
        </w:tc>
        <w:tc>
          <w:tcPr>
            <w:tcW w:w="1811" w:type="dxa"/>
            <w:vAlign w:val="top"/>
          </w:tcPr>
          <w:p w14:paraId="7F4C1CCB">
            <w:pPr>
              <w:pStyle w:val="10"/>
              <w:spacing w:before="145" w:line="276" w:lineRule="auto"/>
              <w:ind w:left="731"/>
            </w:pPr>
            <w:r>
              <w:rPr>
                <w:spacing w:val="-11"/>
              </w:rPr>
              <w:t>回复</w:t>
            </w:r>
          </w:p>
        </w:tc>
      </w:tr>
      <w:tr w14:paraId="4A7452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829" w:type="dxa"/>
            <w:vAlign w:val="top"/>
          </w:tcPr>
          <w:p w14:paraId="31866330">
            <w:pPr>
              <w:pStyle w:val="10"/>
              <w:spacing w:before="143" w:line="276" w:lineRule="auto"/>
              <w:ind w:left="371"/>
            </w:pPr>
            <w:r>
              <w:t>7</w:t>
            </w:r>
          </w:p>
        </w:tc>
        <w:tc>
          <w:tcPr>
            <w:tcW w:w="4108" w:type="dxa"/>
            <w:vAlign w:val="top"/>
          </w:tcPr>
          <w:p w14:paraId="489B9674">
            <w:pPr>
              <w:pStyle w:val="10"/>
              <w:spacing w:before="143" w:line="276" w:lineRule="auto"/>
              <w:ind w:left="119"/>
            </w:pPr>
            <w:r>
              <w:rPr>
                <w:spacing w:val="7"/>
              </w:rPr>
              <w:t>甘肃中医药大学</w:t>
            </w:r>
          </w:p>
        </w:tc>
        <w:tc>
          <w:tcPr>
            <w:tcW w:w="1575" w:type="dxa"/>
            <w:vAlign w:val="top"/>
          </w:tcPr>
          <w:p w14:paraId="69C51A35">
            <w:pPr>
              <w:pStyle w:val="10"/>
              <w:spacing w:before="143" w:line="276" w:lineRule="auto"/>
              <w:ind w:left="489"/>
            </w:pPr>
            <w:r>
              <w:rPr>
                <w:spacing w:val="3"/>
              </w:rPr>
              <w:t>史正刚</w:t>
            </w:r>
          </w:p>
        </w:tc>
        <w:tc>
          <w:tcPr>
            <w:tcW w:w="1811" w:type="dxa"/>
            <w:vAlign w:val="top"/>
          </w:tcPr>
          <w:p w14:paraId="31AACDDB">
            <w:pPr>
              <w:pStyle w:val="10"/>
              <w:spacing w:before="143" w:line="276" w:lineRule="auto"/>
              <w:ind w:left="731"/>
            </w:pPr>
            <w:r>
              <w:rPr>
                <w:spacing w:val="-11"/>
              </w:rPr>
              <w:t>回复</w:t>
            </w:r>
          </w:p>
        </w:tc>
      </w:tr>
      <w:tr w14:paraId="3E73C7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29" w:type="dxa"/>
            <w:vAlign w:val="top"/>
          </w:tcPr>
          <w:p w14:paraId="7A3F3150">
            <w:pPr>
              <w:pStyle w:val="10"/>
              <w:spacing w:before="144" w:line="276" w:lineRule="auto"/>
              <w:ind w:left="367"/>
            </w:pPr>
            <w:r>
              <w:t>8</w:t>
            </w:r>
          </w:p>
        </w:tc>
        <w:tc>
          <w:tcPr>
            <w:tcW w:w="4108" w:type="dxa"/>
            <w:vAlign w:val="top"/>
          </w:tcPr>
          <w:p w14:paraId="68901188">
            <w:pPr>
              <w:pStyle w:val="10"/>
              <w:spacing w:before="144" w:line="276" w:lineRule="auto"/>
              <w:ind w:left="122"/>
            </w:pPr>
            <w:r>
              <w:rPr>
                <w:spacing w:val="7"/>
              </w:rPr>
              <w:t>湖北中医药大学</w:t>
            </w:r>
          </w:p>
        </w:tc>
        <w:tc>
          <w:tcPr>
            <w:tcW w:w="1575" w:type="dxa"/>
            <w:vAlign w:val="top"/>
          </w:tcPr>
          <w:p w14:paraId="75CD9F93">
            <w:pPr>
              <w:pStyle w:val="10"/>
              <w:spacing w:before="144" w:line="276" w:lineRule="auto"/>
              <w:ind w:left="486"/>
            </w:pPr>
            <w:r>
              <w:rPr>
                <w:spacing w:val="4"/>
              </w:rPr>
              <w:t>刘建忠</w:t>
            </w:r>
          </w:p>
        </w:tc>
        <w:tc>
          <w:tcPr>
            <w:tcW w:w="1811" w:type="dxa"/>
            <w:vAlign w:val="top"/>
          </w:tcPr>
          <w:p w14:paraId="371360C5">
            <w:pPr>
              <w:pStyle w:val="10"/>
              <w:spacing w:before="144" w:line="276" w:lineRule="auto"/>
              <w:ind w:left="731"/>
            </w:pPr>
            <w:r>
              <w:rPr>
                <w:spacing w:val="-11"/>
              </w:rPr>
              <w:t>回复</w:t>
            </w:r>
          </w:p>
        </w:tc>
      </w:tr>
      <w:tr w14:paraId="2C0454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29" w:type="dxa"/>
            <w:vAlign w:val="top"/>
          </w:tcPr>
          <w:p w14:paraId="283B1AD5">
            <w:pPr>
              <w:pStyle w:val="10"/>
              <w:spacing w:before="144" w:line="276" w:lineRule="auto"/>
              <w:ind w:left="367"/>
            </w:pPr>
            <w:r>
              <w:t>9</w:t>
            </w:r>
          </w:p>
        </w:tc>
        <w:tc>
          <w:tcPr>
            <w:tcW w:w="4108" w:type="dxa"/>
            <w:vAlign w:val="top"/>
          </w:tcPr>
          <w:p w14:paraId="601CAE4A">
            <w:pPr>
              <w:pStyle w:val="10"/>
              <w:spacing w:before="144" w:line="276" w:lineRule="auto"/>
              <w:ind w:left="119"/>
            </w:pPr>
            <w:r>
              <w:rPr>
                <w:spacing w:val="7"/>
              </w:rPr>
              <w:t>上海中医药大学</w:t>
            </w:r>
          </w:p>
        </w:tc>
        <w:tc>
          <w:tcPr>
            <w:tcW w:w="1575" w:type="dxa"/>
            <w:vAlign w:val="top"/>
          </w:tcPr>
          <w:p w14:paraId="29E25D18">
            <w:pPr>
              <w:pStyle w:val="10"/>
              <w:spacing w:before="144" w:line="276" w:lineRule="auto"/>
              <w:ind w:left="486"/>
            </w:pPr>
            <w:r>
              <w:rPr>
                <w:spacing w:val="4"/>
              </w:rPr>
              <w:t>虞坚尔</w:t>
            </w:r>
          </w:p>
        </w:tc>
        <w:tc>
          <w:tcPr>
            <w:tcW w:w="1811" w:type="dxa"/>
            <w:vAlign w:val="top"/>
          </w:tcPr>
          <w:p w14:paraId="0B543AE4">
            <w:pPr>
              <w:pStyle w:val="10"/>
              <w:spacing w:before="144" w:line="276" w:lineRule="auto"/>
              <w:ind w:left="731"/>
            </w:pPr>
            <w:r>
              <w:rPr>
                <w:spacing w:val="-11"/>
              </w:rPr>
              <w:t>回复</w:t>
            </w:r>
          </w:p>
        </w:tc>
      </w:tr>
      <w:tr w14:paraId="1D2AC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29" w:type="dxa"/>
            <w:vAlign w:val="top"/>
          </w:tcPr>
          <w:p w14:paraId="661F6F3E">
            <w:pPr>
              <w:pStyle w:val="10"/>
              <w:spacing w:before="145" w:line="276" w:lineRule="auto"/>
              <w:ind w:left="329"/>
            </w:pPr>
            <w:r>
              <w:rPr>
                <w:spacing w:val="-7"/>
              </w:rPr>
              <w:t>10</w:t>
            </w:r>
          </w:p>
        </w:tc>
        <w:tc>
          <w:tcPr>
            <w:tcW w:w="4108" w:type="dxa"/>
            <w:vAlign w:val="top"/>
          </w:tcPr>
          <w:p w14:paraId="0F54D43D">
            <w:pPr>
              <w:pStyle w:val="10"/>
              <w:spacing w:before="145" w:line="276" w:lineRule="auto"/>
              <w:ind w:left="118"/>
            </w:pPr>
            <w:r>
              <w:rPr>
                <w:spacing w:val="7"/>
              </w:rPr>
              <w:t>云南中医药大学</w:t>
            </w:r>
          </w:p>
        </w:tc>
        <w:tc>
          <w:tcPr>
            <w:tcW w:w="1575" w:type="dxa"/>
            <w:vAlign w:val="top"/>
          </w:tcPr>
          <w:p w14:paraId="0C26C02F">
            <w:pPr>
              <w:pStyle w:val="10"/>
              <w:spacing w:before="145" w:line="276" w:lineRule="auto"/>
              <w:ind w:left="495"/>
            </w:pPr>
            <w:r>
              <w:rPr>
                <w:spacing w:val="-8"/>
              </w:rPr>
              <w:t>熊</w:t>
            </w:r>
            <w:r>
              <w:rPr>
                <w:spacing w:val="13"/>
              </w:rPr>
              <w:t xml:space="preserve">  </w:t>
            </w:r>
            <w:r>
              <w:rPr>
                <w:spacing w:val="-8"/>
              </w:rPr>
              <w:t>磊</w:t>
            </w:r>
          </w:p>
        </w:tc>
        <w:tc>
          <w:tcPr>
            <w:tcW w:w="1811" w:type="dxa"/>
            <w:vAlign w:val="top"/>
          </w:tcPr>
          <w:p w14:paraId="5786C94A">
            <w:pPr>
              <w:pStyle w:val="10"/>
              <w:spacing w:before="145" w:line="276" w:lineRule="auto"/>
              <w:ind w:left="731"/>
            </w:pPr>
            <w:r>
              <w:rPr>
                <w:spacing w:val="-11"/>
              </w:rPr>
              <w:t>回复</w:t>
            </w:r>
          </w:p>
        </w:tc>
      </w:tr>
      <w:tr w14:paraId="5B878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29" w:type="dxa"/>
            <w:vAlign w:val="top"/>
          </w:tcPr>
          <w:p w14:paraId="7A301ADA">
            <w:pPr>
              <w:pStyle w:val="10"/>
              <w:spacing w:before="145" w:line="276" w:lineRule="auto"/>
              <w:ind w:left="329"/>
            </w:pPr>
            <w:r>
              <w:rPr>
                <w:spacing w:val="-7"/>
              </w:rPr>
              <w:t>11</w:t>
            </w:r>
          </w:p>
        </w:tc>
        <w:tc>
          <w:tcPr>
            <w:tcW w:w="4108" w:type="dxa"/>
            <w:vAlign w:val="top"/>
          </w:tcPr>
          <w:p w14:paraId="24E2DA64">
            <w:pPr>
              <w:pStyle w:val="10"/>
              <w:spacing w:before="145" w:line="276" w:lineRule="auto"/>
              <w:ind w:left="136"/>
            </w:pPr>
            <w:r>
              <w:rPr>
                <w:spacing w:val="6"/>
              </w:rPr>
              <w:t>山东中医药大学附属医院</w:t>
            </w:r>
          </w:p>
        </w:tc>
        <w:tc>
          <w:tcPr>
            <w:tcW w:w="1575" w:type="dxa"/>
            <w:vAlign w:val="top"/>
          </w:tcPr>
          <w:p w14:paraId="34A338A9">
            <w:pPr>
              <w:pStyle w:val="10"/>
              <w:spacing w:before="145" w:line="276" w:lineRule="auto"/>
              <w:ind w:left="488"/>
            </w:pPr>
            <w:r>
              <w:rPr>
                <w:spacing w:val="4"/>
              </w:rPr>
              <w:t>张葆青</w:t>
            </w:r>
          </w:p>
        </w:tc>
        <w:tc>
          <w:tcPr>
            <w:tcW w:w="1811" w:type="dxa"/>
            <w:vAlign w:val="top"/>
          </w:tcPr>
          <w:p w14:paraId="3FE9630A">
            <w:pPr>
              <w:pStyle w:val="10"/>
              <w:spacing w:before="145" w:line="276" w:lineRule="auto"/>
              <w:ind w:left="731"/>
            </w:pPr>
            <w:r>
              <w:rPr>
                <w:spacing w:val="-11"/>
              </w:rPr>
              <w:t>回复</w:t>
            </w:r>
          </w:p>
        </w:tc>
      </w:tr>
      <w:tr w14:paraId="74D11C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829" w:type="dxa"/>
            <w:vAlign w:val="top"/>
          </w:tcPr>
          <w:p w14:paraId="5632361C">
            <w:pPr>
              <w:pStyle w:val="10"/>
              <w:spacing w:before="146" w:line="276" w:lineRule="auto"/>
              <w:ind w:left="329"/>
            </w:pPr>
            <w:r>
              <w:rPr>
                <w:spacing w:val="-7"/>
              </w:rPr>
              <w:t>12</w:t>
            </w:r>
          </w:p>
        </w:tc>
        <w:tc>
          <w:tcPr>
            <w:tcW w:w="4108" w:type="dxa"/>
            <w:vAlign w:val="top"/>
          </w:tcPr>
          <w:p w14:paraId="49A25D52">
            <w:pPr>
              <w:pStyle w:val="10"/>
              <w:spacing w:before="146" w:line="276" w:lineRule="auto"/>
              <w:ind w:left="127"/>
            </w:pPr>
            <w:r>
              <w:rPr>
                <w:spacing w:val="6"/>
              </w:rPr>
              <w:t>复旦大学儿科医院</w:t>
            </w:r>
          </w:p>
        </w:tc>
        <w:tc>
          <w:tcPr>
            <w:tcW w:w="1575" w:type="dxa"/>
            <w:vAlign w:val="top"/>
          </w:tcPr>
          <w:p w14:paraId="74D7AB2B">
            <w:pPr>
              <w:pStyle w:val="10"/>
              <w:spacing w:before="146" w:line="276" w:lineRule="auto"/>
              <w:ind w:left="487"/>
            </w:pPr>
            <w:r>
              <w:rPr>
                <w:spacing w:val="-4"/>
              </w:rPr>
              <w:t>俞</w:t>
            </w:r>
            <w:r>
              <w:rPr>
                <w:spacing w:val="12"/>
              </w:rPr>
              <w:t xml:space="preserve">  </w:t>
            </w:r>
            <w:r>
              <w:rPr>
                <w:spacing w:val="-4"/>
              </w:rPr>
              <w:t>建</w:t>
            </w:r>
          </w:p>
        </w:tc>
        <w:tc>
          <w:tcPr>
            <w:tcW w:w="1811" w:type="dxa"/>
            <w:vAlign w:val="top"/>
          </w:tcPr>
          <w:p w14:paraId="270967FF">
            <w:pPr>
              <w:pStyle w:val="10"/>
              <w:spacing w:before="146" w:line="276" w:lineRule="auto"/>
              <w:ind w:left="731"/>
            </w:pPr>
            <w:r>
              <w:rPr>
                <w:spacing w:val="-11"/>
              </w:rPr>
              <w:t>回复</w:t>
            </w:r>
          </w:p>
        </w:tc>
      </w:tr>
      <w:tr w14:paraId="677661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829" w:type="dxa"/>
            <w:vAlign w:val="top"/>
          </w:tcPr>
          <w:p w14:paraId="5299CE00">
            <w:pPr>
              <w:pStyle w:val="10"/>
              <w:spacing w:before="144" w:line="276" w:lineRule="auto"/>
              <w:ind w:left="329"/>
            </w:pPr>
            <w:r>
              <w:rPr>
                <w:spacing w:val="-7"/>
              </w:rPr>
              <w:t>13</w:t>
            </w:r>
          </w:p>
        </w:tc>
        <w:tc>
          <w:tcPr>
            <w:tcW w:w="4108" w:type="dxa"/>
            <w:vAlign w:val="top"/>
          </w:tcPr>
          <w:p w14:paraId="75FFAA8A">
            <w:pPr>
              <w:pStyle w:val="10"/>
              <w:spacing w:before="144" w:line="276" w:lineRule="auto"/>
              <w:ind w:left="127"/>
            </w:pPr>
            <w:r>
              <w:rPr>
                <w:spacing w:val="6"/>
              </w:rPr>
              <w:t>南京中医药大学</w:t>
            </w:r>
          </w:p>
        </w:tc>
        <w:tc>
          <w:tcPr>
            <w:tcW w:w="1575" w:type="dxa"/>
            <w:vAlign w:val="top"/>
          </w:tcPr>
          <w:p w14:paraId="529BEE38">
            <w:pPr>
              <w:pStyle w:val="10"/>
              <w:spacing w:before="143" w:line="276" w:lineRule="auto"/>
              <w:ind w:left="485"/>
            </w:pPr>
            <w:r>
              <w:rPr>
                <w:spacing w:val="5"/>
              </w:rPr>
              <w:t>戴启刚</w:t>
            </w:r>
          </w:p>
        </w:tc>
        <w:tc>
          <w:tcPr>
            <w:tcW w:w="1811" w:type="dxa"/>
            <w:vAlign w:val="top"/>
          </w:tcPr>
          <w:p w14:paraId="5036C360">
            <w:pPr>
              <w:pStyle w:val="10"/>
              <w:spacing w:before="144" w:line="276" w:lineRule="auto"/>
              <w:ind w:left="731"/>
            </w:pPr>
            <w:r>
              <w:rPr>
                <w:spacing w:val="-11"/>
              </w:rPr>
              <w:t>回复</w:t>
            </w:r>
          </w:p>
        </w:tc>
      </w:tr>
    </w:tbl>
    <w:p w14:paraId="6EF83358">
      <w:pPr>
        <w:spacing w:before="116" w:line="276" w:lineRule="auto"/>
        <w:ind w:left="5" w:right="76" w:firstLine="480"/>
        <w:rPr>
          <w:rFonts w:ascii="仿宋" w:hAnsi="仿宋" w:eastAsia="仿宋" w:cs="仿宋"/>
          <w:sz w:val="24"/>
          <w:szCs w:val="24"/>
        </w:rPr>
      </w:pPr>
      <w:r>
        <w:rPr>
          <w:rFonts w:ascii="仿宋" w:hAnsi="仿宋" w:eastAsia="仿宋" w:cs="仿宋"/>
          <w:spacing w:val="-1"/>
          <w:sz w:val="24"/>
          <w:szCs w:val="24"/>
        </w:rPr>
        <w:t>专家提出的意见主要集中在以下方面：一是个别条文表述的规范性和一致性；二是部分技术条款在国际应用中的安全性提示；三是标准适用边界</w:t>
      </w:r>
      <w:r>
        <w:rPr>
          <w:rFonts w:ascii="仿宋" w:hAnsi="仿宋" w:eastAsia="仿宋" w:cs="仿宋"/>
          <w:spacing w:val="-2"/>
          <w:sz w:val="24"/>
          <w:szCs w:val="24"/>
        </w:rPr>
        <w:t>和推荐性属性的进一步明确。</w:t>
      </w:r>
    </w:p>
    <w:p w14:paraId="5DECA2B9">
      <w:pPr>
        <w:spacing w:before="4" w:line="276" w:lineRule="auto"/>
        <w:ind w:left="6" w:right="76" w:firstLine="477"/>
        <w:rPr>
          <w:rFonts w:ascii="仿宋" w:hAnsi="仿宋" w:eastAsia="仿宋" w:cs="仿宋"/>
          <w:sz w:val="24"/>
          <w:szCs w:val="24"/>
        </w:rPr>
      </w:pPr>
      <w:r>
        <w:rPr>
          <w:rFonts w:ascii="仿宋" w:hAnsi="仿宋" w:eastAsia="仿宋" w:cs="仿宋"/>
          <w:spacing w:val="-1"/>
          <w:sz w:val="24"/>
          <w:szCs w:val="24"/>
        </w:rPr>
        <w:t>项目工作组对专家指导组反馈的全部意见进行了分析讨论，在此基础上进</w:t>
      </w:r>
      <w:bookmarkStart w:id="13" w:name="_GoBack"/>
      <w:bookmarkEnd w:id="13"/>
      <w:r>
        <w:rPr>
          <w:rFonts w:ascii="仿宋" w:hAnsi="仿宋" w:eastAsia="仿宋" w:cs="仿宋"/>
          <w:spacing w:val="-1"/>
          <w:sz w:val="24"/>
          <w:szCs w:val="24"/>
        </w:rPr>
        <w:t>一步完成了</w:t>
      </w:r>
      <w:r>
        <w:rPr>
          <w:rFonts w:ascii="仿宋" w:hAnsi="仿宋" w:eastAsia="仿宋" w:cs="仿宋"/>
          <w:spacing w:val="-3"/>
          <w:sz w:val="24"/>
          <w:szCs w:val="24"/>
        </w:rPr>
        <w:t>草案修订工作。</w:t>
      </w:r>
    </w:p>
    <w:p w14:paraId="7E76F800">
      <w:pPr>
        <w:spacing w:line="276" w:lineRule="auto"/>
        <w:ind w:firstLine="708" w:firstLineChars="300"/>
        <w:rPr>
          <w:rFonts w:ascii="仿宋" w:hAnsi="仿宋" w:eastAsia="仿宋" w:cs="仿宋"/>
          <w:spacing w:val="-2"/>
          <w:sz w:val="24"/>
          <w:szCs w:val="24"/>
        </w:rPr>
      </w:pPr>
    </w:p>
    <w:p w14:paraId="1DE4019D">
      <w:pPr>
        <w:spacing w:line="276" w:lineRule="auto"/>
        <w:ind w:firstLine="708" w:firstLineChars="300"/>
        <w:rPr>
          <w:rFonts w:ascii="仿宋" w:hAnsi="仿宋" w:eastAsia="仿宋" w:cs="仿宋"/>
          <w:sz w:val="24"/>
          <w:szCs w:val="24"/>
        </w:rPr>
      </w:pPr>
      <w:r>
        <w:rPr>
          <w:rFonts w:ascii="仿宋" w:hAnsi="仿宋" w:eastAsia="仿宋" w:cs="仿宋"/>
          <w:spacing w:val="-2"/>
          <w:sz w:val="24"/>
          <w:szCs w:val="24"/>
        </w:rPr>
        <w:t>《国际中医技术操作规范 儿科 第</w:t>
      </w:r>
      <w:r>
        <w:rPr>
          <w:rFonts w:ascii="仿宋" w:hAnsi="仿宋" w:eastAsia="仿宋" w:cs="仿宋"/>
          <w:spacing w:val="-30"/>
          <w:sz w:val="24"/>
          <w:szCs w:val="24"/>
        </w:rPr>
        <w:t xml:space="preserve"> </w:t>
      </w:r>
      <w:r>
        <w:rPr>
          <w:rFonts w:ascii="仿宋" w:hAnsi="仿宋" w:eastAsia="仿宋" w:cs="仿宋"/>
          <w:spacing w:val="-2"/>
          <w:sz w:val="24"/>
          <w:szCs w:val="24"/>
        </w:rPr>
        <w:t>5</w:t>
      </w:r>
      <w:r>
        <w:rPr>
          <w:rFonts w:ascii="仿宋" w:hAnsi="仿宋" w:eastAsia="仿宋" w:cs="仿宋"/>
          <w:spacing w:val="-43"/>
          <w:sz w:val="24"/>
          <w:szCs w:val="24"/>
        </w:rPr>
        <w:t xml:space="preserve"> </w:t>
      </w:r>
      <w:r>
        <w:rPr>
          <w:rFonts w:ascii="仿宋" w:hAnsi="仿宋" w:eastAsia="仿宋" w:cs="仿宋"/>
          <w:spacing w:val="-2"/>
          <w:sz w:val="24"/>
          <w:szCs w:val="24"/>
        </w:rPr>
        <w:t>部分：小儿拔罐疗法》项目工作组</w:t>
      </w:r>
    </w:p>
    <w:p w14:paraId="06AF7176">
      <w:pPr>
        <w:spacing w:before="115" w:line="276" w:lineRule="auto"/>
        <w:ind w:firstLine="6272" w:firstLineChars="2800"/>
        <w:rPr>
          <w:rFonts w:ascii="仿宋" w:hAnsi="仿宋" w:eastAsia="仿宋" w:cs="仿宋"/>
          <w:spacing w:val="-8"/>
          <w:sz w:val="24"/>
          <w:szCs w:val="24"/>
        </w:rPr>
      </w:pPr>
      <w:r>
        <w:rPr>
          <w:rFonts w:ascii="仿宋" w:hAnsi="仿宋" w:eastAsia="仿宋" w:cs="仿宋"/>
          <w:spacing w:val="-8"/>
          <w:sz w:val="24"/>
          <w:szCs w:val="24"/>
        </w:rPr>
        <w:t>2025</w:t>
      </w:r>
      <w:r>
        <w:rPr>
          <w:rFonts w:ascii="仿宋" w:hAnsi="仿宋" w:eastAsia="仿宋" w:cs="仿宋"/>
          <w:spacing w:val="-37"/>
          <w:sz w:val="24"/>
          <w:szCs w:val="24"/>
        </w:rPr>
        <w:t xml:space="preserve"> </w:t>
      </w:r>
      <w:r>
        <w:rPr>
          <w:rFonts w:ascii="仿宋" w:hAnsi="仿宋" w:eastAsia="仿宋" w:cs="仿宋"/>
          <w:spacing w:val="-8"/>
          <w:sz w:val="24"/>
          <w:szCs w:val="24"/>
        </w:rPr>
        <w:t>年</w:t>
      </w:r>
      <w:r>
        <w:rPr>
          <w:rFonts w:ascii="仿宋" w:hAnsi="仿宋" w:eastAsia="仿宋" w:cs="仿宋"/>
          <w:spacing w:val="-34"/>
          <w:sz w:val="24"/>
          <w:szCs w:val="24"/>
        </w:rPr>
        <w:t xml:space="preserve"> </w:t>
      </w:r>
      <w:r>
        <w:rPr>
          <w:rFonts w:ascii="仿宋" w:hAnsi="仿宋" w:eastAsia="仿宋" w:cs="仿宋"/>
          <w:spacing w:val="-8"/>
          <w:sz w:val="24"/>
          <w:szCs w:val="24"/>
        </w:rPr>
        <w:t>12</w:t>
      </w:r>
      <w:r>
        <w:rPr>
          <w:rFonts w:ascii="仿宋" w:hAnsi="仿宋" w:eastAsia="仿宋" w:cs="仿宋"/>
          <w:spacing w:val="-33"/>
          <w:sz w:val="24"/>
          <w:szCs w:val="24"/>
        </w:rPr>
        <w:t xml:space="preserve"> </w:t>
      </w:r>
      <w:r>
        <w:rPr>
          <w:rFonts w:ascii="仿宋" w:hAnsi="仿宋" w:eastAsia="仿宋" w:cs="仿宋"/>
          <w:spacing w:val="-8"/>
          <w:sz w:val="24"/>
          <w:szCs w:val="24"/>
        </w:rPr>
        <w:t>月</w:t>
      </w:r>
      <w:r>
        <w:rPr>
          <w:rFonts w:ascii="仿宋" w:hAnsi="仿宋" w:eastAsia="仿宋" w:cs="仿宋"/>
          <w:spacing w:val="-46"/>
          <w:sz w:val="24"/>
          <w:szCs w:val="24"/>
        </w:rPr>
        <w:t xml:space="preserve"> </w:t>
      </w:r>
      <w:r>
        <w:rPr>
          <w:rFonts w:ascii="仿宋" w:hAnsi="仿宋" w:eastAsia="仿宋" w:cs="仿宋"/>
          <w:spacing w:val="-8"/>
          <w:sz w:val="24"/>
          <w:szCs w:val="24"/>
        </w:rPr>
        <w:t>30 日</w:t>
      </w:r>
    </w:p>
    <w:p w14:paraId="04CC4A0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Cambria" w:hAnsi="Cambria" w:eastAsia="宋体" w:cs="Cambria"/>
          <w:color w:val="000000"/>
          <w:kern w:val="0"/>
          <w:sz w:val="36"/>
          <w:szCs w:val="36"/>
          <w:highlight w:val="none"/>
          <w:lang w:val="en-US" w:eastAsia="zh-CN" w:bidi="ar"/>
        </w:rPr>
      </w:pPr>
      <w:r>
        <w:rPr>
          <w:rFonts w:hint="default" w:ascii="Cambria" w:hAnsi="Cambria" w:eastAsia="宋体" w:cs="Cambria"/>
          <w:color w:val="000000"/>
          <w:kern w:val="0"/>
          <w:sz w:val="36"/>
          <w:szCs w:val="36"/>
          <w:highlight w:val="none"/>
          <w:lang w:val="en-US" w:eastAsia="zh-CN" w:bidi="ar"/>
        </w:rPr>
        <w:br w:type="page"/>
      </w:r>
    </w:p>
    <w:p w14:paraId="33060EA9">
      <w:pPr>
        <w:keepNext w:val="0"/>
        <w:keepLines w:val="0"/>
        <w:pageBreakBefore w:val="0"/>
        <w:widowControl/>
        <w:suppressLineNumbers w:val="0"/>
        <w:kinsoku/>
        <w:wordWrap/>
        <w:overflowPunct/>
        <w:topLinePunct w:val="0"/>
        <w:autoSpaceDE/>
        <w:autoSpaceDN/>
        <w:bidi w:val="0"/>
        <w:adjustRightInd/>
        <w:snapToGrid/>
        <w:spacing w:line="276" w:lineRule="auto"/>
        <w:jc w:val="center"/>
        <w:textAlignment w:val="auto"/>
        <w:rPr>
          <w:rFonts w:hint="default" w:ascii="Cambria" w:hAnsi="Cambria" w:eastAsia="宋体" w:cs="Cambria"/>
          <w:color w:val="000000"/>
          <w:kern w:val="0"/>
          <w:sz w:val="36"/>
          <w:szCs w:val="36"/>
          <w:highlight w:val="none"/>
          <w:lang w:val="en-US" w:eastAsia="zh-CN" w:bidi="ar"/>
        </w:rPr>
      </w:pPr>
      <w:r>
        <w:rPr>
          <w:rFonts w:hint="default" w:ascii="Cambria" w:hAnsi="Cambria" w:eastAsia="宋体" w:cs="Cambria"/>
          <w:color w:val="000000"/>
          <w:kern w:val="0"/>
          <w:sz w:val="36"/>
          <w:szCs w:val="36"/>
          <w:highlight w:val="none"/>
          <w:lang w:val="en-US" w:eastAsia="zh-CN" w:bidi="ar"/>
        </w:rPr>
        <w:t>World Federation of Chinese Medicine Societies</w:t>
      </w:r>
    </w:p>
    <w:p w14:paraId="036FC517">
      <w:pPr>
        <w:keepNext w:val="0"/>
        <w:keepLines w:val="0"/>
        <w:pageBreakBefore w:val="0"/>
        <w:widowControl/>
        <w:suppressLineNumbers w:val="0"/>
        <w:kinsoku/>
        <w:wordWrap/>
        <w:overflowPunct/>
        <w:topLinePunct w:val="0"/>
        <w:autoSpaceDE/>
        <w:autoSpaceDN/>
        <w:bidi w:val="0"/>
        <w:adjustRightInd/>
        <w:snapToGrid/>
        <w:spacing w:line="276" w:lineRule="auto"/>
        <w:jc w:val="center"/>
        <w:textAlignment w:val="auto"/>
        <w:rPr>
          <w:rFonts w:hint="default" w:ascii="Cambria" w:hAnsi="Cambria" w:eastAsia="宋体" w:cs="Cambria"/>
          <w:color w:val="000000"/>
          <w:kern w:val="0"/>
          <w:sz w:val="36"/>
          <w:szCs w:val="36"/>
          <w:highlight w:val="none"/>
          <w:lang w:val="en-US" w:eastAsia="zh-CN" w:bidi="ar"/>
        </w:rPr>
      </w:pPr>
      <w:r>
        <w:rPr>
          <w:rFonts w:hint="default" w:ascii="Cambria" w:hAnsi="Cambria" w:eastAsia="宋体" w:cs="Cambria"/>
          <w:color w:val="000000"/>
          <w:kern w:val="0"/>
          <w:sz w:val="36"/>
          <w:szCs w:val="36"/>
          <w:highlight w:val="none"/>
          <w:lang w:val="en-US" w:eastAsia="zh-CN" w:bidi="ar"/>
        </w:rPr>
        <w:t>International Standard</w:t>
      </w:r>
    </w:p>
    <w:p w14:paraId="5323D5EE">
      <w:pPr>
        <w:keepNext w:val="0"/>
        <w:keepLines w:val="0"/>
        <w:pageBreakBefore w:val="0"/>
        <w:widowControl/>
        <w:suppressLineNumbers w:val="0"/>
        <w:kinsoku/>
        <w:wordWrap/>
        <w:overflowPunct/>
        <w:topLinePunct w:val="0"/>
        <w:autoSpaceDE/>
        <w:autoSpaceDN/>
        <w:bidi w:val="0"/>
        <w:adjustRightInd/>
        <w:snapToGrid/>
        <w:spacing w:line="276" w:lineRule="auto"/>
        <w:jc w:val="center"/>
        <w:textAlignment w:val="auto"/>
        <w:rPr>
          <w:rFonts w:hint="default" w:ascii="Cambria" w:hAnsi="Cambria" w:eastAsia="宋体" w:cs="Cambria"/>
          <w:color w:val="000000"/>
          <w:kern w:val="0"/>
          <w:sz w:val="36"/>
          <w:szCs w:val="36"/>
          <w:highlight w:val="none"/>
          <w:lang w:val="en-US" w:eastAsia="zh-CN" w:bidi="ar"/>
        </w:rPr>
      </w:pPr>
      <w:r>
        <w:rPr>
          <w:rFonts w:hint="default" w:ascii="Cambria" w:hAnsi="Cambria" w:eastAsia="宋体" w:cs="Cambria"/>
          <w:color w:val="000000"/>
          <w:kern w:val="0"/>
          <w:sz w:val="36"/>
          <w:szCs w:val="36"/>
          <w:highlight w:val="none"/>
          <w:lang w:val="en-US" w:eastAsia="zh-CN" w:bidi="ar"/>
        </w:rPr>
        <w:t>Formulation Explanations</w:t>
      </w:r>
    </w:p>
    <w:p w14:paraId="317774D1">
      <w:pPr>
        <w:keepNext w:val="0"/>
        <w:keepLines w:val="0"/>
        <w:pageBreakBefore w:val="0"/>
        <w:widowControl/>
        <w:suppressLineNumbers w:val="0"/>
        <w:kinsoku/>
        <w:wordWrap/>
        <w:overflowPunct/>
        <w:topLinePunct w:val="0"/>
        <w:autoSpaceDE/>
        <w:autoSpaceDN/>
        <w:bidi w:val="0"/>
        <w:adjustRightInd/>
        <w:snapToGrid/>
        <w:spacing w:line="276" w:lineRule="auto"/>
        <w:jc w:val="center"/>
        <w:textAlignment w:val="auto"/>
        <w:rPr>
          <w:rFonts w:hint="default" w:ascii="Cambria" w:hAnsi="Cambria" w:eastAsia="宋体" w:cs="Cambria"/>
          <w:color w:val="000000"/>
          <w:kern w:val="0"/>
          <w:sz w:val="36"/>
          <w:szCs w:val="36"/>
          <w:highlight w:val="none"/>
          <w:lang w:val="en-US" w:eastAsia="zh-CN" w:bidi="ar"/>
        </w:rPr>
      </w:pPr>
      <w:r>
        <w:rPr>
          <w:rFonts w:hint="default" w:ascii="Cambria" w:hAnsi="Cambria" w:eastAsia="宋体" w:cs="Cambria"/>
          <w:color w:val="000000"/>
          <w:kern w:val="0"/>
          <w:sz w:val="36"/>
          <w:szCs w:val="36"/>
          <w:highlight w:val="none"/>
          <w:lang w:val="en-US" w:eastAsia="zh-CN" w:bidi="ar"/>
        </w:rPr>
        <w:t>International Standardized Manipulations of Chinese Medicine–Pediatrics</w:t>
      </w:r>
    </w:p>
    <w:p w14:paraId="74269988">
      <w:pPr>
        <w:keepNext w:val="0"/>
        <w:keepLines w:val="0"/>
        <w:pageBreakBefore w:val="0"/>
        <w:widowControl/>
        <w:suppressLineNumbers w:val="0"/>
        <w:kinsoku/>
        <w:wordWrap/>
        <w:overflowPunct/>
        <w:topLinePunct w:val="0"/>
        <w:autoSpaceDE/>
        <w:autoSpaceDN/>
        <w:bidi w:val="0"/>
        <w:adjustRightInd/>
        <w:snapToGrid/>
        <w:spacing w:line="276" w:lineRule="auto"/>
        <w:jc w:val="center"/>
        <w:textAlignment w:val="auto"/>
        <w:rPr>
          <w:rFonts w:hint="default" w:ascii="Cambria" w:hAnsi="Cambria" w:eastAsia="宋体" w:cs="Cambria"/>
          <w:color w:val="000000"/>
          <w:kern w:val="0"/>
          <w:sz w:val="36"/>
          <w:szCs w:val="36"/>
          <w:highlight w:val="none"/>
          <w:lang w:val="en-US" w:eastAsia="zh-CN" w:bidi="ar"/>
        </w:rPr>
      </w:pPr>
    </w:p>
    <w:p w14:paraId="0E7CB618">
      <w:pPr>
        <w:keepNext w:val="0"/>
        <w:keepLines w:val="0"/>
        <w:pageBreakBefore w:val="0"/>
        <w:widowControl/>
        <w:suppressLineNumbers w:val="0"/>
        <w:kinsoku/>
        <w:wordWrap/>
        <w:overflowPunct/>
        <w:topLinePunct w:val="0"/>
        <w:autoSpaceDE/>
        <w:autoSpaceDN/>
        <w:bidi w:val="0"/>
        <w:adjustRightInd/>
        <w:snapToGrid/>
        <w:spacing w:line="276" w:lineRule="auto"/>
        <w:jc w:val="center"/>
        <w:textAlignment w:val="auto"/>
        <w:rPr>
          <w:rFonts w:hint="default" w:ascii="Cambria" w:hAnsi="Cambria" w:eastAsia="宋体" w:cs="Cambria"/>
          <w:color w:val="000000"/>
          <w:kern w:val="0"/>
          <w:sz w:val="36"/>
          <w:szCs w:val="36"/>
          <w:highlight w:val="none"/>
          <w:lang w:val="en-US" w:eastAsia="zh-CN" w:bidi="ar"/>
        </w:rPr>
      </w:pPr>
      <w:r>
        <w:rPr>
          <w:rFonts w:hint="default" w:ascii="Cambria" w:hAnsi="Cambria" w:eastAsia="宋体" w:cs="Cambria"/>
          <w:color w:val="000000"/>
          <w:kern w:val="0"/>
          <w:sz w:val="36"/>
          <w:szCs w:val="36"/>
          <w:highlight w:val="none"/>
          <w:lang w:val="en-US" w:eastAsia="zh-CN" w:bidi="ar"/>
        </w:rPr>
        <w:t xml:space="preserve">Part 5: Cupping Therapy </w:t>
      </w:r>
    </w:p>
    <w:p w14:paraId="6EC95BB2">
      <w:pPr>
        <w:rPr>
          <w:rFonts w:hint="default" w:ascii="Cambria" w:hAnsi="Cambria" w:cs="Cambria"/>
        </w:rPr>
      </w:pPr>
    </w:p>
    <w:p w14:paraId="1C289012">
      <w:pPr>
        <w:rPr>
          <w:rFonts w:hint="default" w:ascii="Cambria" w:hAnsi="Cambria" w:cs="Cambria"/>
        </w:rPr>
      </w:pPr>
    </w:p>
    <w:p w14:paraId="2F3E52C1">
      <w:pPr>
        <w:rPr>
          <w:rFonts w:hint="default" w:ascii="Cambria" w:hAnsi="Cambria" w:cs="Cambria"/>
        </w:rPr>
      </w:pPr>
    </w:p>
    <w:p w14:paraId="3DDCE89A">
      <w:pPr>
        <w:rPr>
          <w:rFonts w:hint="default" w:ascii="Cambria" w:hAnsi="Cambria" w:cs="Cambria"/>
        </w:rPr>
      </w:pPr>
    </w:p>
    <w:p w14:paraId="671F1274">
      <w:pPr>
        <w:rPr>
          <w:rFonts w:hint="default" w:ascii="Cambria" w:hAnsi="Cambria" w:cs="Cambria"/>
        </w:rPr>
      </w:pPr>
    </w:p>
    <w:p w14:paraId="631C8F67">
      <w:pPr>
        <w:rPr>
          <w:rFonts w:hint="default" w:ascii="Cambria" w:hAnsi="Cambria" w:cs="Cambria"/>
        </w:rPr>
      </w:pPr>
    </w:p>
    <w:p w14:paraId="7378FA72">
      <w:pPr>
        <w:rPr>
          <w:rFonts w:hint="default" w:ascii="Cambria" w:hAnsi="Cambria" w:cs="Cambria"/>
        </w:rPr>
      </w:pPr>
    </w:p>
    <w:p w14:paraId="1EEE4F26">
      <w:pPr>
        <w:rPr>
          <w:rFonts w:hint="default" w:ascii="Cambria" w:hAnsi="Cambria" w:cs="Cambria"/>
        </w:rPr>
      </w:pPr>
    </w:p>
    <w:p w14:paraId="274EF088">
      <w:pPr>
        <w:rPr>
          <w:rFonts w:hint="default" w:ascii="Cambria" w:hAnsi="Cambria" w:cs="Cambria"/>
        </w:rPr>
      </w:pPr>
    </w:p>
    <w:p w14:paraId="6622B1E6">
      <w:pPr>
        <w:rPr>
          <w:rFonts w:hint="default" w:ascii="Cambria" w:hAnsi="Cambria" w:cs="Cambria"/>
        </w:rPr>
      </w:pPr>
    </w:p>
    <w:p w14:paraId="08AC5155">
      <w:pPr>
        <w:rPr>
          <w:rFonts w:hint="default" w:ascii="Cambria" w:hAnsi="Cambria" w:cs="Cambria"/>
        </w:rPr>
      </w:pPr>
    </w:p>
    <w:p w14:paraId="48D09E67">
      <w:pPr>
        <w:rPr>
          <w:rFonts w:hint="default" w:ascii="Cambria" w:hAnsi="Cambria" w:cs="Cambria"/>
        </w:rPr>
      </w:pPr>
    </w:p>
    <w:p w14:paraId="0BAEBAB3">
      <w:pPr>
        <w:rPr>
          <w:rFonts w:hint="default" w:ascii="Cambria" w:hAnsi="Cambria" w:cs="Cambria"/>
        </w:rPr>
      </w:pPr>
    </w:p>
    <w:p w14:paraId="23AAC514">
      <w:pPr>
        <w:rPr>
          <w:rFonts w:hint="default" w:ascii="Cambria" w:hAnsi="Cambria" w:cs="Cambria"/>
        </w:rPr>
      </w:pPr>
    </w:p>
    <w:p w14:paraId="50331D26">
      <w:pPr>
        <w:rPr>
          <w:rFonts w:hint="default" w:ascii="Cambria" w:hAnsi="Cambria" w:cs="Cambria"/>
        </w:rPr>
      </w:pPr>
    </w:p>
    <w:p w14:paraId="345FDE9C">
      <w:pPr>
        <w:rPr>
          <w:rFonts w:hint="default" w:ascii="Cambria" w:hAnsi="Cambria" w:cs="Cambria"/>
        </w:rPr>
      </w:pPr>
    </w:p>
    <w:p w14:paraId="566D7EDA">
      <w:pPr>
        <w:rPr>
          <w:rFonts w:hint="default" w:ascii="Cambria" w:hAnsi="Cambria" w:cs="Cambria"/>
        </w:rPr>
      </w:pPr>
    </w:p>
    <w:p w14:paraId="69B8C795">
      <w:pPr>
        <w:rPr>
          <w:rFonts w:hint="default" w:ascii="Cambria" w:hAnsi="Cambria" w:cs="Cambria"/>
        </w:rPr>
      </w:pPr>
    </w:p>
    <w:p w14:paraId="280A0B07">
      <w:pPr>
        <w:rPr>
          <w:rFonts w:hint="default" w:ascii="Cambria" w:hAnsi="Cambria" w:cs="Cambria"/>
        </w:rPr>
      </w:pPr>
    </w:p>
    <w:p w14:paraId="4FF7C0C9">
      <w:pPr>
        <w:rPr>
          <w:rFonts w:hint="default" w:ascii="Cambria" w:hAnsi="Cambria" w:cs="Cambria"/>
        </w:rPr>
      </w:pPr>
    </w:p>
    <w:p w14:paraId="31B58B02">
      <w:pPr>
        <w:rPr>
          <w:rFonts w:hint="default" w:ascii="Cambria" w:hAnsi="Cambria" w:cs="Cambria"/>
        </w:rPr>
      </w:pPr>
    </w:p>
    <w:p w14:paraId="6732BED1">
      <w:pPr>
        <w:rPr>
          <w:rFonts w:hint="default" w:ascii="Cambria" w:hAnsi="Cambria" w:cs="Cambria"/>
        </w:rPr>
      </w:pPr>
    </w:p>
    <w:p w14:paraId="50EA6382">
      <w:pPr>
        <w:rPr>
          <w:rFonts w:hint="default" w:ascii="Cambria" w:hAnsi="Cambria" w:cs="Cambria"/>
        </w:rPr>
      </w:pPr>
    </w:p>
    <w:p w14:paraId="7236BFBF">
      <w:pPr>
        <w:rPr>
          <w:rFonts w:hint="default" w:ascii="Cambria" w:hAnsi="Cambria" w:cs="Cambria"/>
        </w:rPr>
      </w:pPr>
    </w:p>
    <w:p w14:paraId="6B74BD52">
      <w:pPr>
        <w:adjustRightInd w:val="0"/>
        <w:spacing w:line="276" w:lineRule="auto"/>
        <w:jc w:val="center"/>
        <w:rPr>
          <w:rFonts w:hint="default" w:ascii="Cambria" w:hAnsi="Cambria" w:eastAsia="汉仪中黑简" w:cs="Cambria"/>
          <w:sz w:val="32"/>
          <w:szCs w:val="32"/>
        </w:rPr>
      </w:pPr>
      <w:r>
        <w:rPr>
          <w:rFonts w:hint="default" w:ascii="Cambria" w:hAnsi="Cambria" w:eastAsia="汉仪中黑简" w:cs="Cambria"/>
          <w:sz w:val="32"/>
          <w:szCs w:val="32"/>
        </w:rPr>
        <w:t>December 2025</w:t>
      </w:r>
    </w:p>
    <w:p w14:paraId="621845C2">
      <w:pPr>
        <w:rPr>
          <w:rFonts w:hint="default" w:ascii="Cambria" w:hAnsi="Cambria" w:cs="Cambria"/>
        </w:rPr>
      </w:pPr>
    </w:p>
    <w:p w14:paraId="57B1B1A5">
      <w:pPr>
        <w:rPr>
          <w:rFonts w:hint="default" w:ascii="Cambria" w:hAnsi="Cambria" w:cs="Cambria"/>
          <w:sz w:val="30"/>
          <w:szCs w:val="30"/>
        </w:rPr>
      </w:pPr>
      <w:r>
        <w:rPr>
          <w:rFonts w:hint="default" w:ascii="Cambria" w:hAnsi="Cambria" w:cs="Cambria"/>
          <w:sz w:val="30"/>
          <w:szCs w:val="30"/>
        </w:rPr>
        <w:br w:type="page"/>
      </w:r>
    </w:p>
    <w:p w14:paraId="46D273C2">
      <w:pPr>
        <w:jc w:val="center"/>
        <w:rPr>
          <w:rFonts w:hint="default" w:ascii="Cambria" w:hAnsi="Cambria" w:cs="Cambria" w:eastAsiaTheme="minorEastAsia"/>
          <w:sz w:val="30"/>
          <w:szCs w:val="30"/>
          <w:lang w:val="en-US" w:eastAsia="zh-CN"/>
        </w:rPr>
      </w:pPr>
      <w:r>
        <w:rPr>
          <w:rFonts w:hint="default" w:ascii="Cambria" w:hAnsi="Cambria" w:cs="Cambria"/>
          <w:sz w:val="30"/>
          <w:szCs w:val="30"/>
        </w:rPr>
        <w:t>Contents</w:t>
      </w:r>
    </w:p>
    <w:p w14:paraId="5BD2D90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Cambria" w:hAnsi="Cambria" w:cs="Cambria"/>
        </w:rPr>
      </w:pPr>
      <w:r>
        <w:rPr>
          <w:rFonts w:hint="default" w:ascii="Cambria" w:hAnsi="Cambria" w:cs="Cambria"/>
        </w:rPr>
        <w:t xml:space="preserve">1. Brief Introduction to the </w:t>
      </w:r>
      <w:r>
        <w:rPr>
          <w:rFonts w:hint="default" w:ascii="Cambria" w:hAnsi="Cambria" w:cs="Cambria"/>
          <w:lang w:val="en-US" w:eastAsia="zh-CN"/>
        </w:rPr>
        <w:t>Project</w:t>
      </w:r>
      <w:r>
        <w:rPr>
          <w:rFonts w:hint="default" w:ascii="Cambria" w:hAnsi="Cambria" w:cs="Cambria"/>
        </w:rPr>
        <w:t>.........................................................................................</w:t>
      </w:r>
      <w:r>
        <w:rPr>
          <w:rFonts w:hint="default" w:ascii="Cambria" w:hAnsi="Cambria" w:cs="Cambria"/>
          <w:lang w:val="en-US" w:eastAsia="zh-CN"/>
        </w:rPr>
        <w:t>..</w:t>
      </w:r>
      <w:r>
        <w:rPr>
          <w:rFonts w:hint="default" w:ascii="Cambria" w:hAnsi="Cambria" w:cs="Cambria"/>
        </w:rPr>
        <w:t>... 1</w:t>
      </w:r>
    </w:p>
    <w:p w14:paraId="6D72A80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Cambria" w:hAnsi="Cambria" w:cs="Cambria" w:eastAsiaTheme="minorEastAsia"/>
          <w:lang w:val="en-US" w:eastAsia="zh-CN"/>
        </w:rPr>
      </w:pPr>
      <w:r>
        <w:rPr>
          <w:rFonts w:hint="default" w:ascii="Cambria" w:hAnsi="Cambria" w:cs="Cambria"/>
        </w:rPr>
        <w:t xml:space="preserve">2. Formulation Principles and Basis for Main Content Determination....................................... </w:t>
      </w:r>
      <w:r>
        <w:rPr>
          <w:rFonts w:hint="default" w:ascii="Cambria" w:hAnsi="Cambria" w:cs="Cambria"/>
          <w:lang w:val="en-US" w:eastAsia="zh-CN"/>
        </w:rPr>
        <w:t>10</w:t>
      </w:r>
    </w:p>
    <w:p w14:paraId="4AD4AA6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Cambria" w:hAnsi="Cambria" w:cs="Cambria" w:eastAsiaTheme="minorEastAsia"/>
          <w:lang w:val="en-US" w:eastAsia="zh-CN"/>
        </w:rPr>
      </w:pPr>
      <w:r>
        <w:rPr>
          <w:rFonts w:hint="default" w:ascii="Cambria" w:hAnsi="Cambria" w:cs="Cambria"/>
        </w:rPr>
        <w:t>3. Relationship with Relevant Laws, Regulations and Standards................................................ 1</w:t>
      </w:r>
      <w:r>
        <w:rPr>
          <w:rFonts w:hint="default" w:ascii="Cambria" w:hAnsi="Cambria" w:cs="Cambria"/>
          <w:lang w:val="en-US" w:eastAsia="zh-CN"/>
        </w:rPr>
        <w:t>5</w:t>
      </w:r>
    </w:p>
    <w:p w14:paraId="10CB351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Cambria" w:hAnsi="Cambria" w:cs="Cambria" w:eastAsiaTheme="minorEastAsia"/>
          <w:lang w:val="en-US" w:eastAsia="zh-CN"/>
        </w:rPr>
      </w:pPr>
      <w:r>
        <w:rPr>
          <w:rFonts w:hint="default" w:ascii="Cambria" w:hAnsi="Cambria" w:cs="Cambria"/>
        </w:rPr>
        <w:t>4. Handling Process and Basis of Major Analytical Opinions...................................................... 1</w:t>
      </w:r>
      <w:r>
        <w:rPr>
          <w:rFonts w:hint="default" w:ascii="Cambria" w:hAnsi="Cambria" w:cs="Cambria"/>
          <w:lang w:val="en-US" w:eastAsia="zh-CN"/>
        </w:rPr>
        <w:t>6</w:t>
      </w:r>
    </w:p>
    <w:p w14:paraId="1D48E9E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Cambria" w:hAnsi="Cambria" w:cs="Cambria" w:eastAsiaTheme="minorEastAsia"/>
          <w:lang w:val="en-US" w:eastAsia="zh-CN"/>
        </w:rPr>
      </w:pPr>
      <w:r>
        <w:rPr>
          <w:rFonts w:hint="default" w:ascii="Cambria" w:hAnsi="Cambria" w:cs="Cambria"/>
        </w:rPr>
        <w:t xml:space="preserve">5. Recommendations for Adoption as an International Standard............................................... </w:t>
      </w:r>
      <w:r>
        <w:rPr>
          <w:rFonts w:hint="default" w:ascii="Cambria" w:hAnsi="Cambria" w:cs="Cambria"/>
          <w:lang w:val="en-US" w:eastAsia="zh-CN"/>
        </w:rPr>
        <w:t>20</w:t>
      </w:r>
    </w:p>
    <w:p w14:paraId="64CF338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Cambria" w:hAnsi="Cambria" w:cs="Cambria" w:eastAsiaTheme="minorEastAsia"/>
          <w:lang w:val="en-US" w:eastAsia="zh-CN"/>
        </w:rPr>
      </w:pPr>
      <w:r>
        <w:rPr>
          <w:rFonts w:hint="default" w:ascii="Cambria" w:hAnsi="Cambria" w:cs="Cambria"/>
        </w:rPr>
        <w:t>6. Requirements and Recommended Measures for Standard Implementation.................</w:t>
      </w:r>
      <w:r>
        <w:rPr>
          <w:rFonts w:hint="default" w:ascii="Cambria" w:hAnsi="Cambria" w:cs="Cambria"/>
          <w:lang w:val="en-US" w:eastAsia="zh-CN"/>
        </w:rPr>
        <w:t>...</w:t>
      </w:r>
      <w:r>
        <w:rPr>
          <w:rFonts w:hint="default" w:ascii="Cambria" w:hAnsi="Cambria" w:cs="Cambria"/>
        </w:rPr>
        <w:t xml:space="preserve">...... </w:t>
      </w:r>
      <w:r>
        <w:rPr>
          <w:rFonts w:hint="default" w:ascii="Cambria" w:hAnsi="Cambria" w:cs="Cambria"/>
          <w:lang w:val="en-US" w:eastAsia="zh-CN"/>
        </w:rPr>
        <w:t>20</w:t>
      </w:r>
    </w:p>
    <w:p w14:paraId="59F8F58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Cambria" w:hAnsi="Cambria" w:cs="Cambria" w:eastAsiaTheme="minorEastAsia"/>
          <w:lang w:val="en-US" w:eastAsia="zh-CN"/>
        </w:rPr>
      </w:pPr>
      <w:r>
        <w:rPr>
          <w:rFonts w:hint="default" w:ascii="Cambria" w:hAnsi="Cambria" w:cs="Cambria"/>
        </w:rPr>
        <w:t>7. Facilitating and Restricting Factors in Application.............................................................</w:t>
      </w:r>
      <w:r>
        <w:rPr>
          <w:rFonts w:hint="default" w:ascii="Cambria" w:hAnsi="Cambria" w:cs="Cambria"/>
          <w:lang w:val="en-US" w:eastAsia="zh-CN"/>
        </w:rPr>
        <w:t>..</w:t>
      </w:r>
      <w:r>
        <w:rPr>
          <w:rFonts w:hint="default" w:ascii="Cambria" w:hAnsi="Cambria" w:cs="Cambria"/>
        </w:rPr>
        <w:t xml:space="preserve">.... </w:t>
      </w:r>
      <w:r>
        <w:rPr>
          <w:rFonts w:hint="default" w:ascii="Cambria" w:hAnsi="Cambria" w:cs="Cambria"/>
          <w:lang w:val="en-US" w:eastAsia="zh-CN"/>
        </w:rPr>
        <w:t>20</w:t>
      </w:r>
    </w:p>
    <w:p w14:paraId="4709CC5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Cambria" w:hAnsi="Cambria" w:cs="Cambria" w:eastAsiaTheme="minorEastAsia"/>
          <w:lang w:val="en-US" w:eastAsia="zh-CN"/>
        </w:rPr>
      </w:pPr>
      <w:r>
        <w:rPr>
          <w:rFonts w:hint="default" w:ascii="Cambria" w:hAnsi="Cambria" w:cs="Cambria"/>
        </w:rPr>
        <w:t xml:space="preserve">8. Other Matters to be </w:t>
      </w:r>
      <w:r>
        <w:rPr>
          <w:rFonts w:hint="default" w:ascii="Cambria" w:hAnsi="Cambria" w:cs="Cambria"/>
          <w:lang w:val="en-US" w:eastAsia="zh-CN"/>
        </w:rPr>
        <w:t>Clarified</w:t>
      </w:r>
      <w:r>
        <w:rPr>
          <w:rFonts w:hint="default" w:ascii="Cambria" w:hAnsi="Cambria" w:cs="Cambria"/>
        </w:rPr>
        <w:t>..........................................................................................</w:t>
      </w:r>
      <w:r>
        <w:rPr>
          <w:rFonts w:hint="default" w:ascii="Cambria" w:hAnsi="Cambria" w:cs="Cambria"/>
          <w:lang w:val="en-US" w:eastAsia="zh-CN"/>
        </w:rPr>
        <w:t>...</w:t>
      </w:r>
      <w:r>
        <w:rPr>
          <w:rFonts w:hint="default" w:ascii="Cambria" w:hAnsi="Cambria" w:cs="Cambria"/>
        </w:rPr>
        <w:t xml:space="preserve">..... </w:t>
      </w:r>
      <w:r>
        <w:rPr>
          <w:rFonts w:hint="default" w:ascii="Cambria" w:hAnsi="Cambria" w:cs="Cambria"/>
          <w:lang w:val="en-US" w:eastAsia="zh-CN"/>
        </w:rPr>
        <w:t>21</w:t>
      </w:r>
    </w:p>
    <w:p w14:paraId="15311C9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Cambria" w:hAnsi="Cambria" w:cs="Cambria" w:eastAsiaTheme="minorEastAsia"/>
          <w:lang w:val="en-US" w:eastAsia="zh-CN"/>
        </w:rPr>
      </w:pPr>
      <w:r>
        <w:rPr>
          <w:rFonts w:hint="default" w:ascii="Cambria" w:hAnsi="Cambria" w:cs="Cambria"/>
        </w:rPr>
        <w:t>Appendix 1</w:t>
      </w:r>
      <w:r>
        <w:rPr>
          <w:rFonts w:hint="default" w:ascii="Cambria" w:hAnsi="Cambria" w:cs="Cambria"/>
          <w:lang w:val="en-US" w:eastAsia="zh-CN"/>
        </w:rPr>
        <w:t xml:space="preserve"> Report on </w:t>
      </w:r>
      <w:r>
        <w:rPr>
          <w:rFonts w:hint="default" w:ascii="Cambria" w:hAnsi="Cambria" w:cs="Cambria"/>
        </w:rPr>
        <w:t>Expert Questionnaire..........................</w:t>
      </w:r>
      <w:r>
        <w:rPr>
          <w:rFonts w:hint="default" w:ascii="Cambria" w:hAnsi="Cambria" w:cs="Cambria"/>
          <w:lang w:val="en-US" w:eastAsia="zh-CN"/>
        </w:rPr>
        <w:t>................</w:t>
      </w:r>
      <w:r>
        <w:rPr>
          <w:rFonts w:hint="default" w:ascii="Cambria" w:hAnsi="Cambria" w:cs="Cambria"/>
        </w:rPr>
        <w:t>...........</w:t>
      </w:r>
      <w:r>
        <w:rPr>
          <w:rFonts w:hint="default" w:ascii="Cambria" w:hAnsi="Cambria" w:cs="Cambria"/>
          <w:lang w:val="en-US" w:eastAsia="zh-CN"/>
        </w:rPr>
        <w:t>.</w:t>
      </w:r>
      <w:r>
        <w:rPr>
          <w:rFonts w:hint="default" w:ascii="Cambria" w:hAnsi="Cambria" w:cs="Cambria"/>
        </w:rPr>
        <w:t>.</w:t>
      </w:r>
      <w:r>
        <w:rPr>
          <w:rFonts w:hint="default" w:ascii="Cambria" w:hAnsi="Cambria" w:cs="Cambria"/>
          <w:lang w:val="en-US" w:eastAsia="zh-CN"/>
        </w:rPr>
        <w:t>..............</w:t>
      </w:r>
      <w:r>
        <w:rPr>
          <w:rFonts w:hint="default" w:ascii="Cambria" w:hAnsi="Cambria" w:cs="Cambria"/>
        </w:rPr>
        <w:t>.......</w:t>
      </w:r>
      <w:r>
        <w:rPr>
          <w:rFonts w:hint="default" w:ascii="Cambria" w:hAnsi="Cambria" w:cs="Cambria"/>
          <w:lang w:val="en-US" w:eastAsia="zh-CN"/>
        </w:rPr>
        <w:t>..</w:t>
      </w:r>
      <w:r>
        <w:rPr>
          <w:rFonts w:hint="default" w:ascii="Cambria" w:hAnsi="Cambria" w:cs="Cambria"/>
        </w:rPr>
        <w:t xml:space="preserve"> </w:t>
      </w:r>
      <w:r>
        <w:rPr>
          <w:rFonts w:hint="default" w:ascii="Cambria" w:hAnsi="Cambria" w:cs="Cambria"/>
          <w:lang w:val="en-US" w:eastAsia="zh-CN"/>
        </w:rPr>
        <w:t>22</w:t>
      </w:r>
    </w:p>
    <w:p w14:paraId="1D2CC87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Cambria" w:hAnsi="Cambria" w:cs="Cambria" w:eastAsiaTheme="minorEastAsia"/>
          <w:lang w:val="en-US" w:eastAsia="zh-CN"/>
        </w:rPr>
      </w:pPr>
      <w:r>
        <w:rPr>
          <w:rFonts w:hint="default" w:ascii="Cambria" w:hAnsi="Cambria" w:cs="Cambria"/>
          <w:lang w:eastAsia="zh-CN"/>
        </w:rPr>
        <w:t xml:space="preserve">Appendix </w:t>
      </w:r>
      <w:r>
        <w:rPr>
          <w:rFonts w:hint="default" w:ascii="Cambria" w:hAnsi="Cambria" w:cs="Cambria"/>
          <w:lang w:val="en-US" w:eastAsia="zh-CN"/>
        </w:rPr>
        <w:t xml:space="preserve">2 </w:t>
      </w:r>
      <w:r>
        <w:rPr>
          <w:rFonts w:hint="default" w:ascii="Cambria" w:hAnsi="Cambria" w:cs="Cambria"/>
          <w:lang w:eastAsia="zh-CN"/>
        </w:rPr>
        <w:t>Minutes of Expert Demonstration Meeting</w:t>
      </w:r>
      <w:r>
        <w:rPr>
          <w:rFonts w:hint="default" w:ascii="Cambria" w:hAnsi="Cambria" w:cs="Cambria"/>
        </w:rPr>
        <w:t>..............................</w:t>
      </w:r>
      <w:r>
        <w:rPr>
          <w:rFonts w:hint="default" w:ascii="Cambria" w:hAnsi="Cambria" w:cs="Cambria"/>
          <w:lang w:val="en-US" w:eastAsia="zh-CN"/>
        </w:rPr>
        <w:t>.</w:t>
      </w:r>
      <w:r>
        <w:rPr>
          <w:rFonts w:hint="default" w:ascii="Cambria" w:hAnsi="Cambria" w:cs="Cambria"/>
        </w:rPr>
        <w:t>.</w:t>
      </w:r>
      <w:r>
        <w:rPr>
          <w:rFonts w:hint="default" w:ascii="Cambria" w:hAnsi="Cambria" w:cs="Cambria"/>
          <w:lang w:val="en-US" w:eastAsia="zh-CN"/>
        </w:rPr>
        <w:t>......</w:t>
      </w:r>
      <w:r>
        <w:rPr>
          <w:rFonts w:hint="default" w:ascii="Cambria" w:hAnsi="Cambria" w:cs="Cambria"/>
        </w:rPr>
        <w:t>.</w:t>
      </w:r>
      <w:r>
        <w:rPr>
          <w:rFonts w:hint="default" w:ascii="Cambria" w:hAnsi="Cambria" w:cs="Cambria"/>
          <w:lang w:val="en-US" w:eastAsia="zh-CN"/>
        </w:rPr>
        <w:t>..............</w:t>
      </w:r>
      <w:r>
        <w:rPr>
          <w:rFonts w:hint="default" w:ascii="Cambria" w:hAnsi="Cambria" w:cs="Cambria"/>
        </w:rPr>
        <w:t>.</w:t>
      </w:r>
      <w:r>
        <w:rPr>
          <w:rFonts w:hint="default" w:ascii="Cambria" w:hAnsi="Cambria" w:cs="Cambria"/>
          <w:lang w:val="en-US" w:eastAsia="zh-CN"/>
        </w:rPr>
        <w:t>..</w:t>
      </w:r>
      <w:r>
        <w:rPr>
          <w:rFonts w:hint="default" w:ascii="Cambria" w:hAnsi="Cambria" w:cs="Cambria"/>
        </w:rPr>
        <w:t xml:space="preserve">..... </w:t>
      </w:r>
      <w:r>
        <w:rPr>
          <w:rFonts w:hint="default" w:ascii="Cambria" w:hAnsi="Cambria" w:cs="Cambria"/>
          <w:lang w:val="en-US" w:eastAsia="zh-CN"/>
        </w:rPr>
        <w:t>39</w:t>
      </w:r>
    </w:p>
    <w:p w14:paraId="6CFFBDE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Cambria" w:hAnsi="Cambria" w:cs="Cambria" w:eastAsiaTheme="minorEastAsia"/>
          <w:lang w:val="en-US" w:eastAsia="zh-CN"/>
        </w:rPr>
      </w:pPr>
      <w:r>
        <w:rPr>
          <w:rFonts w:hint="default" w:ascii="Cambria" w:hAnsi="Cambria" w:cs="Cambria"/>
          <w:lang w:eastAsia="zh-CN"/>
        </w:rPr>
        <w:t xml:space="preserve">Appendix </w:t>
      </w:r>
      <w:r>
        <w:rPr>
          <w:rFonts w:hint="default" w:ascii="Cambria" w:hAnsi="Cambria" w:cs="Cambria"/>
          <w:lang w:val="en-US" w:eastAsia="zh-CN"/>
        </w:rPr>
        <w:t xml:space="preserve">3 </w:t>
      </w:r>
      <w:r>
        <w:rPr>
          <w:rFonts w:hint="default" w:ascii="Cambria" w:hAnsi="Cambria" w:cs="Cambria"/>
          <w:lang w:eastAsia="zh-CN"/>
        </w:rPr>
        <w:t>Summary of Review by expert steering group</w:t>
      </w:r>
      <w:r>
        <w:rPr>
          <w:rFonts w:hint="default" w:ascii="Cambria" w:hAnsi="Cambria" w:cs="Cambria"/>
        </w:rPr>
        <w:t>......................</w:t>
      </w:r>
      <w:r>
        <w:rPr>
          <w:rFonts w:hint="default" w:ascii="Cambria" w:hAnsi="Cambria" w:cs="Cambria"/>
          <w:lang w:val="en-US" w:eastAsia="zh-CN"/>
        </w:rPr>
        <w:t>.........</w:t>
      </w:r>
      <w:r>
        <w:rPr>
          <w:rFonts w:hint="default" w:ascii="Cambria" w:hAnsi="Cambria" w:cs="Cambria"/>
        </w:rPr>
        <w:t>.</w:t>
      </w:r>
      <w:r>
        <w:rPr>
          <w:rFonts w:hint="default" w:ascii="Cambria" w:hAnsi="Cambria" w:cs="Cambria"/>
          <w:lang w:val="en-US" w:eastAsia="zh-CN"/>
        </w:rPr>
        <w:t>..</w:t>
      </w:r>
      <w:r>
        <w:rPr>
          <w:rFonts w:hint="default" w:ascii="Cambria" w:hAnsi="Cambria" w:cs="Cambria"/>
        </w:rPr>
        <w:t>.</w:t>
      </w:r>
      <w:r>
        <w:rPr>
          <w:rFonts w:hint="default" w:ascii="Cambria" w:hAnsi="Cambria" w:cs="Cambria"/>
          <w:lang w:val="en-US" w:eastAsia="zh-CN"/>
        </w:rPr>
        <w:t>................</w:t>
      </w:r>
      <w:r>
        <w:rPr>
          <w:rFonts w:hint="default" w:ascii="Cambria" w:hAnsi="Cambria" w:cs="Cambria"/>
        </w:rPr>
        <w:t>....</w:t>
      </w:r>
      <w:r>
        <w:rPr>
          <w:rFonts w:hint="default" w:ascii="Cambria" w:hAnsi="Cambria" w:cs="Cambria"/>
          <w:lang w:val="en-US" w:eastAsia="zh-CN"/>
        </w:rPr>
        <w:t>47</w:t>
      </w:r>
    </w:p>
    <w:p w14:paraId="25807CB1">
      <w:pPr>
        <w:rPr>
          <w:rFonts w:hint="default" w:ascii="Cambria" w:hAnsi="Cambria" w:cs="Cambria"/>
        </w:rPr>
      </w:pPr>
    </w:p>
    <w:p w14:paraId="4A5D333A">
      <w:pPr>
        <w:rPr>
          <w:rFonts w:hint="default" w:ascii="Cambria" w:hAnsi="Cambria" w:cs="Cambria"/>
          <w:b/>
          <w:bCs/>
          <w:sz w:val="24"/>
          <w:szCs w:val="24"/>
        </w:rPr>
      </w:pPr>
    </w:p>
    <w:p w14:paraId="75D40B30">
      <w:pPr>
        <w:rPr>
          <w:rFonts w:hint="default" w:ascii="Cambria" w:hAnsi="Cambria" w:cs="Cambria"/>
        </w:rPr>
      </w:pPr>
    </w:p>
    <w:p w14:paraId="1DD0CDDD">
      <w:pPr>
        <w:rPr>
          <w:rFonts w:hint="default" w:ascii="Cambria" w:hAnsi="Cambria" w:cs="Cambria"/>
        </w:rPr>
      </w:pPr>
    </w:p>
    <w:p w14:paraId="2181AD60">
      <w:pPr>
        <w:rPr>
          <w:rFonts w:hint="default" w:ascii="Cambria" w:hAnsi="Cambria" w:cs="Cambria"/>
        </w:rPr>
      </w:pPr>
    </w:p>
    <w:p w14:paraId="0A6352D4">
      <w:pPr>
        <w:rPr>
          <w:rFonts w:hint="default" w:ascii="Cambria" w:hAnsi="Cambria" w:cs="Cambria"/>
        </w:rPr>
      </w:pPr>
    </w:p>
    <w:p w14:paraId="57AA63A0">
      <w:pPr>
        <w:rPr>
          <w:rFonts w:hint="default" w:ascii="Cambria" w:hAnsi="Cambria" w:cs="Cambria"/>
        </w:rPr>
      </w:pPr>
    </w:p>
    <w:p w14:paraId="4F82D826">
      <w:pPr>
        <w:rPr>
          <w:rFonts w:hint="default" w:ascii="Cambria" w:hAnsi="Cambria" w:cs="Cambria"/>
        </w:rPr>
      </w:pPr>
    </w:p>
    <w:p w14:paraId="4AADECCB">
      <w:pPr>
        <w:rPr>
          <w:rFonts w:hint="default" w:ascii="Cambria" w:hAnsi="Cambria" w:cs="Cambria"/>
        </w:rPr>
      </w:pPr>
    </w:p>
    <w:p w14:paraId="0EA078FC">
      <w:pPr>
        <w:rPr>
          <w:rFonts w:hint="default" w:ascii="Cambria" w:hAnsi="Cambria" w:cs="Cambria"/>
        </w:rPr>
      </w:pPr>
    </w:p>
    <w:p w14:paraId="5A7ED94D">
      <w:pPr>
        <w:rPr>
          <w:rFonts w:hint="default" w:ascii="Cambria" w:hAnsi="Cambria" w:cs="Cambria"/>
        </w:rPr>
      </w:pPr>
    </w:p>
    <w:p w14:paraId="2BD0D038">
      <w:pPr>
        <w:rPr>
          <w:rFonts w:hint="default" w:ascii="Cambria" w:hAnsi="Cambria" w:cs="Cambria"/>
        </w:rPr>
      </w:pPr>
    </w:p>
    <w:p w14:paraId="0520F9DB">
      <w:pPr>
        <w:rPr>
          <w:rFonts w:hint="default" w:ascii="Cambria" w:hAnsi="Cambria" w:cs="Cambria"/>
        </w:rPr>
      </w:pPr>
    </w:p>
    <w:p w14:paraId="361AF4F9">
      <w:pPr>
        <w:rPr>
          <w:rFonts w:hint="default" w:ascii="Cambria" w:hAnsi="Cambria" w:cs="Cambria"/>
        </w:rPr>
      </w:pPr>
    </w:p>
    <w:p w14:paraId="54CA52ED">
      <w:pPr>
        <w:rPr>
          <w:rFonts w:hint="default" w:ascii="Cambria" w:hAnsi="Cambria" w:cs="Cambria"/>
        </w:rPr>
      </w:pPr>
    </w:p>
    <w:p w14:paraId="4AE7FA54">
      <w:pPr>
        <w:rPr>
          <w:rFonts w:hint="default" w:ascii="Cambria" w:hAnsi="Cambria" w:cs="Cambria"/>
        </w:rPr>
      </w:pPr>
    </w:p>
    <w:p w14:paraId="38087643">
      <w:pPr>
        <w:rPr>
          <w:rFonts w:hint="default" w:ascii="Cambria" w:hAnsi="Cambria" w:cs="Cambria"/>
        </w:rPr>
      </w:pPr>
    </w:p>
    <w:p w14:paraId="1886686A">
      <w:pPr>
        <w:rPr>
          <w:rFonts w:hint="default" w:ascii="Cambria" w:hAnsi="Cambria" w:cs="Cambria"/>
        </w:rPr>
      </w:pPr>
    </w:p>
    <w:p w14:paraId="113EEC71">
      <w:pPr>
        <w:rPr>
          <w:rFonts w:hint="default" w:ascii="Cambria" w:hAnsi="Cambria" w:cs="Cambria"/>
        </w:rPr>
      </w:pPr>
    </w:p>
    <w:p w14:paraId="192523A1">
      <w:pPr>
        <w:rPr>
          <w:rFonts w:hint="default" w:ascii="Cambria" w:hAnsi="Cambria" w:cs="Cambria"/>
        </w:rPr>
      </w:pPr>
    </w:p>
    <w:p w14:paraId="15E35C08">
      <w:pPr>
        <w:rPr>
          <w:rFonts w:hint="default" w:ascii="Cambria" w:hAnsi="Cambria" w:cs="Cambria"/>
        </w:rPr>
      </w:pPr>
    </w:p>
    <w:p w14:paraId="67EA6EB6">
      <w:pPr>
        <w:rPr>
          <w:rFonts w:hint="default" w:ascii="Cambria" w:hAnsi="Cambria" w:cs="Cambria"/>
        </w:rPr>
      </w:pPr>
    </w:p>
    <w:p w14:paraId="2BFD2DB3">
      <w:pPr>
        <w:rPr>
          <w:rFonts w:hint="default" w:ascii="Cambria" w:hAnsi="Cambria" w:cs="Cambria"/>
        </w:rPr>
      </w:pPr>
    </w:p>
    <w:p w14:paraId="01BA89F9">
      <w:pPr>
        <w:jc w:val="center"/>
        <w:rPr>
          <w:rFonts w:hint="default" w:ascii="Cambria" w:hAnsi="Cambria" w:cs="Cambria"/>
          <w:sz w:val="36"/>
          <w:szCs w:val="36"/>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490C3D0">
      <w:pPr>
        <w:jc w:val="center"/>
        <w:rPr>
          <w:rFonts w:hint="default" w:ascii="Cambria" w:hAnsi="Cambria" w:cs="Cambria"/>
          <w:sz w:val="36"/>
          <w:szCs w:val="36"/>
          <w:lang w:val="en-US" w:eastAsia="zh-CN"/>
        </w:rPr>
      </w:pPr>
      <w:r>
        <w:rPr>
          <w:rFonts w:hint="default" w:ascii="Cambria" w:hAnsi="Cambria" w:cs="Cambria"/>
          <w:sz w:val="36"/>
          <w:szCs w:val="36"/>
        </w:rPr>
        <w:t>Formulation Explanations</w:t>
      </w:r>
    </w:p>
    <w:p w14:paraId="13782621">
      <w:pPr>
        <w:jc w:val="center"/>
        <w:rPr>
          <w:rFonts w:hint="default" w:ascii="Cambria" w:hAnsi="Cambria" w:cs="Cambria"/>
          <w:sz w:val="36"/>
          <w:szCs w:val="36"/>
        </w:rPr>
      </w:pPr>
      <w:r>
        <w:rPr>
          <w:rFonts w:hint="default" w:ascii="Cambria" w:hAnsi="Cambria" w:cs="Cambria"/>
          <w:sz w:val="36"/>
          <w:szCs w:val="36"/>
        </w:rPr>
        <w:t>International Standardized Manipulations</w:t>
      </w:r>
    </w:p>
    <w:p w14:paraId="6BA5E767">
      <w:pPr>
        <w:jc w:val="center"/>
        <w:rPr>
          <w:rFonts w:hint="default" w:ascii="Cambria" w:hAnsi="Cambria" w:cs="Cambria"/>
          <w:sz w:val="36"/>
          <w:szCs w:val="36"/>
        </w:rPr>
      </w:pPr>
      <w:r>
        <w:rPr>
          <w:rFonts w:hint="default" w:ascii="Cambria" w:hAnsi="Cambria" w:cs="Cambria"/>
          <w:sz w:val="36"/>
          <w:szCs w:val="36"/>
        </w:rPr>
        <w:t>of Chinese Medicine</w:t>
      </w:r>
      <w:r>
        <w:rPr>
          <w:rFonts w:hint="default" w:ascii="Cambria" w:hAnsi="Cambria" w:cs="Cambria"/>
          <w:lang w:eastAsia="zh-CN"/>
        </w:rPr>
        <w:t>–</w:t>
      </w:r>
      <w:r>
        <w:rPr>
          <w:rFonts w:hint="default" w:ascii="Cambria" w:hAnsi="Cambria" w:cs="Cambria"/>
          <w:sz w:val="36"/>
          <w:szCs w:val="36"/>
        </w:rPr>
        <w:t>Pediatrics</w:t>
      </w:r>
    </w:p>
    <w:p w14:paraId="3CBE6EE6">
      <w:pPr>
        <w:jc w:val="center"/>
        <w:rPr>
          <w:rFonts w:hint="default" w:ascii="Cambria" w:hAnsi="Cambria" w:cs="Cambria" w:eastAsiaTheme="minorEastAsia"/>
          <w:sz w:val="36"/>
          <w:szCs w:val="36"/>
          <w:lang w:val="en-US" w:eastAsia="zh-CN"/>
        </w:rPr>
      </w:pPr>
      <w:r>
        <w:rPr>
          <w:rFonts w:hint="default" w:ascii="Cambria" w:hAnsi="Cambria" w:cs="Cambria"/>
          <w:sz w:val="36"/>
          <w:szCs w:val="36"/>
          <w:lang w:eastAsia="zh-CN"/>
        </w:rPr>
        <w:t xml:space="preserve">Part 5: Cupping </w:t>
      </w:r>
      <w:r>
        <w:rPr>
          <w:rFonts w:hint="default" w:ascii="Cambria" w:hAnsi="Cambria" w:cs="Cambria"/>
          <w:sz w:val="36"/>
          <w:szCs w:val="36"/>
        </w:rPr>
        <w:t>Therapy</w:t>
      </w:r>
    </w:p>
    <w:p w14:paraId="643030ED">
      <w:pPr>
        <w:ind w:firstLine="420" w:firstLineChars="0"/>
        <w:rPr>
          <w:rFonts w:hint="default" w:ascii="Cambria" w:hAnsi="Cambria" w:cs="Cambria"/>
        </w:rPr>
      </w:pPr>
      <w:r>
        <w:rPr>
          <w:rFonts w:hint="default" w:ascii="Cambria" w:hAnsi="Cambria" w:cs="Cambria"/>
        </w:rPr>
        <w:t>The project of International Standardized Manipulations of Chinese Medicine</w:t>
      </w:r>
      <w:r>
        <w:rPr>
          <w:rFonts w:hint="default" w:ascii="Cambria" w:hAnsi="Cambria" w:cs="Cambria"/>
          <w:lang w:eastAsia="zh-CN"/>
        </w:rPr>
        <w:t>–</w:t>
      </w:r>
      <w:r>
        <w:rPr>
          <w:rFonts w:hint="default" w:ascii="Cambria" w:hAnsi="Cambria" w:cs="Cambria"/>
        </w:rPr>
        <w:t xml:space="preserve">Pediatrics </w:t>
      </w:r>
      <w:r>
        <w:rPr>
          <w:rFonts w:hint="default" w:ascii="Cambria" w:hAnsi="Cambria" w:cs="Cambria"/>
          <w:lang w:eastAsia="zh-CN"/>
        </w:rPr>
        <w:t>–</w:t>
      </w:r>
      <w:r>
        <w:rPr>
          <w:rFonts w:hint="default" w:ascii="Cambria" w:hAnsi="Cambria" w:cs="Cambria"/>
        </w:rPr>
        <w:t xml:space="preserve">Part 5: Cupping </w:t>
      </w:r>
      <w:r>
        <w:rPr>
          <w:rFonts w:hint="default" w:ascii="Cambria" w:hAnsi="Cambria" w:cs="Cambria"/>
          <w:lang w:eastAsia="zh-CN"/>
        </w:rPr>
        <w:t xml:space="preserve">Therapy </w:t>
      </w:r>
      <w:r>
        <w:rPr>
          <w:rFonts w:hint="default" w:ascii="Cambria" w:hAnsi="Cambria" w:cs="Cambria"/>
          <w:lang w:val="en-US" w:eastAsia="zh-CN"/>
        </w:rPr>
        <w:t>(</w:t>
      </w:r>
      <w:r>
        <w:rPr>
          <w:rFonts w:hint="default" w:ascii="Cambria" w:hAnsi="Cambria" w:cs="Cambria"/>
          <w:lang w:eastAsia="zh-CN"/>
        </w:rPr>
        <w:t>ISMCMP-CT</w:t>
      </w:r>
      <w:r>
        <w:rPr>
          <w:rFonts w:hint="default" w:ascii="Cambria" w:hAnsi="Cambria" w:cs="Cambria"/>
          <w:lang w:val="en-US" w:eastAsia="zh-CN"/>
        </w:rPr>
        <w:t>)</w:t>
      </w:r>
      <w:r>
        <w:rPr>
          <w:rFonts w:hint="default" w:ascii="Cambria" w:hAnsi="Cambria" w:cs="Cambria"/>
        </w:rPr>
        <w:t xml:space="preserve"> was officially approved for establishment in September 2025 as an international standard formulation and revision project of the World Federation of Chinese Medicine </w:t>
      </w:r>
      <w:r>
        <w:rPr>
          <w:rFonts w:hint="default" w:ascii="Cambria" w:hAnsi="Cambria" w:cs="Cambria"/>
          <w:lang w:eastAsia="zh-CN"/>
        </w:rPr>
        <w:t>Societies (WFCMS</w:t>
      </w:r>
      <w:r>
        <w:rPr>
          <w:rFonts w:hint="default" w:ascii="Cambria" w:hAnsi="Cambria" w:cs="Cambria"/>
          <w:lang w:val="en-US" w:eastAsia="zh-CN"/>
        </w:rPr>
        <w:t>)</w:t>
      </w:r>
      <w:r>
        <w:rPr>
          <w:rFonts w:hint="default" w:ascii="Cambria" w:hAnsi="Cambria" w:cs="Cambria"/>
        </w:rPr>
        <w:t>. Nanjing University of Chinese Medicine is responsible for this project. In April</w:t>
      </w:r>
      <w:r>
        <w:rPr>
          <w:rFonts w:hint="default" w:ascii="Cambria" w:hAnsi="Cambria" w:cs="Cambria"/>
          <w:lang w:val="en-US" w:eastAsia="zh-CN"/>
        </w:rPr>
        <w:t xml:space="preserve"> </w:t>
      </w:r>
      <w:r>
        <w:rPr>
          <w:rFonts w:hint="default" w:ascii="Cambria" w:hAnsi="Cambria" w:cs="Cambria"/>
        </w:rPr>
        <w:t xml:space="preserve">2025, the </w:t>
      </w:r>
      <w:r>
        <w:rPr>
          <w:rFonts w:hint="default" w:ascii="Cambria" w:hAnsi="Cambria" w:cs="Cambria"/>
          <w:lang w:eastAsia="zh-CN"/>
        </w:rPr>
        <w:t>WFCMS</w:t>
      </w:r>
      <w:r>
        <w:rPr>
          <w:rFonts w:hint="default" w:ascii="Cambria" w:hAnsi="Cambria" w:cs="Cambria"/>
        </w:rPr>
        <w:t xml:space="preserve"> launched the work of </w:t>
      </w:r>
      <w:r>
        <w:rPr>
          <w:rFonts w:hint="default" w:ascii="Cambria" w:hAnsi="Cambria" w:cs="Cambria"/>
          <w:lang w:val="en-US" w:eastAsia="zh-CN"/>
        </w:rPr>
        <w:t>upgrad</w:t>
      </w:r>
      <w:r>
        <w:rPr>
          <w:rFonts w:hint="default" w:ascii="Cambria" w:hAnsi="Cambria" w:cs="Cambria"/>
        </w:rPr>
        <w:t xml:space="preserve">ing the national standard to an international organization standard. At the end of April 2025, a working group for the cupping therapy for children project was established. The members are from countries and regions such as China, Canada, Singapore, Malaysia, Thailand and Vietnam. In accordance with unified requirements, the working group carried out tasks such as literature research, expert questionnaire surveys and expert demonstration meetings. Based on several systematic </w:t>
      </w:r>
      <w:r>
        <w:rPr>
          <w:rFonts w:hint="default" w:ascii="Cambria" w:hAnsi="Cambria" w:cs="Cambria"/>
          <w:lang w:eastAsia="zh-CN"/>
        </w:rPr>
        <w:t>analyses</w:t>
      </w:r>
      <w:r>
        <w:rPr>
          <w:rFonts w:hint="default" w:ascii="Cambria" w:hAnsi="Cambria" w:cs="Cambria"/>
        </w:rPr>
        <w:t xml:space="preserve"> and research, and in line with the writing rules of international standardization documents of the WFCMS, the drafting stage was completed, and the review draft by the </w:t>
      </w:r>
      <w:r>
        <w:rPr>
          <w:rFonts w:hint="default" w:ascii="Cambria" w:hAnsi="Cambria" w:cs="Cambria"/>
          <w:lang w:eastAsia="zh-CN"/>
        </w:rPr>
        <w:t>expert steering group</w:t>
      </w:r>
      <w:r>
        <w:rPr>
          <w:rFonts w:hint="default" w:ascii="Cambria" w:hAnsi="Cambria" w:cs="Cambria"/>
        </w:rPr>
        <w:t xml:space="preserve"> of </w:t>
      </w:r>
      <w:r>
        <w:rPr>
          <w:rFonts w:hint="default" w:ascii="Cambria" w:hAnsi="Cambria" w:cs="Cambria"/>
          <w:lang w:eastAsia="zh-CN"/>
        </w:rPr>
        <w:t>ISMCMP-CT</w:t>
      </w:r>
      <w:r>
        <w:rPr>
          <w:rFonts w:hint="default" w:ascii="Cambria" w:hAnsi="Cambria" w:cs="Cambria"/>
        </w:rPr>
        <w:t xml:space="preserve"> was formed, including preface, introduction, scope, normative references, terms and definitions, </w:t>
      </w:r>
      <w:r>
        <w:rPr>
          <w:rFonts w:hint="default" w:ascii="Cambria" w:hAnsi="Cambria" w:cs="Cambria"/>
          <w:lang w:val="en-US" w:eastAsia="zh-CN"/>
        </w:rPr>
        <w:t>o</w:t>
      </w:r>
      <w:r>
        <w:rPr>
          <w:rFonts w:hint="default" w:ascii="Cambria" w:hAnsi="Cambria" w:cs="Cambria"/>
          <w:lang w:eastAsia="zh-CN"/>
        </w:rPr>
        <w:t xml:space="preserve">perating </w:t>
      </w:r>
      <w:r>
        <w:rPr>
          <w:rFonts w:hint="default" w:ascii="Cambria" w:hAnsi="Cambria" w:cs="Cambria"/>
          <w:lang w:val="en-US" w:eastAsia="zh-CN"/>
        </w:rPr>
        <w:t>p</w:t>
      </w:r>
      <w:r>
        <w:rPr>
          <w:rFonts w:hint="default" w:ascii="Cambria" w:hAnsi="Cambria" w:cs="Cambria"/>
          <w:lang w:eastAsia="zh-CN"/>
        </w:rPr>
        <w:t xml:space="preserve">rocedures and </w:t>
      </w:r>
      <w:r>
        <w:rPr>
          <w:rFonts w:hint="default" w:ascii="Cambria" w:hAnsi="Cambria" w:cs="Cambria"/>
          <w:lang w:val="en-US" w:eastAsia="zh-CN"/>
        </w:rPr>
        <w:t>r</w:t>
      </w:r>
      <w:r>
        <w:rPr>
          <w:rFonts w:hint="default" w:ascii="Cambria" w:hAnsi="Cambria" w:cs="Cambria"/>
          <w:lang w:eastAsia="zh-CN"/>
        </w:rPr>
        <w:t>equirements</w:t>
      </w:r>
      <w:r>
        <w:rPr>
          <w:rFonts w:hint="default" w:ascii="Cambria" w:hAnsi="Cambria" w:cs="Cambria"/>
        </w:rPr>
        <w:t xml:space="preserve">, precautions and contraindications, appendices and references, etc. After being reviewed and approved by the </w:t>
      </w:r>
      <w:r>
        <w:rPr>
          <w:rFonts w:hint="default" w:ascii="Cambria" w:hAnsi="Cambria" w:cs="Cambria"/>
          <w:lang w:eastAsia="zh-CN"/>
        </w:rPr>
        <w:t>expert steering group</w:t>
      </w:r>
      <w:r>
        <w:rPr>
          <w:rFonts w:hint="default" w:ascii="Cambria" w:hAnsi="Cambria" w:cs="Cambria"/>
        </w:rPr>
        <w:t xml:space="preserve">, the </w:t>
      </w:r>
      <w:r>
        <w:rPr>
          <w:rFonts w:hint="default" w:ascii="Cambria" w:hAnsi="Cambria" w:cs="Cambria"/>
          <w:lang w:val="en-US" w:eastAsia="zh-CN"/>
        </w:rPr>
        <w:t xml:space="preserve">submission </w:t>
      </w:r>
      <w:r>
        <w:rPr>
          <w:rFonts w:hint="default" w:ascii="Cambria" w:hAnsi="Cambria" w:cs="Cambria"/>
        </w:rPr>
        <w:t xml:space="preserve">draft was formed and submitted to the </w:t>
      </w:r>
      <w:r>
        <w:rPr>
          <w:rFonts w:hint="default" w:ascii="Cambria" w:hAnsi="Cambria" w:cs="Cambria"/>
          <w:lang w:eastAsia="zh-CN"/>
        </w:rPr>
        <w:t>International Standards Department</w:t>
      </w:r>
      <w:r>
        <w:rPr>
          <w:rFonts w:hint="default" w:ascii="Cambria" w:hAnsi="Cambria" w:cs="Cambria"/>
        </w:rPr>
        <w:t xml:space="preserve"> of the </w:t>
      </w:r>
      <w:r>
        <w:rPr>
          <w:rFonts w:hint="default" w:ascii="Cambria" w:hAnsi="Cambria" w:cs="Cambria"/>
          <w:lang w:eastAsia="zh-CN"/>
        </w:rPr>
        <w:t>WFCMS</w:t>
      </w:r>
      <w:r>
        <w:rPr>
          <w:rFonts w:hint="default" w:ascii="Cambria" w:hAnsi="Cambria" w:cs="Cambria"/>
        </w:rPr>
        <w:t xml:space="preserve"> for review in December 2025.</w:t>
      </w:r>
    </w:p>
    <w:p w14:paraId="3E97261A">
      <w:pPr>
        <w:ind w:firstLine="420" w:firstLineChars="0"/>
        <w:rPr>
          <w:rFonts w:hint="default" w:ascii="Cambria" w:hAnsi="Cambria" w:cs="Cambria"/>
        </w:rPr>
      </w:pPr>
      <w:r>
        <w:rPr>
          <w:rFonts w:hint="default" w:ascii="Cambria" w:hAnsi="Cambria" w:cs="Cambria"/>
        </w:rPr>
        <w:t xml:space="preserve">The following is an explanation of the formulation of </w:t>
      </w:r>
      <w:r>
        <w:rPr>
          <w:rFonts w:hint="default" w:ascii="Cambria" w:hAnsi="Cambria" w:cs="Cambria"/>
          <w:lang w:eastAsia="zh-CN"/>
        </w:rPr>
        <w:t>ISMCMP-CT</w:t>
      </w:r>
      <w:r>
        <w:rPr>
          <w:rFonts w:hint="default" w:ascii="Cambria" w:hAnsi="Cambria" w:cs="Cambria"/>
        </w:rPr>
        <w:t>.</w:t>
      </w:r>
    </w:p>
    <w:p w14:paraId="6D25C84B">
      <w:pPr>
        <w:rPr>
          <w:rFonts w:hint="default" w:ascii="Cambria" w:hAnsi="Cambria" w:cs="Cambria"/>
        </w:rPr>
      </w:pPr>
    </w:p>
    <w:p w14:paraId="6D4090C1">
      <w:pPr>
        <w:rPr>
          <w:rFonts w:hint="default" w:ascii="Cambria" w:hAnsi="Cambria" w:cs="Cambria" w:eastAsiaTheme="minorEastAsia"/>
          <w:b/>
          <w:bCs/>
          <w:sz w:val="24"/>
          <w:szCs w:val="24"/>
          <w:lang w:val="en-US" w:eastAsia="zh-CN"/>
        </w:rPr>
      </w:pPr>
      <w:r>
        <w:rPr>
          <w:rFonts w:hint="default" w:ascii="Cambria" w:hAnsi="Cambria" w:cs="Cambria"/>
          <w:b/>
          <w:bCs/>
          <w:sz w:val="24"/>
          <w:szCs w:val="24"/>
        </w:rPr>
        <w:t xml:space="preserve">I. Brief Introduction to the </w:t>
      </w:r>
      <w:r>
        <w:rPr>
          <w:rFonts w:hint="default" w:ascii="Cambria" w:hAnsi="Cambria" w:cs="Cambria"/>
          <w:b/>
          <w:bCs/>
          <w:sz w:val="24"/>
          <w:szCs w:val="24"/>
          <w:lang w:val="en-US" w:eastAsia="zh-CN"/>
        </w:rPr>
        <w:t>Project</w:t>
      </w:r>
    </w:p>
    <w:p w14:paraId="318A19E0">
      <w:pPr>
        <w:ind w:firstLine="420" w:firstLineChars="0"/>
        <w:rPr>
          <w:rFonts w:hint="default" w:ascii="Cambria" w:hAnsi="Cambria" w:cs="Cambria"/>
        </w:rPr>
      </w:pPr>
      <w:r>
        <w:rPr>
          <w:rFonts w:hint="default" w:ascii="Cambria" w:hAnsi="Cambria" w:cs="Cambria"/>
        </w:rPr>
        <w:t xml:space="preserve">(1) </w:t>
      </w:r>
      <w:r>
        <w:rPr>
          <w:rFonts w:hint="default" w:ascii="Cambria" w:hAnsi="Cambria" w:cs="Cambria"/>
          <w:lang w:val="en-US" w:eastAsia="zh-CN"/>
        </w:rPr>
        <w:t xml:space="preserve">Project </w:t>
      </w:r>
      <w:r>
        <w:rPr>
          <w:rFonts w:hint="default" w:ascii="Cambria" w:hAnsi="Cambria" w:cs="Cambria"/>
        </w:rPr>
        <w:t>Source</w:t>
      </w:r>
    </w:p>
    <w:p w14:paraId="4D8F9D5E">
      <w:pPr>
        <w:ind w:firstLine="420" w:firstLineChars="0"/>
        <w:rPr>
          <w:rFonts w:hint="default" w:ascii="Cambria" w:hAnsi="Cambria" w:cs="Cambria"/>
        </w:rPr>
      </w:pPr>
      <w:r>
        <w:rPr>
          <w:rFonts w:hint="default" w:ascii="Cambria" w:hAnsi="Cambria" w:cs="Cambria"/>
        </w:rPr>
        <w:t xml:space="preserve">In November 2021, the </w:t>
      </w:r>
      <w:r>
        <w:rPr>
          <w:rFonts w:hint="default" w:ascii="Cambria" w:hAnsi="Cambria" w:cs="Cambria"/>
          <w:lang w:val="en-US" w:eastAsia="zh-CN"/>
        </w:rPr>
        <w:t xml:space="preserve">National </w:t>
      </w:r>
      <w:r>
        <w:rPr>
          <w:rFonts w:hint="default" w:ascii="Cambria" w:hAnsi="Cambria" w:cs="Cambria"/>
        </w:rPr>
        <w:t>Standardization Administration of China issued GB/Z 40893.5</w:t>
      </w:r>
      <w:r>
        <w:rPr>
          <w:rFonts w:hint="default" w:ascii="Cambria" w:hAnsi="Cambria" w:cs="Cambria"/>
          <w:lang w:val="en-US" w:eastAsia="zh-CN"/>
        </w:rPr>
        <w:t>-</w:t>
      </w:r>
      <w:r>
        <w:rPr>
          <w:rFonts w:hint="default" w:ascii="Cambria" w:hAnsi="Cambria" w:cs="Cambria"/>
        </w:rPr>
        <w:t>2021</w:t>
      </w:r>
      <w:r>
        <w:rPr>
          <w:rFonts w:hint="default" w:ascii="Cambria" w:hAnsi="Cambria" w:cs="Cambria"/>
          <w:lang w:val="en-US" w:eastAsia="zh-CN"/>
        </w:rPr>
        <w:t xml:space="preserve"> </w:t>
      </w:r>
      <w:r>
        <w:rPr>
          <w:rFonts w:hint="default" w:ascii="Cambria" w:hAnsi="Cambria" w:cs="Cambria"/>
          <w:lang w:eastAsia="zh-CN"/>
        </w:rPr>
        <w:t xml:space="preserve">Specification for </w:t>
      </w:r>
      <w:r>
        <w:rPr>
          <w:rFonts w:hint="default" w:ascii="Cambria" w:hAnsi="Cambria" w:cs="Cambria"/>
          <w:lang w:val="en-US" w:eastAsia="zh-CN"/>
        </w:rPr>
        <w:t>o</w:t>
      </w:r>
      <w:r>
        <w:rPr>
          <w:rFonts w:hint="default" w:ascii="Cambria" w:hAnsi="Cambria" w:cs="Cambria"/>
          <w:lang w:eastAsia="zh-CN"/>
        </w:rPr>
        <w:t xml:space="preserve">peration </w:t>
      </w:r>
      <w:r>
        <w:rPr>
          <w:rFonts w:hint="default" w:ascii="Cambria" w:hAnsi="Cambria" w:cs="Cambria"/>
          <w:lang w:val="en-US" w:eastAsia="zh-CN"/>
        </w:rPr>
        <w:t>t</w:t>
      </w:r>
      <w:r>
        <w:rPr>
          <w:rFonts w:hint="default" w:ascii="Cambria" w:hAnsi="Cambria" w:cs="Cambria"/>
          <w:lang w:eastAsia="zh-CN"/>
        </w:rPr>
        <w:t xml:space="preserve">echnologies of </w:t>
      </w:r>
      <w:r>
        <w:rPr>
          <w:rFonts w:hint="default" w:ascii="Cambria" w:hAnsi="Cambria" w:cs="Cambria"/>
          <w:lang w:val="en-US" w:eastAsia="zh-CN"/>
        </w:rPr>
        <w:t>t</w:t>
      </w:r>
      <w:r>
        <w:rPr>
          <w:rFonts w:hint="default" w:ascii="Cambria" w:hAnsi="Cambria" w:cs="Cambria"/>
          <w:lang w:eastAsia="zh-CN"/>
        </w:rPr>
        <w:t xml:space="preserve">raditional Chinese </w:t>
      </w:r>
      <w:r>
        <w:rPr>
          <w:rFonts w:hint="default" w:ascii="Cambria" w:hAnsi="Cambria" w:cs="Cambria"/>
          <w:lang w:val="en-US" w:eastAsia="zh-CN"/>
        </w:rPr>
        <w:t>m</w:t>
      </w:r>
      <w:r>
        <w:rPr>
          <w:rFonts w:hint="default" w:ascii="Cambria" w:hAnsi="Cambria" w:cs="Cambria"/>
          <w:lang w:eastAsia="zh-CN"/>
        </w:rPr>
        <w:t xml:space="preserve">edicine–Pediatrics–Part 5: Cupping </w:t>
      </w:r>
      <w:r>
        <w:rPr>
          <w:rFonts w:hint="default" w:ascii="Cambria" w:hAnsi="Cambria" w:cs="Cambria"/>
          <w:lang w:val="en-US" w:eastAsia="zh-CN"/>
        </w:rPr>
        <w:t>t</w:t>
      </w:r>
      <w:r>
        <w:rPr>
          <w:rFonts w:hint="default" w:ascii="Cambria" w:hAnsi="Cambria" w:cs="Cambria"/>
          <w:lang w:eastAsia="zh-CN"/>
        </w:rPr>
        <w:t>herapy</w:t>
      </w:r>
      <w:r>
        <w:rPr>
          <w:rFonts w:hint="default" w:ascii="Cambria" w:hAnsi="Cambria" w:cs="Cambria"/>
          <w:lang w:val="en-US" w:eastAsia="zh-CN"/>
        </w:rPr>
        <w:t xml:space="preserve"> (SOTTCMP-CT), </w:t>
      </w:r>
      <w:r>
        <w:rPr>
          <w:rFonts w:hint="default" w:ascii="Cambria" w:hAnsi="Cambria" w:cs="Cambria"/>
        </w:rPr>
        <w:t xml:space="preserve">as a guiding technical document. This standard aims to standardize the </w:t>
      </w:r>
      <w:r>
        <w:rPr>
          <w:rFonts w:hint="default" w:ascii="Cambria" w:hAnsi="Cambria" w:cs="Cambria"/>
          <w:lang w:val="en-US" w:eastAsia="zh-CN"/>
        </w:rPr>
        <w:t>o</w:t>
      </w:r>
      <w:r>
        <w:rPr>
          <w:rFonts w:hint="default" w:ascii="Cambria" w:hAnsi="Cambria" w:cs="Cambria"/>
          <w:lang w:eastAsia="zh-CN"/>
        </w:rPr>
        <w:t xml:space="preserve">perating </w:t>
      </w:r>
      <w:r>
        <w:rPr>
          <w:rFonts w:hint="default" w:ascii="Cambria" w:hAnsi="Cambria" w:cs="Cambria"/>
          <w:lang w:val="en-US" w:eastAsia="zh-CN"/>
        </w:rPr>
        <w:t>p</w:t>
      </w:r>
      <w:r>
        <w:rPr>
          <w:rFonts w:hint="default" w:ascii="Cambria" w:hAnsi="Cambria" w:cs="Cambria"/>
          <w:lang w:eastAsia="zh-CN"/>
        </w:rPr>
        <w:t xml:space="preserve">rocedures and </w:t>
      </w:r>
      <w:r>
        <w:rPr>
          <w:rFonts w:hint="default" w:ascii="Cambria" w:hAnsi="Cambria" w:cs="Cambria"/>
          <w:lang w:val="en-US" w:eastAsia="zh-CN"/>
        </w:rPr>
        <w:t>r</w:t>
      </w:r>
      <w:r>
        <w:rPr>
          <w:rFonts w:hint="default" w:ascii="Cambria" w:hAnsi="Cambria" w:cs="Cambria"/>
          <w:lang w:eastAsia="zh-CN"/>
        </w:rPr>
        <w:t>equirements</w:t>
      </w:r>
      <w:r>
        <w:rPr>
          <w:rFonts w:hint="default" w:ascii="Cambria" w:hAnsi="Cambria" w:cs="Cambria"/>
        </w:rPr>
        <w:t xml:space="preserve"> of pediatric cupping therapy, and clarify the precautions and contraindications. In April 2025, WFCMS planned to </w:t>
      </w:r>
      <w:r>
        <w:rPr>
          <w:rFonts w:hint="default" w:ascii="Cambria" w:hAnsi="Cambria" w:cs="Cambria"/>
          <w:lang w:val="en-US" w:eastAsia="zh-CN"/>
        </w:rPr>
        <w:t xml:space="preserve">upgrade </w:t>
      </w:r>
      <w:r>
        <w:rPr>
          <w:rFonts w:hint="default" w:ascii="Cambria" w:hAnsi="Cambria" w:cs="Cambria"/>
        </w:rPr>
        <w:t>this national standard to an international organization standard. In accordance with the requirements of SCM 1.1</w:t>
      </w:r>
      <w:r>
        <w:rPr>
          <w:rFonts w:hint="default" w:ascii="Cambria" w:hAnsi="Cambria" w:cs="Cambria"/>
          <w:lang w:val="en-US" w:eastAsia="zh-CN"/>
        </w:rPr>
        <w:t>-</w:t>
      </w:r>
      <w:r>
        <w:rPr>
          <w:rFonts w:hint="default" w:ascii="Cambria" w:hAnsi="Cambria" w:cs="Cambria"/>
        </w:rPr>
        <w:t>2021</w:t>
      </w:r>
      <w:r>
        <w:rPr>
          <w:rFonts w:hint="default" w:ascii="Cambria" w:hAnsi="Cambria" w:cs="Cambria"/>
          <w:lang w:val="en-US" w:eastAsia="zh-CN"/>
        </w:rPr>
        <w:t xml:space="preserve"> </w:t>
      </w:r>
      <w:r>
        <w:rPr>
          <w:rFonts w:hint="default" w:ascii="Cambria" w:hAnsi="Cambria" w:cs="Cambria"/>
        </w:rPr>
        <w:t xml:space="preserve">Guidelines for </w:t>
      </w:r>
      <w:r>
        <w:rPr>
          <w:rFonts w:hint="default" w:ascii="Cambria" w:hAnsi="Cambria" w:cs="Cambria"/>
          <w:lang w:val="en-US" w:eastAsia="zh-CN"/>
        </w:rPr>
        <w:t>s</w:t>
      </w:r>
      <w:r>
        <w:rPr>
          <w:rFonts w:hint="default" w:ascii="Cambria" w:hAnsi="Cambria" w:cs="Cambria"/>
        </w:rPr>
        <w:t xml:space="preserve">tandardization </w:t>
      </w:r>
      <w:r>
        <w:rPr>
          <w:rFonts w:hint="default" w:ascii="Cambria" w:hAnsi="Cambria" w:cs="Cambria"/>
          <w:lang w:val="en-US" w:eastAsia="zh-CN"/>
        </w:rPr>
        <w:t>w</w:t>
      </w:r>
      <w:r>
        <w:rPr>
          <w:rFonts w:hint="default" w:ascii="Cambria" w:hAnsi="Cambria" w:cs="Cambria"/>
        </w:rPr>
        <w:t>ork</w:t>
      </w:r>
      <w:r>
        <w:rPr>
          <w:rFonts w:hint="default" w:ascii="Cambria" w:hAnsi="Cambria" w:cs="Cambria"/>
          <w:lang w:eastAsia="zh-CN"/>
        </w:rPr>
        <w:t>–</w:t>
      </w:r>
      <w:r>
        <w:rPr>
          <w:rFonts w:hint="default" w:ascii="Cambria" w:hAnsi="Cambria" w:cs="Cambria"/>
        </w:rPr>
        <w:t>Part 1</w:t>
      </w:r>
      <w:r>
        <w:rPr>
          <w:rFonts w:hint="default" w:ascii="Cambria" w:hAnsi="Cambria" w:cs="Cambria"/>
          <w:lang w:val="en-US" w:eastAsia="zh-CN"/>
        </w:rPr>
        <w:t>:</w:t>
      </w:r>
      <w:r>
        <w:rPr>
          <w:rFonts w:hint="default" w:ascii="Cambria" w:hAnsi="Cambria" w:cs="Cambria"/>
        </w:rPr>
        <w:t xml:space="preserve"> Standard </w:t>
      </w:r>
      <w:r>
        <w:rPr>
          <w:rFonts w:hint="default" w:ascii="Cambria" w:hAnsi="Cambria" w:cs="Cambria"/>
          <w:lang w:val="en-US" w:eastAsia="zh-CN"/>
        </w:rPr>
        <w:t>f</w:t>
      </w:r>
      <w:r>
        <w:rPr>
          <w:rFonts w:hint="default" w:ascii="Cambria" w:hAnsi="Cambria" w:cs="Cambria"/>
        </w:rPr>
        <w:t xml:space="preserve">ormulation, </w:t>
      </w:r>
      <w:r>
        <w:rPr>
          <w:rFonts w:hint="default" w:ascii="Cambria" w:hAnsi="Cambria" w:cs="Cambria"/>
          <w:lang w:val="en-US" w:eastAsia="zh-CN"/>
        </w:rPr>
        <w:t>r</w:t>
      </w:r>
      <w:r>
        <w:rPr>
          <w:rFonts w:hint="default" w:ascii="Cambria" w:hAnsi="Cambria" w:cs="Cambria"/>
        </w:rPr>
        <w:t xml:space="preserve">evision and </w:t>
      </w:r>
      <w:r>
        <w:rPr>
          <w:rFonts w:hint="default" w:ascii="Cambria" w:hAnsi="Cambria" w:cs="Cambria"/>
          <w:lang w:val="en-US" w:eastAsia="zh-CN"/>
        </w:rPr>
        <w:t>r</w:t>
      </w:r>
      <w:r>
        <w:rPr>
          <w:rFonts w:hint="default" w:ascii="Cambria" w:hAnsi="Cambria" w:cs="Cambria"/>
        </w:rPr>
        <w:t>elease</w:t>
      </w:r>
      <w:r>
        <w:rPr>
          <w:rFonts w:hint="default" w:ascii="Cambria" w:hAnsi="Cambria" w:cs="Cambria"/>
          <w:lang w:val="en-US" w:eastAsia="zh-CN"/>
        </w:rPr>
        <w:t>,</w:t>
      </w:r>
      <w:r>
        <w:rPr>
          <w:rFonts w:hint="default" w:ascii="Cambria" w:hAnsi="Cambria" w:cs="Cambria"/>
        </w:rPr>
        <w:t xml:space="preserve"> under the guidance of the </w:t>
      </w:r>
      <w:r>
        <w:rPr>
          <w:rFonts w:hint="default" w:ascii="Cambria" w:hAnsi="Cambria" w:cs="Cambria"/>
          <w:lang w:eastAsia="zh-CN"/>
        </w:rPr>
        <w:t>International Standards Department</w:t>
      </w:r>
      <w:r>
        <w:rPr>
          <w:rFonts w:hint="default" w:ascii="Cambria" w:hAnsi="Cambria" w:cs="Cambria"/>
        </w:rPr>
        <w:t xml:space="preserve"> of the </w:t>
      </w:r>
      <w:r>
        <w:rPr>
          <w:rFonts w:hint="default" w:ascii="Cambria" w:hAnsi="Cambria" w:cs="Cambria"/>
          <w:lang w:eastAsia="zh-CN"/>
        </w:rPr>
        <w:t>WFCMS</w:t>
      </w:r>
      <w:r>
        <w:rPr>
          <w:rFonts w:hint="default" w:ascii="Cambria" w:hAnsi="Cambria" w:cs="Cambria"/>
        </w:rPr>
        <w:t xml:space="preserve"> and the </w:t>
      </w:r>
      <w:r>
        <w:rPr>
          <w:rFonts w:hint="default" w:ascii="Cambria" w:hAnsi="Cambria" w:cs="Cambria"/>
          <w:lang w:eastAsia="zh-CN"/>
        </w:rPr>
        <w:t>expert steering group</w:t>
      </w:r>
      <w:r>
        <w:rPr>
          <w:rFonts w:hint="default" w:ascii="Cambria" w:hAnsi="Cambria" w:cs="Cambria"/>
        </w:rPr>
        <w:t xml:space="preserve">, a working group for the project of </w:t>
      </w:r>
      <w:r>
        <w:rPr>
          <w:rFonts w:hint="default" w:ascii="Cambria" w:hAnsi="Cambria" w:cs="Cambria"/>
          <w:lang w:eastAsia="zh-CN"/>
        </w:rPr>
        <w:t>ISMCMP-CT</w:t>
      </w:r>
      <w:r>
        <w:rPr>
          <w:rFonts w:hint="default" w:ascii="Cambria" w:hAnsi="Cambria" w:cs="Cambria"/>
        </w:rPr>
        <w:t xml:space="preserve"> was established at the end of April 2025. The members are from six countries</w:t>
      </w:r>
      <w:r>
        <w:rPr>
          <w:rFonts w:hint="default" w:ascii="Cambria" w:hAnsi="Cambria" w:cs="Cambria"/>
          <w:lang w:val="en-US" w:eastAsia="zh-CN"/>
        </w:rPr>
        <w:t>,</w:t>
      </w:r>
      <w:r>
        <w:rPr>
          <w:rFonts w:hint="default" w:ascii="Cambria" w:hAnsi="Cambria" w:cs="Cambria"/>
        </w:rPr>
        <w:t xml:space="preserve"> including China, Canada, Singapore, Malaysia, Thailand and Vietnam. In September 2025, this project was officially approved as an international standard formulation and revision project of WFCMS. The undertaking and drafting </w:t>
      </w:r>
      <w:r>
        <w:rPr>
          <w:rFonts w:hint="default" w:ascii="Cambria" w:hAnsi="Cambria" w:cs="Cambria"/>
          <w:lang w:val="en-US" w:eastAsia="zh-CN"/>
        </w:rPr>
        <w:t>o</w:t>
      </w:r>
      <w:r>
        <w:rPr>
          <w:rFonts w:hint="default" w:ascii="Cambria" w:hAnsi="Cambria" w:cs="Cambria"/>
        </w:rPr>
        <w:t>rganization</w:t>
      </w:r>
      <w:r>
        <w:rPr>
          <w:rFonts w:hint="default" w:ascii="Cambria" w:hAnsi="Cambria" w:cs="Cambria"/>
          <w:lang w:val="en-US" w:eastAsia="zh-CN"/>
        </w:rPr>
        <w:t xml:space="preserve"> </w:t>
      </w:r>
      <w:r>
        <w:rPr>
          <w:rFonts w:hint="default" w:ascii="Cambria" w:hAnsi="Cambria" w:cs="Cambria"/>
        </w:rPr>
        <w:t>is Nanjing University of Chinese Medicine, with Han Xinmin as the project leader. The project is planned to be completed by the end of 2025.</w:t>
      </w:r>
    </w:p>
    <w:p w14:paraId="46CCA4CA">
      <w:pPr>
        <w:ind w:firstLine="420" w:firstLineChars="0"/>
        <w:rPr>
          <w:rFonts w:hint="default" w:ascii="Cambria" w:hAnsi="Cambria" w:cs="Cambria" w:eastAsiaTheme="minorEastAsia"/>
          <w:lang w:val="en-US" w:eastAsia="zh-CN"/>
        </w:rPr>
      </w:pPr>
      <w:r>
        <w:rPr>
          <w:rFonts w:hint="default" w:ascii="Cambria" w:hAnsi="Cambria" w:cs="Cambria"/>
        </w:rPr>
        <w:t xml:space="preserve">The </w:t>
      </w:r>
      <w:r>
        <w:rPr>
          <w:rFonts w:hint="default" w:ascii="Cambria" w:hAnsi="Cambria" w:cs="Cambria"/>
          <w:lang w:val="en-US" w:eastAsia="zh-CN"/>
        </w:rPr>
        <w:t xml:space="preserve">upgrading </w:t>
      </w:r>
      <w:r>
        <w:rPr>
          <w:rFonts w:hint="default" w:ascii="Cambria" w:hAnsi="Cambria" w:cs="Cambria"/>
        </w:rPr>
        <w:t xml:space="preserve">work of this standard is under the unified guidance, management and supervision of the </w:t>
      </w:r>
      <w:r>
        <w:rPr>
          <w:rFonts w:hint="default" w:ascii="Cambria" w:hAnsi="Cambria" w:cs="Cambria"/>
          <w:lang w:eastAsia="zh-CN"/>
        </w:rPr>
        <w:t>WFCMS</w:t>
      </w:r>
      <w:r>
        <w:rPr>
          <w:rFonts w:hint="default" w:ascii="Cambria" w:hAnsi="Cambria" w:cs="Cambria"/>
        </w:rPr>
        <w:t xml:space="preserve">. A number of domestic pediatric experts in Chinese medicine and integrated traditional Chinese and Western medicine provide technical guidance. The International Standards Department of WFCMS is responsible for the supervision of project implementation, so as to ensure that the development of this standard complies with the </w:t>
      </w:r>
      <w:r>
        <w:rPr>
          <w:rFonts w:hint="default" w:ascii="Cambria" w:hAnsi="Cambria" w:cs="Cambria"/>
          <w:lang w:val="en-US" w:eastAsia="zh-CN"/>
        </w:rPr>
        <w:t>measures for the administration of formulation and revision of international standards issued by the WFCMS.</w:t>
      </w:r>
    </w:p>
    <w:p w14:paraId="17EAE97C">
      <w:pPr>
        <w:ind w:firstLine="420" w:firstLineChars="0"/>
        <w:rPr>
          <w:rFonts w:hint="default" w:ascii="Cambria" w:hAnsi="Cambria" w:cs="Cambria"/>
        </w:rPr>
      </w:pPr>
      <w:r>
        <w:rPr>
          <w:rFonts w:hint="default" w:ascii="Cambria" w:hAnsi="Cambria" w:cs="Cambria"/>
        </w:rPr>
        <w:t>(2) Drafting Organizations</w:t>
      </w:r>
    </w:p>
    <w:p w14:paraId="0C472DF5">
      <w:pPr>
        <w:ind w:firstLine="420" w:firstLineChars="0"/>
        <w:rPr>
          <w:rFonts w:hint="default" w:ascii="Cambria" w:hAnsi="Cambria" w:cs="Cambria"/>
        </w:rPr>
      </w:pPr>
      <w:r>
        <w:rPr>
          <w:rFonts w:hint="default" w:ascii="Cambria" w:hAnsi="Cambria" w:cs="Cambria"/>
        </w:rPr>
        <w:t>Lead Drafting Organization: Nanjing University of Chinese Medicine.</w:t>
      </w:r>
    </w:p>
    <w:p w14:paraId="2CCA1AFC">
      <w:pPr>
        <w:ind w:firstLine="420" w:firstLineChars="0"/>
        <w:rPr>
          <w:rFonts w:hint="default" w:ascii="Cambria" w:hAnsi="Cambria" w:cs="Cambria"/>
        </w:rPr>
      </w:pPr>
      <w:r>
        <w:rPr>
          <w:rFonts w:hint="default" w:ascii="Cambria" w:hAnsi="Cambria" w:cs="Cambria"/>
        </w:rPr>
        <w:t>Participating Drafting Organizations: The Affiliated Hospital of Nanjing University of Chinese Medicine</w:t>
      </w:r>
      <w:r>
        <w:rPr>
          <w:rFonts w:hint="default" w:ascii="Cambria" w:hAnsi="Cambria" w:cs="Cambria"/>
          <w:lang w:val="en-US" w:eastAsia="zh-CN"/>
        </w:rPr>
        <w:t>;</w:t>
      </w:r>
      <w:r>
        <w:rPr>
          <w:rFonts w:hint="default" w:ascii="Cambria" w:hAnsi="Cambria" w:cs="Cambria"/>
        </w:rPr>
        <w:t xml:space="preserve"> the </w:t>
      </w:r>
      <w:r>
        <w:rPr>
          <w:rFonts w:hint="default" w:ascii="Cambria" w:hAnsi="Cambria" w:cs="Cambria"/>
          <w:lang w:val="en-US" w:eastAsia="zh-CN"/>
        </w:rPr>
        <w:t>Traditional Chinese Medicine (</w:t>
      </w:r>
      <w:r>
        <w:rPr>
          <w:rFonts w:hint="default" w:ascii="Cambria" w:hAnsi="Cambria" w:cs="Cambria"/>
          <w:lang w:eastAsia="zh-CN"/>
        </w:rPr>
        <w:t>TCM</w:t>
      </w:r>
      <w:r>
        <w:rPr>
          <w:rFonts w:hint="default" w:ascii="Cambria" w:hAnsi="Cambria" w:cs="Cambria"/>
          <w:lang w:val="en-US" w:eastAsia="zh-CN"/>
        </w:rPr>
        <w:t>)</w:t>
      </w:r>
      <w:r>
        <w:rPr>
          <w:rFonts w:hint="default" w:ascii="Cambria" w:hAnsi="Cambria" w:cs="Cambria"/>
        </w:rPr>
        <w:t xml:space="preserve"> Regulatory Council of Ontario, Canada</w:t>
      </w:r>
      <w:r>
        <w:rPr>
          <w:rFonts w:hint="default" w:ascii="Cambria" w:hAnsi="Cambria" w:cs="Cambria"/>
          <w:lang w:val="en-US" w:eastAsia="zh-CN"/>
        </w:rPr>
        <w:t>;</w:t>
      </w:r>
      <w:r>
        <w:rPr>
          <w:rFonts w:hint="default" w:ascii="Cambria" w:hAnsi="Cambria" w:cs="Cambria"/>
        </w:rPr>
        <w:t xml:space="preserve"> the National Institute of Child and Family Development, Mahidol University, Thailand</w:t>
      </w:r>
      <w:r>
        <w:rPr>
          <w:rFonts w:hint="default" w:ascii="Cambria" w:hAnsi="Cambria" w:cs="Cambria"/>
          <w:lang w:val="en-US" w:eastAsia="zh-CN"/>
        </w:rPr>
        <w:t>;</w:t>
      </w:r>
      <w:r>
        <w:rPr>
          <w:rFonts w:hint="default" w:ascii="Cambria" w:hAnsi="Cambria" w:cs="Cambria"/>
        </w:rPr>
        <w:t xml:space="preserve"> the Central Children's Hospital of Vietnam, Tunku Abdul Rahman University of Malaysia</w:t>
      </w:r>
      <w:r>
        <w:rPr>
          <w:rFonts w:hint="default" w:ascii="Cambria" w:hAnsi="Cambria" w:cs="Cambria"/>
          <w:lang w:val="en-US" w:eastAsia="zh-CN"/>
        </w:rPr>
        <w:t>;</w:t>
      </w:r>
      <w:r>
        <w:rPr>
          <w:rFonts w:hint="default" w:ascii="Cambria" w:hAnsi="Cambria" w:cs="Cambria"/>
        </w:rPr>
        <w:t xml:space="preserve"> Sunshine Chinese Medicine in Malaysia, and Acu Point Pte Ltd in Singapore.</w:t>
      </w:r>
    </w:p>
    <w:p w14:paraId="225CAD34">
      <w:pPr>
        <w:rPr>
          <w:rFonts w:hint="default" w:ascii="Cambria" w:hAnsi="Cambria" w:cs="Cambria"/>
        </w:rPr>
      </w:pPr>
    </w:p>
    <w:p w14:paraId="1510EC35">
      <w:pPr>
        <w:ind w:firstLine="420" w:firstLineChars="0"/>
        <w:rPr>
          <w:rFonts w:hint="default" w:ascii="Cambria" w:hAnsi="Cambria" w:cs="Cambria"/>
        </w:rPr>
      </w:pPr>
      <w:r>
        <w:rPr>
          <w:rFonts w:hint="default" w:ascii="Cambria" w:hAnsi="Cambria" w:cs="Cambria"/>
        </w:rPr>
        <w:t xml:space="preserve">(3) Experts </w:t>
      </w:r>
      <w:r>
        <w:rPr>
          <w:rFonts w:hint="default" w:ascii="Cambria" w:hAnsi="Cambria" w:cs="Cambria"/>
          <w:lang w:val="en-US" w:eastAsia="zh-CN"/>
        </w:rPr>
        <w:t xml:space="preserve">for </w:t>
      </w:r>
      <w:r>
        <w:rPr>
          <w:rFonts w:hint="default" w:ascii="Cambria" w:hAnsi="Cambria" w:cs="Cambria"/>
        </w:rPr>
        <w:t>Standard Drafting</w:t>
      </w:r>
    </w:p>
    <w:p w14:paraId="4A79EE89">
      <w:pPr>
        <w:ind w:firstLine="420" w:firstLineChars="0"/>
        <w:rPr>
          <w:rFonts w:hint="default" w:ascii="Cambria" w:hAnsi="Cambria" w:cs="Cambria"/>
        </w:rPr>
      </w:pPr>
      <w:r>
        <w:rPr>
          <w:rFonts w:hint="default" w:ascii="Cambria" w:hAnsi="Cambria" w:cs="Cambria"/>
          <w:lang w:val="en-US" w:eastAsia="zh-CN"/>
        </w:rPr>
        <w:t>This guideline was compiled under the guidance of the pediatric expert steering group. Based on their participation, the drafters are classified into principal drafters, participating drafters (both belonging to the project working group), and consulting and accreditation experts.</w:t>
      </w:r>
      <w:r>
        <w:rPr>
          <w:rFonts w:hint="default" w:ascii="Cambria" w:hAnsi="Cambria" w:cs="Cambria"/>
        </w:rPr>
        <w:t xml:space="preserve"> Information about relevant personnel and their work is as follows.</w:t>
      </w:r>
    </w:p>
    <w:p w14:paraId="09CE7A92">
      <w:pPr>
        <w:rPr>
          <w:rFonts w:hint="default" w:ascii="Cambria" w:hAnsi="Cambria" w:cs="Cambria" w:eastAsiaTheme="minorEastAsia"/>
          <w:lang w:eastAsia="zh-CN"/>
        </w:rPr>
      </w:pPr>
      <w:r>
        <w:rPr>
          <w:rFonts w:hint="default" w:ascii="Cambria" w:hAnsi="Cambria" w:cs="Cambria"/>
        </w:rPr>
        <w:t xml:space="preserve">1. </w:t>
      </w:r>
      <w:r>
        <w:rPr>
          <w:rFonts w:hint="default" w:ascii="Cambria" w:hAnsi="Cambria" w:cs="Cambria"/>
          <w:lang w:val="en-US" w:eastAsia="zh-CN"/>
        </w:rPr>
        <w:t xml:space="preserve">Principal </w:t>
      </w:r>
      <w:r>
        <w:rPr>
          <w:rFonts w:hint="default" w:ascii="Cambria" w:hAnsi="Cambria" w:cs="Cambria"/>
        </w:rPr>
        <w:t>Drafters</w:t>
      </w:r>
    </w:p>
    <w:tbl>
      <w:tblPr>
        <w:tblStyle w:val="6"/>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84"/>
        <w:gridCol w:w="1208"/>
        <w:gridCol w:w="2376"/>
        <w:gridCol w:w="1914"/>
        <w:gridCol w:w="3075"/>
      </w:tblGrid>
      <w:tr w14:paraId="696FD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56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B6FE6AD">
            <w:pPr>
              <w:jc w:val="left"/>
              <w:rPr>
                <w:rFonts w:hint="default" w:ascii="Cambria" w:hAnsi="Cambria" w:cs="Cambria"/>
              </w:rPr>
            </w:pPr>
            <w:r>
              <w:rPr>
                <w:rFonts w:hint="default" w:ascii="Cambria" w:hAnsi="Cambria" w:cs="Cambria"/>
                <w:lang w:val="en-US" w:eastAsia="zh-CN"/>
              </w:rPr>
              <w:t>Name</w:t>
            </w:r>
          </w:p>
        </w:tc>
        <w:tc>
          <w:tcPr>
            <w:tcW w:w="625"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E5B5A48">
            <w:pPr>
              <w:jc w:val="left"/>
              <w:rPr>
                <w:rFonts w:hint="default" w:ascii="Cambria" w:hAnsi="Cambria" w:cs="Cambria"/>
              </w:rPr>
            </w:pPr>
            <w:r>
              <w:rPr>
                <w:rFonts w:hint="default" w:ascii="Cambria" w:hAnsi="Cambria" w:cs="Cambria"/>
                <w:lang w:val="en-US" w:eastAsia="zh-CN"/>
              </w:rPr>
              <w:t>Degree</w:t>
            </w:r>
          </w:p>
        </w:tc>
        <w:tc>
          <w:tcPr>
            <w:tcW w:w="123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C1C923C">
            <w:pPr>
              <w:jc w:val="left"/>
              <w:rPr>
                <w:rFonts w:hint="default" w:ascii="Cambria" w:hAnsi="Cambria" w:cs="Cambria"/>
              </w:rPr>
            </w:pPr>
            <w:r>
              <w:rPr>
                <w:rFonts w:hint="default" w:ascii="Cambria" w:hAnsi="Cambria" w:cs="Cambria"/>
                <w:lang w:val="en-US" w:eastAsia="zh-CN"/>
              </w:rPr>
              <w:t>Professional Title</w:t>
            </w:r>
          </w:p>
        </w:tc>
        <w:tc>
          <w:tcPr>
            <w:tcW w:w="99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D00041C">
            <w:pPr>
              <w:jc w:val="left"/>
              <w:rPr>
                <w:rFonts w:hint="default" w:ascii="Cambria" w:hAnsi="Cambria" w:cs="Cambria"/>
              </w:rPr>
            </w:pPr>
            <w:r>
              <w:rPr>
                <w:rFonts w:hint="default" w:ascii="Cambria" w:hAnsi="Cambria" w:cs="Cambria"/>
                <w:lang w:val="en-US" w:eastAsia="zh-CN"/>
              </w:rPr>
              <w:t>Affiliation</w:t>
            </w:r>
          </w:p>
        </w:tc>
        <w:tc>
          <w:tcPr>
            <w:tcW w:w="159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95102F4">
            <w:pPr>
              <w:jc w:val="left"/>
              <w:rPr>
                <w:rFonts w:hint="default" w:ascii="Cambria" w:hAnsi="Cambria" w:cs="Cambria"/>
              </w:rPr>
            </w:pPr>
            <w:r>
              <w:rPr>
                <w:rFonts w:hint="default" w:ascii="Cambria" w:hAnsi="Cambria" w:cs="Cambria"/>
                <w:lang w:val="en-US" w:eastAsia="zh-CN"/>
              </w:rPr>
              <w:t>Responsibilities</w:t>
            </w:r>
          </w:p>
        </w:tc>
      </w:tr>
      <w:tr w14:paraId="69521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56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6C455B3">
            <w:pPr>
              <w:jc w:val="left"/>
              <w:rPr>
                <w:rFonts w:hint="default" w:ascii="Cambria" w:hAnsi="Cambria" w:cs="Cambria"/>
              </w:rPr>
            </w:pPr>
            <w:r>
              <w:rPr>
                <w:rFonts w:hint="default" w:ascii="Cambria" w:hAnsi="Cambria" w:cs="Cambria"/>
                <w:lang w:val="en-US" w:eastAsia="zh-CN"/>
              </w:rPr>
              <w:t>Han Xinmin</w:t>
            </w:r>
          </w:p>
        </w:tc>
        <w:tc>
          <w:tcPr>
            <w:tcW w:w="625"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67D47EE">
            <w:pPr>
              <w:jc w:val="left"/>
              <w:rPr>
                <w:rFonts w:hint="default" w:ascii="Cambria" w:hAnsi="Cambria" w:cs="Cambria"/>
              </w:rPr>
            </w:pPr>
            <w:r>
              <w:rPr>
                <w:rFonts w:hint="default" w:ascii="Cambria" w:hAnsi="Cambria" w:cs="Cambria"/>
                <w:lang w:val="en-US" w:eastAsia="zh-CN"/>
              </w:rPr>
              <w:t>Doctor</w:t>
            </w:r>
          </w:p>
        </w:tc>
        <w:tc>
          <w:tcPr>
            <w:tcW w:w="123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C10F05F">
            <w:pPr>
              <w:jc w:val="left"/>
              <w:rPr>
                <w:rFonts w:hint="default" w:ascii="Cambria" w:hAnsi="Cambria" w:cs="Cambria"/>
              </w:rPr>
            </w:pPr>
            <w:r>
              <w:rPr>
                <w:rFonts w:hint="default" w:ascii="Cambria" w:hAnsi="Cambria" w:cs="Cambria"/>
                <w:lang w:val="en-US" w:eastAsia="zh-CN"/>
              </w:rPr>
              <w:t>Professor, Chief Physician, Doctoral Supervisor</w:t>
            </w:r>
          </w:p>
        </w:tc>
        <w:tc>
          <w:tcPr>
            <w:tcW w:w="99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0FE93F3">
            <w:pPr>
              <w:jc w:val="left"/>
              <w:rPr>
                <w:rFonts w:hint="default" w:ascii="Cambria" w:hAnsi="Cambria" w:cs="Cambria"/>
              </w:rPr>
            </w:pPr>
            <w:r>
              <w:rPr>
                <w:rFonts w:hint="default" w:ascii="Cambria" w:hAnsi="Cambria" w:cs="Cambria"/>
                <w:lang w:val="en-US" w:eastAsia="zh-CN"/>
              </w:rPr>
              <w:t>Nanjing University of Chinese Medicine</w:t>
            </w:r>
          </w:p>
        </w:tc>
        <w:tc>
          <w:tcPr>
            <w:tcW w:w="159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57AF8C5">
            <w:pPr>
              <w:jc w:val="left"/>
              <w:rPr>
                <w:rFonts w:hint="default" w:ascii="Cambria" w:hAnsi="Cambria" w:cs="Cambria"/>
              </w:rPr>
            </w:pPr>
            <w:r>
              <w:rPr>
                <w:rFonts w:hint="default" w:ascii="Cambria" w:hAnsi="Cambria" w:cs="Cambria"/>
                <w:lang w:val="en-US" w:eastAsia="zh-CN"/>
              </w:rPr>
              <w:t>Responsible for the compilation of ISMCMP-CT. Participated in drafting and modifying the draft, and organized the declaration, implementation, and summary.</w:t>
            </w:r>
          </w:p>
        </w:tc>
      </w:tr>
      <w:tr w14:paraId="48909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56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AD3D834">
            <w:pPr>
              <w:jc w:val="left"/>
              <w:rPr>
                <w:rFonts w:hint="default" w:ascii="Cambria" w:hAnsi="Cambria" w:cs="Cambria"/>
              </w:rPr>
            </w:pPr>
            <w:r>
              <w:rPr>
                <w:rFonts w:hint="default" w:ascii="Cambria" w:hAnsi="Cambria" w:cs="Cambria"/>
                <w:lang w:val="en-US" w:eastAsia="zh-CN"/>
              </w:rPr>
              <w:t>Yang Meng</w:t>
            </w:r>
          </w:p>
        </w:tc>
        <w:tc>
          <w:tcPr>
            <w:tcW w:w="625"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3CC8C5C">
            <w:pPr>
              <w:jc w:val="left"/>
              <w:rPr>
                <w:rFonts w:hint="default" w:ascii="Cambria" w:hAnsi="Cambria" w:cs="Cambria"/>
              </w:rPr>
            </w:pPr>
            <w:r>
              <w:rPr>
                <w:rFonts w:hint="default" w:ascii="Cambria" w:hAnsi="Cambria" w:cs="Cambria"/>
                <w:lang w:val="en-US" w:eastAsia="zh-CN"/>
              </w:rPr>
              <w:t>Doctor</w:t>
            </w:r>
          </w:p>
        </w:tc>
        <w:tc>
          <w:tcPr>
            <w:tcW w:w="123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28A75EC">
            <w:pPr>
              <w:jc w:val="left"/>
              <w:rPr>
                <w:rFonts w:hint="default" w:ascii="Cambria" w:hAnsi="Cambria" w:cs="Cambria"/>
              </w:rPr>
            </w:pPr>
            <w:r>
              <w:rPr>
                <w:rFonts w:hint="default" w:ascii="Cambria" w:hAnsi="Cambria" w:cs="Cambria"/>
                <w:lang w:val="en-US" w:eastAsia="zh-CN"/>
              </w:rPr>
              <w:t>Lecturer, Attending TCM Physician</w:t>
            </w:r>
          </w:p>
        </w:tc>
        <w:tc>
          <w:tcPr>
            <w:tcW w:w="99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C3AC670">
            <w:pPr>
              <w:jc w:val="left"/>
              <w:rPr>
                <w:rFonts w:hint="default" w:ascii="Cambria" w:hAnsi="Cambria" w:cs="Cambria"/>
              </w:rPr>
            </w:pPr>
            <w:r>
              <w:rPr>
                <w:rFonts w:hint="default" w:ascii="Cambria" w:hAnsi="Cambria" w:cs="Cambria"/>
                <w:lang w:val="en-US" w:eastAsia="zh-CN"/>
              </w:rPr>
              <w:t>Institute of TCM Literature, Nanjing University of Chinese Medicine</w:t>
            </w:r>
          </w:p>
        </w:tc>
        <w:tc>
          <w:tcPr>
            <w:tcW w:w="159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4CB86C9">
            <w:pPr>
              <w:jc w:val="left"/>
              <w:rPr>
                <w:rFonts w:hint="default" w:ascii="Cambria" w:hAnsi="Cambria" w:cs="Cambria"/>
              </w:rPr>
            </w:pPr>
            <w:r>
              <w:rPr>
                <w:rFonts w:hint="default" w:ascii="Cambria" w:hAnsi="Cambria" w:cs="Cambria"/>
                <w:lang w:val="en-US" w:eastAsia="zh-CN"/>
              </w:rPr>
              <w:t>Participated in literature research, drafting of ISMCMP-CT and work discussions, etc.</w:t>
            </w:r>
          </w:p>
        </w:tc>
      </w:tr>
      <w:tr w14:paraId="79473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56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1D4C8ED">
            <w:pPr>
              <w:jc w:val="left"/>
              <w:rPr>
                <w:rFonts w:hint="default" w:ascii="Cambria" w:hAnsi="Cambria" w:cs="Cambria"/>
              </w:rPr>
            </w:pPr>
            <w:r>
              <w:rPr>
                <w:rFonts w:hint="default" w:ascii="Cambria" w:hAnsi="Cambria" w:cs="Cambria"/>
                <w:lang w:val="en-US" w:eastAsia="zh-CN"/>
              </w:rPr>
              <w:t>Yin Dongqi</w:t>
            </w:r>
          </w:p>
        </w:tc>
        <w:tc>
          <w:tcPr>
            <w:tcW w:w="625"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0228B7C">
            <w:pPr>
              <w:jc w:val="left"/>
              <w:rPr>
                <w:rFonts w:hint="default" w:ascii="Cambria" w:hAnsi="Cambria" w:cs="Cambria"/>
              </w:rPr>
            </w:pPr>
            <w:r>
              <w:rPr>
                <w:rFonts w:hint="default" w:ascii="Cambria" w:hAnsi="Cambria" w:cs="Cambria"/>
                <w:lang w:val="en-US" w:eastAsia="zh-CN"/>
              </w:rPr>
              <w:t>Master</w:t>
            </w:r>
          </w:p>
        </w:tc>
        <w:tc>
          <w:tcPr>
            <w:tcW w:w="123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4E32EAF">
            <w:pPr>
              <w:jc w:val="left"/>
              <w:rPr>
                <w:rFonts w:hint="default" w:ascii="Cambria" w:hAnsi="Cambria" w:cs="Cambria"/>
              </w:rPr>
            </w:pPr>
            <w:r>
              <w:rPr>
                <w:rFonts w:hint="default" w:ascii="Cambria" w:hAnsi="Cambria" w:cs="Cambria"/>
                <w:lang w:val="en-US" w:eastAsia="zh-CN"/>
              </w:rPr>
              <w:t>Lecturer, Attending Physician</w:t>
            </w:r>
          </w:p>
        </w:tc>
        <w:tc>
          <w:tcPr>
            <w:tcW w:w="99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255139E">
            <w:pPr>
              <w:jc w:val="left"/>
              <w:rPr>
                <w:rFonts w:hint="default" w:ascii="Cambria" w:hAnsi="Cambria" w:cs="Cambria"/>
              </w:rPr>
            </w:pPr>
            <w:r>
              <w:rPr>
                <w:rFonts w:hint="default" w:ascii="Cambria" w:hAnsi="Cambria" w:cs="Cambria"/>
                <w:lang w:val="en-US" w:eastAsia="zh-CN"/>
              </w:rPr>
              <w:t>Nanjing University of Chinese Medicine</w:t>
            </w:r>
          </w:p>
        </w:tc>
        <w:tc>
          <w:tcPr>
            <w:tcW w:w="159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CEEBBF0">
            <w:pPr>
              <w:jc w:val="left"/>
              <w:rPr>
                <w:rFonts w:hint="default" w:ascii="Cambria" w:hAnsi="Cambria" w:cs="Cambria"/>
              </w:rPr>
            </w:pPr>
            <w:r>
              <w:rPr>
                <w:rFonts w:hint="default" w:ascii="Cambria" w:hAnsi="Cambria" w:cs="Cambria"/>
                <w:lang w:val="en-US" w:eastAsia="zh-CN"/>
              </w:rPr>
              <w:t>Participated in drafting and modification of ISMCMP-CT, and work discussions, etc.</w:t>
            </w:r>
          </w:p>
        </w:tc>
      </w:tr>
      <w:tr w14:paraId="27163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56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7ABB6EA">
            <w:pPr>
              <w:jc w:val="left"/>
              <w:rPr>
                <w:rFonts w:hint="default" w:ascii="Cambria" w:hAnsi="Cambria" w:cs="Cambria"/>
                <w:lang w:val="en-US" w:eastAsia="zh-CN"/>
              </w:rPr>
            </w:pPr>
            <w:r>
              <w:rPr>
                <w:rFonts w:hint="default" w:ascii="Cambria" w:hAnsi="Cambria" w:cs="Cambria"/>
                <w:lang w:val="en-US" w:eastAsia="zh-CN"/>
              </w:rPr>
              <w:t>Wang Shou</w:t>
            </w:r>
          </w:p>
          <w:p w14:paraId="1002C402">
            <w:pPr>
              <w:jc w:val="left"/>
              <w:rPr>
                <w:rFonts w:hint="default" w:ascii="Cambria" w:hAnsi="Cambria" w:cs="Cambria"/>
              </w:rPr>
            </w:pPr>
            <w:r>
              <w:rPr>
                <w:rFonts w:hint="default" w:ascii="Cambria" w:hAnsi="Cambria" w:cs="Cambria"/>
                <w:lang w:val="en-US" w:eastAsia="zh-CN"/>
              </w:rPr>
              <w:t>chuan</w:t>
            </w:r>
          </w:p>
        </w:tc>
        <w:tc>
          <w:tcPr>
            <w:tcW w:w="625"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3E4D86F">
            <w:pPr>
              <w:jc w:val="left"/>
              <w:rPr>
                <w:rFonts w:hint="default" w:ascii="Cambria" w:hAnsi="Cambria" w:cs="Cambria"/>
              </w:rPr>
            </w:pPr>
            <w:r>
              <w:rPr>
                <w:rFonts w:hint="default" w:ascii="Cambria" w:hAnsi="Cambria" w:cs="Cambria"/>
                <w:lang w:val="en-US" w:eastAsia="zh-CN"/>
              </w:rPr>
              <w:t>Master</w:t>
            </w:r>
          </w:p>
        </w:tc>
        <w:tc>
          <w:tcPr>
            <w:tcW w:w="123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8F95C88">
            <w:pPr>
              <w:jc w:val="left"/>
              <w:rPr>
                <w:rFonts w:hint="default" w:ascii="Cambria" w:hAnsi="Cambria" w:cs="Cambria"/>
              </w:rPr>
            </w:pPr>
            <w:r>
              <w:rPr>
                <w:rFonts w:hint="default" w:ascii="Cambria" w:hAnsi="Cambria" w:cs="Cambria"/>
                <w:lang w:val="en-US" w:eastAsia="zh-CN"/>
              </w:rPr>
              <w:t>Professor, Chief Physician, Doctoral Supervisor</w:t>
            </w:r>
          </w:p>
        </w:tc>
        <w:tc>
          <w:tcPr>
            <w:tcW w:w="99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D4D843C">
            <w:pPr>
              <w:jc w:val="left"/>
              <w:rPr>
                <w:rFonts w:hint="default" w:ascii="Cambria" w:hAnsi="Cambria" w:cs="Cambria"/>
              </w:rPr>
            </w:pPr>
            <w:r>
              <w:rPr>
                <w:rFonts w:hint="default" w:ascii="Cambria" w:hAnsi="Cambria" w:cs="Cambria"/>
                <w:lang w:val="en-US" w:eastAsia="zh-CN"/>
              </w:rPr>
              <w:t>Nanjing University of Chinese Medicine</w:t>
            </w:r>
          </w:p>
        </w:tc>
        <w:tc>
          <w:tcPr>
            <w:tcW w:w="159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08D9641">
            <w:pPr>
              <w:jc w:val="left"/>
              <w:rPr>
                <w:rFonts w:hint="default" w:ascii="Cambria" w:hAnsi="Cambria" w:cs="Cambria"/>
              </w:rPr>
            </w:pPr>
            <w:r>
              <w:rPr>
                <w:rFonts w:hint="default" w:ascii="Cambria" w:hAnsi="Cambria" w:cs="Cambria"/>
                <w:lang w:val="en-US" w:eastAsia="zh-CN"/>
              </w:rPr>
              <w:t>Participated in drafting and modification of ISMCMP-CT, and work discussions, etc.</w:t>
            </w:r>
          </w:p>
        </w:tc>
      </w:tr>
      <w:tr w14:paraId="6A175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56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9DDC4F4">
            <w:pPr>
              <w:jc w:val="left"/>
              <w:rPr>
                <w:rFonts w:hint="default" w:ascii="Cambria" w:hAnsi="Cambria" w:cs="Cambria"/>
              </w:rPr>
            </w:pPr>
            <w:r>
              <w:rPr>
                <w:rFonts w:hint="default" w:ascii="Cambria" w:hAnsi="Cambria" w:cs="Cambria"/>
                <w:lang w:val="en-US" w:eastAsia="zh-CN"/>
              </w:rPr>
              <w:t>Yang Jiang</w:t>
            </w:r>
          </w:p>
        </w:tc>
        <w:tc>
          <w:tcPr>
            <w:tcW w:w="625"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EAE271A">
            <w:pPr>
              <w:jc w:val="left"/>
              <w:rPr>
                <w:rFonts w:hint="default" w:ascii="Cambria" w:hAnsi="Cambria" w:cs="Cambria"/>
              </w:rPr>
            </w:pPr>
            <w:r>
              <w:rPr>
                <w:rFonts w:hint="default" w:ascii="Cambria" w:hAnsi="Cambria" w:cs="Cambria"/>
                <w:lang w:val="en-US" w:eastAsia="zh-CN"/>
              </w:rPr>
              <w:t>Master</w:t>
            </w:r>
          </w:p>
        </w:tc>
        <w:tc>
          <w:tcPr>
            <w:tcW w:w="123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91BFBED">
            <w:pPr>
              <w:jc w:val="left"/>
              <w:rPr>
                <w:rFonts w:hint="default" w:ascii="Cambria" w:hAnsi="Cambria" w:cs="Cambria"/>
              </w:rPr>
            </w:pPr>
            <w:r>
              <w:rPr>
                <w:rFonts w:hint="default" w:ascii="Cambria" w:hAnsi="Cambria" w:cs="Cambria"/>
                <w:lang w:val="en-US" w:eastAsia="zh-CN"/>
              </w:rPr>
              <w:t>Chief Physician</w:t>
            </w:r>
          </w:p>
        </w:tc>
        <w:tc>
          <w:tcPr>
            <w:tcW w:w="99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5C711F6">
            <w:pPr>
              <w:jc w:val="left"/>
              <w:rPr>
                <w:rFonts w:hint="default" w:ascii="Cambria" w:hAnsi="Cambria" w:cs="Cambria"/>
              </w:rPr>
            </w:pPr>
            <w:r>
              <w:rPr>
                <w:rFonts w:hint="default" w:ascii="Cambria" w:hAnsi="Cambria" w:cs="Cambria"/>
                <w:lang w:val="en-US" w:eastAsia="zh-CN"/>
              </w:rPr>
              <w:t>The Affiliated Hospital of Nanjing University of Chinese Medicine</w:t>
            </w:r>
          </w:p>
        </w:tc>
        <w:tc>
          <w:tcPr>
            <w:tcW w:w="159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9C684E9">
            <w:pPr>
              <w:jc w:val="left"/>
              <w:rPr>
                <w:rFonts w:hint="default" w:ascii="Cambria" w:hAnsi="Cambria" w:cs="Cambria"/>
                <w:lang w:val="en-US" w:eastAsia="zh-CN"/>
              </w:rPr>
            </w:pPr>
            <w:r>
              <w:rPr>
                <w:rFonts w:hint="default" w:ascii="Cambria" w:hAnsi="Cambria" w:cs="Cambria"/>
                <w:lang w:val="en-US" w:eastAsia="zh-CN"/>
              </w:rPr>
              <w:t>Participated in literature research, drafting and modification of ISMCMP</w:t>
            </w:r>
          </w:p>
          <w:p w14:paraId="11B4C31A">
            <w:pPr>
              <w:jc w:val="left"/>
              <w:rPr>
                <w:rFonts w:hint="default" w:ascii="Cambria" w:hAnsi="Cambria" w:cs="Cambria"/>
              </w:rPr>
            </w:pPr>
            <w:r>
              <w:rPr>
                <w:rFonts w:hint="default" w:ascii="Cambria" w:hAnsi="Cambria" w:cs="Cambria"/>
                <w:lang w:val="en-US" w:eastAsia="zh-CN"/>
              </w:rPr>
              <w:t>(Part 1) , drafted formulation explanation, and took part in work discussions, etc.</w:t>
            </w:r>
          </w:p>
        </w:tc>
      </w:tr>
    </w:tbl>
    <w:p w14:paraId="70D187CE">
      <w:pPr>
        <w:ind w:firstLine="420" w:firstLineChars="0"/>
        <w:jc w:val="left"/>
        <w:rPr>
          <w:rFonts w:hint="default" w:ascii="Cambria" w:hAnsi="Cambria" w:cs="Cambria"/>
        </w:rPr>
      </w:pPr>
    </w:p>
    <w:p w14:paraId="3741400E">
      <w:pPr>
        <w:ind w:firstLine="420" w:firstLineChars="0"/>
        <w:jc w:val="left"/>
        <w:rPr>
          <w:rFonts w:hint="default" w:ascii="Cambria" w:hAnsi="Cambria" w:cs="Cambria"/>
        </w:rPr>
      </w:pPr>
    </w:p>
    <w:p w14:paraId="0F90BD0E">
      <w:pPr>
        <w:ind w:firstLine="420" w:firstLineChars="0"/>
        <w:jc w:val="left"/>
        <w:rPr>
          <w:rFonts w:hint="default" w:ascii="Cambria" w:hAnsi="Cambria" w:cs="Cambria"/>
          <w:lang w:eastAsia="zh-CN"/>
        </w:rPr>
      </w:pPr>
      <w:r>
        <w:rPr>
          <w:rFonts w:hint="default" w:ascii="Cambria" w:hAnsi="Cambria" w:cs="Cambria"/>
        </w:rPr>
        <w:t>2. Participating Drafters</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294"/>
        <w:gridCol w:w="1038"/>
        <w:gridCol w:w="1968"/>
        <w:gridCol w:w="2385"/>
        <w:gridCol w:w="2972"/>
      </w:tblGrid>
      <w:tr w14:paraId="5024A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2CA4ED2">
            <w:pPr>
              <w:jc w:val="left"/>
              <w:rPr>
                <w:rFonts w:hint="default" w:ascii="Cambria" w:hAnsi="Cambria" w:cs="Cambria"/>
              </w:rPr>
            </w:pPr>
            <w:r>
              <w:rPr>
                <w:rFonts w:hint="default" w:ascii="Cambria" w:hAnsi="Cambria" w:cs="Cambria"/>
                <w:lang w:val="en-US" w:eastAsia="zh-CN"/>
              </w:rPr>
              <w:t>Name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77DA3C4">
            <w:pPr>
              <w:jc w:val="left"/>
              <w:rPr>
                <w:rFonts w:hint="default" w:ascii="Cambria" w:hAnsi="Cambria" w:cs="Cambria"/>
              </w:rPr>
            </w:pPr>
            <w:r>
              <w:rPr>
                <w:rFonts w:hint="default" w:ascii="Cambria" w:hAnsi="Cambria" w:cs="Cambria"/>
                <w:lang w:val="en-US" w:eastAsia="zh-CN"/>
              </w:rPr>
              <w:t>Degree</w:t>
            </w:r>
          </w:p>
        </w:tc>
        <w:tc>
          <w:tcPr>
            <w:tcW w:w="1019"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AF3D4FA">
            <w:pPr>
              <w:jc w:val="left"/>
              <w:rPr>
                <w:rFonts w:hint="default" w:ascii="Cambria" w:hAnsi="Cambria" w:cs="Cambria"/>
              </w:rPr>
            </w:pPr>
            <w:r>
              <w:rPr>
                <w:rFonts w:hint="default" w:ascii="Cambria" w:hAnsi="Cambria" w:cs="Cambria"/>
                <w:lang w:val="en-US" w:eastAsia="zh-CN"/>
              </w:rPr>
              <w:t>Professional Title</w:t>
            </w:r>
          </w:p>
        </w:tc>
        <w:tc>
          <w:tcPr>
            <w:tcW w:w="1235"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4FDFB5A">
            <w:pPr>
              <w:jc w:val="left"/>
              <w:rPr>
                <w:rFonts w:hint="default" w:ascii="Cambria" w:hAnsi="Cambria" w:cs="Cambria"/>
              </w:rPr>
            </w:pPr>
            <w:r>
              <w:rPr>
                <w:rFonts w:hint="default" w:ascii="Cambria" w:hAnsi="Cambria" w:cs="Cambria"/>
                <w:lang w:val="en-US" w:eastAsia="zh-CN"/>
              </w:rPr>
              <w:t>Affiliation</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8FE1A0F">
            <w:pPr>
              <w:jc w:val="left"/>
              <w:rPr>
                <w:rFonts w:hint="default" w:ascii="Cambria" w:hAnsi="Cambria" w:cs="Cambria"/>
              </w:rPr>
            </w:pPr>
            <w:r>
              <w:rPr>
                <w:rFonts w:hint="default" w:ascii="Cambria" w:hAnsi="Cambria" w:cs="Cambria"/>
                <w:lang w:val="en-US" w:eastAsia="zh-CN"/>
              </w:rPr>
              <w:t>Responsibilities</w:t>
            </w:r>
          </w:p>
        </w:tc>
      </w:tr>
      <w:tr w14:paraId="28C61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992A510">
            <w:pPr>
              <w:jc w:val="left"/>
              <w:rPr>
                <w:rFonts w:hint="default" w:ascii="Cambria" w:hAnsi="Cambria" w:cs="Cambria"/>
              </w:rPr>
            </w:pPr>
            <w:r>
              <w:rPr>
                <w:rFonts w:hint="default" w:ascii="Cambria" w:hAnsi="Cambria" w:cs="Cambria"/>
                <w:lang w:val="en-US" w:eastAsia="zh-CN"/>
              </w:rPr>
              <w:t>Xu Yanzhi</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FD9665A">
            <w:pPr>
              <w:jc w:val="left"/>
              <w:rPr>
                <w:rFonts w:hint="default" w:ascii="Cambria" w:hAnsi="Cambria" w:cs="Cambria"/>
              </w:rPr>
            </w:pPr>
            <w:r>
              <w:rPr>
                <w:rFonts w:hint="default" w:ascii="Cambria" w:hAnsi="Cambria" w:cs="Cambria"/>
                <w:lang w:val="en-US" w:eastAsia="zh-CN"/>
              </w:rPr>
              <w:t>Bachelor</w:t>
            </w:r>
          </w:p>
        </w:tc>
        <w:tc>
          <w:tcPr>
            <w:tcW w:w="1019"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C96E09D">
            <w:pPr>
              <w:jc w:val="left"/>
              <w:rPr>
                <w:rFonts w:hint="default" w:ascii="Cambria" w:hAnsi="Cambria" w:cs="Cambria"/>
              </w:rPr>
            </w:pPr>
            <w:r>
              <w:rPr>
                <w:rFonts w:hint="default" w:ascii="Cambria" w:hAnsi="Cambria" w:cs="Cambria"/>
                <w:lang w:val="en-US" w:eastAsia="zh-CN"/>
              </w:rPr>
              <w:t>TCM Physician</w:t>
            </w:r>
          </w:p>
        </w:tc>
        <w:tc>
          <w:tcPr>
            <w:tcW w:w="1235"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8A6A245">
            <w:pPr>
              <w:jc w:val="left"/>
              <w:rPr>
                <w:rFonts w:hint="default" w:ascii="Cambria" w:hAnsi="Cambria" w:cs="Cambria"/>
              </w:rPr>
            </w:pPr>
            <w:r>
              <w:rPr>
                <w:rFonts w:hint="default" w:ascii="Cambria" w:hAnsi="Cambria" w:cs="Cambria"/>
                <w:lang w:val="en-US" w:eastAsia="zh-CN"/>
              </w:rPr>
              <w:t>TCM Regulatory Council of Ontario, Canada</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6773A3A">
            <w:pPr>
              <w:jc w:val="left"/>
              <w:rPr>
                <w:rFonts w:hint="default" w:ascii="Cambria" w:hAnsi="Cambria" w:cs="Cambria"/>
                <w:lang w:val="en-US" w:eastAsia="zh-CN"/>
              </w:rPr>
            </w:pPr>
            <w:r>
              <w:rPr>
                <w:rFonts w:hint="default" w:ascii="Cambria" w:hAnsi="Cambria" w:cs="Cambria"/>
                <w:lang w:val="en-US" w:eastAsia="zh-CN"/>
              </w:rPr>
              <w:t xml:space="preserve">expert questionnaire survey and </w:t>
            </w:r>
          </w:p>
          <w:p w14:paraId="08A704F4">
            <w:pPr>
              <w:jc w:val="left"/>
              <w:rPr>
                <w:rFonts w:hint="default" w:ascii="Cambria" w:hAnsi="Cambria" w:cs="Cambria"/>
              </w:rPr>
            </w:pPr>
            <w:r>
              <w:rPr>
                <w:rFonts w:hint="default" w:ascii="Cambria" w:hAnsi="Cambria" w:cs="Cambria"/>
                <w:lang w:val="en-US" w:eastAsia="zh-CN"/>
              </w:rPr>
              <w:t>work discussions</w:t>
            </w:r>
          </w:p>
        </w:tc>
      </w:tr>
      <w:tr w14:paraId="392A4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51B1DD6">
            <w:pPr>
              <w:jc w:val="left"/>
              <w:rPr>
                <w:rFonts w:hint="default" w:ascii="Cambria" w:hAnsi="Cambria" w:cs="Cambria"/>
              </w:rPr>
            </w:pPr>
            <w:r>
              <w:rPr>
                <w:rFonts w:hint="default" w:ascii="Cambria" w:hAnsi="Cambria" w:cs="Cambria"/>
                <w:lang w:val="en-US" w:eastAsia="zh-CN"/>
              </w:rPr>
              <w:t>Gao Xiufang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44574BA">
            <w:pPr>
              <w:jc w:val="left"/>
              <w:rPr>
                <w:rFonts w:hint="default" w:ascii="Cambria" w:hAnsi="Cambria" w:cs="Cambria"/>
              </w:rPr>
            </w:pPr>
            <w:r>
              <w:rPr>
                <w:rFonts w:hint="default" w:ascii="Cambria" w:hAnsi="Cambria" w:cs="Cambria"/>
                <w:lang w:val="en-US" w:eastAsia="zh-CN"/>
              </w:rPr>
              <w:t>Master</w:t>
            </w:r>
          </w:p>
        </w:tc>
        <w:tc>
          <w:tcPr>
            <w:tcW w:w="1019"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D902195">
            <w:pPr>
              <w:jc w:val="left"/>
              <w:rPr>
                <w:rFonts w:hint="default" w:ascii="Cambria" w:hAnsi="Cambria" w:cs="Cambria"/>
              </w:rPr>
            </w:pPr>
            <w:r>
              <w:rPr>
                <w:rFonts w:hint="default" w:ascii="Cambria" w:hAnsi="Cambria" w:cs="Cambria"/>
                <w:lang w:val="en-US" w:eastAsia="zh-CN"/>
              </w:rPr>
              <w:t>TCM Physician</w:t>
            </w:r>
          </w:p>
        </w:tc>
        <w:tc>
          <w:tcPr>
            <w:tcW w:w="1235"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DD45BEC">
            <w:pPr>
              <w:jc w:val="left"/>
              <w:rPr>
                <w:rFonts w:hint="default" w:ascii="Cambria" w:hAnsi="Cambria" w:cs="Cambria"/>
              </w:rPr>
            </w:pPr>
            <w:r>
              <w:rPr>
                <w:rFonts w:hint="default" w:ascii="Cambria" w:hAnsi="Cambria" w:cs="Cambria"/>
                <w:lang w:val="en-US" w:eastAsia="zh-CN"/>
              </w:rPr>
              <w:t>Institute of Child and Family Development, Mahidol University</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72827B0">
            <w:pPr>
              <w:jc w:val="left"/>
              <w:rPr>
                <w:rFonts w:hint="default" w:ascii="Cambria" w:hAnsi="Cambria" w:cs="Cambria"/>
                <w:lang w:val="en-US" w:eastAsia="zh-CN"/>
              </w:rPr>
            </w:pPr>
            <w:r>
              <w:rPr>
                <w:rFonts w:hint="default" w:ascii="Cambria" w:hAnsi="Cambria" w:cs="Cambria"/>
                <w:lang w:val="en-US" w:eastAsia="zh-CN"/>
              </w:rPr>
              <w:t xml:space="preserve">expert questionnaire survey and </w:t>
            </w:r>
          </w:p>
          <w:p w14:paraId="5CB5BC3A">
            <w:pPr>
              <w:jc w:val="left"/>
              <w:rPr>
                <w:rFonts w:hint="default" w:ascii="Cambria" w:hAnsi="Cambria" w:cs="Cambria"/>
              </w:rPr>
            </w:pPr>
            <w:r>
              <w:rPr>
                <w:rFonts w:hint="default" w:ascii="Cambria" w:hAnsi="Cambria" w:cs="Cambria"/>
                <w:lang w:val="en-US" w:eastAsia="zh-CN"/>
              </w:rPr>
              <w:t>work discussions</w:t>
            </w:r>
          </w:p>
        </w:tc>
      </w:tr>
      <w:tr w14:paraId="437B5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CB6B06B">
            <w:pPr>
              <w:jc w:val="left"/>
              <w:rPr>
                <w:rFonts w:hint="default" w:ascii="Cambria" w:hAnsi="Cambria" w:cs="Cambria"/>
              </w:rPr>
            </w:pPr>
            <w:r>
              <w:rPr>
                <w:rFonts w:hint="default" w:ascii="Cambria" w:hAnsi="Cambria" w:cs="Cambria"/>
              </w:rPr>
              <w:t xml:space="preserve">Nguyễn </w:t>
            </w:r>
          </w:p>
          <w:p w14:paraId="202B3A9A">
            <w:pPr>
              <w:jc w:val="left"/>
              <w:rPr>
                <w:rFonts w:hint="default" w:ascii="Cambria" w:hAnsi="Cambria" w:cs="Cambria"/>
              </w:rPr>
            </w:pPr>
            <w:r>
              <w:rPr>
                <w:rFonts w:hint="default" w:ascii="Cambria" w:hAnsi="Cambria" w:cs="Cambria"/>
              </w:rPr>
              <w:t>HồngMinh</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25CB131">
            <w:pPr>
              <w:jc w:val="left"/>
              <w:rPr>
                <w:rFonts w:hint="default" w:ascii="Cambria" w:hAnsi="Cambria" w:cs="Cambria"/>
              </w:rPr>
            </w:pPr>
            <w:r>
              <w:rPr>
                <w:rFonts w:hint="default" w:ascii="Cambria" w:hAnsi="Cambria" w:cs="Cambria"/>
                <w:lang w:val="en-US" w:eastAsia="zh-CN"/>
              </w:rPr>
              <w:t>Doctor</w:t>
            </w:r>
          </w:p>
        </w:tc>
        <w:tc>
          <w:tcPr>
            <w:tcW w:w="1019"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1BF703B">
            <w:pPr>
              <w:jc w:val="left"/>
              <w:rPr>
                <w:rFonts w:hint="default" w:ascii="Cambria" w:hAnsi="Cambria" w:cs="Cambria"/>
              </w:rPr>
            </w:pPr>
            <w:r>
              <w:rPr>
                <w:rFonts w:hint="default" w:ascii="Cambria" w:hAnsi="Cambria" w:cs="Cambria"/>
                <w:lang w:val="en-US" w:eastAsia="zh-CN"/>
              </w:rPr>
              <w:t>Chief Physician</w:t>
            </w:r>
          </w:p>
        </w:tc>
        <w:tc>
          <w:tcPr>
            <w:tcW w:w="1235"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A66C754">
            <w:pPr>
              <w:jc w:val="left"/>
              <w:rPr>
                <w:rFonts w:hint="default" w:ascii="Cambria" w:hAnsi="Cambria" w:cs="Cambria"/>
              </w:rPr>
            </w:pPr>
            <w:r>
              <w:rPr>
                <w:rFonts w:hint="default" w:ascii="Cambria" w:hAnsi="Cambria" w:cs="Cambria"/>
                <w:lang w:val="en-US" w:eastAsia="zh-CN"/>
              </w:rPr>
              <w:t>Vietnam National Children's Hospital</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F8BA2E1">
            <w:pPr>
              <w:jc w:val="left"/>
              <w:rPr>
                <w:rFonts w:hint="default" w:ascii="Cambria" w:hAnsi="Cambria" w:cs="Cambria"/>
                <w:lang w:val="en-US" w:eastAsia="zh-CN"/>
              </w:rPr>
            </w:pPr>
            <w:r>
              <w:rPr>
                <w:rFonts w:hint="default" w:ascii="Cambria" w:hAnsi="Cambria" w:cs="Cambria"/>
                <w:lang w:val="en-US" w:eastAsia="zh-CN"/>
              </w:rPr>
              <w:t xml:space="preserve">expert questionnaire survey and </w:t>
            </w:r>
          </w:p>
          <w:p w14:paraId="501079BB">
            <w:pPr>
              <w:jc w:val="left"/>
              <w:rPr>
                <w:rFonts w:hint="default" w:ascii="Cambria" w:hAnsi="Cambria" w:cs="Cambria"/>
              </w:rPr>
            </w:pPr>
            <w:r>
              <w:rPr>
                <w:rFonts w:hint="default" w:ascii="Cambria" w:hAnsi="Cambria" w:cs="Cambria"/>
                <w:lang w:val="en-US" w:eastAsia="zh-CN"/>
              </w:rPr>
              <w:t>work discussions</w:t>
            </w:r>
          </w:p>
        </w:tc>
      </w:tr>
      <w:tr w14:paraId="39843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8220495">
            <w:pPr>
              <w:jc w:val="left"/>
              <w:rPr>
                <w:rFonts w:hint="default" w:ascii="Cambria" w:hAnsi="Cambria" w:cs="Cambria"/>
              </w:rPr>
            </w:pPr>
            <w:r>
              <w:rPr>
                <w:rFonts w:hint="default" w:ascii="Cambria" w:hAnsi="Cambria" w:cs="Cambria"/>
                <w:lang w:val="en-US" w:eastAsia="zh-CN"/>
              </w:rPr>
              <w:t>Fan Qiuting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7B27AA5">
            <w:pPr>
              <w:jc w:val="left"/>
              <w:rPr>
                <w:rFonts w:hint="default" w:ascii="Cambria" w:hAnsi="Cambria" w:cs="Cambria"/>
              </w:rPr>
            </w:pPr>
            <w:r>
              <w:rPr>
                <w:rFonts w:hint="default" w:ascii="Cambria" w:hAnsi="Cambria" w:cs="Cambria"/>
                <w:lang w:val="en-US" w:eastAsia="zh-CN"/>
              </w:rPr>
              <w:t>Master</w:t>
            </w:r>
          </w:p>
        </w:tc>
        <w:tc>
          <w:tcPr>
            <w:tcW w:w="1019"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3D7282C">
            <w:pPr>
              <w:jc w:val="left"/>
              <w:rPr>
                <w:rFonts w:hint="default" w:ascii="Cambria" w:hAnsi="Cambria" w:cs="Cambria"/>
              </w:rPr>
            </w:pPr>
            <w:r>
              <w:rPr>
                <w:rFonts w:hint="default" w:ascii="Cambria" w:hAnsi="Cambria" w:cs="Cambria"/>
                <w:lang w:val="en-US" w:eastAsia="zh-CN"/>
              </w:rPr>
              <w:t>TCM Physician</w:t>
            </w:r>
          </w:p>
        </w:tc>
        <w:tc>
          <w:tcPr>
            <w:tcW w:w="1235"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F7D400E">
            <w:pPr>
              <w:jc w:val="left"/>
              <w:rPr>
                <w:rFonts w:hint="default" w:ascii="Cambria" w:hAnsi="Cambria" w:cs="Cambria"/>
              </w:rPr>
            </w:pPr>
            <w:r>
              <w:rPr>
                <w:rFonts w:hint="default" w:ascii="Cambria" w:hAnsi="Cambria" w:cs="Cambria"/>
                <w:lang w:val="en-US" w:eastAsia="zh-CN"/>
              </w:rPr>
              <w:t>Sunlight TCM, Malaysia</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D3CCB36">
            <w:pPr>
              <w:jc w:val="left"/>
              <w:rPr>
                <w:rFonts w:hint="default" w:ascii="Cambria" w:hAnsi="Cambria" w:cs="Cambria"/>
                <w:lang w:val="en-US" w:eastAsia="zh-CN"/>
              </w:rPr>
            </w:pPr>
            <w:r>
              <w:rPr>
                <w:rFonts w:hint="default" w:ascii="Cambria" w:hAnsi="Cambria" w:cs="Cambria"/>
                <w:lang w:val="en-US" w:eastAsia="zh-CN"/>
              </w:rPr>
              <w:t xml:space="preserve">expert questionnaire survey and </w:t>
            </w:r>
          </w:p>
          <w:p w14:paraId="19BD111E">
            <w:pPr>
              <w:jc w:val="left"/>
              <w:rPr>
                <w:rFonts w:hint="default" w:ascii="Cambria" w:hAnsi="Cambria" w:cs="Cambria"/>
              </w:rPr>
            </w:pPr>
            <w:r>
              <w:rPr>
                <w:rFonts w:hint="default" w:ascii="Cambria" w:hAnsi="Cambria" w:cs="Cambria"/>
                <w:lang w:val="en-US" w:eastAsia="zh-CN"/>
              </w:rPr>
              <w:t>work discussions</w:t>
            </w:r>
          </w:p>
        </w:tc>
      </w:tr>
      <w:tr w14:paraId="7BC32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84E6B0F">
            <w:pPr>
              <w:jc w:val="left"/>
              <w:rPr>
                <w:rFonts w:hint="default" w:ascii="Cambria" w:hAnsi="Cambria" w:cs="Cambria"/>
              </w:rPr>
            </w:pPr>
            <w:r>
              <w:rPr>
                <w:rFonts w:hint="default" w:ascii="Cambria" w:hAnsi="Cambria" w:cs="Cambria"/>
                <w:lang w:val="en-US" w:eastAsia="zh-CN"/>
              </w:rPr>
              <w:t>Ye Yanhong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AAD14E2">
            <w:pPr>
              <w:jc w:val="left"/>
              <w:rPr>
                <w:rFonts w:hint="default" w:ascii="Cambria" w:hAnsi="Cambria" w:cs="Cambria"/>
              </w:rPr>
            </w:pPr>
            <w:r>
              <w:rPr>
                <w:rFonts w:hint="default" w:ascii="Cambria" w:hAnsi="Cambria" w:cs="Cambria"/>
                <w:lang w:val="en-US" w:eastAsia="zh-CN"/>
              </w:rPr>
              <w:t>Doctor</w:t>
            </w:r>
          </w:p>
        </w:tc>
        <w:tc>
          <w:tcPr>
            <w:tcW w:w="1019"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351A414">
            <w:pPr>
              <w:jc w:val="left"/>
              <w:rPr>
                <w:rFonts w:hint="default" w:ascii="Cambria" w:hAnsi="Cambria" w:cs="Cambria"/>
              </w:rPr>
            </w:pPr>
            <w:r>
              <w:rPr>
                <w:rFonts w:hint="default" w:ascii="Cambria" w:hAnsi="Cambria" w:cs="Cambria"/>
                <w:lang w:val="en-US" w:eastAsia="zh-CN"/>
              </w:rPr>
              <w:t>TCM Physician</w:t>
            </w:r>
          </w:p>
        </w:tc>
        <w:tc>
          <w:tcPr>
            <w:tcW w:w="1235"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0034811">
            <w:pPr>
              <w:jc w:val="left"/>
              <w:rPr>
                <w:rFonts w:hint="default" w:ascii="Cambria" w:hAnsi="Cambria" w:cs="Cambria"/>
              </w:rPr>
            </w:pPr>
            <w:r>
              <w:rPr>
                <w:rFonts w:hint="default" w:ascii="Cambria" w:hAnsi="Cambria" w:cs="Cambria"/>
                <w:lang w:val="en-US" w:eastAsia="zh-CN"/>
              </w:rPr>
              <w:t>Acu Point Pte Ltd</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5F53EBD">
            <w:pPr>
              <w:jc w:val="left"/>
              <w:rPr>
                <w:rFonts w:hint="default" w:ascii="Cambria" w:hAnsi="Cambria" w:cs="Cambria"/>
                <w:lang w:val="en-US" w:eastAsia="zh-CN"/>
              </w:rPr>
            </w:pPr>
            <w:r>
              <w:rPr>
                <w:rFonts w:hint="default" w:ascii="Cambria" w:hAnsi="Cambria" w:cs="Cambria"/>
                <w:lang w:val="en-US" w:eastAsia="zh-CN"/>
              </w:rPr>
              <w:t xml:space="preserve">expert questionnaire survey and </w:t>
            </w:r>
          </w:p>
          <w:p w14:paraId="1218FB63">
            <w:pPr>
              <w:jc w:val="left"/>
              <w:rPr>
                <w:rFonts w:hint="default" w:ascii="Cambria" w:hAnsi="Cambria" w:cs="Cambria"/>
              </w:rPr>
            </w:pPr>
            <w:r>
              <w:rPr>
                <w:rFonts w:hint="default" w:ascii="Cambria" w:hAnsi="Cambria" w:cs="Cambria"/>
                <w:lang w:val="en-US" w:eastAsia="zh-CN"/>
              </w:rPr>
              <w:t>work discussions</w:t>
            </w:r>
          </w:p>
        </w:tc>
      </w:tr>
    </w:tbl>
    <w:p w14:paraId="7254577D">
      <w:pPr>
        <w:ind w:firstLine="420" w:firstLineChars="0"/>
        <w:jc w:val="left"/>
        <w:rPr>
          <w:rFonts w:hint="default" w:ascii="Cambria" w:hAnsi="Cambria" w:cs="Cambria"/>
        </w:rPr>
      </w:pPr>
    </w:p>
    <w:p w14:paraId="1F480514">
      <w:pPr>
        <w:ind w:firstLine="420" w:firstLineChars="0"/>
        <w:jc w:val="left"/>
        <w:rPr>
          <w:rFonts w:hint="default" w:ascii="Cambria" w:hAnsi="Cambria" w:cs="Cambria"/>
        </w:rPr>
      </w:pPr>
    </w:p>
    <w:p w14:paraId="64F13D72">
      <w:pPr>
        <w:ind w:firstLine="420" w:firstLineChars="0"/>
        <w:jc w:val="left"/>
        <w:rPr>
          <w:rFonts w:hint="default" w:ascii="Cambria" w:hAnsi="Cambria" w:cs="Cambria"/>
          <w:lang w:eastAsia="zh-CN"/>
        </w:rPr>
      </w:pPr>
      <w:r>
        <w:rPr>
          <w:rFonts w:hint="default" w:ascii="Cambria" w:hAnsi="Cambria" w:cs="Cambria"/>
        </w:rPr>
        <w:t xml:space="preserve">3. Consulting and </w:t>
      </w:r>
      <w:r>
        <w:rPr>
          <w:rFonts w:hint="default" w:ascii="Cambria" w:hAnsi="Cambria" w:cs="Cambria"/>
          <w:lang w:val="en-US" w:eastAsia="zh-CN"/>
        </w:rPr>
        <w:t xml:space="preserve">Accreditation </w:t>
      </w:r>
      <w:r>
        <w:rPr>
          <w:rFonts w:hint="default" w:ascii="Cambria" w:hAnsi="Cambria" w:cs="Cambria"/>
        </w:rPr>
        <w:t>Experts</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563"/>
        <w:gridCol w:w="1305"/>
        <w:gridCol w:w="2001"/>
        <w:gridCol w:w="2472"/>
        <w:gridCol w:w="2316"/>
      </w:tblGrid>
      <w:tr w14:paraId="6B1FD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54CB581">
            <w:pPr>
              <w:jc w:val="left"/>
              <w:rPr>
                <w:rFonts w:hint="default" w:ascii="Cambria" w:hAnsi="Cambria" w:cs="Cambria"/>
              </w:rPr>
            </w:pPr>
            <w:r>
              <w:rPr>
                <w:rFonts w:hint="default" w:ascii="Cambria" w:hAnsi="Cambria" w:cs="Cambria"/>
                <w:lang w:val="en-US" w:eastAsia="zh-CN"/>
              </w:rPr>
              <w:t>Name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69D1C90">
            <w:pPr>
              <w:jc w:val="left"/>
              <w:rPr>
                <w:rFonts w:hint="default" w:ascii="Cambria" w:hAnsi="Cambria" w:cs="Cambria"/>
              </w:rPr>
            </w:pPr>
            <w:r>
              <w:rPr>
                <w:rFonts w:hint="default" w:ascii="Cambria" w:hAnsi="Cambria" w:cs="Cambria"/>
                <w:lang w:val="en-US" w:eastAsia="zh-CN"/>
              </w:rPr>
              <w:t>Degree</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9921266">
            <w:pPr>
              <w:jc w:val="left"/>
              <w:rPr>
                <w:rFonts w:hint="default" w:ascii="Cambria" w:hAnsi="Cambria" w:cs="Cambria"/>
              </w:rPr>
            </w:pPr>
            <w:r>
              <w:rPr>
                <w:rFonts w:hint="default" w:ascii="Cambria" w:hAnsi="Cambria" w:cs="Cambria"/>
                <w:lang w:val="en-US" w:eastAsia="zh-CN"/>
              </w:rPr>
              <w:t>Professional Title</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1041B26">
            <w:pPr>
              <w:jc w:val="left"/>
              <w:rPr>
                <w:rFonts w:hint="default" w:ascii="Cambria" w:hAnsi="Cambria" w:cs="Cambria"/>
              </w:rPr>
            </w:pPr>
            <w:r>
              <w:rPr>
                <w:rFonts w:hint="default" w:ascii="Cambria" w:hAnsi="Cambria" w:cs="Cambria"/>
                <w:lang w:val="en-US" w:eastAsia="zh-CN"/>
              </w:rPr>
              <w:t>Affiliation</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399A7BB">
            <w:pPr>
              <w:jc w:val="left"/>
              <w:rPr>
                <w:rFonts w:hint="default" w:ascii="Cambria" w:hAnsi="Cambria" w:cs="Cambria"/>
              </w:rPr>
            </w:pPr>
            <w:r>
              <w:rPr>
                <w:rFonts w:hint="default" w:ascii="Cambria" w:hAnsi="Cambria" w:cs="Cambria"/>
                <w:lang w:val="en-US" w:eastAsia="zh-CN"/>
              </w:rPr>
              <w:t>Responsibilities</w:t>
            </w:r>
          </w:p>
        </w:tc>
      </w:tr>
      <w:tr w14:paraId="16638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35D6B7A">
            <w:pPr>
              <w:jc w:val="left"/>
              <w:rPr>
                <w:rFonts w:hint="default" w:ascii="Cambria" w:hAnsi="Cambria" w:cs="Cambria"/>
              </w:rPr>
            </w:pPr>
            <w:r>
              <w:rPr>
                <w:rFonts w:hint="default" w:ascii="Cambria" w:hAnsi="Cambria" w:cs="Cambria"/>
                <w:lang w:val="en-US" w:eastAsia="zh-CN"/>
              </w:rPr>
              <w:t>Yao Xiao</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9E541DC">
            <w:pPr>
              <w:jc w:val="left"/>
              <w:rPr>
                <w:rFonts w:hint="default" w:ascii="Cambria" w:hAnsi="Cambria" w:cs="Cambria"/>
              </w:rPr>
            </w:pPr>
            <w:r>
              <w:rPr>
                <w:rFonts w:hint="default" w:ascii="Cambria" w:hAnsi="Cambria" w:cs="Cambria"/>
                <w:lang w:val="en-US" w:eastAsia="zh-CN"/>
              </w:rPr>
              <w:t>Doctor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FD74F79">
            <w:pPr>
              <w:jc w:val="left"/>
              <w:rPr>
                <w:rFonts w:hint="default" w:ascii="Cambria" w:hAnsi="Cambria" w:cs="Cambria"/>
              </w:rPr>
            </w:pPr>
            <w:r>
              <w:rPr>
                <w:rFonts w:hint="default" w:ascii="Cambria" w:hAnsi="Cambria" w:cs="Cambria"/>
                <w:lang w:val="en-US" w:eastAsia="zh-CN"/>
              </w:rPr>
              <w:t>Professor, Chief Physician, Doctoral Supervisor</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91B20E6">
            <w:pPr>
              <w:jc w:val="left"/>
              <w:rPr>
                <w:rFonts w:hint="default" w:ascii="Cambria" w:hAnsi="Cambria" w:cs="Cambria"/>
              </w:rPr>
            </w:pPr>
            <w:r>
              <w:rPr>
                <w:rFonts w:hint="default" w:ascii="Cambria" w:hAnsi="Cambria" w:cs="Cambria"/>
                <w:lang w:val="en-US" w:eastAsia="zh-CN"/>
              </w:rPr>
              <w:t>The Affiliated Hospital of Shandong University of TCM</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F1115E2">
            <w:pPr>
              <w:jc w:val="left"/>
              <w:rPr>
                <w:rFonts w:hint="default" w:ascii="Cambria" w:hAnsi="Cambria" w:cs="Cambria"/>
              </w:rPr>
            </w:pPr>
            <w:r>
              <w:rPr>
                <w:rFonts w:hint="default" w:ascii="Cambria" w:hAnsi="Cambria" w:cs="Cambria"/>
                <w:lang w:val="en-US" w:eastAsia="zh-CN"/>
              </w:rPr>
              <w:t>expert questionnaire survey</w:t>
            </w:r>
          </w:p>
        </w:tc>
      </w:tr>
      <w:tr w14:paraId="6D4A3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DAC5E13">
            <w:pPr>
              <w:jc w:val="left"/>
              <w:rPr>
                <w:rFonts w:hint="default" w:ascii="Cambria" w:hAnsi="Cambria" w:cs="Cambria"/>
              </w:rPr>
            </w:pPr>
            <w:r>
              <w:rPr>
                <w:rFonts w:hint="default" w:ascii="Cambria" w:hAnsi="Cambria" w:cs="Cambria"/>
                <w:lang w:val="en-US" w:eastAsia="zh-CN"/>
              </w:rPr>
              <w:t>Cui Xia</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4CBBCD1">
            <w:pPr>
              <w:jc w:val="left"/>
              <w:rPr>
                <w:rFonts w:hint="default" w:ascii="Cambria" w:hAnsi="Cambria" w:cs="Cambria"/>
              </w:rPr>
            </w:pPr>
            <w:r>
              <w:rPr>
                <w:rFonts w:hint="default" w:ascii="Cambria" w:hAnsi="Cambria" w:cs="Cambria"/>
                <w:lang w:val="en-US" w:eastAsia="zh-CN"/>
              </w:rPr>
              <w:t>Doctor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806FE3B">
            <w:pPr>
              <w:jc w:val="left"/>
              <w:rPr>
                <w:rFonts w:hint="default" w:ascii="Cambria" w:hAnsi="Cambria" w:cs="Cambria"/>
              </w:rPr>
            </w:pPr>
            <w:r>
              <w:rPr>
                <w:rFonts w:hint="default" w:ascii="Cambria" w:hAnsi="Cambria" w:cs="Cambria"/>
                <w:lang w:val="en-US" w:eastAsia="zh-CN"/>
              </w:rPr>
              <w:t>Professor, Chief Physician, Doctoral Supervisor</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7C6DB61">
            <w:pPr>
              <w:jc w:val="left"/>
              <w:rPr>
                <w:rFonts w:hint="default" w:ascii="Cambria" w:hAnsi="Cambria" w:cs="Cambria"/>
              </w:rPr>
            </w:pPr>
            <w:r>
              <w:rPr>
                <w:rFonts w:hint="default" w:ascii="Cambria" w:hAnsi="Cambria" w:cs="Cambria"/>
                <w:lang w:val="en-US" w:eastAsia="zh-CN"/>
              </w:rPr>
              <w:t>The Third Affiliated Hospital of Beijing University of Chinese Medicine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7B5FB71">
            <w:pPr>
              <w:jc w:val="left"/>
              <w:rPr>
                <w:rFonts w:hint="default" w:ascii="Cambria" w:hAnsi="Cambria" w:cs="Cambria"/>
              </w:rPr>
            </w:pPr>
            <w:r>
              <w:rPr>
                <w:rFonts w:hint="default" w:ascii="Cambria" w:hAnsi="Cambria" w:cs="Cambria"/>
                <w:lang w:val="en-US" w:eastAsia="zh-CN"/>
              </w:rPr>
              <w:t>expert questionnaire survey</w:t>
            </w:r>
          </w:p>
        </w:tc>
      </w:tr>
      <w:tr w14:paraId="5A880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5644370">
            <w:pPr>
              <w:jc w:val="left"/>
              <w:rPr>
                <w:rFonts w:hint="default" w:ascii="Cambria" w:hAnsi="Cambria" w:cs="Cambria"/>
              </w:rPr>
            </w:pPr>
            <w:r>
              <w:rPr>
                <w:rFonts w:hint="default" w:ascii="Cambria" w:hAnsi="Cambria" w:cs="Cambria"/>
                <w:lang w:val="en-US" w:eastAsia="zh-CN"/>
              </w:rPr>
              <w:t>Li Min</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17C8CD8">
            <w:pPr>
              <w:jc w:val="left"/>
              <w:rPr>
                <w:rFonts w:hint="default" w:ascii="Cambria" w:hAnsi="Cambria" w:cs="Cambria"/>
              </w:rPr>
            </w:pPr>
            <w:r>
              <w:rPr>
                <w:rFonts w:hint="default" w:ascii="Cambria" w:hAnsi="Cambria" w:cs="Cambria"/>
                <w:lang w:val="en-US" w:eastAsia="zh-CN"/>
              </w:rPr>
              <w:t>Doctor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CF179BA">
            <w:pPr>
              <w:jc w:val="left"/>
              <w:rPr>
                <w:rFonts w:hint="default" w:ascii="Cambria" w:hAnsi="Cambria" w:cs="Cambria"/>
              </w:rPr>
            </w:pPr>
            <w:r>
              <w:rPr>
                <w:rFonts w:hint="default" w:ascii="Cambria" w:hAnsi="Cambria" w:cs="Cambria"/>
                <w:lang w:val="en-US" w:eastAsia="zh-CN"/>
              </w:rPr>
              <w:t>Chief Physician, Doctoral Supervisor</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DF71513">
            <w:pPr>
              <w:jc w:val="left"/>
              <w:rPr>
                <w:rFonts w:hint="default" w:ascii="Cambria" w:hAnsi="Cambria" w:cs="Cambria"/>
              </w:rPr>
            </w:pPr>
            <w:r>
              <w:rPr>
                <w:rFonts w:hint="default" w:ascii="Cambria" w:hAnsi="Cambria" w:cs="Cambria"/>
                <w:lang w:val="en-US" w:eastAsia="zh-CN"/>
              </w:rPr>
              <w:t>Beijing Hospital of TCM, Capital Medical University</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0608BD3">
            <w:pPr>
              <w:jc w:val="left"/>
              <w:rPr>
                <w:rFonts w:hint="default" w:ascii="Cambria" w:hAnsi="Cambria" w:cs="Cambria"/>
              </w:rPr>
            </w:pPr>
            <w:r>
              <w:rPr>
                <w:rFonts w:hint="default" w:ascii="Cambria" w:hAnsi="Cambria" w:cs="Cambria"/>
                <w:lang w:val="en-US" w:eastAsia="zh-CN"/>
              </w:rPr>
              <w:t>expert questionnaire survey</w:t>
            </w:r>
          </w:p>
        </w:tc>
      </w:tr>
      <w:tr w14:paraId="64E5B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4C33813">
            <w:pPr>
              <w:jc w:val="left"/>
              <w:rPr>
                <w:rFonts w:hint="default" w:ascii="Cambria" w:hAnsi="Cambria" w:cs="Cambria"/>
              </w:rPr>
            </w:pPr>
            <w:r>
              <w:rPr>
                <w:rFonts w:hint="default" w:ascii="Cambria" w:hAnsi="Cambria" w:cs="Cambria"/>
                <w:lang w:val="en-US" w:eastAsia="zh-CN"/>
              </w:rPr>
              <w:t>Qiu Liyi</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832176A">
            <w:pPr>
              <w:jc w:val="left"/>
              <w:rPr>
                <w:rFonts w:hint="default" w:ascii="Cambria" w:hAnsi="Cambria" w:cs="Cambria"/>
              </w:rPr>
            </w:pPr>
            <w:r>
              <w:rPr>
                <w:rFonts w:hint="default" w:ascii="Cambria" w:hAnsi="Cambria" w:cs="Cambria"/>
                <w:lang w:val="en-US" w:eastAsia="zh-CN"/>
              </w:rPr>
              <w:t>Bachelor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04C55DD">
            <w:pPr>
              <w:jc w:val="left"/>
              <w:rPr>
                <w:rFonts w:hint="default" w:ascii="Cambria" w:hAnsi="Cambria" w:cs="Cambria"/>
              </w:rPr>
            </w:pPr>
            <w:r>
              <w:rPr>
                <w:rFonts w:hint="default" w:ascii="Cambria" w:hAnsi="Cambria" w:cs="Cambria"/>
                <w:lang w:val="en-US" w:eastAsia="zh-CN"/>
              </w:rPr>
              <w:t>Associate Professor, Master's Supervisor</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A2C58E5">
            <w:pPr>
              <w:jc w:val="left"/>
              <w:rPr>
                <w:rFonts w:hint="default" w:ascii="Cambria" w:hAnsi="Cambria" w:cs="Cambria"/>
              </w:rPr>
            </w:pPr>
            <w:r>
              <w:rPr>
                <w:rFonts w:hint="default" w:ascii="Cambria" w:hAnsi="Cambria" w:cs="Cambria"/>
                <w:lang w:val="en-US" w:eastAsia="zh-CN"/>
              </w:rPr>
              <w:t>Beijing Massage Hospital</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A460C1C">
            <w:pPr>
              <w:jc w:val="left"/>
              <w:rPr>
                <w:rFonts w:hint="default" w:ascii="Cambria" w:hAnsi="Cambria" w:cs="Cambria"/>
              </w:rPr>
            </w:pPr>
            <w:r>
              <w:rPr>
                <w:rFonts w:hint="default" w:ascii="Cambria" w:hAnsi="Cambria" w:cs="Cambria"/>
                <w:lang w:val="en-US" w:eastAsia="zh-CN"/>
              </w:rPr>
              <w:t>expert questionnaire survey</w:t>
            </w:r>
          </w:p>
        </w:tc>
      </w:tr>
      <w:tr w14:paraId="2731A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0909BE3">
            <w:pPr>
              <w:jc w:val="left"/>
              <w:rPr>
                <w:rFonts w:hint="default" w:ascii="Cambria" w:hAnsi="Cambria" w:cs="Cambria"/>
              </w:rPr>
            </w:pPr>
            <w:r>
              <w:rPr>
                <w:rFonts w:hint="default" w:ascii="Cambria" w:hAnsi="Cambria" w:cs="Cambria"/>
                <w:lang w:val="en-US" w:eastAsia="zh-CN"/>
              </w:rPr>
              <w:t>Wang Xuefeng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36DD19D">
            <w:pPr>
              <w:jc w:val="left"/>
              <w:rPr>
                <w:rFonts w:hint="default" w:ascii="Cambria" w:hAnsi="Cambria" w:cs="Cambria"/>
              </w:rPr>
            </w:pPr>
            <w:r>
              <w:rPr>
                <w:rFonts w:hint="default" w:ascii="Cambria" w:hAnsi="Cambria" w:cs="Cambria"/>
                <w:lang w:val="en-US" w:eastAsia="zh-CN"/>
              </w:rPr>
              <w:t>Doctor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8140C3C">
            <w:pPr>
              <w:jc w:val="left"/>
              <w:rPr>
                <w:rFonts w:hint="default" w:ascii="Cambria" w:hAnsi="Cambria" w:cs="Cambria"/>
              </w:rPr>
            </w:pPr>
            <w:r>
              <w:rPr>
                <w:rFonts w:hint="default" w:ascii="Cambria" w:hAnsi="Cambria" w:cs="Cambria"/>
                <w:lang w:val="en-US" w:eastAsia="zh-CN"/>
              </w:rPr>
              <w:t>Professor, Doctoral Supervisor</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CA0B2FD">
            <w:pPr>
              <w:jc w:val="left"/>
              <w:rPr>
                <w:rFonts w:hint="default" w:ascii="Cambria" w:hAnsi="Cambria" w:cs="Cambria"/>
              </w:rPr>
            </w:pPr>
            <w:r>
              <w:rPr>
                <w:rFonts w:hint="default" w:ascii="Cambria" w:hAnsi="Cambria" w:cs="Cambria"/>
                <w:lang w:val="en-US" w:eastAsia="zh-CN"/>
              </w:rPr>
              <w:t>The Affiliated Hospital of Liaoning University of TCM</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E3C88DB">
            <w:pPr>
              <w:jc w:val="left"/>
              <w:rPr>
                <w:rFonts w:hint="default" w:ascii="Cambria" w:hAnsi="Cambria" w:cs="Cambria"/>
              </w:rPr>
            </w:pPr>
            <w:r>
              <w:rPr>
                <w:rFonts w:hint="default" w:ascii="Cambria" w:hAnsi="Cambria" w:cs="Cambria"/>
                <w:lang w:val="en-US" w:eastAsia="zh-CN"/>
              </w:rPr>
              <w:t>expert questionnaire survey</w:t>
            </w:r>
          </w:p>
        </w:tc>
      </w:tr>
      <w:tr w14:paraId="33B2B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1FD1F6B">
            <w:pPr>
              <w:jc w:val="left"/>
              <w:rPr>
                <w:rFonts w:hint="default" w:ascii="Cambria" w:hAnsi="Cambria" w:cs="Cambria"/>
              </w:rPr>
            </w:pPr>
            <w:r>
              <w:rPr>
                <w:rFonts w:hint="default" w:ascii="Cambria" w:hAnsi="Cambria" w:cs="Cambria"/>
                <w:lang w:val="en-US" w:eastAsia="zh-CN"/>
              </w:rPr>
              <w:t>Wang Quanwu</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9509686">
            <w:pPr>
              <w:jc w:val="left"/>
              <w:rPr>
                <w:rFonts w:hint="default" w:ascii="Cambria" w:hAnsi="Cambria" w:cs="Cambria"/>
              </w:rPr>
            </w:pPr>
            <w:r>
              <w:rPr>
                <w:rFonts w:hint="default" w:ascii="Cambria" w:hAnsi="Cambria" w:cs="Cambria"/>
                <w:lang w:val="en-US" w:eastAsia="zh-CN"/>
              </w:rPr>
              <w:t>Master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F7811B3">
            <w:pPr>
              <w:jc w:val="left"/>
              <w:rPr>
                <w:rFonts w:hint="default" w:ascii="Cambria" w:hAnsi="Cambria" w:cs="Cambria"/>
              </w:rPr>
            </w:pPr>
            <w:r>
              <w:rPr>
                <w:rFonts w:hint="default" w:ascii="Cambria" w:hAnsi="Cambria" w:cs="Cambria"/>
                <w:lang w:val="en-US" w:eastAsia="zh-CN"/>
              </w:rPr>
              <w:t>Associate Professor, Deputy Chief Physician</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0C19B9E">
            <w:pPr>
              <w:jc w:val="left"/>
              <w:rPr>
                <w:rFonts w:hint="default" w:ascii="Cambria" w:hAnsi="Cambria" w:cs="Cambria"/>
              </w:rPr>
            </w:pPr>
            <w:r>
              <w:rPr>
                <w:rFonts w:hint="default" w:ascii="Cambria" w:hAnsi="Cambria" w:cs="Cambria"/>
                <w:lang w:val="en-US" w:eastAsia="zh-CN"/>
              </w:rPr>
              <w:t>The Affiliated Hospital of Changchun University of TCM</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B9A5C82">
            <w:pPr>
              <w:jc w:val="left"/>
              <w:rPr>
                <w:rFonts w:hint="default" w:ascii="Cambria" w:hAnsi="Cambria" w:cs="Cambria"/>
              </w:rPr>
            </w:pPr>
            <w:r>
              <w:rPr>
                <w:rFonts w:hint="default" w:ascii="Cambria" w:hAnsi="Cambria" w:cs="Cambria"/>
                <w:lang w:val="en-US" w:eastAsia="zh-CN"/>
              </w:rPr>
              <w:t>expert questionnaire survey</w:t>
            </w:r>
          </w:p>
        </w:tc>
      </w:tr>
      <w:tr w14:paraId="2EEA0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5EA715D">
            <w:pPr>
              <w:jc w:val="left"/>
              <w:rPr>
                <w:rFonts w:hint="default" w:ascii="Cambria" w:hAnsi="Cambria" w:cs="Cambria"/>
              </w:rPr>
            </w:pPr>
            <w:r>
              <w:rPr>
                <w:rFonts w:hint="default" w:ascii="Cambria" w:hAnsi="Cambria" w:cs="Cambria"/>
                <w:lang w:val="en-US" w:eastAsia="zh-CN"/>
              </w:rPr>
              <w:t>Wang Jianhong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17EFDE3">
            <w:pPr>
              <w:jc w:val="left"/>
              <w:rPr>
                <w:rFonts w:hint="default" w:ascii="Cambria" w:hAnsi="Cambria" w:cs="Cambria"/>
              </w:rPr>
            </w:pPr>
            <w:r>
              <w:rPr>
                <w:rFonts w:hint="default" w:ascii="Cambria" w:hAnsi="Cambria" w:cs="Cambria"/>
                <w:lang w:val="en-US" w:eastAsia="zh-CN"/>
              </w:rPr>
              <w:t>Bachelor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11CA9D4">
            <w:pPr>
              <w:jc w:val="left"/>
              <w:rPr>
                <w:rFonts w:hint="default" w:ascii="Cambria" w:hAnsi="Cambria" w:cs="Cambria"/>
              </w:rPr>
            </w:pPr>
            <w:r>
              <w:rPr>
                <w:rFonts w:hint="default" w:ascii="Cambria" w:hAnsi="Cambria" w:cs="Cambria"/>
                <w:lang w:val="en-US" w:eastAsia="zh-CN"/>
              </w:rPr>
              <w:t>Chief Physician</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0FDC3C5">
            <w:pPr>
              <w:jc w:val="left"/>
              <w:rPr>
                <w:rFonts w:hint="default" w:ascii="Cambria" w:hAnsi="Cambria" w:cs="Cambria"/>
              </w:rPr>
            </w:pPr>
            <w:r>
              <w:rPr>
                <w:rFonts w:hint="default" w:ascii="Cambria" w:hAnsi="Cambria" w:cs="Cambria"/>
                <w:lang w:val="en-US" w:eastAsia="zh-CN"/>
              </w:rPr>
              <w:t>Shanxi Hedong TCM Children Tuina School</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307FBB1">
            <w:pPr>
              <w:jc w:val="left"/>
              <w:rPr>
                <w:rFonts w:hint="default" w:ascii="Cambria" w:hAnsi="Cambria" w:cs="Cambria"/>
              </w:rPr>
            </w:pPr>
            <w:r>
              <w:rPr>
                <w:rFonts w:hint="default" w:ascii="Cambria" w:hAnsi="Cambria" w:cs="Cambria"/>
                <w:lang w:val="en-US" w:eastAsia="zh-CN"/>
              </w:rPr>
              <w:t>expert questionnaire survey</w:t>
            </w:r>
          </w:p>
        </w:tc>
      </w:tr>
      <w:tr w14:paraId="52C00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CAF0CF5">
            <w:pPr>
              <w:jc w:val="left"/>
              <w:rPr>
                <w:rFonts w:hint="default" w:ascii="Cambria" w:hAnsi="Cambria" w:cs="Cambria"/>
              </w:rPr>
            </w:pPr>
            <w:r>
              <w:rPr>
                <w:rFonts w:hint="default" w:ascii="Cambria" w:hAnsi="Cambria" w:cs="Cambria"/>
                <w:lang w:val="en-US" w:eastAsia="zh-CN"/>
              </w:rPr>
              <w:t>Xu Li</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34ECE15">
            <w:pPr>
              <w:jc w:val="left"/>
              <w:rPr>
                <w:rFonts w:hint="default" w:ascii="Cambria" w:hAnsi="Cambria" w:cs="Cambria"/>
              </w:rPr>
            </w:pPr>
            <w:r>
              <w:rPr>
                <w:rFonts w:hint="default" w:ascii="Cambria" w:hAnsi="Cambria" w:cs="Cambria"/>
                <w:lang w:val="en-US" w:eastAsia="zh-CN"/>
              </w:rPr>
              <w:t>Master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6B28BA5">
            <w:pPr>
              <w:jc w:val="left"/>
              <w:rPr>
                <w:rFonts w:hint="default" w:ascii="Cambria" w:hAnsi="Cambria" w:cs="Cambria"/>
              </w:rPr>
            </w:pPr>
            <w:r>
              <w:rPr>
                <w:rFonts w:hint="default" w:ascii="Cambria" w:hAnsi="Cambria" w:cs="Cambria"/>
                <w:lang w:val="en-US" w:eastAsia="zh-CN"/>
              </w:rPr>
              <w:t>Professor, Associate Chief Physician</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108AF27">
            <w:pPr>
              <w:jc w:val="left"/>
              <w:rPr>
                <w:rFonts w:hint="default" w:ascii="Cambria" w:hAnsi="Cambria" w:cs="Cambria"/>
              </w:rPr>
            </w:pPr>
            <w:r>
              <w:rPr>
                <w:rFonts w:hint="default" w:ascii="Cambria" w:hAnsi="Cambria" w:cs="Cambria"/>
                <w:lang w:val="en-US" w:eastAsia="zh-CN"/>
              </w:rPr>
              <w:t>Zhejiang University of TCM</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1D164DD">
            <w:pPr>
              <w:jc w:val="left"/>
              <w:rPr>
                <w:rFonts w:hint="default" w:ascii="Cambria" w:hAnsi="Cambria" w:cs="Cambria"/>
              </w:rPr>
            </w:pPr>
            <w:r>
              <w:rPr>
                <w:rFonts w:hint="default" w:ascii="Cambria" w:hAnsi="Cambria" w:cs="Cambria"/>
                <w:lang w:val="en-US" w:eastAsia="zh-CN"/>
              </w:rPr>
              <w:t>expert questionnaire survey</w:t>
            </w:r>
          </w:p>
        </w:tc>
      </w:tr>
      <w:tr w14:paraId="34427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9C64640">
            <w:pPr>
              <w:jc w:val="left"/>
              <w:rPr>
                <w:rFonts w:hint="default" w:ascii="Cambria" w:hAnsi="Cambria" w:cs="Cambria"/>
              </w:rPr>
            </w:pPr>
            <w:r>
              <w:rPr>
                <w:rFonts w:hint="default" w:ascii="Cambria" w:hAnsi="Cambria" w:cs="Cambria"/>
                <w:lang w:val="en-US" w:eastAsia="zh-CN"/>
              </w:rPr>
              <w:t>Jiang Yonghong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EB87DE1">
            <w:pPr>
              <w:jc w:val="left"/>
              <w:rPr>
                <w:rFonts w:hint="default" w:ascii="Cambria" w:hAnsi="Cambria" w:cs="Cambria"/>
              </w:rPr>
            </w:pPr>
            <w:r>
              <w:rPr>
                <w:rFonts w:hint="default" w:ascii="Cambria" w:hAnsi="Cambria" w:cs="Cambria"/>
                <w:lang w:val="en-US" w:eastAsia="zh-CN"/>
              </w:rPr>
              <w:t>Doctor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EE5544E">
            <w:pPr>
              <w:jc w:val="left"/>
              <w:rPr>
                <w:rFonts w:hint="default" w:ascii="Cambria" w:hAnsi="Cambria" w:cs="Cambria"/>
              </w:rPr>
            </w:pPr>
            <w:r>
              <w:rPr>
                <w:rFonts w:hint="default" w:ascii="Cambria" w:hAnsi="Cambria" w:cs="Cambria"/>
                <w:lang w:val="en-US" w:eastAsia="zh-CN"/>
              </w:rPr>
              <w:t>Professor, Chief Physician, Doctoral Supervisor</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451541B">
            <w:pPr>
              <w:jc w:val="left"/>
              <w:rPr>
                <w:rFonts w:hint="default" w:ascii="Cambria" w:hAnsi="Cambria" w:cs="Cambria"/>
              </w:rPr>
            </w:pPr>
            <w:r>
              <w:rPr>
                <w:rFonts w:hint="default" w:ascii="Cambria" w:hAnsi="Cambria" w:cs="Cambria"/>
                <w:lang w:val="en-US" w:eastAsia="zh-CN"/>
              </w:rPr>
              <w:t>Longhua Hospital, Shanghai University of TCM</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35F3E23">
            <w:pPr>
              <w:jc w:val="left"/>
              <w:rPr>
                <w:rFonts w:hint="default" w:ascii="Cambria" w:hAnsi="Cambria" w:cs="Cambria"/>
              </w:rPr>
            </w:pPr>
            <w:r>
              <w:rPr>
                <w:rFonts w:hint="default" w:ascii="Cambria" w:hAnsi="Cambria" w:cs="Cambria"/>
                <w:lang w:val="en-US" w:eastAsia="zh-CN"/>
              </w:rPr>
              <w:t>expert questionnaire survey</w:t>
            </w:r>
          </w:p>
        </w:tc>
      </w:tr>
      <w:tr w14:paraId="742E6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D3FFAF2">
            <w:pPr>
              <w:jc w:val="left"/>
              <w:rPr>
                <w:rFonts w:hint="default" w:ascii="Cambria" w:hAnsi="Cambria" w:cs="Cambria"/>
              </w:rPr>
            </w:pPr>
            <w:r>
              <w:rPr>
                <w:rFonts w:hint="default" w:ascii="Cambria" w:hAnsi="Cambria" w:cs="Cambria"/>
                <w:lang w:val="en-US" w:eastAsia="zh-CN"/>
              </w:rPr>
              <w:t>Ni Xinqiang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F496C7C">
            <w:pPr>
              <w:jc w:val="left"/>
              <w:rPr>
                <w:rFonts w:hint="default" w:ascii="Cambria" w:hAnsi="Cambria" w:cs="Cambria"/>
              </w:rPr>
            </w:pPr>
            <w:r>
              <w:rPr>
                <w:rFonts w:hint="default" w:ascii="Cambria" w:hAnsi="Cambria" w:cs="Cambria"/>
                <w:lang w:val="en-US" w:eastAsia="zh-CN"/>
              </w:rPr>
              <w:t>Doctor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57F8A7B">
            <w:pPr>
              <w:jc w:val="left"/>
              <w:rPr>
                <w:rFonts w:hint="default" w:ascii="Cambria" w:hAnsi="Cambria" w:cs="Cambria"/>
              </w:rPr>
            </w:pPr>
            <w:r>
              <w:rPr>
                <w:rFonts w:hint="default" w:ascii="Cambria" w:hAnsi="Cambria" w:cs="Cambria"/>
                <w:lang w:val="en-US" w:eastAsia="zh-CN"/>
              </w:rPr>
              <w:t>Chief Physician, Doctoral Supervisor</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5355438">
            <w:pPr>
              <w:jc w:val="left"/>
              <w:rPr>
                <w:rFonts w:hint="default" w:ascii="Cambria" w:hAnsi="Cambria" w:cs="Cambria"/>
              </w:rPr>
            </w:pPr>
            <w:r>
              <w:rPr>
                <w:rFonts w:hint="default" w:ascii="Cambria" w:hAnsi="Cambria" w:cs="Cambria"/>
                <w:lang w:val="en-US" w:eastAsia="zh-CN"/>
              </w:rPr>
              <w:t>The Fourth Clinical Medical College of Guangzhou University of TCM</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C07A0F8">
            <w:pPr>
              <w:jc w:val="left"/>
              <w:rPr>
                <w:rFonts w:hint="default" w:ascii="Cambria" w:hAnsi="Cambria" w:cs="Cambria"/>
              </w:rPr>
            </w:pPr>
            <w:r>
              <w:rPr>
                <w:rFonts w:hint="default" w:ascii="Cambria" w:hAnsi="Cambria" w:cs="Cambria"/>
                <w:lang w:val="en-US" w:eastAsia="zh-CN"/>
              </w:rPr>
              <w:t>expert questionnaire survey</w:t>
            </w:r>
          </w:p>
        </w:tc>
      </w:tr>
      <w:tr w14:paraId="1545E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0DF3DB3">
            <w:pPr>
              <w:jc w:val="left"/>
              <w:rPr>
                <w:rFonts w:hint="default" w:ascii="Cambria" w:hAnsi="Cambria" w:cs="Cambria"/>
              </w:rPr>
            </w:pPr>
            <w:r>
              <w:rPr>
                <w:rFonts w:hint="default" w:ascii="Cambria" w:hAnsi="Cambria" w:cs="Cambria"/>
                <w:lang w:val="en-US" w:eastAsia="zh-CN"/>
              </w:rPr>
              <w:t>Du Chunyan</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7DF1221">
            <w:pPr>
              <w:jc w:val="left"/>
              <w:rPr>
                <w:rFonts w:hint="default" w:ascii="Cambria" w:hAnsi="Cambria" w:cs="Cambria"/>
              </w:rPr>
            </w:pPr>
            <w:r>
              <w:rPr>
                <w:rFonts w:hint="default" w:ascii="Cambria" w:hAnsi="Cambria" w:cs="Cambria"/>
                <w:lang w:val="en-US" w:eastAsia="zh-CN"/>
              </w:rPr>
              <w:t>Master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30238EF">
            <w:pPr>
              <w:jc w:val="left"/>
              <w:rPr>
                <w:rFonts w:hint="default" w:ascii="Cambria" w:hAnsi="Cambria" w:cs="Cambria"/>
              </w:rPr>
            </w:pPr>
            <w:r>
              <w:rPr>
                <w:rFonts w:hint="default" w:ascii="Cambria" w:hAnsi="Cambria" w:cs="Cambria"/>
                <w:lang w:val="en-US" w:eastAsia="zh-CN"/>
              </w:rPr>
              <w:t>Chief Physician, Master's Supervisor</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0CD50FD">
            <w:pPr>
              <w:jc w:val="left"/>
              <w:rPr>
                <w:rFonts w:hint="default" w:ascii="Cambria" w:hAnsi="Cambria" w:cs="Cambria"/>
              </w:rPr>
            </w:pPr>
            <w:r>
              <w:rPr>
                <w:rFonts w:hint="default" w:ascii="Cambria" w:hAnsi="Cambria" w:cs="Cambria"/>
                <w:lang w:val="en-US" w:eastAsia="zh-CN"/>
              </w:rPr>
              <w:t>The First Affiliated Hospital of Tianjin University of TCM</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66578D1">
            <w:pPr>
              <w:jc w:val="left"/>
              <w:rPr>
                <w:rFonts w:hint="default" w:ascii="Cambria" w:hAnsi="Cambria" w:cs="Cambria"/>
              </w:rPr>
            </w:pPr>
            <w:r>
              <w:rPr>
                <w:rFonts w:hint="default" w:ascii="Cambria" w:hAnsi="Cambria" w:cs="Cambria"/>
                <w:lang w:val="en-US" w:eastAsia="zh-CN"/>
              </w:rPr>
              <w:t>expert questionnaire survey</w:t>
            </w:r>
          </w:p>
        </w:tc>
      </w:tr>
      <w:tr w14:paraId="6311C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9F49E19">
            <w:pPr>
              <w:jc w:val="left"/>
              <w:rPr>
                <w:rFonts w:hint="default" w:ascii="Cambria" w:hAnsi="Cambria" w:cs="Cambria"/>
              </w:rPr>
            </w:pPr>
            <w:r>
              <w:rPr>
                <w:rFonts w:hint="default" w:ascii="Cambria" w:hAnsi="Cambria" w:cs="Cambria"/>
                <w:lang w:val="en-US" w:eastAsia="zh-CN"/>
              </w:rPr>
              <w:t>Liu Dehua</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9F51326">
            <w:pPr>
              <w:jc w:val="left"/>
              <w:rPr>
                <w:rFonts w:hint="default" w:ascii="Cambria" w:hAnsi="Cambria" w:cs="Cambria"/>
              </w:rPr>
            </w:pPr>
            <w:r>
              <w:rPr>
                <w:rFonts w:hint="default" w:ascii="Cambria" w:hAnsi="Cambria" w:cs="Cambria"/>
                <w:lang w:val="en-US" w:eastAsia="zh-CN"/>
              </w:rPr>
              <w:t>Bachelor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D7DE0E9">
            <w:pPr>
              <w:jc w:val="left"/>
              <w:rPr>
                <w:rFonts w:hint="default" w:ascii="Cambria" w:hAnsi="Cambria" w:cs="Cambria"/>
              </w:rPr>
            </w:pPr>
            <w:r>
              <w:rPr>
                <w:rFonts w:hint="default" w:ascii="Cambria" w:hAnsi="Cambria" w:cs="Cambria"/>
                <w:lang w:val="en-US" w:eastAsia="zh-CN"/>
              </w:rPr>
              <w:t>Chief Physician</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8A3FE3D">
            <w:pPr>
              <w:jc w:val="left"/>
              <w:rPr>
                <w:rFonts w:hint="default" w:ascii="Cambria" w:hAnsi="Cambria" w:cs="Cambria"/>
              </w:rPr>
            </w:pPr>
            <w:r>
              <w:rPr>
                <w:rFonts w:hint="default" w:ascii="Cambria" w:hAnsi="Cambria" w:cs="Cambria"/>
                <w:lang w:val="en-US" w:eastAsia="zh-CN"/>
              </w:rPr>
              <w:t>Jiangsu Province Hospital of TCM</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4D82528">
            <w:pPr>
              <w:jc w:val="left"/>
              <w:rPr>
                <w:rFonts w:hint="default" w:ascii="Cambria" w:hAnsi="Cambria" w:cs="Cambria"/>
              </w:rPr>
            </w:pPr>
            <w:r>
              <w:rPr>
                <w:rFonts w:hint="default" w:ascii="Cambria" w:hAnsi="Cambria" w:cs="Cambria"/>
                <w:lang w:val="en-US" w:eastAsia="zh-CN"/>
              </w:rPr>
              <w:t>expert questionnaire survey</w:t>
            </w:r>
          </w:p>
        </w:tc>
      </w:tr>
      <w:tr w14:paraId="3C68F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088E8A8">
            <w:pPr>
              <w:jc w:val="left"/>
              <w:rPr>
                <w:rFonts w:hint="default" w:ascii="Cambria" w:hAnsi="Cambria" w:cs="Cambria"/>
              </w:rPr>
            </w:pPr>
            <w:r>
              <w:rPr>
                <w:rFonts w:hint="default" w:ascii="Cambria" w:hAnsi="Cambria" w:cs="Cambria"/>
                <w:lang w:val="en-US" w:eastAsia="zh-CN"/>
              </w:rPr>
              <w:t>Chen Xiuzhen</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1FC4F2D">
            <w:pPr>
              <w:jc w:val="left"/>
              <w:rPr>
                <w:rFonts w:hint="default" w:ascii="Cambria" w:hAnsi="Cambria" w:cs="Cambria"/>
              </w:rPr>
            </w:pPr>
            <w:r>
              <w:rPr>
                <w:rFonts w:hint="default" w:ascii="Cambria" w:hAnsi="Cambria" w:cs="Cambria"/>
                <w:lang w:val="en-US" w:eastAsia="zh-CN"/>
              </w:rPr>
              <w:t>Master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B91A659">
            <w:pPr>
              <w:jc w:val="left"/>
              <w:rPr>
                <w:rFonts w:hint="default" w:ascii="Cambria" w:hAnsi="Cambria" w:cs="Cambria"/>
              </w:rPr>
            </w:pPr>
            <w:r>
              <w:rPr>
                <w:rFonts w:hint="default" w:ascii="Cambria" w:hAnsi="Cambria" w:cs="Cambria"/>
                <w:lang w:val="en-US" w:eastAsia="zh-CN"/>
              </w:rPr>
              <w:t>Chief TCM Physician</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DFDD1C1">
            <w:pPr>
              <w:jc w:val="left"/>
              <w:rPr>
                <w:rFonts w:hint="default" w:ascii="Cambria" w:hAnsi="Cambria" w:cs="Cambria"/>
              </w:rPr>
            </w:pPr>
            <w:r>
              <w:rPr>
                <w:rFonts w:hint="default" w:ascii="Cambria" w:hAnsi="Cambria" w:cs="Cambria"/>
                <w:lang w:val="en-US" w:eastAsia="zh-CN"/>
              </w:rPr>
              <w:t>Jiangsu Province Hospital of TCM</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BC4939E">
            <w:pPr>
              <w:jc w:val="left"/>
              <w:rPr>
                <w:rFonts w:hint="default" w:ascii="Cambria" w:hAnsi="Cambria" w:cs="Cambria"/>
              </w:rPr>
            </w:pPr>
            <w:r>
              <w:rPr>
                <w:rFonts w:hint="default" w:ascii="Cambria" w:hAnsi="Cambria" w:cs="Cambria"/>
                <w:lang w:val="en-US" w:eastAsia="zh-CN"/>
              </w:rPr>
              <w:t>expert questionnaire survey</w:t>
            </w:r>
          </w:p>
        </w:tc>
      </w:tr>
      <w:tr w14:paraId="27951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7368975">
            <w:pPr>
              <w:jc w:val="left"/>
              <w:rPr>
                <w:rFonts w:hint="default" w:ascii="Cambria" w:hAnsi="Cambria" w:cs="Cambria"/>
              </w:rPr>
            </w:pPr>
            <w:r>
              <w:rPr>
                <w:rFonts w:hint="default" w:ascii="Cambria" w:hAnsi="Cambria" w:cs="Cambria"/>
                <w:lang w:val="en-US" w:eastAsia="zh-CN"/>
              </w:rPr>
              <w:t>Xiong Lei</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6B22C77">
            <w:pPr>
              <w:jc w:val="left"/>
              <w:rPr>
                <w:rFonts w:hint="default" w:ascii="Cambria" w:hAnsi="Cambria" w:cs="Cambria"/>
              </w:rPr>
            </w:pPr>
            <w:r>
              <w:rPr>
                <w:rFonts w:hint="default" w:ascii="Cambria" w:hAnsi="Cambria" w:cs="Cambria"/>
                <w:lang w:val="en-US" w:eastAsia="zh-CN"/>
              </w:rPr>
              <w:t>Master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2E744E8">
            <w:pPr>
              <w:jc w:val="left"/>
              <w:rPr>
                <w:rFonts w:hint="default" w:ascii="Cambria" w:hAnsi="Cambria" w:cs="Cambria"/>
              </w:rPr>
            </w:pPr>
            <w:r>
              <w:rPr>
                <w:rFonts w:hint="default" w:ascii="Cambria" w:hAnsi="Cambria" w:cs="Cambria"/>
                <w:lang w:val="en-US" w:eastAsia="zh-CN"/>
              </w:rPr>
              <w:t>Professor, Doctoral Supervisor</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FFC8F63">
            <w:pPr>
              <w:jc w:val="left"/>
              <w:rPr>
                <w:rFonts w:hint="default" w:ascii="Cambria" w:hAnsi="Cambria" w:cs="Cambria"/>
              </w:rPr>
            </w:pPr>
            <w:r>
              <w:rPr>
                <w:rFonts w:hint="default" w:ascii="Cambria" w:hAnsi="Cambria" w:cs="Cambria"/>
                <w:lang w:val="en-US" w:eastAsia="zh-CN"/>
              </w:rPr>
              <w:t>The First Affiliated Hospital of Yunnan University of TCM</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2B9123F">
            <w:pPr>
              <w:jc w:val="left"/>
              <w:rPr>
                <w:rFonts w:hint="default" w:ascii="Cambria" w:hAnsi="Cambria" w:cs="Cambria"/>
              </w:rPr>
            </w:pPr>
            <w:r>
              <w:rPr>
                <w:rFonts w:hint="default" w:ascii="Cambria" w:hAnsi="Cambria" w:cs="Cambria"/>
                <w:lang w:val="en-US" w:eastAsia="zh-CN"/>
              </w:rPr>
              <w:t>expert questionnaire survey</w:t>
            </w:r>
          </w:p>
        </w:tc>
      </w:tr>
      <w:tr w14:paraId="6BCCF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BB36E0C">
            <w:pPr>
              <w:jc w:val="left"/>
              <w:rPr>
                <w:rFonts w:hint="default" w:ascii="Cambria" w:hAnsi="Cambria" w:cs="Cambria"/>
              </w:rPr>
            </w:pPr>
            <w:r>
              <w:rPr>
                <w:rFonts w:hint="default" w:ascii="Cambria" w:hAnsi="Cambria" w:cs="Cambria"/>
                <w:lang w:val="en-US" w:eastAsia="zh-CN"/>
              </w:rPr>
              <w:t>Wu Yunchuan</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05D4A2E">
            <w:pPr>
              <w:jc w:val="left"/>
              <w:rPr>
                <w:rFonts w:hint="default" w:ascii="Cambria" w:hAnsi="Cambria" w:cs="Cambria"/>
              </w:rPr>
            </w:pPr>
            <w:r>
              <w:rPr>
                <w:rFonts w:hint="default" w:ascii="Cambria" w:hAnsi="Cambria" w:cs="Cambria"/>
                <w:lang w:val="en-US" w:eastAsia="zh-CN"/>
              </w:rPr>
              <w:t>Doctor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70B4B76">
            <w:pPr>
              <w:jc w:val="left"/>
              <w:rPr>
                <w:rFonts w:hint="default" w:ascii="Cambria" w:hAnsi="Cambria" w:cs="Cambria"/>
              </w:rPr>
            </w:pPr>
            <w:r>
              <w:rPr>
                <w:rFonts w:hint="default" w:ascii="Cambria" w:hAnsi="Cambria" w:cs="Cambria"/>
                <w:lang w:val="en-US" w:eastAsia="zh-CN"/>
              </w:rPr>
              <w:t>Professor, Master's Supervisor</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E80B6F7">
            <w:pPr>
              <w:jc w:val="left"/>
              <w:rPr>
                <w:rFonts w:hint="default" w:ascii="Cambria" w:hAnsi="Cambria" w:cs="Cambria"/>
              </w:rPr>
            </w:pPr>
            <w:r>
              <w:rPr>
                <w:rFonts w:hint="default" w:ascii="Cambria" w:hAnsi="Cambria" w:cs="Cambria"/>
                <w:lang w:val="en-US" w:eastAsia="zh-CN"/>
              </w:rPr>
              <w:t>Nanjing University of Chinese Medicine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0F8893E">
            <w:pPr>
              <w:jc w:val="left"/>
              <w:rPr>
                <w:rFonts w:hint="default" w:ascii="Cambria" w:hAnsi="Cambria" w:cs="Cambria"/>
              </w:rPr>
            </w:pPr>
            <w:r>
              <w:rPr>
                <w:rFonts w:hint="default" w:ascii="Cambria" w:hAnsi="Cambria" w:cs="Cambria"/>
                <w:lang w:val="en-US" w:eastAsia="zh-CN"/>
              </w:rPr>
              <w:t>expert questionnaire survey</w:t>
            </w:r>
          </w:p>
        </w:tc>
      </w:tr>
      <w:tr w14:paraId="3C3B0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F9DD5AF">
            <w:pPr>
              <w:jc w:val="left"/>
              <w:rPr>
                <w:rFonts w:hint="default" w:ascii="Cambria" w:hAnsi="Cambria" w:cs="Cambria"/>
              </w:rPr>
            </w:pPr>
            <w:r>
              <w:rPr>
                <w:rFonts w:hint="default" w:ascii="Cambria" w:hAnsi="Cambria" w:cs="Cambria"/>
                <w:lang w:val="en-US" w:eastAsia="zh-CN"/>
              </w:rPr>
              <w:t>Wang Mingming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09D4DAD">
            <w:pPr>
              <w:jc w:val="left"/>
              <w:rPr>
                <w:rFonts w:hint="default" w:ascii="Cambria" w:hAnsi="Cambria" w:cs="Cambria"/>
              </w:rPr>
            </w:pPr>
            <w:r>
              <w:rPr>
                <w:rFonts w:hint="default" w:ascii="Cambria" w:hAnsi="Cambria" w:cs="Cambria"/>
                <w:lang w:val="en-US" w:eastAsia="zh-CN"/>
              </w:rPr>
              <w:t>Doctor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CE1FC0C">
            <w:pPr>
              <w:jc w:val="left"/>
              <w:rPr>
                <w:rFonts w:hint="default" w:ascii="Cambria" w:hAnsi="Cambria" w:cs="Cambria"/>
              </w:rPr>
            </w:pPr>
            <w:r>
              <w:rPr>
                <w:rFonts w:hint="default" w:ascii="Cambria" w:hAnsi="Cambria" w:cs="Cambria"/>
                <w:lang w:val="en-US" w:eastAsia="zh-CN"/>
              </w:rPr>
              <w:t>Professor, Master's Supervisor</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CF6AE41">
            <w:pPr>
              <w:jc w:val="left"/>
              <w:rPr>
                <w:rFonts w:hint="default" w:ascii="Cambria" w:hAnsi="Cambria" w:cs="Cambria"/>
              </w:rPr>
            </w:pPr>
            <w:r>
              <w:rPr>
                <w:rFonts w:hint="default" w:ascii="Cambria" w:hAnsi="Cambria" w:cs="Cambria"/>
                <w:lang w:val="en-US" w:eastAsia="zh-CN"/>
              </w:rPr>
              <w:t>Nanjing University of Chinese Medicine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368588E">
            <w:pPr>
              <w:jc w:val="left"/>
              <w:rPr>
                <w:rFonts w:hint="default" w:ascii="Cambria" w:hAnsi="Cambria" w:cs="Cambria"/>
              </w:rPr>
            </w:pPr>
            <w:r>
              <w:rPr>
                <w:rFonts w:hint="default" w:ascii="Cambria" w:hAnsi="Cambria" w:cs="Cambria"/>
                <w:lang w:val="en-US" w:eastAsia="zh-CN"/>
              </w:rPr>
              <w:t>expert questionnaire survey</w:t>
            </w:r>
          </w:p>
        </w:tc>
      </w:tr>
      <w:tr w14:paraId="255B9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68B56E0">
            <w:pPr>
              <w:jc w:val="left"/>
              <w:rPr>
                <w:rFonts w:hint="default" w:ascii="Cambria" w:hAnsi="Cambria" w:cs="Cambria"/>
              </w:rPr>
            </w:pPr>
            <w:r>
              <w:rPr>
                <w:rFonts w:hint="default" w:ascii="Cambria" w:hAnsi="Cambria" w:cs="Cambria"/>
                <w:lang w:val="en-US" w:eastAsia="zh-CN"/>
              </w:rPr>
              <w:t>Zhao Xia</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5A2368C">
            <w:pPr>
              <w:jc w:val="left"/>
              <w:rPr>
                <w:rFonts w:hint="default" w:ascii="Cambria" w:hAnsi="Cambria" w:cs="Cambria"/>
              </w:rPr>
            </w:pPr>
            <w:r>
              <w:rPr>
                <w:rFonts w:hint="default" w:ascii="Cambria" w:hAnsi="Cambria" w:cs="Cambria"/>
                <w:lang w:val="en-US" w:eastAsia="zh-CN"/>
              </w:rPr>
              <w:t>Doctor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C6495F6">
            <w:pPr>
              <w:jc w:val="left"/>
              <w:rPr>
                <w:rFonts w:hint="default" w:ascii="Cambria" w:hAnsi="Cambria" w:cs="Cambria"/>
              </w:rPr>
            </w:pPr>
            <w:r>
              <w:rPr>
                <w:rFonts w:hint="default" w:ascii="Cambria" w:hAnsi="Cambria" w:cs="Cambria"/>
                <w:lang w:val="en-US" w:eastAsia="zh-CN"/>
              </w:rPr>
              <w:t>Professor, Chief Physician, Doctoral Supervisor</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65CC5B6">
            <w:pPr>
              <w:jc w:val="left"/>
              <w:rPr>
                <w:rFonts w:hint="default" w:ascii="Cambria" w:hAnsi="Cambria" w:cs="Cambria"/>
              </w:rPr>
            </w:pPr>
            <w:r>
              <w:rPr>
                <w:rFonts w:hint="default" w:ascii="Cambria" w:hAnsi="Cambria" w:cs="Cambria"/>
                <w:lang w:val="en-US" w:eastAsia="zh-CN"/>
              </w:rPr>
              <w:t>Nanjing University of Chinese Medicine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005FCE9">
            <w:pPr>
              <w:jc w:val="left"/>
              <w:rPr>
                <w:rFonts w:hint="default" w:ascii="Cambria" w:hAnsi="Cambria" w:cs="Cambria"/>
              </w:rPr>
            </w:pPr>
            <w:r>
              <w:rPr>
                <w:rFonts w:hint="default" w:ascii="Cambria" w:hAnsi="Cambria" w:cs="Cambria"/>
                <w:lang w:val="en-US" w:eastAsia="zh-CN"/>
              </w:rPr>
              <w:t>expert questionnaire survey</w:t>
            </w:r>
          </w:p>
        </w:tc>
      </w:tr>
      <w:tr w14:paraId="5153C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42657C6">
            <w:pPr>
              <w:jc w:val="left"/>
              <w:rPr>
                <w:rFonts w:hint="default" w:ascii="Cambria" w:hAnsi="Cambria" w:cs="Cambria"/>
              </w:rPr>
            </w:pPr>
            <w:r>
              <w:rPr>
                <w:rFonts w:hint="default" w:ascii="Cambria" w:hAnsi="Cambria" w:cs="Cambria"/>
                <w:lang w:val="en-US" w:eastAsia="zh-CN"/>
              </w:rPr>
              <w:t>Li Jiangquan</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5B8FBC4">
            <w:pPr>
              <w:jc w:val="left"/>
              <w:rPr>
                <w:rFonts w:hint="default" w:ascii="Cambria" w:hAnsi="Cambria" w:cs="Cambria"/>
              </w:rPr>
            </w:pPr>
            <w:r>
              <w:rPr>
                <w:rFonts w:hint="default" w:ascii="Cambria" w:hAnsi="Cambria" w:cs="Cambria"/>
                <w:lang w:val="en-US" w:eastAsia="zh-CN"/>
              </w:rPr>
              <w:t>Doctor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5940C64">
            <w:pPr>
              <w:ind w:firstLine="420" w:firstLineChars="0"/>
              <w:jc w:val="left"/>
              <w:rPr>
                <w:rFonts w:hint="default" w:ascii="Cambria" w:hAnsi="Cambria" w:cs="Cambria"/>
              </w:rPr>
            </w:pPr>
            <w:r>
              <w:rPr>
                <w:rFonts w:hint="default" w:ascii="Cambria" w:hAnsi="Cambria" w:cs="Cambria"/>
                <w:lang w:val="en-US" w:eastAsia="zh-CN"/>
              </w:rPr>
              <w:t>Chief Physician, Master's Supervisor</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ADF6A9C">
            <w:pPr>
              <w:jc w:val="left"/>
              <w:rPr>
                <w:rFonts w:hint="default" w:ascii="Cambria" w:hAnsi="Cambria" w:cs="Cambria"/>
              </w:rPr>
            </w:pPr>
            <w:r>
              <w:rPr>
                <w:rFonts w:hint="default" w:ascii="Cambria" w:hAnsi="Cambria" w:cs="Cambria"/>
                <w:lang w:val="en-US" w:eastAsia="zh-CN"/>
              </w:rPr>
              <w:t>Nanjing University of Chinese Medicine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01252F0">
            <w:pPr>
              <w:jc w:val="left"/>
              <w:rPr>
                <w:rFonts w:hint="default" w:ascii="Cambria" w:hAnsi="Cambria" w:cs="Cambria"/>
              </w:rPr>
            </w:pPr>
            <w:r>
              <w:rPr>
                <w:rFonts w:hint="default" w:ascii="Cambria" w:hAnsi="Cambria" w:cs="Cambria"/>
                <w:lang w:val="en-US" w:eastAsia="zh-CN"/>
              </w:rPr>
              <w:t>expert questionnaire survey</w:t>
            </w:r>
          </w:p>
        </w:tc>
      </w:tr>
      <w:tr w14:paraId="066E7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596FF76">
            <w:pPr>
              <w:jc w:val="left"/>
              <w:rPr>
                <w:rFonts w:hint="default" w:ascii="Cambria" w:hAnsi="Cambria" w:cs="Cambria"/>
              </w:rPr>
            </w:pPr>
            <w:r>
              <w:rPr>
                <w:rFonts w:hint="default" w:ascii="Cambria" w:hAnsi="Cambria" w:cs="Cambria"/>
                <w:lang w:val="en-US" w:eastAsia="zh-CN"/>
              </w:rPr>
              <w:t>Wang Shouchuan</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A11B311">
            <w:pPr>
              <w:jc w:val="left"/>
              <w:rPr>
                <w:rFonts w:hint="default" w:ascii="Cambria" w:hAnsi="Cambria" w:cs="Cambria"/>
              </w:rPr>
            </w:pPr>
            <w:r>
              <w:rPr>
                <w:rFonts w:hint="default" w:ascii="Cambria" w:hAnsi="Cambria" w:cs="Cambria"/>
                <w:lang w:val="en-US" w:eastAsia="zh-CN"/>
              </w:rPr>
              <w:t>Master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7580C2A">
            <w:pPr>
              <w:jc w:val="left"/>
              <w:rPr>
                <w:rFonts w:hint="default" w:ascii="Cambria" w:hAnsi="Cambria" w:cs="Cambria"/>
              </w:rPr>
            </w:pPr>
            <w:r>
              <w:rPr>
                <w:rFonts w:hint="default" w:ascii="Cambria" w:hAnsi="Cambria" w:cs="Cambria"/>
                <w:lang w:val="en-US" w:eastAsia="zh-CN"/>
              </w:rPr>
              <w:t>Professor, Doctoral Supervisor</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1671E9F">
            <w:pPr>
              <w:jc w:val="left"/>
              <w:rPr>
                <w:rFonts w:hint="default" w:ascii="Cambria" w:hAnsi="Cambria" w:cs="Cambria"/>
              </w:rPr>
            </w:pPr>
            <w:r>
              <w:rPr>
                <w:rFonts w:hint="default" w:ascii="Cambria" w:hAnsi="Cambria" w:cs="Cambria"/>
                <w:lang w:val="en-US" w:eastAsia="zh-CN"/>
              </w:rPr>
              <w:t>Nanjing University of Chinese Medicine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F6D7654">
            <w:pPr>
              <w:jc w:val="left"/>
              <w:rPr>
                <w:rFonts w:hint="default" w:ascii="Cambria" w:hAnsi="Cambria" w:cs="Cambria"/>
              </w:rPr>
            </w:pPr>
            <w:r>
              <w:rPr>
                <w:rFonts w:hint="default" w:ascii="Cambria" w:hAnsi="Cambria" w:cs="Cambria"/>
                <w:lang w:val="en-US" w:eastAsia="zh-CN"/>
              </w:rPr>
              <w:t>expert questionnaire survey</w:t>
            </w:r>
          </w:p>
        </w:tc>
      </w:tr>
      <w:tr w14:paraId="6B51F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E1DEC88">
            <w:pPr>
              <w:jc w:val="left"/>
              <w:rPr>
                <w:rFonts w:hint="default" w:ascii="Cambria" w:hAnsi="Cambria" w:cs="Cambria"/>
              </w:rPr>
            </w:pPr>
            <w:r>
              <w:rPr>
                <w:rFonts w:hint="default" w:ascii="Cambria" w:hAnsi="Cambria" w:cs="Cambria"/>
                <w:lang w:val="en-US" w:eastAsia="zh-CN"/>
              </w:rPr>
              <w:t>Yu Shun</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C42DE24">
            <w:pPr>
              <w:jc w:val="left"/>
              <w:rPr>
                <w:rFonts w:hint="default" w:ascii="Cambria" w:hAnsi="Cambria" w:cs="Cambria"/>
              </w:rPr>
            </w:pPr>
            <w:r>
              <w:rPr>
                <w:rFonts w:hint="default" w:ascii="Cambria" w:hAnsi="Cambria" w:cs="Cambria"/>
                <w:lang w:val="en-US" w:eastAsia="zh-CN"/>
              </w:rPr>
              <w:t>Doctor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531CEB9">
            <w:pPr>
              <w:jc w:val="left"/>
              <w:rPr>
                <w:rFonts w:hint="default" w:ascii="Cambria" w:hAnsi="Cambria" w:cs="Cambria"/>
              </w:rPr>
            </w:pPr>
            <w:r>
              <w:rPr>
                <w:rFonts w:hint="default" w:ascii="Cambria" w:hAnsi="Cambria" w:cs="Cambria"/>
                <w:lang w:val="en-US" w:eastAsia="zh-CN"/>
              </w:rPr>
              <w:t>Researcher, Master's Supervisor</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F08BCE2">
            <w:pPr>
              <w:jc w:val="left"/>
              <w:rPr>
                <w:rFonts w:hint="default" w:ascii="Cambria" w:hAnsi="Cambria" w:cs="Cambria"/>
              </w:rPr>
            </w:pPr>
            <w:r>
              <w:rPr>
                <w:rFonts w:hint="default" w:ascii="Cambria" w:hAnsi="Cambria" w:cs="Cambria"/>
                <w:lang w:val="en-US" w:eastAsia="zh-CN"/>
              </w:rPr>
              <w:t>Nanjing University of Chinese Medicine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8EC2922">
            <w:pPr>
              <w:jc w:val="left"/>
              <w:rPr>
                <w:rFonts w:hint="default" w:ascii="Cambria" w:hAnsi="Cambria" w:cs="Cambria"/>
              </w:rPr>
            </w:pPr>
            <w:r>
              <w:rPr>
                <w:rFonts w:hint="default" w:ascii="Cambria" w:hAnsi="Cambria" w:cs="Cambria"/>
                <w:lang w:val="en-US" w:eastAsia="zh-CN"/>
              </w:rPr>
              <w:t>expert questionnaire survey</w:t>
            </w:r>
          </w:p>
        </w:tc>
      </w:tr>
      <w:tr w14:paraId="63DAE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454046C">
            <w:pPr>
              <w:jc w:val="left"/>
              <w:rPr>
                <w:rFonts w:hint="default" w:ascii="Cambria" w:hAnsi="Cambria" w:cs="Cambria"/>
              </w:rPr>
            </w:pPr>
            <w:r>
              <w:rPr>
                <w:rFonts w:hint="default" w:ascii="Cambria" w:hAnsi="Cambria" w:cs="Cambria"/>
                <w:lang w:val="en-US" w:eastAsia="zh-CN"/>
              </w:rPr>
              <w:t>Xu Zhenyu</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6300351">
            <w:pPr>
              <w:jc w:val="left"/>
              <w:rPr>
                <w:rFonts w:hint="default" w:ascii="Cambria" w:hAnsi="Cambria" w:cs="Cambria"/>
              </w:rPr>
            </w:pPr>
            <w:r>
              <w:rPr>
                <w:rFonts w:hint="default" w:ascii="Cambria" w:hAnsi="Cambria" w:cs="Cambria"/>
                <w:lang w:val="en-US" w:eastAsia="zh-CN"/>
              </w:rPr>
              <w:t>Master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76263E0">
            <w:pPr>
              <w:jc w:val="left"/>
              <w:rPr>
                <w:rFonts w:hint="default" w:ascii="Cambria" w:hAnsi="Cambria" w:cs="Cambria"/>
              </w:rPr>
            </w:pPr>
            <w:r>
              <w:rPr>
                <w:rFonts w:hint="default" w:ascii="Cambria" w:hAnsi="Cambria" w:cs="Cambria"/>
                <w:lang w:val="en-US" w:eastAsia="zh-CN"/>
              </w:rPr>
              <w:t>TCM Physician</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1EF5DAB">
            <w:pPr>
              <w:jc w:val="left"/>
              <w:rPr>
                <w:rFonts w:hint="default" w:ascii="Cambria" w:hAnsi="Cambria" w:cs="Cambria"/>
              </w:rPr>
            </w:pPr>
            <w:r>
              <w:rPr>
                <w:rFonts w:hint="default" w:ascii="Cambria" w:hAnsi="Cambria" w:cs="Cambria"/>
                <w:lang w:val="en-US" w:eastAsia="zh-CN"/>
              </w:rPr>
              <w:t>Yuguo TCM Clinic, Singapore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97D3280">
            <w:pPr>
              <w:jc w:val="left"/>
              <w:rPr>
                <w:rFonts w:hint="default" w:ascii="Cambria" w:hAnsi="Cambria" w:cs="Cambria"/>
              </w:rPr>
            </w:pPr>
            <w:r>
              <w:rPr>
                <w:rFonts w:hint="default" w:ascii="Cambria" w:hAnsi="Cambria" w:cs="Cambria"/>
                <w:lang w:val="en-US" w:eastAsia="zh-CN"/>
              </w:rPr>
              <w:t>expert questionnaire survey</w:t>
            </w:r>
          </w:p>
        </w:tc>
      </w:tr>
      <w:tr w14:paraId="20BAA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D6E4C1F">
            <w:pPr>
              <w:jc w:val="left"/>
              <w:rPr>
                <w:rFonts w:hint="default" w:ascii="Cambria" w:hAnsi="Cambria" w:cs="Cambria"/>
              </w:rPr>
            </w:pPr>
            <w:r>
              <w:rPr>
                <w:rFonts w:hint="default" w:ascii="Cambria" w:hAnsi="Cambria" w:cs="Cambria"/>
                <w:lang w:val="en-US" w:eastAsia="zh-CN"/>
              </w:rPr>
              <w:t>Ye Yanhong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A789E40">
            <w:pPr>
              <w:jc w:val="left"/>
              <w:rPr>
                <w:rFonts w:hint="default" w:ascii="Cambria" w:hAnsi="Cambria" w:cs="Cambria"/>
              </w:rPr>
            </w:pPr>
            <w:r>
              <w:rPr>
                <w:rFonts w:hint="default" w:ascii="Cambria" w:hAnsi="Cambria" w:cs="Cambria"/>
                <w:lang w:val="en-US" w:eastAsia="zh-CN"/>
              </w:rPr>
              <w:t>Master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62D4585">
            <w:pPr>
              <w:jc w:val="left"/>
              <w:rPr>
                <w:rFonts w:hint="default" w:ascii="Cambria" w:hAnsi="Cambria" w:cs="Cambria"/>
              </w:rPr>
            </w:pPr>
            <w:r>
              <w:rPr>
                <w:rFonts w:hint="default" w:ascii="Cambria" w:hAnsi="Cambria" w:cs="Cambria"/>
                <w:lang w:val="en-US" w:eastAsia="zh-CN"/>
              </w:rPr>
              <w:t>TCM Physician</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B409DFE">
            <w:pPr>
              <w:jc w:val="left"/>
              <w:rPr>
                <w:rFonts w:hint="default" w:ascii="Cambria" w:hAnsi="Cambria" w:cs="Cambria"/>
              </w:rPr>
            </w:pPr>
            <w:r>
              <w:rPr>
                <w:rFonts w:hint="default" w:ascii="Cambria" w:hAnsi="Cambria" w:cs="Cambria"/>
                <w:lang w:val="en-US" w:eastAsia="zh-CN"/>
              </w:rPr>
              <w:t>Acu Point Pte Ltd, Singapore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3C3FC7B">
            <w:pPr>
              <w:jc w:val="left"/>
              <w:rPr>
                <w:rFonts w:hint="default" w:ascii="Cambria" w:hAnsi="Cambria" w:cs="Cambria"/>
              </w:rPr>
            </w:pPr>
            <w:r>
              <w:rPr>
                <w:rFonts w:hint="default" w:ascii="Cambria" w:hAnsi="Cambria" w:cs="Cambria"/>
                <w:lang w:val="en-US" w:eastAsia="zh-CN"/>
              </w:rPr>
              <w:t>expert questionnaire survey</w:t>
            </w:r>
          </w:p>
        </w:tc>
      </w:tr>
      <w:tr w14:paraId="5347B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BD2AEE6">
            <w:pPr>
              <w:jc w:val="left"/>
              <w:rPr>
                <w:rFonts w:hint="default" w:ascii="Cambria" w:hAnsi="Cambria" w:cs="Cambria"/>
              </w:rPr>
            </w:pPr>
            <w:r>
              <w:rPr>
                <w:rFonts w:hint="default" w:ascii="Cambria" w:hAnsi="Cambria" w:cs="Cambria"/>
                <w:lang w:val="en-US" w:eastAsia="zh-CN"/>
              </w:rPr>
              <w:t>Xu Yanzhi</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53AEB61">
            <w:pPr>
              <w:jc w:val="left"/>
              <w:rPr>
                <w:rFonts w:hint="default" w:ascii="Cambria" w:hAnsi="Cambria" w:cs="Cambria"/>
              </w:rPr>
            </w:pPr>
            <w:r>
              <w:rPr>
                <w:rFonts w:hint="default" w:ascii="Cambria" w:hAnsi="Cambria" w:cs="Cambria"/>
                <w:lang w:val="en-US" w:eastAsia="zh-CN"/>
              </w:rPr>
              <w:t>Bachelor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ABA6915">
            <w:pPr>
              <w:jc w:val="left"/>
              <w:rPr>
                <w:rFonts w:hint="default" w:ascii="Cambria" w:hAnsi="Cambria" w:cs="Cambria"/>
              </w:rPr>
            </w:pPr>
            <w:r>
              <w:rPr>
                <w:rFonts w:hint="default" w:ascii="Cambria" w:hAnsi="Cambria" w:cs="Cambria"/>
                <w:lang w:val="en-US" w:eastAsia="zh-CN"/>
              </w:rPr>
              <w:t>TCM Physician</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670421C">
            <w:pPr>
              <w:jc w:val="left"/>
              <w:rPr>
                <w:rFonts w:hint="default" w:ascii="Cambria" w:hAnsi="Cambria" w:cs="Cambria"/>
              </w:rPr>
            </w:pPr>
            <w:r>
              <w:rPr>
                <w:rFonts w:hint="default" w:ascii="Cambria" w:hAnsi="Cambria" w:cs="Cambria"/>
                <w:lang w:val="en-US" w:eastAsia="zh-CN"/>
              </w:rPr>
              <w:t>TCM Regulatory Council of Ontario, Canada</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8AC1297">
            <w:pPr>
              <w:jc w:val="left"/>
              <w:rPr>
                <w:rFonts w:hint="default" w:ascii="Cambria" w:hAnsi="Cambria" w:cs="Cambria"/>
              </w:rPr>
            </w:pPr>
            <w:r>
              <w:rPr>
                <w:rFonts w:hint="default" w:ascii="Cambria" w:hAnsi="Cambria" w:cs="Cambria"/>
                <w:lang w:val="en-US" w:eastAsia="zh-CN"/>
              </w:rPr>
              <w:t>expert questionnaire survey</w:t>
            </w:r>
          </w:p>
        </w:tc>
      </w:tr>
      <w:tr w14:paraId="7367D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43E2BF7">
            <w:pPr>
              <w:jc w:val="left"/>
              <w:rPr>
                <w:rFonts w:hint="default" w:ascii="Cambria" w:hAnsi="Cambria" w:cs="Cambria"/>
              </w:rPr>
            </w:pPr>
            <w:r>
              <w:rPr>
                <w:rFonts w:hint="default" w:ascii="Cambria" w:hAnsi="Cambria" w:cs="Cambria"/>
                <w:lang w:val="en-US" w:eastAsia="zh-CN"/>
              </w:rPr>
              <w:t>Zhang Junnian</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954D2E4">
            <w:pPr>
              <w:jc w:val="left"/>
              <w:rPr>
                <w:rFonts w:hint="default" w:ascii="Cambria" w:hAnsi="Cambria" w:cs="Cambria"/>
              </w:rPr>
            </w:pPr>
            <w:r>
              <w:rPr>
                <w:rFonts w:hint="default" w:ascii="Cambria" w:hAnsi="Cambria" w:cs="Cambria"/>
                <w:lang w:val="en-US" w:eastAsia="zh-CN"/>
              </w:rPr>
              <w:t>Master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BBE720D">
            <w:pPr>
              <w:jc w:val="left"/>
              <w:rPr>
                <w:rFonts w:hint="default" w:ascii="Cambria" w:hAnsi="Cambria" w:cs="Cambria"/>
              </w:rPr>
            </w:pPr>
            <w:r>
              <w:rPr>
                <w:rFonts w:hint="default" w:ascii="Cambria" w:hAnsi="Cambria" w:cs="Cambria"/>
                <w:lang w:val="en-US" w:eastAsia="zh-CN"/>
              </w:rPr>
              <w:t>TCM Physician</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0501AB6">
            <w:pPr>
              <w:jc w:val="left"/>
              <w:rPr>
                <w:rFonts w:hint="default" w:ascii="Cambria" w:hAnsi="Cambria" w:cs="Cambria"/>
              </w:rPr>
            </w:pPr>
            <w:r>
              <w:rPr>
                <w:rFonts w:hint="default" w:ascii="Cambria" w:hAnsi="Cambria" w:cs="Cambria"/>
                <w:lang w:val="en-US" w:eastAsia="zh-CN"/>
              </w:rPr>
              <w:t>Homeland Acupuncture Herb Clinic, Canada</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59BE686">
            <w:pPr>
              <w:jc w:val="left"/>
              <w:rPr>
                <w:rFonts w:hint="default" w:ascii="Cambria" w:hAnsi="Cambria" w:cs="Cambria"/>
              </w:rPr>
            </w:pPr>
            <w:r>
              <w:rPr>
                <w:rFonts w:hint="default" w:ascii="Cambria" w:hAnsi="Cambria" w:cs="Cambria"/>
                <w:lang w:val="en-US" w:eastAsia="zh-CN"/>
              </w:rPr>
              <w:t>expert questionnaire survey</w:t>
            </w:r>
          </w:p>
        </w:tc>
      </w:tr>
      <w:tr w14:paraId="6A8BF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FC8FA85">
            <w:pPr>
              <w:jc w:val="left"/>
              <w:rPr>
                <w:rFonts w:hint="default" w:ascii="Cambria" w:hAnsi="Cambria" w:cs="Cambria"/>
              </w:rPr>
            </w:pPr>
            <w:r>
              <w:rPr>
                <w:rFonts w:hint="default" w:ascii="Cambria" w:hAnsi="Cambria" w:cs="Cambria"/>
                <w:lang w:val="en-US" w:eastAsia="zh-CN"/>
              </w:rPr>
              <w:t>Fan Qiuting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B2C89AA">
            <w:pPr>
              <w:jc w:val="left"/>
              <w:rPr>
                <w:rFonts w:hint="default" w:ascii="Cambria" w:hAnsi="Cambria" w:cs="Cambria"/>
              </w:rPr>
            </w:pPr>
            <w:r>
              <w:rPr>
                <w:rFonts w:hint="default" w:ascii="Cambria" w:hAnsi="Cambria" w:cs="Cambria"/>
                <w:lang w:val="en-US" w:eastAsia="zh-CN"/>
              </w:rPr>
              <w:t>Master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AF24C51">
            <w:pPr>
              <w:jc w:val="left"/>
              <w:rPr>
                <w:rFonts w:hint="default" w:ascii="Cambria" w:hAnsi="Cambria" w:cs="Cambria"/>
              </w:rPr>
            </w:pPr>
            <w:r>
              <w:rPr>
                <w:rFonts w:hint="default" w:ascii="Cambria" w:hAnsi="Cambria" w:cs="Cambria"/>
                <w:lang w:val="en-US" w:eastAsia="zh-CN"/>
              </w:rPr>
              <w:t>TCM Physician</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C472FCC">
            <w:pPr>
              <w:jc w:val="left"/>
              <w:rPr>
                <w:rFonts w:hint="default" w:ascii="Cambria" w:hAnsi="Cambria" w:cs="Cambria"/>
              </w:rPr>
            </w:pPr>
            <w:r>
              <w:rPr>
                <w:rFonts w:hint="default" w:ascii="Cambria" w:hAnsi="Cambria" w:cs="Cambria"/>
                <w:lang w:val="en-US" w:eastAsia="zh-CN"/>
              </w:rPr>
              <w:t>Sunlight TCM, Malaysia</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8577411">
            <w:pPr>
              <w:jc w:val="left"/>
              <w:rPr>
                <w:rFonts w:hint="default" w:ascii="Cambria" w:hAnsi="Cambria" w:cs="Cambria"/>
              </w:rPr>
            </w:pPr>
            <w:r>
              <w:rPr>
                <w:rFonts w:hint="default" w:ascii="Cambria" w:hAnsi="Cambria" w:cs="Cambria"/>
                <w:lang w:val="en-US" w:eastAsia="zh-CN"/>
              </w:rPr>
              <w:t>expert questionnaire survey</w:t>
            </w:r>
          </w:p>
        </w:tc>
      </w:tr>
      <w:tr w14:paraId="0D91D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4DA7B18">
            <w:pPr>
              <w:jc w:val="left"/>
              <w:rPr>
                <w:rFonts w:hint="default" w:ascii="Cambria" w:hAnsi="Cambria" w:cs="Cambria"/>
              </w:rPr>
            </w:pPr>
            <w:r>
              <w:rPr>
                <w:rFonts w:hint="default" w:ascii="Cambria" w:hAnsi="Cambria" w:cs="Cambria"/>
                <w:lang w:val="en-US" w:eastAsia="zh-CN"/>
              </w:rPr>
              <w:t>Lin Zhiwen</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44F79E4">
            <w:pPr>
              <w:jc w:val="left"/>
              <w:rPr>
                <w:rFonts w:hint="default" w:ascii="Cambria" w:hAnsi="Cambria" w:cs="Cambria"/>
              </w:rPr>
            </w:pPr>
            <w:r>
              <w:rPr>
                <w:rFonts w:hint="default" w:ascii="Cambria" w:hAnsi="Cambria" w:cs="Cambria"/>
                <w:lang w:val="en-US" w:eastAsia="zh-CN"/>
              </w:rPr>
              <w:t>Master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6F4820F">
            <w:pPr>
              <w:jc w:val="left"/>
              <w:rPr>
                <w:rFonts w:hint="default" w:ascii="Cambria" w:hAnsi="Cambria" w:cs="Cambria"/>
              </w:rPr>
            </w:pPr>
            <w:r>
              <w:rPr>
                <w:rFonts w:hint="default" w:ascii="Cambria" w:hAnsi="Cambria" w:cs="Cambria"/>
                <w:lang w:val="en-US" w:eastAsia="zh-CN"/>
              </w:rPr>
              <w:t>TCM Physician, Lecturer</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CD02B2F">
            <w:pPr>
              <w:jc w:val="left"/>
              <w:rPr>
                <w:rFonts w:hint="default" w:ascii="Cambria" w:hAnsi="Cambria" w:cs="Cambria"/>
              </w:rPr>
            </w:pPr>
            <w:r>
              <w:rPr>
                <w:rFonts w:hint="default" w:ascii="Cambria" w:hAnsi="Cambria" w:cs="Cambria"/>
                <w:lang w:val="en-US" w:eastAsia="zh-CN"/>
              </w:rPr>
              <w:t>Tunku Abdul Rahman University, Malaysia</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C312D7C">
            <w:pPr>
              <w:jc w:val="left"/>
              <w:rPr>
                <w:rFonts w:hint="default" w:ascii="Cambria" w:hAnsi="Cambria" w:cs="Cambria"/>
              </w:rPr>
            </w:pPr>
            <w:r>
              <w:rPr>
                <w:rFonts w:hint="default" w:ascii="Cambria" w:hAnsi="Cambria" w:cs="Cambria"/>
                <w:lang w:val="en-US" w:eastAsia="zh-CN"/>
              </w:rPr>
              <w:t>expert questionnaire survey</w:t>
            </w:r>
          </w:p>
        </w:tc>
      </w:tr>
      <w:tr w14:paraId="19703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C7F763A">
            <w:pPr>
              <w:jc w:val="left"/>
              <w:rPr>
                <w:rFonts w:hint="default" w:ascii="Cambria" w:hAnsi="Cambria" w:cs="Cambria"/>
              </w:rPr>
            </w:pPr>
            <w:r>
              <w:rPr>
                <w:rFonts w:hint="default" w:ascii="Cambria" w:hAnsi="Cambria" w:cs="Cambria"/>
                <w:lang w:val="en-US" w:eastAsia="zh-CN"/>
              </w:rPr>
              <w:t>Gao Xiufang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2E96FF3">
            <w:pPr>
              <w:jc w:val="left"/>
              <w:rPr>
                <w:rFonts w:hint="default" w:ascii="Cambria" w:hAnsi="Cambria" w:cs="Cambria"/>
              </w:rPr>
            </w:pPr>
            <w:r>
              <w:rPr>
                <w:rFonts w:hint="default" w:ascii="Cambria" w:hAnsi="Cambria" w:cs="Cambria"/>
                <w:lang w:val="en-US" w:eastAsia="zh-CN"/>
              </w:rPr>
              <w:t>Master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D79DDEE">
            <w:pPr>
              <w:jc w:val="left"/>
              <w:rPr>
                <w:rFonts w:hint="default" w:ascii="Cambria" w:hAnsi="Cambria" w:cs="Cambria"/>
              </w:rPr>
            </w:pPr>
            <w:r>
              <w:rPr>
                <w:rFonts w:hint="default" w:ascii="Cambria" w:hAnsi="Cambria" w:cs="Cambria"/>
                <w:lang w:val="en-US" w:eastAsia="zh-CN"/>
              </w:rPr>
              <w:t>Assistant Teacher, TCM Physician</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0D1F7EF">
            <w:pPr>
              <w:jc w:val="left"/>
              <w:rPr>
                <w:rFonts w:hint="default" w:ascii="Cambria" w:hAnsi="Cambria" w:cs="Cambria"/>
              </w:rPr>
            </w:pPr>
            <w:r>
              <w:rPr>
                <w:rFonts w:hint="default" w:ascii="Cambria" w:hAnsi="Cambria" w:cs="Cambria"/>
                <w:lang w:val="en-US" w:eastAsia="zh-CN"/>
              </w:rPr>
              <w:t>Institute of Child and Family Development, Mahidol University, Thailand</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AE66AD8">
            <w:pPr>
              <w:jc w:val="left"/>
              <w:rPr>
                <w:rFonts w:hint="default" w:ascii="Cambria" w:hAnsi="Cambria" w:cs="Cambria"/>
              </w:rPr>
            </w:pPr>
            <w:r>
              <w:rPr>
                <w:rFonts w:hint="default" w:ascii="Cambria" w:hAnsi="Cambria" w:cs="Cambria"/>
                <w:lang w:val="en-US" w:eastAsia="zh-CN"/>
              </w:rPr>
              <w:t>expert questionnaire survey</w:t>
            </w:r>
          </w:p>
        </w:tc>
      </w:tr>
      <w:tr w14:paraId="674B5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1BECCDF">
            <w:pPr>
              <w:jc w:val="left"/>
              <w:rPr>
                <w:rFonts w:hint="default" w:ascii="Cambria" w:hAnsi="Cambria" w:cs="Cambria"/>
              </w:rPr>
            </w:pPr>
            <w:r>
              <w:rPr>
                <w:rFonts w:hint="default" w:ascii="Cambria" w:hAnsi="Cambria" w:cs="Cambria"/>
                <w:lang w:val="en-US" w:eastAsia="zh-CN"/>
              </w:rPr>
              <w:t>Xu Yazhi</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B8E970E">
            <w:pPr>
              <w:jc w:val="left"/>
              <w:rPr>
                <w:rFonts w:hint="default" w:ascii="Cambria" w:hAnsi="Cambria" w:cs="Cambria"/>
              </w:rPr>
            </w:pPr>
            <w:r>
              <w:rPr>
                <w:rFonts w:hint="default" w:ascii="Cambria" w:hAnsi="Cambria" w:cs="Cambria"/>
                <w:lang w:val="en-US" w:eastAsia="zh-CN"/>
              </w:rPr>
              <w:t>Junior College</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08EAFDC">
            <w:pPr>
              <w:jc w:val="left"/>
              <w:rPr>
                <w:rFonts w:hint="default" w:ascii="Cambria" w:hAnsi="Cambria" w:cs="Cambria"/>
              </w:rPr>
            </w:pPr>
            <w:r>
              <w:rPr>
                <w:rFonts w:hint="default" w:ascii="Cambria" w:hAnsi="Cambria" w:cs="Cambria"/>
                <w:lang w:val="en-US" w:eastAsia="zh-CN"/>
              </w:rPr>
              <w:t>TCM Physician</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6F72F0B">
            <w:pPr>
              <w:jc w:val="left"/>
              <w:rPr>
                <w:rFonts w:hint="default" w:ascii="Cambria" w:hAnsi="Cambria" w:cs="Cambria"/>
              </w:rPr>
            </w:pPr>
            <w:r>
              <w:rPr>
                <w:rFonts w:hint="default" w:ascii="Cambria" w:hAnsi="Cambria" w:cs="Cambria"/>
                <w:lang w:val="en-US" w:eastAsia="zh-CN"/>
              </w:rPr>
              <w:t>TCM Outpatient Department of Golden Jubilee Medical Center Affiliated to Siriraj Hospital, Mahidol University</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6B26FE0">
            <w:pPr>
              <w:jc w:val="left"/>
              <w:rPr>
                <w:rFonts w:hint="default" w:ascii="Cambria" w:hAnsi="Cambria" w:cs="Cambria"/>
              </w:rPr>
            </w:pPr>
            <w:r>
              <w:rPr>
                <w:rFonts w:hint="default" w:ascii="Cambria" w:hAnsi="Cambria" w:cs="Cambria"/>
                <w:lang w:val="en-US" w:eastAsia="zh-CN"/>
              </w:rPr>
              <w:t>expert questionnaire survey</w:t>
            </w:r>
          </w:p>
        </w:tc>
      </w:tr>
      <w:tr w14:paraId="460DC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9AF6E22">
            <w:pPr>
              <w:jc w:val="left"/>
              <w:rPr>
                <w:rFonts w:hint="default" w:ascii="Cambria" w:hAnsi="Cambria" w:cs="Cambria"/>
              </w:rPr>
            </w:pPr>
            <w:r>
              <w:rPr>
                <w:rFonts w:hint="default" w:ascii="Cambria" w:hAnsi="Cambria" w:cs="Cambria"/>
              </w:rPr>
              <w:t xml:space="preserve">Nguyễn </w:t>
            </w:r>
          </w:p>
          <w:p w14:paraId="4313C57C">
            <w:pPr>
              <w:jc w:val="left"/>
              <w:rPr>
                <w:rFonts w:hint="default" w:ascii="Cambria" w:hAnsi="Cambria" w:cs="Cambria"/>
              </w:rPr>
            </w:pPr>
            <w:r>
              <w:rPr>
                <w:rFonts w:hint="default" w:ascii="Cambria" w:hAnsi="Cambria" w:cs="Cambria"/>
              </w:rPr>
              <w:t>HồngMinh</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F4C77EC">
            <w:pPr>
              <w:jc w:val="left"/>
              <w:rPr>
                <w:rFonts w:hint="default" w:ascii="Cambria" w:hAnsi="Cambria" w:cs="Cambria"/>
              </w:rPr>
            </w:pPr>
            <w:r>
              <w:rPr>
                <w:rFonts w:hint="default" w:ascii="Cambria" w:hAnsi="Cambria" w:cs="Cambria"/>
                <w:lang w:val="en-US" w:eastAsia="zh-CN"/>
              </w:rPr>
              <w:t>Doctor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C620C56">
            <w:pPr>
              <w:jc w:val="left"/>
              <w:rPr>
                <w:rFonts w:hint="default" w:ascii="Cambria" w:hAnsi="Cambria" w:cs="Cambria"/>
              </w:rPr>
            </w:pPr>
            <w:r>
              <w:rPr>
                <w:rFonts w:hint="default" w:ascii="Cambria" w:hAnsi="Cambria" w:cs="Cambria"/>
                <w:lang w:val="en-US" w:eastAsia="zh-CN"/>
              </w:rPr>
              <w:t>Chief Physician, Master's Supervisor</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DF97242">
            <w:pPr>
              <w:jc w:val="left"/>
              <w:rPr>
                <w:rFonts w:hint="default" w:ascii="Cambria" w:hAnsi="Cambria" w:cs="Cambria"/>
              </w:rPr>
            </w:pPr>
            <w:r>
              <w:rPr>
                <w:rFonts w:hint="default" w:ascii="Cambria" w:hAnsi="Cambria" w:cs="Cambria"/>
                <w:lang w:val="en-US" w:eastAsia="zh-CN"/>
              </w:rPr>
              <w:t>Vietnam National Children's Hospital</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1552A50">
            <w:pPr>
              <w:jc w:val="left"/>
              <w:rPr>
                <w:rFonts w:hint="default" w:ascii="Cambria" w:hAnsi="Cambria" w:cs="Cambria"/>
              </w:rPr>
            </w:pPr>
            <w:r>
              <w:rPr>
                <w:rFonts w:hint="default" w:ascii="Cambria" w:hAnsi="Cambria" w:cs="Cambria"/>
                <w:lang w:val="en-US" w:eastAsia="zh-CN"/>
              </w:rPr>
              <w:t>expert questionnaire survey</w:t>
            </w:r>
          </w:p>
        </w:tc>
      </w:tr>
      <w:tr w14:paraId="57285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AD2623C">
            <w:pPr>
              <w:jc w:val="left"/>
              <w:rPr>
                <w:rFonts w:hint="default" w:ascii="Cambria" w:hAnsi="Cambria" w:cs="Cambria"/>
                <w:lang w:val="en-US" w:eastAsia="zh-CN"/>
              </w:rPr>
            </w:pPr>
            <w:r>
              <w:rPr>
                <w:rFonts w:hint="default" w:ascii="Cambria" w:hAnsi="Cambria" w:cs="Cambria"/>
                <w:lang w:val="en-US" w:eastAsia="zh-CN"/>
              </w:rPr>
              <w:t xml:space="preserve">Nguyễn </w:t>
            </w:r>
          </w:p>
          <w:p w14:paraId="203AF92D">
            <w:pPr>
              <w:jc w:val="left"/>
              <w:rPr>
                <w:rFonts w:hint="default" w:ascii="Cambria" w:hAnsi="Cambria" w:cs="Cambria"/>
              </w:rPr>
            </w:pPr>
            <w:r>
              <w:rPr>
                <w:rFonts w:hint="default" w:ascii="Cambria" w:hAnsi="Cambria" w:cs="Cambria"/>
                <w:lang w:val="en-US" w:eastAsia="zh-CN"/>
              </w:rPr>
              <w:t>Đức Minh</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FDF3FAB">
            <w:pPr>
              <w:jc w:val="left"/>
              <w:rPr>
                <w:rFonts w:hint="default" w:ascii="Cambria" w:hAnsi="Cambria" w:cs="Cambria"/>
              </w:rPr>
            </w:pPr>
            <w:r>
              <w:rPr>
                <w:rFonts w:hint="default" w:ascii="Cambria" w:hAnsi="Cambria" w:cs="Cambria"/>
                <w:lang w:val="en-US" w:eastAsia="zh-CN"/>
              </w:rPr>
              <w:t>Doctor</w:t>
            </w:r>
          </w:p>
        </w:tc>
        <w:tc>
          <w:tcPr>
            <w:tcW w:w="1036"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F3B5D14">
            <w:pPr>
              <w:jc w:val="left"/>
              <w:rPr>
                <w:rFonts w:hint="default" w:ascii="Cambria" w:hAnsi="Cambria" w:cs="Cambria"/>
              </w:rPr>
            </w:pPr>
            <w:r>
              <w:rPr>
                <w:rFonts w:hint="default" w:ascii="Cambria" w:hAnsi="Cambria" w:cs="Cambria"/>
                <w:lang w:val="en-US" w:eastAsia="zh-CN"/>
              </w:rPr>
              <w:t>Associate Professor, Doctoral Supervisor</w:t>
            </w:r>
          </w:p>
        </w:tc>
        <w:tc>
          <w:tcPr>
            <w:tcW w:w="128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559D52F">
            <w:pPr>
              <w:jc w:val="left"/>
              <w:rPr>
                <w:rFonts w:hint="default" w:ascii="Cambria" w:hAnsi="Cambria" w:cs="Cambria"/>
              </w:rPr>
            </w:pPr>
            <w:r>
              <w:rPr>
                <w:rFonts w:hint="default" w:ascii="Cambria" w:hAnsi="Cambria" w:cs="Cambria"/>
                <w:lang w:val="en-US" w:eastAsia="zh-CN"/>
              </w:rPr>
              <w:t>Ha Dong Traditional Medicine Hospital, Vietnam</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CC2713E">
            <w:pPr>
              <w:jc w:val="left"/>
              <w:rPr>
                <w:rFonts w:hint="default" w:ascii="Cambria" w:hAnsi="Cambria" w:cs="Cambria"/>
              </w:rPr>
            </w:pPr>
            <w:r>
              <w:rPr>
                <w:rFonts w:hint="default" w:ascii="Cambria" w:hAnsi="Cambria" w:cs="Cambria"/>
                <w:lang w:val="en-US" w:eastAsia="zh-CN"/>
              </w:rPr>
              <w:t>expert questionnaire survey</w:t>
            </w:r>
          </w:p>
        </w:tc>
      </w:tr>
    </w:tbl>
    <w:p w14:paraId="3FF358C9">
      <w:pPr>
        <w:ind w:firstLine="420" w:firstLineChars="0"/>
        <w:jc w:val="left"/>
        <w:rPr>
          <w:rFonts w:hint="default" w:ascii="Cambria" w:hAnsi="Cambria" w:cs="Cambria"/>
        </w:rPr>
      </w:pPr>
    </w:p>
    <w:p w14:paraId="32E71156">
      <w:pPr>
        <w:ind w:firstLine="420" w:firstLineChars="0"/>
        <w:jc w:val="left"/>
        <w:rPr>
          <w:rFonts w:hint="default" w:ascii="Cambria" w:hAnsi="Cambria" w:cs="Cambria"/>
        </w:rPr>
      </w:pPr>
    </w:p>
    <w:p w14:paraId="1DD0CB4D">
      <w:pPr>
        <w:ind w:firstLine="420" w:firstLineChars="0"/>
        <w:jc w:val="left"/>
        <w:rPr>
          <w:rFonts w:hint="default" w:ascii="Cambria" w:hAnsi="Cambria" w:cs="Cambria" w:eastAsiaTheme="minorEastAsia"/>
          <w:lang w:eastAsia="zh-CN"/>
        </w:rPr>
      </w:pPr>
      <w:r>
        <w:rPr>
          <w:rFonts w:hint="default" w:ascii="Cambria" w:hAnsi="Cambria" w:cs="Cambria"/>
        </w:rPr>
        <w:t xml:space="preserve">4. Experts of the </w:t>
      </w:r>
      <w:r>
        <w:rPr>
          <w:rFonts w:hint="default" w:ascii="Cambria" w:hAnsi="Cambria" w:cs="Cambria"/>
          <w:lang w:val="en-US" w:eastAsia="zh-CN"/>
        </w:rPr>
        <w:t>E</w:t>
      </w:r>
      <w:r>
        <w:rPr>
          <w:rFonts w:hint="default" w:ascii="Cambria" w:hAnsi="Cambria" w:cs="Cambria"/>
          <w:lang w:eastAsia="zh-CN"/>
        </w:rPr>
        <w:t xml:space="preserve">xpert </w:t>
      </w:r>
      <w:r>
        <w:rPr>
          <w:rFonts w:hint="default" w:ascii="Cambria" w:hAnsi="Cambria" w:cs="Cambria"/>
          <w:lang w:val="en-US" w:eastAsia="zh-CN"/>
        </w:rPr>
        <w:t>S</w:t>
      </w:r>
      <w:r>
        <w:rPr>
          <w:rFonts w:hint="default" w:ascii="Cambria" w:hAnsi="Cambria" w:cs="Cambria"/>
          <w:lang w:eastAsia="zh-CN"/>
        </w:rPr>
        <w:t xml:space="preserve">teering </w:t>
      </w:r>
      <w:r>
        <w:rPr>
          <w:rFonts w:hint="default" w:ascii="Cambria" w:hAnsi="Cambria" w:cs="Cambria"/>
          <w:lang w:val="en-US" w:eastAsia="zh-CN"/>
        </w:rPr>
        <w:t>G</w:t>
      </w:r>
      <w:r>
        <w:rPr>
          <w:rFonts w:hint="default" w:ascii="Cambria" w:hAnsi="Cambria" w:cs="Cambria"/>
          <w:lang w:eastAsia="zh-CN"/>
        </w:rPr>
        <w:t>roup</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300"/>
        <w:gridCol w:w="1038"/>
        <w:gridCol w:w="1991"/>
        <w:gridCol w:w="2161"/>
        <w:gridCol w:w="3167"/>
      </w:tblGrid>
      <w:tr w14:paraId="52F46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D1607F3">
            <w:pPr>
              <w:jc w:val="left"/>
              <w:rPr>
                <w:rFonts w:hint="default" w:ascii="Cambria" w:hAnsi="Cambria" w:cs="Cambria"/>
              </w:rPr>
            </w:pPr>
            <w:r>
              <w:rPr>
                <w:rFonts w:hint="default" w:ascii="Cambria" w:hAnsi="Cambria" w:cs="Cambria"/>
                <w:lang w:val="en-US" w:eastAsia="zh-CN"/>
              </w:rPr>
              <w:t>Name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99D9BCD">
            <w:pPr>
              <w:jc w:val="left"/>
              <w:rPr>
                <w:rFonts w:hint="default" w:ascii="Cambria" w:hAnsi="Cambria" w:cs="Cambria"/>
              </w:rPr>
            </w:pPr>
            <w:r>
              <w:rPr>
                <w:rFonts w:hint="default" w:ascii="Cambria" w:hAnsi="Cambria" w:cs="Cambria"/>
                <w:lang w:val="en-US" w:eastAsia="zh-CN"/>
              </w:rPr>
              <w:t>Degree</w:t>
            </w:r>
          </w:p>
        </w:tc>
        <w:tc>
          <w:tcPr>
            <w:tcW w:w="103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AE18707">
            <w:pPr>
              <w:jc w:val="left"/>
              <w:rPr>
                <w:rFonts w:hint="default" w:ascii="Cambria" w:hAnsi="Cambria" w:cs="Cambria"/>
              </w:rPr>
            </w:pPr>
            <w:r>
              <w:rPr>
                <w:rFonts w:hint="default" w:ascii="Cambria" w:hAnsi="Cambria" w:cs="Cambria"/>
                <w:lang w:val="en-US" w:eastAsia="zh-CN"/>
              </w:rPr>
              <w:t>Professional Title</w:t>
            </w:r>
          </w:p>
        </w:tc>
        <w:tc>
          <w:tcPr>
            <w:tcW w:w="1119"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2FDFE60">
            <w:pPr>
              <w:jc w:val="left"/>
              <w:rPr>
                <w:rFonts w:hint="default" w:ascii="Cambria" w:hAnsi="Cambria" w:cs="Cambria"/>
              </w:rPr>
            </w:pPr>
            <w:r>
              <w:rPr>
                <w:rFonts w:hint="default" w:ascii="Cambria" w:hAnsi="Cambria" w:cs="Cambria"/>
                <w:lang w:val="en-US" w:eastAsia="zh-CN"/>
              </w:rPr>
              <w:t>Affiliation</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966E91C">
            <w:pPr>
              <w:jc w:val="left"/>
              <w:rPr>
                <w:rFonts w:hint="default" w:ascii="Cambria" w:hAnsi="Cambria" w:cs="Cambria"/>
              </w:rPr>
            </w:pPr>
            <w:r>
              <w:rPr>
                <w:rFonts w:hint="default" w:ascii="Cambria" w:hAnsi="Cambria" w:cs="Cambria"/>
                <w:lang w:val="en-US" w:eastAsia="zh-CN"/>
              </w:rPr>
              <w:t>Responsibilities</w:t>
            </w:r>
          </w:p>
        </w:tc>
      </w:tr>
      <w:tr w14:paraId="55465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172DFBD">
            <w:pPr>
              <w:jc w:val="left"/>
              <w:rPr>
                <w:rFonts w:hint="default" w:ascii="Cambria" w:hAnsi="Cambria" w:cs="Cambria"/>
              </w:rPr>
            </w:pPr>
            <w:r>
              <w:rPr>
                <w:rFonts w:hint="default" w:ascii="Cambria" w:hAnsi="Cambria" w:cs="Cambria"/>
                <w:lang w:val="en-US" w:eastAsia="zh-CN"/>
              </w:rPr>
              <w:t>Ding Ying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3E694FC">
            <w:pPr>
              <w:jc w:val="left"/>
              <w:rPr>
                <w:rFonts w:hint="default" w:ascii="Cambria" w:hAnsi="Cambria" w:cs="Cambria"/>
              </w:rPr>
            </w:pPr>
            <w:r>
              <w:rPr>
                <w:rFonts w:hint="default" w:ascii="Cambria" w:hAnsi="Cambria" w:cs="Cambria"/>
                <w:lang w:val="en-US" w:eastAsia="zh-CN"/>
              </w:rPr>
              <w:t>Bachelor</w:t>
            </w:r>
          </w:p>
        </w:tc>
        <w:tc>
          <w:tcPr>
            <w:tcW w:w="103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5F8DE0E">
            <w:pPr>
              <w:jc w:val="left"/>
              <w:rPr>
                <w:rFonts w:hint="default" w:ascii="Cambria" w:hAnsi="Cambria" w:cs="Cambria"/>
              </w:rPr>
            </w:pPr>
            <w:r>
              <w:rPr>
                <w:rFonts w:hint="default" w:ascii="Cambria" w:hAnsi="Cambria" w:cs="Cambria"/>
                <w:lang w:val="en-US" w:eastAsia="zh-CN"/>
              </w:rPr>
              <w:t>Professor, Chief Physician, Doctoral Supervisor</w:t>
            </w:r>
          </w:p>
        </w:tc>
        <w:tc>
          <w:tcPr>
            <w:tcW w:w="1119"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482BE51">
            <w:pPr>
              <w:jc w:val="left"/>
              <w:rPr>
                <w:rFonts w:hint="default" w:ascii="Cambria" w:hAnsi="Cambria" w:cs="Cambria"/>
              </w:rPr>
            </w:pPr>
            <w:r>
              <w:rPr>
                <w:rFonts w:hint="default" w:ascii="Cambria" w:hAnsi="Cambria" w:cs="Cambria"/>
                <w:lang w:val="en-US" w:eastAsia="zh-CN"/>
              </w:rPr>
              <w:t>Department of Pediatrics, The First Affiliated Hospital of Henan University of Chinese Medicine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7FDBB52">
            <w:pPr>
              <w:jc w:val="left"/>
              <w:rPr>
                <w:rFonts w:hint="default" w:ascii="Cambria" w:hAnsi="Cambria" w:cs="Cambria"/>
              </w:rPr>
            </w:pPr>
            <w:r>
              <w:rPr>
                <w:rFonts w:hint="default" w:ascii="Cambria" w:hAnsi="Cambria" w:cs="Cambria"/>
                <w:lang w:val="en-US" w:eastAsia="zh-CN"/>
              </w:rPr>
              <w:t>Guided the formulation of the standard and participated in expert demonstration meeting.</w:t>
            </w:r>
          </w:p>
        </w:tc>
      </w:tr>
      <w:tr w14:paraId="0B75D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1ECB323">
            <w:pPr>
              <w:jc w:val="left"/>
              <w:rPr>
                <w:rFonts w:hint="default" w:ascii="Cambria" w:hAnsi="Cambria" w:cs="Cambria"/>
              </w:rPr>
            </w:pPr>
            <w:r>
              <w:rPr>
                <w:rFonts w:hint="default" w:ascii="Cambria" w:hAnsi="Cambria" w:cs="Cambria"/>
                <w:lang w:val="en-US" w:eastAsia="zh-CN"/>
              </w:rPr>
              <w:t>Wan Lisheng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DE0EB68">
            <w:pPr>
              <w:jc w:val="left"/>
              <w:rPr>
                <w:rFonts w:hint="default" w:ascii="Cambria" w:hAnsi="Cambria" w:cs="Cambria"/>
              </w:rPr>
            </w:pPr>
            <w:r>
              <w:rPr>
                <w:rFonts w:hint="default" w:ascii="Cambria" w:hAnsi="Cambria" w:cs="Cambria"/>
                <w:lang w:val="en-US" w:eastAsia="zh-CN"/>
              </w:rPr>
              <w:t>Doctor</w:t>
            </w:r>
          </w:p>
        </w:tc>
        <w:tc>
          <w:tcPr>
            <w:tcW w:w="103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AAEAC82">
            <w:pPr>
              <w:jc w:val="left"/>
              <w:rPr>
                <w:rFonts w:hint="default" w:ascii="Cambria" w:hAnsi="Cambria" w:cs="Cambria"/>
              </w:rPr>
            </w:pPr>
            <w:r>
              <w:rPr>
                <w:rFonts w:hint="default" w:ascii="Cambria" w:hAnsi="Cambria" w:cs="Cambria"/>
                <w:lang w:val="en-US" w:eastAsia="zh-CN"/>
              </w:rPr>
              <w:t>Professor, Chief Physician, Doctoral Supervisor</w:t>
            </w:r>
          </w:p>
        </w:tc>
        <w:tc>
          <w:tcPr>
            <w:tcW w:w="1119"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3B38B0F">
            <w:pPr>
              <w:jc w:val="left"/>
              <w:rPr>
                <w:rFonts w:hint="default" w:ascii="Cambria" w:hAnsi="Cambria" w:cs="Cambria"/>
              </w:rPr>
            </w:pPr>
            <w:r>
              <w:rPr>
                <w:rFonts w:hint="default" w:ascii="Cambria" w:hAnsi="Cambria" w:cs="Cambria"/>
                <w:lang w:val="en-US" w:eastAsia="zh-CN"/>
              </w:rPr>
              <w:t>Shenzhen Hospital of TCM</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0D77C6B">
            <w:pPr>
              <w:jc w:val="left"/>
              <w:rPr>
                <w:rFonts w:hint="default" w:ascii="Cambria" w:hAnsi="Cambria" w:cs="Cambria"/>
              </w:rPr>
            </w:pPr>
            <w:r>
              <w:rPr>
                <w:rFonts w:hint="default" w:ascii="Cambria" w:hAnsi="Cambria" w:cs="Cambria"/>
                <w:lang w:val="en-US" w:eastAsia="zh-CN"/>
              </w:rPr>
              <w:t>Guided the formulation of the standard and participated in expert demonstration meeting.</w:t>
            </w:r>
          </w:p>
        </w:tc>
      </w:tr>
      <w:tr w14:paraId="721D1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CEBB50B">
            <w:pPr>
              <w:jc w:val="left"/>
              <w:rPr>
                <w:rFonts w:hint="default" w:ascii="Cambria" w:hAnsi="Cambria" w:cs="Cambria"/>
              </w:rPr>
            </w:pPr>
            <w:r>
              <w:rPr>
                <w:rFonts w:hint="default" w:ascii="Cambria" w:hAnsi="Cambria" w:cs="Cambria"/>
                <w:lang w:val="en-US" w:eastAsia="zh-CN"/>
              </w:rPr>
              <w:t>Ma Rong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889FDA4">
            <w:pPr>
              <w:jc w:val="left"/>
              <w:rPr>
                <w:rFonts w:hint="default" w:ascii="Cambria" w:hAnsi="Cambria" w:cs="Cambria"/>
              </w:rPr>
            </w:pPr>
            <w:r>
              <w:rPr>
                <w:rFonts w:hint="default" w:ascii="Cambria" w:hAnsi="Cambria" w:cs="Cambria"/>
                <w:lang w:val="en-US" w:eastAsia="zh-CN"/>
              </w:rPr>
              <w:t>Doctor</w:t>
            </w:r>
          </w:p>
        </w:tc>
        <w:tc>
          <w:tcPr>
            <w:tcW w:w="103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E9016D7">
            <w:pPr>
              <w:jc w:val="left"/>
              <w:rPr>
                <w:rFonts w:hint="default" w:ascii="Cambria" w:hAnsi="Cambria" w:cs="Cambria"/>
              </w:rPr>
            </w:pPr>
            <w:r>
              <w:rPr>
                <w:rFonts w:hint="default" w:ascii="Cambria" w:hAnsi="Cambria" w:cs="Cambria"/>
                <w:lang w:val="en-US" w:eastAsia="zh-CN"/>
              </w:rPr>
              <w:t>Professor, Chief Physician, Doctoral Supervisor</w:t>
            </w:r>
          </w:p>
        </w:tc>
        <w:tc>
          <w:tcPr>
            <w:tcW w:w="1119"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5F943FE">
            <w:pPr>
              <w:jc w:val="left"/>
              <w:rPr>
                <w:rFonts w:hint="default" w:ascii="Cambria" w:hAnsi="Cambria" w:cs="Cambria"/>
              </w:rPr>
            </w:pPr>
            <w:r>
              <w:rPr>
                <w:rFonts w:hint="default" w:ascii="Cambria" w:hAnsi="Cambria" w:cs="Cambria"/>
                <w:lang w:val="en-US" w:eastAsia="zh-CN"/>
              </w:rPr>
              <w:t>The First Affiliated Hospital of Tianjin University of TCM</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F1C1B33">
            <w:pPr>
              <w:jc w:val="left"/>
              <w:rPr>
                <w:rFonts w:hint="default" w:ascii="Cambria" w:hAnsi="Cambria" w:cs="Cambria"/>
              </w:rPr>
            </w:pPr>
            <w:r>
              <w:rPr>
                <w:rFonts w:hint="default" w:ascii="Cambria" w:hAnsi="Cambria" w:cs="Cambria"/>
                <w:lang w:val="en-US" w:eastAsia="zh-CN"/>
              </w:rPr>
              <w:t>Guided the formulation of the standard and participated in expert demonstration meeting.</w:t>
            </w:r>
          </w:p>
        </w:tc>
      </w:tr>
      <w:tr w14:paraId="10F03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A3691F1">
            <w:pPr>
              <w:jc w:val="left"/>
              <w:rPr>
                <w:rFonts w:hint="default" w:ascii="Cambria" w:hAnsi="Cambria" w:cs="Cambria"/>
              </w:rPr>
            </w:pPr>
            <w:r>
              <w:rPr>
                <w:rFonts w:hint="default" w:ascii="Cambria" w:hAnsi="Cambria" w:cs="Cambria"/>
                <w:lang w:val="en-US" w:eastAsia="zh-CN"/>
              </w:rPr>
              <w:t>Wang Youpeng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A989998">
            <w:pPr>
              <w:jc w:val="left"/>
              <w:rPr>
                <w:rFonts w:hint="default" w:ascii="Cambria" w:hAnsi="Cambria" w:cs="Cambria"/>
              </w:rPr>
            </w:pPr>
            <w:r>
              <w:rPr>
                <w:rFonts w:hint="default" w:ascii="Cambria" w:hAnsi="Cambria" w:cs="Cambria"/>
                <w:lang w:val="en-US" w:eastAsia="zh-CN"/>
              </w:rPr>
              <w:t>Doctor</w:t>
            </w:r>
          </w:p>
        </w:tc>
        <w:tc>
          <w:tcPr>
            <w:tcW w:w="103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EC8EA05">
            <w:pPr>
              <w:jc w:val="left"/>
              <w:rPr>
                <w:rFonts w:hint="default" w:ascii="Cambria" w:hAnsi="Cambria" w:cs="Cambria"/>
              </w:rPr>
            </w:pPr>
            <w:r>
              <w:rPr>
                <w:rFonts w:hint="default" w:ascii="Cambria" w:hAnsi="Cambria" w:cs="Cambria"/>
                <w:lang w:val="en-US" w:eastAsia="zh-CN"/>
              </w:rPr>
              <w:t>Professor, Chief Physician, Doctoral Supervisor</w:t>
            </w:r>
          </w:p>
        </w:tc>
        <w:tc>
          <w:tcPr>
            <w:tcW w:w="1119"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4A7038C">
            <w:pPr>
              <w:jc w:val="left"/>
              <w:rPr>
                <w:rFonts w:hint="default" w:ascii="Cambria" w:hAnsi="Cambria" w:cs="Cambria"/>
              </w:rPr>
            </w:pPr>
            <w:r>
              <w:rPr>
                <w:rFonts w:hint="default" w:ascii="Cambria" w:hAnsi="Cambria" w:cs="Cambria"/>
                <w:lang w:val="en-US" w:eastAsia="zh-CN"/>
              </w:rPr>
              <w:t>The Second Affiliated Hospital of Heilongjiang University of Chinese Medicine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8180525">
            <w:pPr>
              <w:jc w:val="left"/>
              <w:rPr>
                <w:rFonts w:hint="default" w:ascii="Cambria" w:hAnsi="Cambria" w:cs="Cambria"/>
              </w:rPr>
            </w:pPr>
            <w:r>
              <w:rPr>
                <w:rFonts w:hint="default" w:ascii="Cambria" w:hAnsi="Cambria" w:cs="Cambria"/>
                <w:lang w:val="en-US" w:eastAsia="zh-CN"/>
              </w:rPr>
              <w:t>Guided the formulation of the standard and participated in expert demonstration meeting.</w:t>
            </w:r>
          </w:p>
        </w:tc>
      </w:tr>
      <w:tr w14:paraId="356B0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EC8CAD9">
            <w:pPr>
              <w:jc w:val="left"/>
              <w:rPr>
                <w:rFonts w:hint="default" w:ascii="Cambria" w:hAnsi="Cambria" w:cs="Cambria"/>
              </w:rPr>
            </w:pPr>
            <w:r>
              <w:rPr>
                <w:rFonts w:hint="default" w:ascii="Cambria" w:hAnsi="Cambria" w:cs="Cambria"/>
                <w:lang w:val="en-US" w:eastAsia="zh-CN"/>
              </w:rPr>
              <w:t>Wang Lili</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70BE0E8">
            <w:pPr>
              <w:jc w:val="left"/>
              <w:rPr>
                <w:rFonts w:hint="default" w:ascii="Cambria" w:hAnsi="Cambria" w:cs="Cambria"/>
              </w:rPr>
            </w:pPr>
            <w:r>
              <w:rPr>
                <w:rFonts w:hint="default" w:ascii="Cambria" w:hAnsi="Cambria" w:cs="Cambria"/>
                <w:lang w:val="en-US" w:eastAsia="zh-CN"/>
              </w:rPr>
              <w:t>Master</w:t>
            </w:r>
          </w:p>
        </w:tc>
        <w:tc>
          <w:tcPr>
            <w:tcW w:w="103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6673C87">
            <w:pPr>
              <w:jc w:val="left"/>
              <w:rPr>
                <w:rFonts w:hint="default" w:ascii="Cambria" w:hAnsi="Cambria" w:cs="Cambria"/>
              </w:rPr>
            </w:pPr>
            <w:r>
              <w:rPr>
                <w:rFonts w:hint="default" w:ascii="Cambria" w:hAnsi="Cambria" w:cs="Cambria"/>
                <w:lang w:val="en-US" w:eastAsia="zh-CN"/>
              </w:rPr>
              <w:t>Associate Senior Editor</w:t>
            </w:r>
          </w:p>
        </w:tc>
        <w:tc>
          <w:tcPr>
            <w:tcW w:w="1119"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9F0F345">
            <w:pPr>
              <w:jc w:val="left"/>
              <w:rPr>
                <w:rFonts w:hint="default" w:ascii="Cambria" w:hAnsi="Cambria" w:cs="Cambria"/>
              </w:rPr>
            </w:pPr>
            <w:r>
              <w:rPr>
                <w:rFonts w:hint="default" w:ascii="Cambria" w:hAnsi="Cambria" w:cs="Cambria"/>
                <w:lang w:val="en-US" w:eastAsia="zh-CN"/>
              </w:rPr>
              <w:t>International Standards Department of the WFCMS</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4550141">
            <w:pPr>
              <w:jc w:val="left"/>
              <w:rPr>
                <w:rFonts w:hint="default" w:ascii="Cambria" w:hAnsi="Cambria" w:cs="Cambria"/>
              </w:rPr>
            </w:pPr>
            <w:r>
              <w:rPr>
                <w:rFonts w:hint="default" w:ascii="Cambria" w:hAnsi="Cambria" w:cs="Cambria"/>
                <w:lang w:val="en-US" w:eastAsia="zh-CN"/>
              </w:rPr>
              <w:t>Guided the formulation of the standard and participated in expert demonstration meeting.</w:t>
            </w:r>
          </w:p>
        </w:tc>
      </w:tr>
      <w:tr w14:paraId="32B77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03DB21A">
            <w:pPr>
              <w:jc w:val="left"/>
              <w:rPr>
                <w:rFonts w:hint="default" w:ascii="Cambria" w:hAnsi="Cambria" w:cs="Cambria"/>
              </w:rPr>
            </w:pPr>
            <w:r>
              <w:rPr>
                <w:rFonts w:hint="default" w:ascii="Cambria" w:hAnsi="Cambria" w:cs="Cambria"/>
                <w:lang w:val="en-US" w:eastAsia="zh-CN"/>
              </w:rPr>
              <w:t>Wang Sumei</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3241B7A">
            <w:pPr>
              <w:jc w:val="left"/>
              <w:rPr>
                <w:rFonts w:hint="default" w:ascii="Cambria" w:hAnsi="Cambria" w:cs="Cambria"/>
              </w:rPr>
            </w:pPr>
            <w:r>
              <w:rPr>
                <w:rFonts w:hint="default" w:ascii="Cambria" w:hAnsi="Cambria" w:cs="Cambria"/>
                <w:lang w:val="en-US" w:eastAsia="zh-CN"/>
              </w:rPr>
              <w:t>Bachelor</w:t>
            </w:r>
          </w:p>
        </w:tc>
        <w:tc>
          <w:tcPr>
            <w:tcW w:w="103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EC0D6AE">
            <w:pPr>
              <w:jc w:val="left"/>
              <w:rPr>
                <w:rFonts w:hint="default" w:ascii="Cambria" w:hAnsi="Cambria" w:cs="Cambria"/>
              </w:rPr>
            </w:pPr>
            <w:r>
              <w:rPr>
                <w:rFonts w:hint="default" w:ascii="Cambria" w:hAnsi="Cambria" w:cs="Cambria"/>
                <w:lang w:val="en-US" w:eastAsia="zh-CN"/>
              </w:rPr>
              <w:t>Professor, Chief Physician, Doctoral Supervisor</w:t>
            </w:r>
          </w:p>
        </w:tc>
        <w:tc>
          <w:tcPr>
            <w:tcW w:w="1119"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4C864F6">
            <w:pPr>
              <w:jc w:val="left"/>
              <w:rPr>
                <w:rFonts w:hint="default" w:ascii="Cambria" w:hAnsi="Cambria" w:cs="Cambria"/>
              </w:rPr>
            </w:pPr>
            <w:r>
              <w:rPr>
                <w:rFonts w:hint="default" w:ascii="Cambria" w:hAnsi="Cambria" w:cs="Cambria"/>
                <w:lang w:val="en-US" w:eastAsia="zh-CN"/>
              </w:rPr>
              <w:t>Dongfang Hospital of Beijing University of Chinese Medicine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469F807">
            <w:pPr>
              <w:jc w:val="left"/>
              <w:rPr>
                <w:rFonts w:hint="default" w:ascii="Cambria" w:hAnsi="Cambria" w:cs="Cambria"/>
              </w:rPr>
            </w:pPr>
            <w:r>
              <w:rPr>
                <w:rFonts w:hint="default" w:ascii="Cambria" w:hAnsi="Cambria" w:cs="Cambria"/>
                <w:lang w:val="en-US" w:eastAsia="zh-CN"/>
              </w:rPr>
              <w:t>Guided the formulation of the standard and participated in expert demonstration meeting.</w:t>
            </w:r>
          </w:p>
        </w:tc>
      </w:tr>
      <w:tr w14:paraId="45D03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3E326E5">
            <w:pPr>
              <w:jc w:val="left"/>
              <w:rPr>
                <w:rFonts w:hint="default" w:ascii="Cambria" w:hAnsi="Cambria" w:cs="Cambria"/>
              </w:rPr>
            </w:pPr>
            <w:r>
              <w:rPr>
                <w:rFonts w:hint="default" w:ascii="Cambria" w:hAnsi="Cambria" w:cs="Cambria"/>
                <w:lang w:val="en-US" w:eastAsia="zh-CN"/>
              </w:rPr>
              <w:t>Shi Zhenggang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B9E7807">
            <w:pPr>
              <w:jc w:val="left"/>
              <w:rPr>
                <w:rFonts w:hint="default" w:ascii="Cambria" w:hAnsi="Cambria" w:cs="Cambria"/>
              </w:rPr>
            </w:pPr>
            <w:r>
              <w:rPr>
                <w:rFonts w:hint="default" w:ascii="Cambria" w:hAnsi="Cambria" w:cs="Cambria"/>
                <w:lang w:val="en-US" w:eastAsia="zh-CN"/>
              </w:rPr>
              <w:t>Doctor</w:t>
            </w:r>
          </w:p>
        </w:tc>
        <w:tc>
          <w:tcPr>
            <w:tcW w:w="103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1B1826C">
            <w:pPr>
              <w:jc w:val="left"/>
              <w:rPr>
                <w:rFonts w:hint="default" w:ascii="Cambria" w:hAnsi="Cambria" w:cs="Cambria"/>
              </w:rPr>
            </w:pPr>
            <w:r>
              <w:rPr>
                <w:rFonts w:hint="default" w:ascii="Cambria" w:hAnsi="Cambria" w:cs="Cambria"/>
                <w:lang w:val="en-US" w:eastAsia="zh-CN"/>
              </w:rPr>
              <w:t>Professor, Chief Physician, Doctoral Supervisor</w:t>
            </w:r>
          </w:p>
        </w:tc>
        <w:tc>
          <w:tcPr>
            <w:tcW w:w="1119"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9702582">
            <w:pPr>
              <w:jc w:val="left"/>
              <w:rPr>
                <w:rFonts w:hint="default" w:ascii="Cambria" w:hAnsi="Cambria" w:cs="Cambria"/>
              </w:rPr>
            </w:pPr>
            <w:r>
              <w:rPr>
                <w:rFonts w:hint="default" w:ascii="Cambria" w:hAnsi="Cambria" w:cs="Cambria"/>
                <w:lang w:val="en-US" w:eastAsia="zh-CN"/>
              </w:rPr>
              <w:t>Gansu University of Chinese Medicine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88F5CAF">
            <w:pPr>
              <w:jc w:val="left"/>
              <w:rPr>
                <w:rFonts w:hint="default" w:ascii="Cambria" w:hAnsi="Cambria" w:cs="Cambria"/>
              </w:rPr>
            </w:pPr>
            <w:r>
              <w:rPr>
                <w:rFonts w:hint="default" w:ascii="Cambria" w:hAnsi="Cambria" w:cs="Cambria"/>
                <w:lang w:val="en-US" w:eastAsia="zh-CN"/>
              </w:rPr>
              <w:t>Guided the formulation of the standard and participated in expert demonstration meeting.</w:t>
            </w:r>
          </w:p>
        </w:tc>
      </w:tr>
      <w:tr w14:paraId="2BD7E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FF086B2">
            <w:pPr>
              <w:jc w:val="left"/>
              <w:rPr>
                <w:rFonts w:hint="default" w:ascii="Cambria" w:hAnsi="Cambria" w:cs="Cambria"/>
              </w:rPr>
            </w:pPr>
            <w:r>
              <w:rPr>
                <w:rFonts w:hint="default" w:ascii="Cambria" w:hAnsi="Cambria" w:cs="Cambria"/>
                <w:lang w:val="en-US" w:eastAsia="zh-CN"/>
              </w:rPr>
              <w:t>Liu Jianzhong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C93DC10">
            <w:pPr>
              <w:jc w:val="left"/>
              <w:rPr>
                <w:rFonts w:hint="default" w:ascii="Cambria" w:hAnsi="Cambria" w:cs="Cambria"/>
              </w:rPr>
            </w:pPr>
            <w:r>
              <w:rPr>
                <w:rFonts w:hint="default" w:ascii="Cambria" w:hAnsi="Cambria" w:cs="Cambria"/>
                <w:lang w:val="en-US" w:eastAsia="zh-CN"/>
              </w:rPr>
              <w:t>Doctor</w:t>
            </w:r>
          </w:p>
        </w:tc>
        <w:tc>
          <w:tcPr>
            <w:tcW w:w="103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203DCBA">
            <w:pPr>
              <w:jc w:val="left"/>
              <w:rPr>
                <w:rFonts w:hint="default" w:ascii="Cambria" w:hAnsi="Cambria" w:cs="Cambria"/>
              </w:rPr>
            </w:pPr>
            <w:r>
              <w:rPr>
                <w:rFonts w:hint="default" w:ascii="Cambria" w:hAnsi="Cambria" w:cs="Cambria"/>
                <w:lang w:val="en-US" w:eastAsia="zh-CN"/>
              </w:rPr>
              <w:t>Professor, Chief Physician, Doctoral Supervisor</w:t>
            </w:r>
          </w:p>
        </w:tc>
        <w:tc>
          <w:tcPr>
            <w:tcW w:w="1119"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DF93248">
            <w:pPr>
              <w:jc w:val="left"/>
              <w:rPr>
                <w:rFonts w:hint="default" w:ascii="Cambria" w:hAnsi="Cambria" w:cs="Cambria"/>
              </w:rPr>
            </w:pPr>
            <w:r>
              <w:rPr>
                <w:rFonts w:hint="default" w:ascii="Cambria" w:hAnsi="Cambria" w:cs="Cambria"/>
                <w:lang w:val="en-US" w:eastAsia="zh-CN"/>
              </w:rPr>
              <w:t>Hubei University of Chinese Medicine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EE9EA08">
            <w:pPr>
              <w:jc w:val="left"/>
              <w:rPr>
                <w:rFonts w:hint="default" w:ascii="Cambria" w:hAnsi="Cambria" w:cs="Cambria"/>
              </w:rPr>
            </w:pPr>
            <w:r>
              <w:rPr>
                <w:rFonts w:hint="default" w:ascii="Cambria" w:hAnsi="Cambria" w:cs="Cambria"/>
                <w:lang w:val="en-US" w:eastAsia="zh-CN"/>
              </w:rPr>
              <w:t>Guided the formulation of the standard and participated in expert demonstration meeting.</w:t>
            </w:r>
          </w:p>
        </w:tc>
      </w:tr>
      <w:tr w14:paraId="47973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5B39F02">
            <w:pPr>
              <w:jc w:val="left"/>
              <w:rPr>
                <w:rFonts w:hint="default" w:ascii="Cambria" w:hAnsi="Cambria" w:cs="Cambria"/>
              </w:rPr>
            </w:pPr>
            <w:r>
              <w:rPr>
                <w:rFonts w:hint="default" w:ascii="Cambria" w:hAnsi="Cambria" w:cs="Cambria"/>
                <w:lang w:val="en-US" w:eastAsia="zh-CN"/>
              </w:rPr>
              <w:t>Zhang Baoqing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938763B">
            <w:pPr>
              <w:jc w:val="left"/>
              <w:rPr>
                <w:rFonts w:hint="default" w:ascii="Cambria" w:hAnsi="Cambria" w:cs="Cambria"/>
              </w:rPr>
            </w:pPr>
            <w:r>
              <w:rPr>
                <w:rFonts w:hint="default" w:ascii="Cambria" w:hAnsi="Cambria" w:cs="Cambria"/>
                <w:lang w:val="en-US" w:eastAsia="zh-CN"/>
              </w:rPr>
              <w:t>Doctor</w:t>
            </w:r>
          </w:p>
        </w:tc>
        <w:tc>
          <w:tcPr>
            <w:tcW w:w="103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01B1777">
            <w:pPr>
              <w:jc w:val="left"/>
              <w:rPr>
                <w:rFonts w:hint="default" w:ascii="Cambria" w:hAnsi="Cambria" w:cs="Cambria"/>
              </w:rPr>
            </w:pPr>
            <w:r>
              <w:rPr>
                <w:rFonts w:hint="default" w:ascii="Cambria" w:hAnsi="Cambria" w:cs="Cambria"/>
                <w:lang w:val="en-US" w:eastAsia="zh-CN"/>
              </w:rPr>
              <w:t>Professor, Chief Physician, Doctoral Supervisor</w:t>
            </w:r>
          </w:p>
        </w:tc>
        <w:tc>
          <w:tcPr>
            <w:tcW w:w="1119"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2EC89EE">
            <w:pPr>
              <w:jc w:val="left"/>
              <w:rPr>
                <w:rFonts w:hint="default" w:ascii="Cambria" w:hAnsi="Cambria" w:cs="Cambria"/>
              </w:rPr>
            </w:pPr>
            <w:r>
              <w:rPr>
                <w:rFonts w:hint="default" w:ascii="Cambria" w:hAnsi="Cambria" w:cs="Cambria"/>
                <w:lang w:val="en-US" w:eastAsia="zh-CN"/>
              </w:rPr>
              <w:t>The Affiliated Hospital of Shandong University of TCM</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385F849">
            <w:pPr>
              <w:jc w:val="left"/>
              <w:rPr>
                <w:rFonts w:hint="default" w:ascii="Cambria" w:hAnsi="Cambria" w:cs="Cambria"/>
              </w:rPr>
            </w:pPr>
            <w:r>
              <w:rPr>
                <w:rFonts w:hint="default" w:ascii="Cambria" w:hAnsi="Cambria" w:cs="Cambria"/>
                <w:lang w:val="en-US" w:eastAsia="zh-CN"/>
              </w:rPr>
              <w:t>Guided the formulation of the standard and participated in expert demonstration meeting.</w:t>
            </w:r>
          </w:p>
        </w:tc>
      </w:tr>
      <w:tr w14:paraId="70496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13D3A74">
            <w:pPr>
              <w:jc w:val="left"/>
              <w:rPr>
                <w:rFonts w:hint="default" w:ascii="Cambria" w:hAnsi="Cambria" w:cs="Cambria"/>
              </w:rPr>
            </w:pPr>
            <w:r>
              <w:rPr>
                <w:rFonts w:hint="default" w:ascii="Cambria" w:hAnsi="Cambria" w:cs="Cambria"/>
                <w:lang w:val="en-US" w:eastAsia="zh-CN"/>
              </w:rPr>
              <w:t>Yu Jian</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4F11E8D">
            <w:pPr>
              <w:jc w:val="left"/>
              <w:rPr>
                <w:rFonts w:hint="default" w:ascii="Cambria" w:hAnsi="Cambria" w:cs="Cambria"/>
              </w:rPr>
            </w:pPr>
            <w:r>
              <w:rPr>
                <w:rFonts w:hint="default" w:ascii="Cambria" w:hAnsi="Cambria" w:cs="Cambria"/>
                <w:lang w:val="en-US" w:eastAsia="zh-CN"/>
              </w:rPr>
              <w:t>Doctor</w:t>
            </w:r>
          </w:p>
        </w:tc>
        <w:tc>
          <w:tcPr>
            <w:tcW w:w="103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2B290AB">
            <w:pPr>
              <w:jc w:val="left"/>
              <w:rPr>
                <w:rFonts w:hint="default" w:ascii="Cambria" w:hAnsi="Cambria" w:cs="Cambria"/>
              </w:rPr>
            </w:pPr>
            <w:r>
              <w:rPr>
                <w:rFonts w:hint="default" w:ascii="Cambria" w:hAnsi="Cambria" w:cs="Cambria"/>
                <w:lang w:val="en-US" w:eastAsia="zh-CN"/>
              </w:rPr>
              <w:t>Professor, Chief Physician, Master's Supervisor</w:t>
            </w:r>
          </w:p>
        </w:tc>
        <w:tc>
          <w:tcPr>
            <w:tcW w:w="1119"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98A9443">
            <w:pPr>
              <w:jc w:val="left"/>
              <w:rPr>
                <w:rFonts w:hint="default" w:ascii="Cambria" w:hAnsi="Cambria" w:cs="Cambria"/>
              </w:rPr>
            </w:pPr>
            <w:r>
              <w:rPr>
                <w:rFonts w:hint="default" w:ascii="Cambria" w:hAnsi="Cambria" w:cs="Cambria"/>
                <w:lang w:val="en-US" w:eastAsia="zh-CN"/>
              </w:rPr>
              <w:t>Children's Hospital of Fudan University</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905A9CF">
            <w:pPr>
              <w:jc w:val="left"/>
              <w:rPr>
                <w:rFonts w:hint="default" w:ascii="Cambria" w:hAnsi="Cambria" w:cs="Cambria"/>
              </w:rPr>
            </w:pPr>
            <w:r>
              <w:rPr>
                <w:rFonts w:hint="default" w:ascii="Cambria" w:hAnsi="Cambria" w:cs="Cambria"/>
                <w:lang w:val="en-US" w:eastAsia="zh-CN"/>
              </w:rPr>
              <w:t>Guided the formulation of the standard and participated in expert demonstration meeting.</w:t>
            </w:r>
          </w:p>
        </w:tc>
      </w:tr>
      <w:tr w14:paraId="62A8C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CAE6C8D">
            <w:pPr>
              <w:jc w:val="left"/>
              <w:rPr>
                <w:rFonts w:hint="default" w:ascii="Cambria" w:hAnsi="Cambria" w:cs="Cambria"/>
              </w:rPr>
            </w:pPr>
            <w:r>
              <w:rPr>
                <w:rFonts w:hint="default" w:ascii="Cambria" w:hAnsi="Cambria" w:cs="Cambria"/>
                <w:lang w:val="en-US" w:eastAsia="zh-CN"/>
              </w:rPr>
              <w:t>Yu Jian'er</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F9C006A">
            <w:pPr>
              <w:jc w:val="left"/>
              <w:rPr>
                <w:rFonts w:hint="default" w:ascii="Cambria" w:hAnsi="Cambria" w:cs="Cambria"/>
              </w:rPr>
            </w:pPr>
            <w:r>
              <w:rPr>
                <w:rFonts w:hint="default" w:ascii="Cambria" w:hAnsi="Cambria" w:cs="Cambria"/>
                <w:lang w:val="en-US" w:eastAsia="zh-CN"/>
              </w:rPr>
              <w:t>Master</w:t>
            </w:r>
          </w:p>
        </w:tc>
        <w:tc>
          <w:tcPr>
            <w:tcW w:w="103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E3107A5">
            <w:pPr>
              <w:jc w:val="left"/>
              <w:rPr>
                <w:rFonts w:hint="default" w:ascii="Cambria" w:hAnsi="Cambria" w:cs="Cambria"/>
              </w:rPr>
            </w:pPr>
            <w:r>
              <w:rPr>
                <w:rFonts w:hint="default" w:ascii="Cambria" w:hAnsi="Cambria" w:cs="Cambria"/>
                <w:lang w:val="en-US" w:eastAsia="zh-CN"/>
              </w:rPr>
              <w:t>Professor, Chief Physician, Doctoral Supervisor</w:t>
            </w:r>
          </w:p>
        </w:tc>
        <w:tc>
          <w:tcPr>
            <w:tcW w:w="1119"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70AF38C">
            <w:pPr>
              <w:jc w:val="left"/>
              <w:rPr>
                <w:rFonts w:hint="default" w:ascii="Cambria" w:hAnsi="Cambria" w:cs="Cambria"/>
              </w:rPr>
            </w:pPr>
            <w:r>
              <w:rPr>
                <w:rFonts w:hint="default" w:ascii="Cambria" w:hAnsi="Cambria" w:cs="Cambria"/>
                <w:lang w:val="en-US" w:eastAsia="zh-CN"/>
              </w:rPr>
              <w:t>Shanghai Hospital of TCM</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BD63CC8">
            <w:pPr>
              <w:jc w:val="left"/>
              <w:rPr>
                <w:rFonts w:hint="default" w:ascii="Cambria" w:hAnsi="Cambria" w:cs="Cambria"/>
              </w:rPr>
            </w:pPr>
            <w:r>
              <w:rPr>
                <w:rFonts w:hint="default" w:ascii="Cambria" w:hAnsi="Cambria" w:cs="Cambria"/>
                <w:lang w:val="en-US" w:eastAsia="zh-CN"/>
              </w:rPr>
              <w:t>Guided the formulation of the standard and participated in expert demonstration meeting.</w:t>
            </w:r>
          </w:p>
        </w:tc>
      </w:tr>
      <w:tr w14:paraId="54134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6BD6976">
            <w:pPr>
              <w:jc w:val="left"/>
              <w:rPr>
                <w:rFonts w:hint="default" w:ascii="Cambria" w:hAnsi="Cambria" w:cs="Cambria"/>
              </w:rPr>
            </w:pPr>
            <w:r>
              <w:rPr>
                <w:rFonts w:hint="default" w:ascii="Cambria" w:hAnsi="Cambria" w:cs="Cambria"/>
                <w:lang w:val="en-US" w:eastAsia="zh-CN"/>
              </w:rPr>
              <w:t>Xiong Lei</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968AC25">
            <w:pPr>
              <w:jc w:val="left"/>
              <w:rPr>
                <w:rFonts w:hint="default" w:ascii="Cambria" w:hAnsi="Cambria" w:cs="Cambria"/>
              </w:rPr>
            </w:pPr>
            <w:r>
              <w:rPr>
                <w:rFonts w:hint="default" w:ascii="Cambria" w:hAnsi="Cambria" w:cs="Cambria"/>
                <w:lang w:val="en-US" w:eastAsia="zh-CN"/>
              </w:rPr>
              <w:t>Master</w:t>
            </w:r>
          </w:p>
        </w:tc>
        <w:tc>
          <w:tcPr>
            <w:tcW w:w="103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39C6AE0">
            <w:pPr>
              <w:jc w:val="left"/>
              <w:rPr>
                <w:rFonts w:hint="default" w:ascii="Cambria" w:hAnsi="Cambria" w:cs="Cambria"/>
              </w:rPr>
            </w:pPr>
            <w:r>
              <w:rPr>
                <w:rFonts w:hint="default" w:ascii="Cambria" w:hAnsi="Cambria" w:cs="Cambria"/>
                <w:lang w:val="en-US" w:eastAsia="zh-CN"/>
              </w:rPr>
              <w:t>Professor, Doctoral Supervisor</w:t>
            </w:r>
          </w:p>
        </w:tc>
        <w:tc>
          <w:tcPr>
            <w:tcW w:w="1119"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0684482">
            <w:pPr>
              <w:jc w:val="left"/>
              <w:rPr>
                <w:rFonts w:hint="default" w:ascii="Cambria" w:hAnsi="Cambria" w:cs="Cambria"/>
              </w:rPr>
            </w:pPr>
            <w:r>
              <w:rPr>
                <w:rFonts w:hint="default" w:ascii="Cambria" w:hAnsi="Cambria" w:cs="Cambria"/>
                <w:lang w:val="en-US" w:eastAsia="zh-CN"/>
              </w:rPr>
              <w:t>The First Affiliated Hospital of Yunnan University of TCM</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3133B53">
            <w:pPr>
              <w:jc w:val="left"/>
              <w:rPr>
                <w:rFonts w:hint="default" w:ascii="Cambria" w:hAnsi="Cambria" w:cs="Cambria"/>
              </w:rPr>
            </w:pPr>
            <w:r>
              <w:rPr>
                <w:rFonts w:hint="default" w:ascii="Cambria" w:hAnsi="Cambria" w:cs="Cambria"/>
                <w:lang w:val="en-US" w:eastAsia="zh-CN"/>
              </w:rPr>
              <w:t>Guided the formulation of the standard and participated in expert demonstration meeting.</w:t>
            </w:r>
          </w:p>
        </w:tc>
      </w:tr>
      <w:tr w14:paraId="47701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DA8F757">
            <w:pPr>
              <w:jc w:val="left"/>
              <w:rPr>
                <w:rFonts w:hint="default" w:ascii="Cambria" w:hAnsi="Cambria" w:cs="Cambria"/>
              </w:rPr>
            </w:pPr>
            <w:r>
              <w:rPr>
                <w:rFonts w:hint="default" w:ascii="Cambria" w:hAnsi="Cambria" w:cs="Cambria"/>
                <w:lang w:val="en-US" w:eastAsia="zh-CN"/>
              </w:rPr>
              <w:t>Dai Qigang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24DEEF4">
            <w:pPr>
              <w:jc w:val="left"/>
              <w:rPr>
                <w:rFonts w:hint="default" w:ascii="Cambria" w:hAnsi="Cambria" w:cs="Cambria"/>
              </w:rPr>
            </w:pPr>
            <w:r>
              <w:rPr>
                <w:rFonts w:hint="default" w:ascii="Cambria" w:hAnsi="Cambria" w:cs="Cambria"/>
                <w:lang w:val="en-US" w:eastAsia="zh-CN"/>
              </w:rPr>
              <w:t>Doctor</w:t>
            </w:r>
          </w:p>
        </w:tc>
        <w:tc>
          <w:tcPr>
            <w:tcW w:w="103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7CF9896">
            <w:pPr>
              <w:jc w:val="left"/>
              <w:rPr>
                <w:rFonts w:hint="default" w:ascii="Cambria" w:hAnsi="Cambria" w:cs="Cambria"/>
              </w:rPr>
            </w:pPr>
            <w:r>
              <w:rPr>
                <w:rFonts w:hint="default" w:ascii="Cambria" w:hAnsi="Cambria" w:cs="Cambria"/>
                <w:lang w:val="en-US" w:eastAsia="zh-CN"/>
              </w:rPr>
              <w:t>Associate Professor, Chief Physician, Master's Supervisor</w:t>
            </w:r>
          </w:p>
        </w:tc>
        <w:tc>
          <w:tcPr>
            <w:tcW w:w="1119"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CD6595C">
            <w:pPr>
              <w:jc w:val="left"/>
              <w:rPr>
                <w:rFonts w:hint="default" w:ascii="Cambria" w:hAnsi="Cambria" w:cs="Cambria"/>
              </w:rPr>
            </w:pPr>
            <w:r>
              <w:rPr>
                <w:rFonts w:hint="default" w:ascii="Cambria" w:hAnsi="Cambria" w:cs="Cambria"/>
                <w:lang w:val="en-US" w:eastAsia="zh-CN"/>
              </w:rPr>
              <w:t>Nanjing University of Chinese Medicine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62B87E6">
            <w:pPr>
              <w:jc w:val="left"/>
              <w:rPr>
                <w:rFonts w:hint="default" w:ascii="Cambria" w:hAnsi="Cambria" w:cs="Cambria"/>
              </w:rPr>
            </w:pPr>
            <w:r>
              <w:rPr>
                <w:rFonts w:hint="default" w:ascii="Cambria" w:hAnsi="Cambria" w:cs="Cambria"/>
                <w:lang w:val="en-US" w:eastAsia="zh-CN"/>
              </w:rPr>
              <w:t>Guided the formulation of the standard and participated in the expert demonstration meeting.</w:t>
            </w:r>
          </w:p>
        </w:tc>
      </w:tr>
    </w:tbl>
    <w:p w14:paraId="38921BEF">
      <w:pPr>
        <w:ind w:firstLine="420" w:firstLineChars="0"/>
        <w:jc w:val="left"/>
        <w:rPr>
          <w:rFonts w:hint="default" w:ascii="Cambria" w:hAnsi="Cambria" w:cs="Cambria"/>
        </w:rPr>
      </w:pPr>
    </w:p>
    <w:p w14:paraId="05EAEA79">
      <w:pPr>
        <w:ind w:firstLine="420" w:firstLineChars="0"/>
        <w:jc w:val="left"/>
        <w:rPr>
          <w:rFonts w:hint="default" w:ascii="Cambria" w:hAnsi="Cambria" w:cs="Cambria"/>
        </w:rPr>
      </w:pPr>
    </w:p>
    <w:p w14:paraId="105D5A12">
      <w:pPr>
        <w:ind w:firstLine="420" w:firstLineChars="0"/>
        <w:rPr>
          <w:rFonts w:hint="default" w:ascii="Cambria" w:hAnsi="Cambria" w:cs="Cambria"/>
        </w:rPr>
      </w:pPr>
      <w:r>
        <w:rPr>
          <w:rFonts w:hint="default" w:ascii="Cambria" w:hAnsi="Cambria" w:cs="Cambria"/>
        </w:rPr>
        <w:t>(4) Main Work Process</w:t>
      </w:r>
    </w:p>
    <w:p w14:paraId="632E5D64">
      <w:pPr>
        <w:ind w:firstLine="420" w:firstLineChars="0"/>
        <w:rPr>
          <w:rFonts w:hint="default" w:ascii="Cambria" w:hAnsi="Cambria" w:cs="Cambria" w:eastAsiaTheme="minorEastAsia"/>
          <w:lang w:val="en-US" w:eastAsia="zh-CN"/>
        </w:rPr>
      </w:pPr>
      <w:r>
        <w:rPr>
          <w:rFonts w:hint="default" w:ascii="Cambria" w:hAnsi="Cambria" w:cs="Cambria"/>
        </w:rPr>
        <w:t>The compilation process of this standard strictly follows the requirements of SCM 1.1</w:t>
      </w:r>
      <w:r>
        <w:rPr>
          <w:rFonts w:hint="default" w:ascii="Cambria" w:hAnsi="Cambria" w:cs="Cambria"/>
          <w:lang w:val="en-US" w:eastAsia="zh-CN"/>
        </w:rPr>
        <w:t>-</w:t>
      </w:r>
      <w:r>
        <w:rPr>
          <w:rFonts w:hint="default" w:ascii="Cambria" w:hAnsi="Cambria" w:cs="Cambria"/>
        </w:rPr>
        <w:t>2021</w:t>
      </w:r>
      <w:r>
        <w:rPr>
          <w:rFonts w:hint="default" w:ascii="Cambria" w:hAnsi="Cambria" w:cs="Cambria"/>
          <w:lang w:val="en-US" w:eastAsia="zh-CN"/>
        </w:rPr>
        <w:t xml:space="preserve"> by</w:t>
      </w:r>
      <w:r>
        <w:rPr>
          <w:rFonts w:hint="default" w:ascii="Cambria" w:hAnsi="Cambria" w:cs="Cambria"/>
        </w:rPr>
        <w:t xml:space="preserve"> the </w:t>
      </w:r>
      <w:r>
        <w:rPr>
          <w:rFonts w:hint="default" w:ascii="Cambria" w:hAnsi="Cambria" w:cs="Cambria"/>
          <w:lang w:eastAsia="zh-CN"/>
        </w:rPr>
        <w:t>WFCMS</w:t>
      </w:r>
      <w:r>
        <w:rPr>
          <w:rFonts w:hint="default" w:ascii="Cambria" w:hAnsi="Cambria" w:cs="Cambria"/>
        </w:rPr>
        <w:t xml:space="preserve">, ensuring the scientificity, standardization, and international adaptability of the </w:t>
      </w:r>
      <w:r>
        <w:rPr>
          <w:rFonts w:hint="default" w:ascii="Cambria" w:hAnsi="Cambria" w:cs="Cambria"/>
          <w:lang w:val="en-US" w:eastAsia="zh-CN"/>
        </w:rPr>
        <w:t xml:space="preserve">upgrading </w:t>
      </w:r>
      <w:r>
        <w:rPr>
          <w:rFonts w:hint="default" w:ascii="Cambria" w:hAnsi="Cambria" w:cs="Cambria"/>
        </w:rPr>
        <w:t>work. The compilation process of this standard went through the following stages</w:t>
      </w:r>
      <w:r>
        <w:rPr>
          <w:rFonts w:hint="default" w:ascii="Cambria" w:hAnsi="Cambria" w:cs="Cambria"/>
          <w:lang w:val="en-US" w:eastAsia="zh-CN"/>
        </w:rPr>
        <w:t>.</w:t>
      </w:r>
    </w:p>
    <w:p w14:paraId="4CBC02C5">
      <w:pPr>
        <w:ind w:firstLine="420" w:firstLineChars="0"/>
        <w:rPr>
          <w:rFonts w:hint="default" w:ascii="Cambria" w:hAnsi="Cambria" w:cs="Cambria"/>
          <w:b/>
          <w:bCs/>
        </w:rPr>
      </w:pPr>
      <w:r>
        <w:rPr>
          <w:rFonts w:hint="default" w:ascii="Cambria" w:hAnsi="Cambria" w:cs="Cambria"/>
          <w:b/>
          <w:bCs/>
        </w:rPr>
        <w:t>Preparation Stage (April</w:t>
      </w:r>
      <w:r>
        <w:rPr>
          <w:rFonts w:hint="default" w:ascii="Cambria" w:hAnsi="Cambria" w:cs="Cambria"/>
          <w:lang w:eastAsia="zh-CN"/>
        </w:rPr>
        <w:t>–</w:t>
      </w:r>
      <w:r>
        <w:rPr>
          <w:rFonts w:hint="default" w:ascii="Cambria" w:hAnsi="Cambria" w:cs="Cambria"/>
          <w:b/>
          <w:bCs/>
        </w:rPr>
        <w:t>September</w:t>
      </w:r>
      <w:r>
        <w:rPr>
          <w:rFonts w:hint="default" w:ascii="Cambria" w:hAnsi="Cambria" w:cs="Cambria"/>
          <w:b/>
          <w:bCs/>
          <w:lang w:val="en-US" w:eastAsia="zh-CN"/>
        </w:rPr>
        <w:t>,</w:t>
      </w:r>
      <w:r>
        <w:rPr>
          <w:rFonts w:hint="default" w:ascii="Cambria" w:hAnsi="Cambria" w:cs="Cambria"/>
          <w:b/>
          <w:bCs/>
        </w:rPr>
        <w:t xml:space="preserve"> 2025)</w:t>
      </w:r>
    </w:p>
    <w:p w14:paraId="5D8F8452">
      <w:pPr>
        <w:ind w:firstLine="420" w:firstLineChars="0"/>
        <w:rPr>
          <w:rFonts w:hint="default" w:ascii="Cambria" w:hAnsi="Cambria" w:cs="Cambria"/>
        </w:rPr>
      </w:pPr>
      <w:r>
        <w:rPr>
          <w:rFonts w:hint="default" w:ascii="Cambria" w:hAnsi="Cambria" w:cs="Cambria"/>
        </w:rPr>
        <w:t>In April 2025, Professor Wang Shouchuan served as the leader of the overall project team, overseeing five sub-projects. This project was headed by Professor Han Xinmin.</w:t>
      </w:r>
      <w:r>
        <w:rPr>
          <w:rFonts w:hint="default" w:ascii="Cambria" w:hAnsi="Cambria" w:cs="Cambria"/>
          <w:lang w:val="en-US" w:eastAsia="zh-CN"/>
        </w:rPr>
        <w:t xml:space="preserve"> </w:t>
      </w:r>
      <w:r>
        <w:rPr>
          <w:rFonts w:hint="default" w:ascii="Cambria" w:hAnsi="Cambria" w:cs="Cambria"/>
        </w:rPr>
        <w:t>The project team compiled the project application document and draft manuscript in accordance with WFCMS requirements and submitted them for approval in May.</w:t>
      </w:r>
      <w:r>
        <w:rPr>
          <w:rFonts w:hint="default" w:ascii="Cambria" w:hAnsi="Cambria" w:cs="Cambria"/>
          <w:lang w:val="en-US" w:eastAsia="zh-CN"/>
        </w:rPr>
        <w:t xml:space="preserve"> </w:t>
      </w:r>
      <w:r>
        <w:rPr>
          <w:rFonts w:hint="default" w:ascii="Cambria" w:hAnsi="Cambria" w:cs="Cambria"/>
        </w:rPr>
        <w:t>After receiving the documents, WFCMS invited experts to conduct review and appraisal. Expert comments were fed back in August; the project team held discussions to formulate replies and provided justifications for any comments that could not be adopted.</w:t>
      </w:r>
      <w:r>
        <w:rPr>
          <w:rFonts w:hint="default" w:ascii="Cambria" w:hAnsi="Cambria" w:cs="Cambria"/>
          <w:lang w:val="en-US" w:eastAsia="zh-CN"/>
        </w:rPr>
        <w:t xml:space="preserve"> </w:t>
      </w:r>
      <w:r>
        <w:rPr>
          <w:rFonts w:hint="default" w:ascii="Cambria" w:hAnsi="Cambria" w:cs="Cambria"/>
        </w:rPr>
        <w:t xml:space="preserve">WFCMS issued the project approval notice in September. The formal standard </w:t>
      </w:r>
      <w:r>
        <w:rPr>
          <w:rFonts w:hint="default" w:ascii="Cambria" w:hAnsi="Cambria" w:cs="Cambria"/>
          <w:lang w:val="en-US" w:eastAsia="zh-CN"/>
        </w:rPr>
        <w:t xml:space="preserve">upgrading </w:t>
      </w:r>
      <w:r>
        <w:rPr>
          <w:rFonts w:hint="default" w:ascii="Cambria" w:hAnsi="Cambria" w:cs="Cambria"/>
        </w:rPr>
        <w:t>work commenced in late September and was carried out in compliance with WFCMS specifications for the formulation and revision of international standards.</w:t>
      </w:r>
    </w:p>
    <w:p w14:paraId="3AD849F4">
      <w:pPr>
        <w:ind w:firstLine="420" w:firstLineChars="0"/>
        <w:rPr>
          <w:rFonts w:hint="default" w:ascii="Cambria" w:hAnsi="Cambria" w:cs="Cambria"/>
          <w:b/>
          <w:bCs/>
        </w:rPr>
      </w:pPr>
      <w:r>
        <w:rPr>
          <w:rFonts w:hint="default" w:ascii="Cambria" w:hAnsi="Cambria" w:cs="Cambria"/>
          <w:b/>
          <w:bCs/>
        </w:rPr>
        <w:t>Literature Research Stage (September</w:t>
      </w:r>
      <w:r>
        <w:rPr>
          <w:rFonts w:hint="default" w:ascii="Cambria" w:hAnsi="Cambria" w:cs="Cambria"/>
          <w:lang w:eastAsia="zh-CN"/>
        </w:rPr>
        <w:t>–</w:t>
      </w:r>
      <w:r>
        <w:rPr>
          <w:rFonts w:hint="default" w:ascii="Cambria" w:hAnsi="Cambria" w:cs="Cambria"/>
          <w:b/>
          <w:bCs/>
        </w:rPr>
        <w:t>October</w:t>
      </w:r>
      <w:r>
        <w:rPr>
          <w:rFonts w:hint="default" w:ascii="Cambria" w:hAnsi="Cambria" w:cs="Cambria"/>
          <w:b/>
          <w:bCs/>
          <w:lang w:val="en-US" w:eastAsia="zh-CN"/>
        </w:rPr>
        <w:t>,</w:t>
      </w:r>
      <w:r>
        <w:rPr>
          <w:rFonts w:hint="default" w:ascii="Cambria" w:hAnsi="Cambria" w:cs="Cambria"/>
          <w:b/>
          <w:bCs/>
        </w:rPr>
        <w:t xml:space="preserve"> 2025)</w:t>
      </w:r>
    </w:p>
    <w:p w14:paraId="512792FC">
      <w:pPr>
        <w:ind w:firstLine="420" w:firstLineChars="0"/>
        <w:rPr>
          <w:rFonts w:hint="default" w:ascii="Cambria" w:hAnsi="Cambria" w:cs="Cambria"/>
        </w:rPr>
      </w:pPr>
      <w:r>
        <w:rPr>
          <w:rFonts w:hint="default" w:ascii="Cambria" w:hAnsi="Cambria" w:cs="Cambria"/>
          <w:lang w:val="en-US" w:eastAsia="zh-CN"/>
        </w:rPr>
        <w:t>A</w:t>
      </w:r>
      <w:r>
        <w:rPr>
          <w:rFonts w:hint="default" w:ascii="Cambria" w:hAnsi="Cambria" w:cs="Cambria"/>
        </w:rPr>
        <w:t xml:space="preserve"> systematic search of relevant domestic and foreign standards, guidelines, and research literature</w:t>
      </w:r>
      <w:r>
        <w:rPr>
          <w:rFonts w:hint="default" w:ascii="Cambria" w:hAnsi="Cambria" w:cs="Cambria"/>
          <w:lang w:val="en-US" w:eastAsia="zh-CN"/>
        </w:rPr>
        <w:t xml:space="preserve"> was c</w:t>
      </w:r>
      <w:r>
        <w:rPr>
          <w:rFonts w:hint="default" w:ascii="Cambria" w:hAnsi="Cambria" w:cs="Cambria"/>
        </w:rPr>
        <w:t>onducted. The search scope included international standards issued by WHO and</w:t>
      </w:r>
      <w:r>
        <w:rPr>
          <w:rFonts w:hint="default" w:ascii="Cambria" w:hAnsi="Cambria" w:cs="Cambria"/>
          <w:lang w:val="en-US" w:eastAsia="zh-CN"/>
        </w:rPr>
        <w:t xml:space="preserve"> </w:t>
      </w:r>
      <w:r>
        <w:rPr>
          <w:rFonts w:hint="default" w:ascii="Cambria" w:hAnsi="Cambria" w:cs="Cambria"/>
        </w:rPr>
        <w:t>ISO/TC</w:t>
      </w:r>
      <w:r>
        <w:rPr>
          <w:rFonts w:hint="default" w:ascii="Cambria" w:hAnsi="Cambria" w:cs="Cambria"/>
          <w:lang w:val="en-US" w:eastAsia="zh-CN"/>
        </w:rPr>
        <w:t xml:space="preserve"> </w:t>
      </w:r>
      <w:r>
        <w:rPr>
          <w:rFonts w:hint="default" w:ascii="Cambria" w:hAnsi="Cambria" w:cs="Cambria"/>
        </w:rPr>
        <w:t>249</w:t>
      </w:r>
      <w:r>
        <w:rPr>
          <w:rFonts w:hint="default" w:ascii="Cambria" w:hAnsi="Cambria" w:cs="Cambria"/>
          <w:lang w:val="en-US" w:eastAsia="zh-CN"/>
        </w:rPr>
        <w:t>,</w:t>
      </w:r>
      <w:r>
        <w:rPr>
          <w:rFonts w:hint="default" w:ascii="Cambria" w:hAnsi="Cambria" w:cs="Cambria"/>
        </w:rPr>
        <w:t xml:space="preserve"> Pharmacopoeia of the People's Republic of China </w:t>
      </w:r>
      <w:r>
        <w:rPr>
          <w:rFonts w:hint="default" w:ascii="Cambria" w:hAnsi="Cambria" w:cs="Cambria"/>
          <w:lang w:val="en-US" w:eastAsia="zh-CN"/>
        </w:rPr>
        <w:t>(</w:t>
      </w:r>
      <w:r>
        <w:rPr>
          <w:rFonts w:hint="default" w:ascii="Cambria" w:hAnsi="Cambria" w:cs="Cambria"/>
        </w:rPr>
        <w:t>2025 Edition</w:t>
      </w:r>
      <w:r>
        <w:rPr>
          <w:rFonts w:hint="default" w:ascii="Cambria" w:hAnsi="Cambria" w:cs="Cambria"/>
          <w:lang w:val="en-US" w:eastAsia="zh-CN"/>
        </w:rPr>
        <w:t>)</w:t>
      </w:r>
      <w:r>
        <w:rPr>
          <w:rFonts w:hint="default" w:ascii="Cambria" w:hAnsi="Cambria" w:cs="Cambria"/>
        </w:rPr>
        <w:t xml:space="preserve">, </w:t>
      </w:r>
      <w:r>
        <w:rPr>
          <w:rFonts w:hint="default" w:ascii="Cambria" w:hAnsi="Cambria" w:cs="Cambria"/>
          <w:lang w:eastAsia="zh-CN"/>
        </w:rPr>
        <w:t>association standards</w:t>
      </w:r>
      <w:r>
        <w:rPr>
          <w:rFonts w:hint="default" w:ascii="Cambria" w:hAnsi="Cambria" w:cs="Cambria"/>
        </w:rPr>
        <w:t xml:space="preserve"> issued by the </w:t>
      </w:r>
      <w:r>
        <w:rPr>
          <w:rFonts w:hint="default" w:ascii="Cambria" w:hAnsi="Cambria" w:cs="Cambria"/>
          <w:lang w:eastAsia="zh-CN"/>
        </w:rPr>
        <w:t>WFCMS</w:t>
      </w:r>
      <w:r>
        <w:rPr>
          <w:rFonts w:hint="default" w:ascii="Cambria" w:hAnsi="Cambria" w:cs="Cambria"/>
          <w:lang w:val="en-US" w:eastAsia="zh-CN"/>
        </w:rPr>
        <w:t xml:space="preserve"> and</w:t>
      </w:r>
      <w:r>
        <w:rPr>
          <w:rFonts w:hint="default" w:ascii="Cambria" w:hAnsi="Cambria" w:cs="Cambria"/>
        </w:rPr>
        <w:t xml:space="preserve"> the China Association of Chinese Medicine, and literature on pediatric cupping therapy retrieved from PubMed, CNKI and medical databases of Canada, Singapore and other regions. The search keywords were "cupping", "filiform needle", "skin needle"</w:t>
      </w:r>
      <w:r>
        <w:rPr>
          <w:rFonts w:hint="default" w:ascii="Cambria" w:hAnsi="Cambria" w:cs="Cambria"/>
          <w:lang w:val="en-US" w:eastAsia="zh-CN"/>
        </w:rPr>
        <w:t>,</w:t>
      </w:r>
      <w:r>
        <w:rPr>
          <w:rFonts w:hint="default" w:ascii="Cambria" w:hAnsi="Cambria" w:cs="Cambria"/>
        </w:rPr>
        <w:t xml:space="preserve"> combined with </w:t>
      </w:r>
      <w:r>
        <w:rPr>
          <w:rFonts w:hint="default" w:ascii="Cambria" w:hAnsi="Cambria" w:cs="Cambria"/>
          <w:lang w:eastAsia="zh-CN"/>
        </w:rPr>
        <w:t>TCM</w:t>
      </w:r>
      <w:r>
        <w:rPr>
          <w:rFonts w:hint="default" w:ascii="Cambria" w:hAnsi="Cambria" w:cs="Cambria"/>
        </w:rPr>
        <w:t xml:space="preserve"> terms such as "cupping", "fire cupping", "</w:t>
      </w:r>
      <w:r>
        <w:rPr>
          <w:rFonts w:hint="default" w:ascii="Cambria" w:hAnsi="Cambria" w:cs="Cambria"/>
          <w:lang w:val="en-US" w:eastAsia="zh-CN"/>
        </w:rPr>
        <w:t>jar</w:t>
      </w:r>
      <w:r>
        <w:rPr>
          <w:rFonts w:hint="default" w:ascii="Cambria" w:hAnsi="Cambria" w:cs="Cambria"/>
        </w:rPr>
        <w:t>s". After preliminary and re</w:t>
      </w:r>
      <w:r>
        <w:rPr>
          <w:rFonts w:hint="default" w:ascii="Cambria" w:hAnsi="Cambria" w:cs="Cambria"/>
          <w:lang w:val="en-US" w:eastAsia="zh-CN"/>
        </w:rPr>
        <w:t>-</w:t>
      </w:r>
      <w:r>
        <w:rPr>
          <w:rFonts w:hint="default" w:ascii="Cambria" w:hAnsi="Cambria" w:cs="Cambria"/>
        </w:rPr>
        <w:t>screening of the search results, key evidence was included to support the optimization and benchmarking of standard provisions, providing an evidence</w:t>
      </w:r>
      <w:r>
        <w:rPr>
          <w:rFonts w:hint="default" w:ascii="Cambria" w:hAnsi="Cambria" w:cs="Cambria"/>
          <w:lang w:val="en-US" w:eastAsia="zh-CN"/>
        </w:rPr>
        <w:t>-</w:t>
      </w:r>
      <w:r>
        <w:rPr>
          <w:rFonts w:hint="default" w:ascii="Cambria" w:hAnsi="Cambria" w:cs="Cambria"/>
        </w:rPr>
        <w:t>based foundation for the expert questionnaire survey.</w:t>
      </w:r>
    </w:p>
    <w:p w14:paraId="097B8F2C">
      <w:pPr>
        <w:ind w:firstLine="420" w:firstLineChars="0"/>
        <w:rPr>
          <w:rFonts w:hint="default" w:ascii="Cambria" w:hAnsi="Cambria" w:cs="Cambria"/>
          <w:b/>
          <w:bCs/>
        </w:rPr>
      </w:pPr>
      <w:r>
        <w:rPr>
          <w:rFonts w:hint="default" w:ascii="Cambria" w:hAnsi="Cambria" w:cs="Cambria"/>
          <w:b/>
          <w:bCs/>
        </w:rPr>
        <w:t>Expert Questionnaire Survey Stage (October</w:t>
      </w:r>
      <w:r>
        <w:rPr>
          <w:rFonts w:hint="default" w:ascii="Cambria" w:hAnsi="Cambria" w:cs="Cambria"/>
          <w:lang w:eastAsia="zh-CN"/>
        </w:rPr>
        <w:t>–</w:t>
      </w:r>
      <w:r>
        <w:rPr>
          <w:rFonts w:hint="default" w:ascii="Cambria" w:hAnsi="Cambria" w:cs="Cambria"/>
          <w:b/>
          <w:bCs/>
        </w:rPr>
        <w:t>November</w:t>
      </w:r>
      <w:r>
        <w:rPr>
          <w:rFonts w:hint="default" w:ascii="Cambria" w:hAnsi="Cambria" w:cs="Cambria"/>
          <w:b/>
          <w:bCs/>
          <w:lang w:val="en-US" w:eastAsia="zh-CN"/>
        </w:rPr>
        <w:t xml:space="preserve">, </w:t>
      </w:r>
      <w:r>
        <w:rPr>
          <w:rFonts w:hint="default" w:ascii="Cambria" w:hAnsi="Cambria" w:cs="Cambria"/>
          <w:b/>
          <w:bCs/>
        </w:rPr>
        <w:t>2025)</w:t>
      </w:r>
    </w:p>
    <w:p w14:paraId="33D0D39A">
      <w:pPr>
        <w:ind w:firstLine="420" w:firstLineChars="0"/>
        <w:rPr>
          <w:rFonts w:hint="default" w:ascii="Cambria" w:hAnsi="Cambria" w:cs="Cambria"/>
        </w:rPr>
      </w:pPr>
      <w:r>
        <w:rPr>
          <w:rFonts w:hint="default" w:ascii="Cambria" w:hAnsi="Cambria" w:cs="Cambria"/>
        </w:rPr>
        <w:t xml:space="preserve">Based on the original national standard and combined with the evidence from literature retrieval, an expert questionnaire was prepared for items with significant differences from the original standard (such as term definitions, </w:t>
      </w:r>
      <w:r>
        <w:rPr>
          <w:rFonts w:hint="default" w:ascii="Cambria" w:hAnsi="Cambria" w:cs="Cambria"/>
          <w:lang w:eastAsia="zh-CN"/>
        </w:rPr>
        <w:t>operational procedures</w:t>
      </w:r>
      <w:r>
        <w:rPr>
          <w:rFonts w:hint="default" w:ascii="Cambria" w:hAnsi="Cambria" w:cs="Cambria"/>
        </w:rPr>
        <w:t xml:space="preserve">, contraindications, etc.), covering 11 core items such as term definitions, </w:t>
      </w:r>
      <w:r>
        <w:rPr>
          <w:rFonts w:hint="default" w:ascii="Cambria" w:hAnsi="Cambria" w:cs="Cambria"/>
          <w:lang w:eastAsia="zh-CN"/>
        </w:rPr>
        <w:t>operational procedures</w:t>
      </w:r>
      <w:r>
        <w:rPr>
          <w:rFonts w:hint="default" w:ascii="Cambria" w:hAnsi="Cambria" w:cs="Cambria"/>
        </w:rPr>
        <w:t>, precautions, and contraindications. Questionnaires were sent to 30 experts at home and abroad, covering six countries</w:t>
      </w:r>
      <w:r>
        <w:rPr>
          <w:rFonts w:hint="default" w:ascii="Cambria" w:hAnsi="Cambria" w:cs="Cambria"/>
          <w:lang w:val="en-US" w:eastAsia="zh-CN"/>
        </w:rPr>
        <w:t xml:space="preserve">, </w:t>
      </w:r>
      <w:r>
        <w:rPr>
          <w:rFonts w:hint="default" w:ascii="Cambria" w:hAnsi="Cambria" w:cs="Cambria"/>
        </w:rPr>
        <w:t xml:space="preserve">including China, Canada, Singapore, Malaysia, Thailand, and Vietnam. </w:t>
      </w:r>
      <w:r>
        <w:rPr>
          <w:rFonts w:hint="default" w:ascii="Cambria" w:hAnsi="Cambria" w:cs="Cambria"/>
          <w:lang w:val="en-US" w:eastAsia="zh-CN"/>
        </w:rPr>
        <w:t xml:space="preserve">All </w:t>
      </w:r>
      <w:r>
        <w:rPr>
          <w:rFonts w:hint="default" w:ascii="Cambria" w:hAnsi="Cambria" w:cs="Cambria"/>
        </w:rPr>
        <w:t xml:space="preserve">30 questionnaires were </w:t>
      </w:r>
      <w:r>
        <w:rPr>
          <w:rFonts w:hint="default" w:ascii="Cambria" w:hAnsi="Cambria" w:cs="Cambria"/>
          <w:lang w:val="en-US" w:eastAsia="zh-CN"/>
        </w:rPr>
        <w:t>retrieved</w:t>
      </w:r>
      <w:r>
        <w:rPr>
          <w:rFonts w:hint="default" w:ascii="Cambria" w:hAnsi="Cambria" w:cs="Cambria"/>
        </w:rPr>
        <w:t xml:space="preserve">, </w:t>
      </w:r>
      <w:r>
        <w:rPr>
          <w:rFonts w:hint="default" w:ascii="Cambria" w:hAnsi="Cambria" w:cs="Cambria"/>
          <w:lang w:eastAsia="zh-CN"/>
        </w:rPr>
        <w:t>with an expert positive coefficient of 100%</w:t>
      </w:r>
      <w:r>
        <w:rPr>
          <w:rFonts w:hint="default" w:ascii="Cambria" w:hAnsi="Cambria" w:cs="Cambria"/>
        </w:rPr>
        <w:t xml:space="preserve">. Through statistical analysis, 8 items obtained the support of more than 50% of the experts to form a consensus, and 3 items with controversial entries and </w:t>
      </w:r>
      <w:r>
        <w:rPr>
          <w:rFonts w:hint="default" w:ascii="Cambria" w:hAnsi="Cambria" w:cs="Cambria"/>
          <w:lang w:eastAsia="zh-CN"/>
        </w:rPr>
        <w:t>open-ended questions</w:t>
      </w:r>
      <w:r>
        <w:rPr>
          <w:rFonts w:hint="default" w:ascii="Cambria" w:hAnsi="Cambria" w:cs="Cambria"/>
        </w:rPr>
        <w:t xml:space="preserve"> were submitted to the expert demonstration meeting for discussion.</w:t>
      </w:r>
    </w:p>
    <w:p w14:paraId="18A62C71">
      <w:pPr>
        <w:ind w:firstLine="420" w:firstLineChars="0"/>
        <w:rPr>
          <w:rFonts w:hint="default" w:ascii="Cambria" w:hAnsi="Cambria" w:cs="Cambria"/>
          <w:b/>
          <w:bCs/>
        </w:rPr>
      </w:pPr>
      <w:r>
        <w:rPr>
          <w:rFonts w:hint="default" w:ascii="Cambria" w:hAnsi="Cambria" w:cs="Cambria"/>
          <w:b/>
          <w:bCs/>
        </w:rPr>
        <w:t>Expert Demonstration Meeting Stage (December 3, 2025)</w:t>
      </w:r>
    </w:p>
    <w:p w14:paraId="1CAC58A4">
      <w:pPr>
        <w:ind w:firstLine="420" w:firstLineChars="0"/>
        <w:rPr>
          <w:rFonts w:hint="default" w:ascii="Cambria" w:hAnsi="Cambria" w:cs="Cambria"/>
        </w:rPr>
      </w:pPr>
      <w:r>
        <w:rPr>
          <w:rFonts w:hint="default" w:ascii="Cambria" w:hAnsi="Cambria" w:cs="Cambria"/>
          <w:lang w:val="en-US" w:eastAsia="zh-CN"/>
        </w:rPr>
        <w:t>A</w:t>
      </w:r>
      <w:r>
        <w:rPr>
          <w:rFonts w:hint="default" w:ascii="Cambria" w:hAnsi="Cambria" w:cs="Cambria"/>
        </w:rPr>
        <w:t>n expert demonstration meeting combining online and offline methods</w:t>
      </w:r>
      <w:r>
        <w:rPr>
          <w:rFonts w:hint="default" w:ascii="Cambria" w:hAnsi="Cambria" w:cs="Cambria"/>
          <w:lang w:val="en-US" w:eastAsia="zh-CN"/>
        </w:rPr>
        <w:t xml:space="preserve"> was held</w:t>
      </w:r>
      <w:r>
        <w:rPr>
          <w:rFonts w:hint="default" w:ascii="Cambria" w:hAnsi="Cambria" w:cs="Cambria"/>
        </w:rPr>
        <w:t xml:space="preserve">, </w:t>
      </w:r>
      <w:r>
        <w:rPr>
          <w:rFonts w:hint="default" w:ascii="Cambria" w:hAnsi="Cambria" w:cs="Cambria"/>
          <w:lang w:val="en-US" w:eastAsia="zh-CN"/>
        </w:rPr>
        <w:t xml:space="preserve">where </w:t>
      </w:r>
      <w:r>
        <w:rPr>
          <w:rFonts w:hint="default" w:ascii="Cambria" w:hAnsi="Cambria" w:cs="Cambria"/>
        </w:rPr>
        <w:t xml:space="preserve"> the work progress of the project since its launch</w:t>
      </w:r>
      <w:r>
        <w:rPr>
          <w:rFonts w:hint="default" w:ascii="Cambria" w:hAnsi="Cambria" w:cs="Cambria"/>
          <w:lang w:val="en-US" w:eastAsia="zh-CN"/>
        </w:rPr>
        <w:t xml:space="preserve"> was reported</w:t>
      </w:r>
      <w:r>
        <w:rPr>
          <w:rFonts w:hint="default" w:ascii="Cambria" w:hAnsi="Cambria" w:cs="Cambria"/>
        </w:rPr>
        <w:t xml:space="preserve">, and the items that did not reach a consensus in the expert survey </w:t>
      </w:r>
      <w:r>
        <w:rPr>
          <w:rFonts w:hint="default" w:ascii="Cambria" w:hAnsi="Cambria" w:cs="Cambria"/>
          <w:lang w:val="en-US" w:eastAsia="zh-CN"/>
        </w:rPr>
        <w:t xml:space="preserve">feedback were the </w:t>
      </w:r>
      <w:r>
        <w:rPr>
          <w:rFonts w:hint="default" w:ascii="Cambria" w:hAnsi="Cambria" w:cs="Cambria"/>
        </w:rPr>
        <w:t>focus</w:t>
      </w:r>
      <w:r>
        <w:rPr>
          <w:rFonts w:hint="default" w:ascii="Cambria" w:hAnsi="Cambria" w:cs="Cambria"/>
          <w:lang w:val="en-US" w:eastAsia="zh-CN"/>
        </w:rPr>
        <w:t xml:space="preserve"> for</w:t>
      </w:r>
      <w:r>
        <w:rPr>
          <w:rFonts w:hint="default" w:ascii="Cambria" w:hAnsi="Cambria" w:cs="Cambria"/>
        </w:rPr>
        <w:t xml:space="preserve"> discuss</w:t>
      </w:r>
      <w:r>
        <w:rPr>
          <w:rFonts w:hint="default" w:ascii="Cambria" w:hAnsi="Cambria" w:cs="Cambria"/>
          <w:lang w:val="en-US" w:eastAsia="zh-CN"/>
        </w:rPr>
        <w:t>ion</w:t>
      </w:r>
      <w:r>
        <w:rPr>
          <w:rFonts w:hint="default" w:ascii="Cambria" w:hAnsi="Cambria" w:cs="Cambria"/>
        </w:rPr>
        <w:t>. The meeting adopted the mode of "pre</w:t>
      </w:r>
      <w:r>
        <w:rPr>
          <w:rFonts w:hint="default" w:ascii="Cambria" w:hAnsi="Cambria" w:cs="Cambria"/>
          <w:lang w:val="en-US" w:eastAsia="zh-CN"/>
        </w:rPr>
        <w:t>-</w:t>
      </w:r>
      <w:r>
        <w:rPr>
          <w:rFonts w:hint="default" w:ascii="Cambria" w:hAnsi="Cambria" w:cs="Cambria"/>
        </w:rPr>
        <w:t>meeting review by letter</w:t>
      </w:r>
      <w:r>
        <w:rPr>
          <w:rFonts w:hint="default" w:ascii="Cambria" w:hAnsi="Cambria" w:cs="Cambria"/>
          <w:lang w:val="en-US" w:eastAsia="zh-CN"/>
        </w:rPr>
        <w:t xml:space="preserve">, </w:t>
      </w:r>
      <w:r>
        <w:rPr>
          <w:rFonts w:hint="default" w:ascii="Cambria" w:hAnsi="Cambria" w:cs="Cambria"/>
        </w:rPr>
        <w:t>in</w:t>
      </w:r>
      <w:r>
        <w:rPr>
          <w:rFonts w:hint="default" w:ascii="Cambria" w:hAnsi="Cambria" w:cs="Cambria"/>
          <w:lang w:val="en-US" w:eastAsia="zh-CN"/>
        </w:rPr>
        <w:t>-</w:t>
      </w:r>
      <w:r>
        <w:rPr>
          <w:rFonts w:hint="default" w:ascii="Cambria" w:hAnsi="Cambria" w:cs="Cambria"/>
        </w:rPr>
        <w:t>meeting demonstration</w:t>
      </w:r>
      <w:r>
        <w:rPr>
          <w:rFonts w:hint="default" w:ascii="Cambria" w:hAnsi="Cambria" w:cs="Cambria"/>
          <w:lang w:val="en-US" w:eastAsia="zh-CN"/>
        </w:rPr>
        <w:t xml:space="preserve"> and </w:t>
      </w:r>
      <w:r>
        <w:rPr>
          <w:rFonts w:hint="default" w:ascii="Cambria" w:hAnsi="Cambria" w:cs="Cambria"/>
        </w:rPr>
        <w:t>post</w:t>
      </w:r>
      <w:r>
        <w:rPr>
          <w:rFonts w:hint="default" w:ascii="Cambria" w:hAnsi="Cambria" w:cs="Cambria"/>
          <w:lang w:val="en-US" w:eastAsia="zh-CN"/>
        </w:rPr>
        <w:t>-</w:t>
      </w:r>
      <w:r>
        <w:rPr>
          <w:rFonts w:hint="default" w:ascii="Cambria" w:hAnsi="Cambria" w:cs="Cambria"/>
        </w:rPr>
        <w:t xml:space="preserve">meeting written confirmation". The questions to be discussed by the experts were sent to them in advance, including controversial items and the preliminary opinions of the project team. The controversial items were scored item by item and fully discussed to form consistent modification opinions. At the same time, </w:t>
      </w:r>
      <w:r>
        <w:rPr>
          <w:rFonts w:hint="default" w:ascii="Cambria" w:hAnsi="Cambria" w:cs="Cambria"/>
          <w:lang w:eastAsia="zh-CN"/>
        </w:rPr>
        <w:t>open-ended questions</w:t>
      </w:r>
      <w:r>
        <w:rPr>
          <w:rFonts w:hint="default" w:ascii="Cambria" w:hAnsi="Cambria" w:cs="Cambria"/>
        </w:rPr>
        <w:t xml:space="preserve"> were demonstrated, including key issues such as local regulation restrictions, special population protection, and term internationalization.</w:t>
      </w:r>
    </w:p>
    <w:p w14:paraId="134DACFE">
      <w:pPr>
        <w:ind w:firstLine="420" w:firstLineChars="0"/>
        <w:rPr>
          <w:rFonts w:hint="default" w:ascii="Cambria" w:hAnsi="Cambria" w:cs="Cambria"/>
          <w:b/>
          <w:bCs/>
        </w:rPr>
      </w:pPr>
      <w:r>
        <w:rPr>
          <w:rFonts w:hint="default" w:ascii="Cambria" w:hAnsi="Cambria" w:cs="Cambria"/>
          <w:b/>
          <w:bCs/>
        </w:rPr>
        <w:t>Collective Research and Coordination Meeting of the Five Project Groups (December 13, 2025)</w:t>
      </w:r>
    </w:p>
    <w:p w14:paraId="0D7E27B1">
      <w:pPr>
        <w:ind w:firstLine="420" w:firstLineChars="0"/>
        <w:rPr>
          <w:rFonts w:hint="default" w:ascii="Cambria" w:hAnsi="Cambria" w:cs="Cambria"/>
        </w:rPr>
      </w:pPr>
      <w:r>
        <w:rPr>
          <w:rFonts w:hint="default" w:ascii="Cambria" w:hAnsi="Cambria" w:cs="Cambria"/>
        </w:rPr>
        <w:t xml:space="preserve">The </w:t>
      </w:r>
      <w:r>
        <w:rPr>
          <w:rFonts w:hint="default" w:ascii="Cambria" w:hAnsi="Cambria" w:cs="Cambria"/>
          <w:lang w:val="en-US" w:eastAsia="zh-CN"/>
        </w:rPr>
        <w:t xml:space="preserve">key </w:t>
      </w:r>
      <w:r>
        <w:rPr>
          <w:rFonts w:hint="default" w:ascii="Cambria" w:hAnsi="Cambria" w:cs="Cambria"/>
        </w:rPr>
        <w:t>members of the five project groups</w:t>
      </w:r>
      <w:r>
        <w:rPr>
          <w:rFonts w:hint="default" w:ascii="Cambria" w:hAnsi="Cambria" w:cs="Cambria"/>
          <w:lang w:val="en-US" w:eastAsia="zh-CN"/>
        </w:rPr>
        <w:t xml:space="preserve">, respectively covering Internal treatments, Common external treatment, Acupuncture and moxibustion, Tuina, and Cupping therapy, attended the meeting collectively. </w:t>
      </w:r>
      <w:r>
        <w:rPr>
          <w:rFonts w:hint="default" w:ascii="Cambria" w:hAnsi="Cambria" w:cs="Cambria"/>
        </w:rPr>
        <w:t>The meeting summarized the previous work</w:t>
      </w:r>
      <w:r>
        <w:rPr>
          <w:rFonts w:hint="default" w:ascii="Cambria" w:hAnsi="Cambria" w:cs="Cambria"/>
          <w:lang w:val="en-US" w:eastAsia="zh-CN"/>
        </w:rPr>
        <w:t xml:space="preserve"> and </w:t>
      </w:r>
      <w:r>
        <w:rPr>
          <w:rFonts w:hint="default" w:ascii="Cambria" w:hAnsi="Cambria" w:cs="Cambria"/>
        </w:rPr>
        <w:t xml:space="preserve">the opinions of the questionnaire experts and demonstration experts, unified the common content in the standard, discussed and determined several controversial items, and decided on the next step </w:t>
      </w:r>
      <w:r>
        <w:rPr>
          <w:rFonts w:hint="default" w:ascii="Cambria" w:hAnsi="Cambria" w:cs="Cambria"/>
          <w:lang w:val="en-US" w:eastAsia="zh-CN"/>
        </w:rPr>
        <w:t xml:space="preserve">for </w:t>
      </w:r>
      <w:r>
        <w:rPr>
          <w:rFonts w:hint="default" w:ascii="Cambria" w:hAnsi="Cambria" w:cs="Cambria"/>
        </w:rPr>
        <w:t xml:space="preserve">project research, the materials to be submitted to the </w:t>
      </w:r>
      <w:r>
        <w:rPr>
          <w:rFonts w:hint="default" w:ascii="Cambria" w:hAnsi="Cambria" w:cs="Cambria"/>
          <w:lang w:eastAsia="zh-CN"/>
        </w:rPr>
        <w:t>International Standards Department</w:t>
      </w:r>
      <w:r>
        <w:rPr>
          <w:rFonts w:hint="default" w:ascii="Cambria" w:hAnsi="Cambria" w:cs="Cambria"/>
        </w:rPr>
        <w:t xml:space="preserve"> of the </w:t>
      </w:r>
      <w:r>
        <w:rPr>
          <w:rFonts w:hint="default" w:ascii="Cambria" w:hAnsi="Cambria" w:cs="Cambria"/>
          <w:lang w:eastAsia="zh-CN"/>
        </w:rPr>
        <w:t>WFCMS</w:t>
      </w:r>
      <w:r>
        <w:rPr>
          <w:rFonts w:hint="default" w:ascii="Cambria" w:hAnsi="Cambria" w:cs="Cambria"/>
        </w:rPr>
        <w:t xml:space="preserve">, and the </w:t>
      </w:r>
      <w:r>
        <w:rPr>
          <w:rFonts w:hint="default" w:ascii="Cambria" w:hAnsi="Cambria" w:cs="Cambria"/>
          <w:lang w:val="en-US" w:eastAsia="zh-CN"/>
        </w:rPr>
        <w:t xml:space="preserve">corresponding </w:t>
      </w:r>
      <w:r>
        <w:rPr>
          <w:rFonts w:hint="default" w:ascii="Cambria" w:hAnsi="Cambria" w:cs="Cambria"/>
        </w:rPr>
        <w:t>tim</w:t>
      </w:r>
      <w:r>
        <w:rPr>
          <w:rFonts w:hint="default" w:ascii="Cambria" w:hAnsi="Cambria" w:cs="Cambria"/>
          <w:lang w:val="en-US" w:eastAsia="zh-CN"/>
        </w:rPr>
        <w:t>eline milestone</w:t>
      </w:r>
      <w:r>
        <w:rPr>
          <w:rFonts w:hint="default" w:ascii="Cambria" w:hAnsi="Cambria" w:cs="Cambria"/>
        </w:rPr>
        <w:t>.</w:t>
      </w:r>
    </w:p>
    <w:p w14:paraId="41258760">
      <w:pPr>
        <w:ind w:firstLine="420" w:firstLineChars="0"/>
        <w:rPr>
          <w:rFonts w:hint="default" w:ascii="Cambria" w:hAnsi="Cambria" w:cs="Cambria"/>
          <w:b/>
          <w:bCs/>
        </w:rPr>
      </w:pPr>
      <w:r>
        <w:rPr>
          <w:rFonts w:hint="default" w:ascii="Cambria" w:hAnsi="Cambria" w:cs="Cambria"/>
          <w:b/>
          <w:bCs/>
        </w:rPr>
        <w:t>Standard Revision and Improvement Stage (December 13</w:t>
      </w:r>
      <w:r>
        <w:rPr>
          <w:rFonts w:hint="default" w:ascii="Cambria" w:hAnsi="Cambria" w:cs="Cambria"/>
          <w:lang w:eastAsia="zh-CN"/>
        </w:rPr>
        <w:t>–</w:t>
      </w:r>
      <w:r>
        <w:rPr>
          <w:rFonts w:hint="default" w:ascii="Cambria" w:hAnsi="Cambria" w:cs="Cambria"/>
          <w:b/>
          <w:bCs/>
        </w:rPr>
        <w:t>30, 2025)</w:t>
      </w:r>
    </w:p>
    <w:p w14:paraId="3E43E85E">
      <w:pPr>
        <w:ind w:firstLine="420" w:firstLineChars="0"/>
        <w:rPr>
          <w:rFonts w:hint="default" w:ascii="Cambria" w:hAnsi="Cambria" w:cs="Cambria"/>
        </w:rPr>
      </w:pPr>
      <w:r>
        <w:rPr>
          <w:rFonts w:hint="default" w:ascii="Cambria" w:hAnsi="Cambria" w:cs="Cambria"/>
        </w:rPr>
        <w:t xml:space="preserve">The project team revised the draft item by item according to the opinions from literature retrieval, expert questionnaires, expert demonstration meetings, the </w:t>
      </w:r>
      <w:r>
        <w:rPr>
          <w:rFonts w:hint="default" w:ascii="Cambria" w:hAnsi="Cambria" w:cs="Cambria"/>
          <w:lang w:eastAsia="zh-CN"/>
        </w:rPr>
        <w:t>expert steering group</w:t>
      </w:r>
      <w:r>
        <w:rPr>
          <w:rFonts w:hint="default" w:ascii="Cambria" w:hAnsi="Cambria" w:cs="Cambria"/>
        </w:rPr>
        <w:t>, and project group meetings, and formed a modification comparison table.</w:t>
      </w:r>
    </w:p>
    <w:p w14:paraId="5C2E308E">
      <w:pPr>
        <w:ind w:firstLine="420" w:firstLineChars="0"/>
        <w:rPr>
          <w:rFonts w:hint="default" w:ascii="Cambria" w:hAnsi="Cambria" w:cs="Cambria"/>
          <w:b/>
          <w:bCs/>
        </w:rPr>
      </w:pPr>
      <w:r>
        <w:rPr>
          <w:rFonts w:hint="default" w:ascii="Cambria" w:hAnsi="Cambria" w:cs="Cambria"/>
          <w:b/>
          <w:bCs/>
        </w:rPr>
        <w:t>Writing and Submission of the Formulation Explanation (December 22</w:t>
      </w:r>
      <w:r>
        <w:rPr>
          <w:rFonts w:hint="default" w:ascii="Cambria" w:hAnsi="Cambria" w:cs="Cambria"/>
          <w:lang w:eastAsia="zh-CN"/>
        </w:rPr>
        <w:t>–</w:t>
      </w:r>
      <w:r>
        <w:rPr>
          <w:rFonts w:hint="default" w:ascii="Cambria" w:hAnsi="Cambria" w:cs="Cambria"/>
          <w:b/>
          <w:bCs/>
        </w:rPr>
        <w:t>30, 2025)</w:t>
      </w:r>
    </w:p>
    <w:p w14:paraId="439B4DB7">
      <w:pPr>
        <w:ind w:firstLine="420" w:firstLineChars="0"/>
        <w:rPr>
          <w:rFonts w:hint="default" w:ascii="Cambria" w:hAnsi="Cambria" w:cs="Cambria"/>
        </w:rPr>
      </w:pPr>
      <w:r>
        <w:rPr>
          <w:rFonts w:hint="default" w:ascii="Cambria" w:hAnsi="Cambria" w:cs="Cambria"/>
          <w:lang w:val="en-US" w:eastAsia="zh-CN"/>
        </w:rPr>
        <w:t>T</w:t>
      </w:r>
      <w:r>
        <w:rPr>
          <w:rFonts w:hint="default" w:ascii="Cambria" w:hAnsi="Cambria" w:cs="Cambria"/>
        </w:rPr>
        <w:t xml:space="preserve">he draft of </w:t>
      </w:r>
      <w:r>
        <w:rPr>
          <w:rFonts w:hint="default" w:ascii="Cambria" w:hAnsi="Cambria" w:cs="Cambria"/>
          <w:lang w:val="en-US" w:eastAsia="zh-CN"/>
        </w:rPr>
        <w:t>F</w:t>
      </w:r>
      <w:r>
        <w:rPr>
          <w:rFonts w:hint="default" w:ascii="Cambria" w:hAnsi="Cambria" w:cs="Cambria"/>
        </w:rPr>
        <w:t xml:space="preserve">ormulation </w:t>
      </w:r>
      <w:r>
        <w:rPr>
          <w:rFonts w:hint="default" w:ascii="Cambria" w:hAnsi="Cambria" w:cs="Cambria"/>
          <w:lang w:val="en-US" w:eastAsia="zh-CN"/>
        </w:rPr>
        <w:t>E</w:t>
      </w:r>
      <w:r>
        <w:rPr>
          <w:rFonts w:hint="default" w:ascii="Cambria" w:hAnsi="Cambria" w:cs="Cambria"/>
        </w:rPr>
        <w:t>xplanation</w:t>
      </w:r>
      <w:r>
        <w:rPr>
          <w:rFonts w:hint="default" w:ascii="Cambria" w:hAnsi="Cambria" w:cs="Cambria"/>
          <w:lang w:val="en-US" w:eastAsia="zh-CN"/>
        </w:rPr>
        <w:t>s for ISMCMP-CT</w:t>
      </w:r>
      <w:r>
        <w:rPr>
          <w:rFonts w:hint="default" w:ascii="Cambria" w:hAnsi="Cambria" w:cs="Cambria"/>
        </w:rPr>
        <w:t xml:space="preserve"> </w:t>
      </w:r>
      <w:r>
        <w:rPr>
          <w:rFonts w:hint="default" w:ascii="Cambria" w:hAnsi="Cambria" w:cs="Cambria"/>
          <w:lang w:val="en-US" w:eastAsia="zh-CN"/>
        </w:rPr>
        <w:t>was to be completed</w:t>
      </w:r>
      <w:r>
        <w:rPr>
          <w:rFonts w:hint="default" w:ascii="Cambria" w:hAnsi="Cambria" w:cs="Cambria"/>
        </w:rPr>
        <w:t xml:space="preserve"> and submitted to the </w:t>
      </w:r>
      <w:r>
        <w:rPr>
          <w:rFonts w:hint="default" w:ascii="Cambria" w:hAnsi="Cambria" w:cs="Cambria"/>
          <w:lang w:eastAsia="zh-CN"/>
        </w:rPr>
        <w:t>International Standards Department</w:t>
      </w:r>
      <w:r>
        <w:rPr>
          <w:rFonts w:hint="default" w:ascii="Cambria" w:hAnsi="Cambria" w:cs="Cambria"/>
        </w:rPr>
        <w:t xml:space="preserve"> of the </w:t>
      </w:r>
      <w:r>
        <w:rPr>
          <w:rFonts w:hint="default" w:ascii="Cambria" w:hAnsi="Cambria" w:cs="Cambria"/>
          <w:lang w:eastAsia="zh-CN"/>
        </w:rPr>
        <w:t>WFCMS</w:t>
      </w:r>
      <w:r>
        <w:rPr>
          <w:rFonts w:hint="default" w:ascii="Cambria" w:hAnsi="Cambria" w:cs="Cambria"/>
        </w:rPr>
        <w:t xml:space="preserve"> for review.</w:t>
      </w:r>
    </w:p>
    <w:p w14:paraId="6D7DF76D">
      <w:pPr>
        <w:ind w:firstLine="420" w:firstLineChars="0"/>
        <w:rPr>
          <w:rFonts w:hint="default" w:ascii="Cambria" w:hAnsi="Cambria" w:cs="Cambria" w:eastAsiaTheme="minorEastAsia"/>
          <w:lang w:val="en-US" w:eastAsia="zh-CN"/>
        </w:rPr>
      </w:pPr>
      <w:r>
        <w:rPr>
          <w:rFonts w:hint="default" w:ascii="Cambria" w:hAnsi="Cambria" w:cs="Cambria"/>
        </w:rPr>
        <w:t>The compilation process of this standard revision is shown in the following figure</w:t>
      </w:r>
      <w:r>
        <w:rPr>
          <w:rFonts w:hint="default" w:ascii="Cambria" w:hAnsi="Cambria" w:cs="Cambria"/>
          <w:lang w:val="en-US" w:eastAsia="zh-CN"/>
        </w:rPr>
        <w:t>.</w:t>
      </w:r>
    </w:p>
    <w:p w14:paraId="46C78FCF">
      <w:pPr>
        <w:rPr>
          <w:rFonts w:hint="default" w:ascii="Cambria" w:hAnsi="Cambria" w:cs="Cambria"/>
        </w:rPr>
      </w:pPr>
    </w:p>
    <w:p w14:paraId="3C859909">
      <w:pPr>
        <w:rPr>
          <w:rFonts w:hint="default" w:ascii="Cambria" w:hAnsi="Cambria" w:cs="Cambria"/>
        </w:rPr>
      </w:pPr>
      <w:r>
        <w:rPr>
          <w:rFonts w:hint="default" w:ascii="Cambria" w:hAnsi="Cambria" w:cs="Cambria"/>
          <w:sz w:val="21"/>
        </w:rPr>
        <mc:AlternateContent>
          <mc:Choice Requires="wps">
            <w:drawing>
              <wp:anchor distT="0" distB="0" distL="114300" distR="114300" simplePos="0" relativeHeight="251671552" behindDoc="0" locked="0" layoutInCell="1" allowOverlap="1">
                <wp:simplePos x="0" y="0"/>
                <wp:positionH relativeFrom="column">
                  <wp:posOffset>-323215</wp:posOffset>
                </wp:positionH>
                <wp:positionV relativeFrom="paragraph">
                  <wp:posOffset>-17780</wp:posOffset>
                </wp:positionV>
                <wp:extent cx="2306320" cy="447675"/>
                <wp:effectExtent l="4445" t="4445" r="13335" b="5080"/>
                <wp:wrapNone/>
                <wp:docPr id="1" name="文本框 1"/>
                <wp:cNvGraphicFramePr/>
                <a:graphic xmlns:a="http://schemas.openxmlformats.org/drawingml/2006/main">
                  <a:graphicData uri="http://schemas.microsoft.com/office/word/2010/wordprocessingShape">
                    <wps:wsp>
                      <wps:cNvSpPr txBox="1"/>
                      <wps:spPr>
                        <a:xfrm>
                          <a:off x="1148715" y="972820"/>
                          <a:ext cx="2306320" cy="447675"/>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04B9DF2C">
                            <w:r>
                              <w:rPr>
                                <w:rFonts w:hint="eastAsia"/>
                              </w:rPr>
                              <w:t>Literature research and multi-source literature retrieval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45pt;margin-top:-1.4pt;height:35.25pt;width:181.6pt;z-index:251671552;mso-width-relative:page;mso-height-relative:page;" fillcolor="#FFFFFF [3201]" filled="t" stroked="t" coordsize="21600,21600" o:gfxdata="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Bfb&#10;oF3WAAAACQEAAA8AAAAAAAAAAQAgAAAAIgAAAGRycy9kb3ducmV2LnhtbFBLAQIUABQAAAAIAIdO&#10;4kAvXQ4bXgIAAMMEAAAOAAAAAAAAAAEAIAAAACUBAABkcnMvZTJvRG9jLnhtbFBLBQYAAAAABgAG&#10;AFkBAAD1BQAAAAA=&#10;">
                <v:fill on="t" focussize="0,0"/>
                <v:stroke weight="0.5pt" color="#000000 [3213]" joinstyle="round"/>
                <v:imagedata o:title=""/>
                <o:lock v:ext="edit" aspectratio="f"/>
                <v:textbox>
                  <w:txbxContent>
                    <w:p w14:paraId="04B9DF2C">
                      <w:r>
                        <w:rPr>
                          <w:rFonts w:hint="eastAsia"/>
                        </w:rPr>
                        <w:t>Literature research and multi-source literature retrieval</w:t>
                      </w:r>
                    </w:p>
                  </w:txbxContent>
                </v:textbox>
              </v:shape>
            </w:pict>
          </mc:Fallback>
        </mc:AlternateContent>
      </w:r>
    </w:p>
    <w:p w14:paraId="799D8521">
      <w:pPr>
        <w:rPr>
          <w:rFonts w:hint="default" w:ascii="Cambria" w:hAnsi="Cambria" w:cs="Cambria"/>
        </w:rPr>
      </w:pPr>
      <w:r>
        <w:rPr>
          <w:rFonts w:hint="default" w:ascii="Cambria" w:hAnsi="Cambria" w:cs="Cambria"/>
          <w:sz w:val="21"/>
        </w:rPr>
        <mc:AlternateContent>
          <mc:Choice Requires="wps">
            <w:drawing>
              <wp:anchor distT="0" distB="0" distL="114300" distR="114300" simplePos="0" relativeHeight="251685888" behindDoc="0" locked="0" layoutInCell="1" allowOverlap="1">
                <wp:simplePos x="0" y="0"/>
                <wp:positionH relativeFrom="column">
                  <wp:posOffset>829945</wp:posOffset>
                </wp:positionH>
                <wp:positionV relativeFrom="paragraph">
                  <wp:posOffset>231775</wp:posOffset>
                </wp:positionV>
                <wp:extent cx="0" cy="229235"/>
                <wp:effectExtent l="48895" t="0" r="52705" b="12065"/>
                <wp:wrapNone/>
                <wp:docPr id="18" name="直接箭头连接符 18"/>
                <wp:cNvGraphicFramePr/>
                <a:graphic xmlns:a="http://schemas.openxmlformats.org/drawingml/2006/main">
                  <a:graphicData uri="http://schemas.microsoft.com/office/word/2010/wordprocessingShape">
                    <wps:wsp>
                      <wps:cNvCnPr>
                        <a:stCxn id="1" idx="2"/>
                        <a:endCxn id="3" idx="0"/>
                      </wps:cNvCnPr>
                      <wps:spPr>
                        <a:xfrm>
                          <a:off x="1972945" y="1278890"/>
                          <a:ext cx="0" cy="22923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65.35pt;margin-top:18.25pt;height:18.05pt;width:0pt;z-index:251685888;mso-width-relative:page;mso-height-relative:page;" filled="f" stroked="t" coordsize="21600,21600" o:gfxdata="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g5fuRdcAAAAJ&#10;AQAADwAAAAAAAAABACAAAAAiAAAAZHJzL2Rvd25yZXYueG1sUEsBAhQAFAAAAAgAh07iQPzKDDQd&#10;AgAAFAQAAA4AAAAAAAAAAQAgAAAAJgEAAGRycy9lMm9Eb2MueG1sUEsFBgAAAAAGAAYAWQEAALUF&#10;AAAAAA==&#10;">
                <v:fill on="f" focussize="0,0"/>
                <v:stroke weight="0.5pt" color="#000000 [3213]" joinstyle="round" endarrow="open"/>
                <v:imagedata o:title=""/>
                <o:lock v:ext="edit" aspectratio="f"/>
              </v:shape>
            </w:pict>
          </mc:Fallback>
        </mc:AlternateContent>
      </w:r>
    </w:p>
    <w:p w14:paraId="68F18BB6">
      <w:pPr>
        <w:rPr>
          <w:rFonts w:hint="default" w:ascii="Cambria" w:hAnsi="Cambria" w:cs="Cambria"/>
        </w:rPr>
      </w:pPr>
    </w:p>
    <w:p w14:paraId="7FF00F92">
      <w:pPr>
        <w:rPr>
          <w:rFonts w:hint="default" w:ascii="Cambria" w:hAnsi="Cambria" w:cs="Cambria"/>
        </w:rPr>
      </w:pPr>
      <w:r>
        <w:rPr>
          <w:rFonts w:hint="default" w:ascii="Cambria" w:hAnsi="Cambria" w:cs="Cambria"/>
          <w:sz w:val="21"/>
        </w:rPr>
        <mc:AlternateContent>
          <mc:Choice Requires="wps">
            <w:drawing>
              <wp:anchor distT="0" distB="0" distL="114300" distR="114300" simplePos="0" relativeHeight="251679744" behindDoc="0" locked="0" layoutInCell="1" allowOverlap="1">
                <wp:simplePos x="0" y="0"/>
                <wp:positionH relativeFrom="column">
                  <wp:posOffset>2493010</wp:posOffset>
                </wp:positionH>
                <wp:positionV relativeFrom="paragraph">
                  <wp:posOffset>58420</wp:posOffset>
                </wp:positionV>
                <wp:extent cx="2306320" cy="488950"/>
                <wp:effectExtent l="4445" t="4445" r="13335" b="14605"/>
                <wp:wrapNone/>
                <wp:docPr id="11" name="文本框 11"/>
                <wp:cNvGraphicFramePr/>
                <a:graphic xmlns:a="http://schemas.openxmlformats.org/drawingml/2006/main">
                  <a:graphicData uri="http://schemas.microsoft.com/office/word/2010/wordprocessingShape">
                    <wps:wsp>
                      <wps:cNvSpPr txBox="1"/>
                      <wps:spPr>
                        <a:xfrm>
                          <a:off x="0" y="0"/>
                          <a:ext cx="2306320" cy="48895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148569B1">
                            <w:r>
                              <w:rPr>
                                <w:rFonts w:hint="eastAsia"/>
                              </w:rPr>
                              <w:t>Comparison and analysis of national standards and literature content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6.3pt;margin-top:4.6pt;height:38.5pt;width:181.6pt;z-index:251679744;mso-width-relative:page;mso-height-relative:page;" fillcolor="#FFFFFF [3201]" filled="t" stroked="t" coordsize="21600,21600" o:gfxdata="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LUcc6dYAAAAIAQAA&#10;DwAAAAAAAAABACAAAAAiAAAAZHJzL2Rvd25yZXYueG1sUEsBAhQAFAAAAAgAh07iQI5gcalUAgAA&#10;ugQAAA4AAAAAAAAAAQAgAAAAJQEAAGRycy9lMm9Eb2MueG1sUEsFBgAAAAAGAAYAWQEAAOsFAAAA&#10;AA==&#10;">
                <v:fill on="t" focussize="0,0"/>
                <v:stroke weight="0.5pt" color="#000000 [3213]" joinstyle="round"/>
                <v:imagedata o:title=""/>
                <o:lock v:ext="edit" aspectratio="f"/>
                <v:textbox>
                  <w:txbxContent>
                    <w:p w14:paraId="148569B1">
                      <w:r>
                        <w:rPr>
                          <w:rFonts w:hint="eastAsia"/>
                        </w:rPr>
                        <w:t>Comparison and analysis of national standards and literature content</w:t>
                      </w:r>
                    </w:p>
                  </w:txbxContent>
                </v:textbox>
              </v:shape>
            </w:pict>
          </mc:Fallback>
        </mc:AlternateContent>
      </w:r>
      <w:r>
        <w:rPr>
          <w:rFonts w:hint="default" w:ascii="Cambria" w:hAnsi="Cambria" w:cs="Cambria"/>
          <w:sz w:val="21"/>
        </w:rPr>
        <mc:AlternateContent>
          <mc:Choice Requires="wps">
            <w:drawing>
              <wp:anchor distT="0" distB="0" distL="114300" distR="114300" simplePos="0" relativeHeight="251673600" behindDoc="0" locked="0" layoutInCell="1" allowOverlap="1">
                <wp:simplePos x="0" y="0"/>
                <wp:positionH relativeFrom="column">
                  <wp:posOffset>-323215</wp:posOffset>
                </wp:positionH>
                <wp:positionV relativeFrom="paragraph">
                  <wp:posOffset>64770</wp:posOffset>
                </wp:positionV>
                <wp:extent cx="2306320" cy="394970"/>
                <wp:effectExtent l="4445" t="4445" r="13335" b="6985"/>
                <wp:wrapNone/>
                <wp:docPr id="3" name="文本框 3"/>
                <wp:cNvGraphicFramePr/>
                <a:graphic xmlns:a="http://schemas.openxmlformats.org/drawingml/2006/main">
                  <a:graphicData uri="http://schemas.microsoft.com/office/word/2010/wordprocessingShape">
                    <wps:wsp>
                      <wps:cNvSpPr txBox="1"/>
                      <wps:spPr>
                        <a:xfrm>
                          <a:off x="0" y="0"/>
                          <a:ext cx="2306320" cy="39497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1D354507">
                            <w:r>
                              <w:rPr>
                                <w:rFonts w:hint="eastAsia"/>
                              </w:rPr>
                              <w:t>Multi-source literature retrieval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45pt;margin-top:5.1pt;height:31.1pt;width:181.6pt;z-index:251673600;mso-width-relative:page;mso-height-relative:page;" fillcolor="#FFFFFF [3201]" filled="t" stroked="t" coordsize="21600,21600" o:gfxdata="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LXMZEjWAAAA&#10;CQEAAA8AAAAAAAAAAQAgAAAAIgAAAGRycy9kb3ducmV2LnhtbFBLAQIUABQAAAAIAIdO4kCZpmO3&#10;WAIAALgEAAAOAAAAAAAAAAEAIAAAACUBAABkcnMvZTJvRG9jLnhtbFBLBQYAAAAABgAGAFkBAADv&#10;BQAAAAA=&#10;">
                <v:fill on="t" focussize="0,0"/>
                <v:stroke weight="0.5pt" color="#000000 [3213]" joinstyle="round"/>
                <v:imagedata o:title=""/>
                <o:lock v:ext="edit" aspectratio="f"/>
                <v:textbox>
                  <w:txbxContent>
                    <w:p w14:paraId="1D354507">
                      <w:r>
                        <w:rPr>
                          <w:rFonts w:hint="eastAsia"/>
                        </w:rPr>
                        <w:t>Multi-source literature retrieval</w:t>
                      </w:r>
                    </w:p>
                  </w:txbxContent>
                </v:textbox>
              </v:shape>
            </w:pict>
          </mc:Fallback>
        </mc:AlternateContent>
      </w:r>
    </w:p>
    <w:p w14:paraId="70FBE9C8">
      <w:pPr>
        <w:rPr>
          <w:rFonts w:hint="default" w:ascii="Cambria" w:hAnsi="Cambria" w:cs="Cambria"/>
        </w:rPr>
      </w:pPr>
      <w:r>
        <w:rPr>
          <w:rFonts w:hint="default" w:ascii="Cambria" w:hAnsi="Cambria" w:cs="Cambria"/>
          <w:sz w:val="21"/>
        </w:rPr>
        <mc:AlternateContent>
          <mc:Choice Requires="wps">
            <w:drawing>
              <wp:anchor distT="0" distB="0" distL="114300" distR="114300" simplePos="0" relativeHeight="251696128" behindDoc="0" locked="0" layoutInCell="1" allowOverlap="1">
                <wp:simplePos x="0" y="0"/>
                <wp:positionH relativeFrom="column">
                  <wp:posOffset>1988185</wp:posOffset>
                </wp:positionH>
                <wp:positionV relativeFrom="paragraph">
                  <wp:posOffset>343535</wp:posOffset>
                </wp:positionV>
                <wp:extent cx="502920" cy="135890"/>
                <wp:effectExtent l="0" t="4445" r="5080" b="37465"/>
                <wp:wrapNone/>
                <wp:docPr id="29" name="直接箭头连接符 29"/>
                <wp:cNvGraphicFramePr/>
                <a:graphic xmlns:a="http://schemas.openxmlformats.org/drawingml/2006/main">
                  <a:graphicData uri="http://schemas.microsoft.com/office/word/2010/wordprocessingShape">
                    <wps:wsp>
                      <wps:cNvCnPr/>
                      <wps:spPr>
                        <a:xfrm flipH="1">
                          <a:off x="1972945" y="1873250"/>
                          <a:ext cx="502920" cy="135890"/>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156.55pt;margin-top:27.05pt;height:10.7pt;width:39.6pt;z-index:251696128;mso-width-relative:page;mso-height-relative:page;" filled="f" stroked="t" coordsize="21600,21600" o:gfxdata="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I2ydo2gAAAAkBAAAPAAAAAAAA&#10;AAEAIAAAACIAAABkcnMvZG93bnJldi54bWxQSwECFAAUAAAACACHTuJAtx5vQRACAADjAwAADgAA&#10;AAAAAAABACAAAAApAQAAZHJzL2Uyb0RvYy54bWxQSwUGAAAAAAYABgBZAQAAqwUAAAAA&#10;">
                <v:fill on="f" focussize="0,0"/>
                <v:stroke weight="0.5pt" color="#000000 [3213]" joinstyle="round" endarrow="open"/>
                <v:imagedata o:title=""/>
                <o:lock v:ext="edit" aspectratio="f"/>
              </v:shape>
            </w:pict>
          </mc:Fallback>
        </mc:AlternateContent>
      </w:r>
      <w:r>
        <w:rPr>
          <w:rFonts w:hint="default" w:ascii="Cambria" w:hAnsi="Cambria" w:cs="Cambria"/>
          <w:sz w:val="21"/>
        </w:rPr>
        <mc:AlternateContent>
          <mc:Choice Requires="wps">
            <w:drawing>
              <wp:anchor distT="0" distB="0" distL="114300" distR="114300" simplePos="0" relativeHeight="251686912" behindDoc="0" locked="0" layoutInCell="1" allowOverlap="1">
                <wp:simplePos x="0" y="0"/>
                <wp:positionH relativeFrom="column">
                  <wp:posOffset>2033905</wp:posOffset>
                </wp:positionH>
                <wp:positionV relativeFrom="paragraph">
                  <wp:posOffset>36830</wp:posOffset>
                </wp:positionV>
                <wp:extent cx="398780" cy="6350"/>
                <wp:effectExtent l="0" t="44450" r="7620" b="50800"/>
                <wp:wrapNone/>
                <wp:docPr id="19" name="直接箭头连接符 19"/>
                <wp:cNvGraphicFramePr/>
                <a:graphic xmlns:a="http://schemas.openxmlformats.org/drawingml/2006/main">
                  <a:graphicData uri="http://schemas.microsoft.com/office/word/2010/wordprocessingShape">
                    <wps:wsp>
                      <wps:cNvCnPr/>
                      <wps:spPr>
                        <a:xfrm>
                          <a:off x="0" y="0"/>
                          <a:ext cx="398780" cy="6350"/>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60.15pt;margin-top:2.9pt;height:0.5pt;width:31.4pt;z-index:251686912;mso-width-relative:page;mso-height-relative:page;" filled="f" stroked="t" coordsize="21600,21600" o:gfxdata="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eSrtU1wAAAAcBAAAPAAAAAAAAAAEAIAAAACIAAABkcnMvZG93bnJldi54bWxQ&#10;SwECFAAUAAAACACHTuJAzWvJgPgBAADLAwAADgAAAAAAAAABACAAAAAmAQAAZHJzL2Uyb0RvYy54&#10;bWxQSwUGAAAAAAYABgBZAQAAkAUAAAAA&#10;">
                <v:fill on="f" focussize="0,0"/>
                <v:stroke weight="0.5pt" color="#000000 [3213]" joinstyle="round" endarrow="open"/>
                <v:imagedata o:title=""/>
                <o:lock v:ext="edit" aspectratio="f"/>
              </v:shape>
            </w:pict>
          </mc:Fallback>
        </mc:AlternateContent>
      </w:r>
    </w:p>
    <w:p w14:paraId="54A62908">
      <w:pPr>
        <w:rPr>
          <w:rFonts w:hint="default" w:ascii="Cambria" w:hAnsi="Cambria" w:cs="Cambria"/>
        </w:rPr>
      </w:pPr>
    </w:p>
    <w:p w14:paraId="3D736FD3">
      <w:pPr>
        <w:rPr>
          <w:rFonts w:hint="default" w:ascii="Cambria" w:hAnsi="Cambria" w:cs="Cambria"/>
        </w:rPr>
      </w:pPr>
      <w:r>
        <w:rPr>
          <w:rFonts w:hint="default" w:ascii="Cambria" w:hAnsi="Cambria" w:cs="Cambria"/>
          <w:sz w:val="21"/>
        </w:rPr>
        <mc:AlternateContent>
          <mc:Choice Requires="wps">
            <w:drawing>
              <wp:anchor distT="0" distB="0" distL="114300" distR="114300" simplePos="0" relativeHeight="251680768" behindDoc="0" locked="0" layoutInCell="1" allowOverlap="1">
                <wp:simplePos x="0" y="0"/>
                <wp:positionH relativeFrom="column">
                  <wp:posOffset>2493010</wp:posOffset>
                </wp:positionH>
                <wp:positionV relativeFrom="paragraph">
                  <wp:posOffset>13970</wp:posOffset>
                </wp:positionV>
                <wp:extent cx="2306320" cy="485775"/>
                <wp:effectExtent l="4445" t="4445" r="13335" b="5080"/>
                <wp:wrapNone/>
                <wp:docPr id="12" name="文本框 12"/>
                <wp:cNvGraphicFramePr/>
                <a:graphic xmlns:a="http://schemas.openxmlformats.org/drawingml/2006/main">
                  <a:graphicData uri="http://schemas.microsoft.com/office/word/2010/wordprocessingShape">
                    <wps:wsp>
                      <wps:cNvSpPr txBox="1"/>
                      <wps:spPr>
                        <a:xfrm>
                          <a:off x="0" y="0"/>
                          <a:ext cx="2306320" cy="485775"/>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045C6C71">
                            <w:r>
                              <w:rPr>
                                <w:rFonts w:hint="eastAsia"/>
                              </w:rPr>
                              <w:t>Distribute questionnaires and solicit opinions from relevant experts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6.3pt;margin-top:1.1pt;height:38.25pt;width:181.6pt;z-index:251680768;mso-width-relative:page;mso-height-relative:page;" fillcolor="#FFFFFF [3201]" filled="t" stroked="t" coordsize="21600,21600" o:gfxdata="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wJy8BNYAAAAI&#10;AQAADwAAAAAAAAABACAAAAAiAAAAZHJzL2Rvd25yZXYueG1sUEsBAhQAFAAAAAgAh07iQMrvAJRX&#10;AgAAugQAAA4AAAAAAAAAAQAgAAAAJQEAAGRycy9lMm9Eb2MueG1sUEsFBgAAAAAGAAYAWQEAAO4F&#10;AAAAAA==&#10;">
                <v:fill on="t" focussize="0,0"/>
                <v:stroke weight="0.5pt" color="#000000 [3213]" joinstyle="round"/>
                <v:imagedata o:title=""/>
                <o:lock v:ext="edit" aspectratio="f"/>
                <v:textbox>
                  <w:txbxContent>
                    <w:p w14:paraId="045C6C71">
                      <w:r>
                        <w:rPr>
                          <w:rFonts w:hint="eastAsia"/>
                        </w:rPr>
                        <w:t>Distribute questionnaires and solicit opinions from relevant experts</w:t>
                      </w:r>
                    </w:p>
                  </w:txbxContent>
                </v:textbox>
              </v:shape>
            </w:pict>
          </mc:Fallback>
        </mc:AlternateContent>
      </w:r>
      <w:r>
        <w:rPr>
          <w:rFonts w:hint="default" w:ascii="Cambria" w:hAnsi="Cambria" w:cs="Cambria"/>
          <w:sz w:val="21"/>
        </w:rPr>
        <mc:AlternateContent>
          <mc:Choice Requires="wps">
            <w:drawing>
              <wp:anchor distT="0" distB="0" distL="114300" distR="114300" simplePos="0" relativeHeight="251674624" behindDoc="0" locked="0" layoutInCell="1" allowOverlap="1">
                <wp:simplePos x="0" y="0"/>
                <wp:positionH relativeFrom="column">
                  <wp:posOffset>-323215</wp:posOffset>
                </wp:positionH>
                <wp:positionV relativeFrom="paragraph">
                  <wp:posOffset>90170</wp:posOffset>
                </wp:positionV>
                <wp:extent cx="2306320" cy="353060"/>
                <wp:effectExtent l="4445" t="4445" r="13335" b="10795"/>
                <wp:wrapNone/>
                <wp:docPr id="4" name="文本框 4"/>
                <wp:cNvGraphicFramePr/>
                <a:graphic xmlns:a="http://schemas.openxmlformats.org/drawingml/2006/main">
                  <a:graphicData uri="http://schemas.microsoft.com/office/word/2010/wordprocessingShape">
                    <wps:wsp>
                      <wps:cNvSpPr txBox="1"/>
                      <wps:spPr>
                        <a:xfrm>
                          <a:off x="0" y="0"/>
                          <a:ext cx="2306320" cy="35306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15B2D590">
                            <w:pPr>
                              <w:rPr>
                                <w:rFonts w:hint="eastAsia"/>
                              </w:rPr>
                            </w:pPr>
                            <w:r>
                              <w:rPr>
                                <w:rFonts w:hint="eastAsia"/>
                              </w:rPr>
                              <w:t>Prepare expert questionnaire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45pt;margin-top:7.1pt;height:27.8pt;width:181.6pt;z-index:251674624;mso-width-relative:page;mso-height-relative:page;" fillcolor="#FFFFFF [3201]" filled="t" stroked="t" coordsize="21600,21600" o:gfxdata="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i5JWa9YAAAAJ&#10;AQAADwAAAAAAAAABACAAAAAiAAAAZHJzL2Rvd25yZXYueG1sUEsBAhQAFAAAAAgAh07iQO1bf4tX&#10;AgAAuAQAAA4AAAAAAAAAAQAgAAAAJQEAAGRycy9lMm9Eb2MueG1sUEsFBgAAAAAGAAYAWQEAAO4F&#10;AAAAAA==&#10;">
                <v:fill on="t" focussize="0,0"/>
                <v:stroke weight="0.5pt" color="#000000 [3213]" joinstyle="round"/>
                <v:imagedata o:title=""/>
                <o:lock v:ext="edit" aspectratio="f"/>
                <v:textbox>
                  <w:txbxContent>
                    <w:p w14:paraId="15B2D590">
                      <w:pPr>
                        <w:rPr>
                          <w:rFonts w:hint="eastAsia"/>
                        </w:rPr>
                      </w:pPr>
                      <w:r>
                        <w:rPr>
                          <w:rFonts w:hint="eastAsia"/>
                        </w:rPr>
                        <w:t>Prepare expert questionnaire</w:t>
                      </w:r>
                    </w:p>
                  </w:txbxContent>
                </v:textbox>
              </v:shape>
            </w:pict>
          </mc:Fallback>
        </mc:AlternateContent>
      </w:r>
    </w:p>
    <w:p w14:paraId="48512565">
      <w:pPr>
        <w:rPr>
          <w:rFonts w:hint="default" w:ascii="Cambria" w:hAnsi="Cambria" w:cs="Cambria"/>
        </w:rPr>
      </w:pPr>
      <w:r>
        <w:rPr>
          <w:rFonts w:hint="default" w:ascii="Cambria" w:hAnsi="Cambria" w:cs="Cambria"/>
          <w:sz w:val="21"/>
        </w:rPr>
        <mc:AlternateContent>
          <mc:Choice Requires="wps">
            <w:drawing>
              <wp:anchor distT="0" distB="0" distL="114300" distR="114300" simplePos="0" relativeHeight="251697152" behindDoc="0" locked="0" layoutInCell="1" allowOverlap="1">
                <wp:simplePos x="0" y="0"/>
                <wp:positionH relativeFrom="column">
                  <wp:posOffset>1974215</wp:posOffset>
                </wp:positionH>
                <wp:positionV relativeFrom="paragraph">
                  <wp:posOffset>299720</wp:posOffset>
                </wp:positionV>
                <wp:extent cx="523875" cy="177165"/>
                <wp:effectExtent l="0" t="4445" r="9525" b="21590"/>
                <wp:wrapNone/>
                <wp:docPr id="31" name="直接箭头连接符 31"/>
                <wp:cNvGraphicFramePr/>
                <a:graphic xmlns:a="http://schemas.openxmlformats.org/drawingml/2006/main">
                  <a:graphicData uri="http://schemas.microsoft.com/office/word/2010/wordprocessingShape">
                    <wps:wsp>
                      <wps:cNvCnPr/>
                      <wps:spPr>
                        <a:xfrm flipH="1">
                          <a:off x="0" y="0"/>
                          <a:ext cx="523875" cy="17716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155.45pt;margin-top:23.6pt;height:13.95pt;width:41.25pt;z-index:251697152;mso-width-relative:page;mso-height-relative:page;" filled="f" stroked="t" coordsize="21600,21600" o:gfxdata="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lv3VTbAAAACQEAAA8AAAAAAAAAAQAgAAAAIgAA&#10;AGRycy9kb3ducmV2LnhtbFBLAQIUABQAAAAIAIdO4kCeKv1vBQIAANcDAAAOAAAAAAAAAAEAIAAA&#10;ACoBAABkcnMvZTJvRG9jLnhtbFBLBQYAAAAABgAGAFkBAAChBQAAAAA=&#10;">
                <v:fill on="f" focussize="0,0"/>
                <v:stroke weight="0.5pt" color="#000000 [3213]" joinstyle="round" endarrow="open"/>
                <v:imagedata o:title=""/>
                <o:lock v:ext="edit" aspectratio="f"/>
              </v:shape>
            </w:pict>
          </mc:Fallback>
        </mc:AlternateContent>
      </w:r>
      <w:r>
        <w:rPr>
          <w:rFonts w:hint="default" w:ascii="Cambria" w:hAnsi="Cambria" w:cs="Cambria"/>
          <w:sz w:val="21"/>
        </w:rPr>
        <mc:AlternateContent>
          <mc:Choice Requires="wps">
            <w:drawing>
              <wp:anchor distT="0" distB="0" distL="114300" distR="114300" simplePos="0" relativeHeight="251687936" behindDoc="0" locked="0" layoutInCell="1" allowOverlap="1">
                <wp:simplePos x="0" y="0"/>
                <wp:positionH relativeFrom="column">
                  <wp:posOffset>2046605</wp:posOffset>
                </wp:positionH>
                <wp:positionV relativeFrom="paragraph">
                  <wp:posOffset>46355</wp:posOffset>
                </wp:positionV>
                <wp:extent cx="398780" cy="6350"/>
                <wp:effectExtent l="0" t="44450" r="7620" b="50800"/>
                <wp:wrapNone/>
                <wp:docPr id="21" name="直接箭头连接符 21"/>
                <wp:cNvGraphicFramePr/>
                <a:graphic xmlns:a="http://schemas.openxmlformats.org/drawingml/2006/main">
                  <a:graphicData uri="http://schemas.microsoft.com/office/word/2010/wordprocessingShape">
                    <wps:wsp>
                      <wps:cNvCnPr/>
                      <wps:spPr>
                        <a:xfrm>
                          <a:off x="0" y="0"/>
                          <a:ext cx="398780" cy="6350"/>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61.15pt;margin-top:3.65pt;height:0.5pt;width:31.4pt;z-index:251687936;mso-width-relative:page;mso-height-relative:page;" filled="f" stroked="t" coordsize="21600,21600" o:gfxdata="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TGsxl1gAAAAcBAAAPAAAAAAAAAAEAIAAAACIAAABkcnMvZG93bnJldi54bWxQ&#10;SwECFAAUAAAACACHTuJAqJTLfvkBAADLAwAADgAAAAAAAAABACAAAAAlAQAAZHJzL2Uyb0RvYy54&#10;bWxQSwUGAAAAAAYABgBZAQAAkAUAAAAA&#10;">
                <v:fill on="f" focussize="0,0"/>
                <v:stroke weight="0.5pt" color="#000000 [3213]" joinstyle="round" endarrow="open"/>
                <v:imagedata o:title=""/>
                <o:lock v:ext="edit" aspectratio="f"/>
              </v:shape>
            </w:pict>
          </mc:Fallback>
        </mc:AlternateContent>
      </w:r>
    </w:p>
    <w:p w14:paraId="6CFBB36F">
      <w:pPr>
        <w:rPr>
          <w:rFonts w:hint="default" w:ascii="Cambria" w:hAnsi="Cambria" w:cs="Cambria"/>
        </w:rPr>
      </w:pPr>
    </w:p>
    <w:p w14:paraId="063D7733">
      <w:pPr>
        <w:rPr>
          <w:rFonts w:hint="default" w:ascii="Cambria" w:hAnsi="Cambria" w:cs="Cambria"/>
        </w:rPr>
      </w:pPr>
      <w:r>
        <w:rPr>
          <w:rFonts w:hint="default" w:ascii="Cambria" w:hAnsi="Cambria" w:cs="Cambria"/>
          <w:sz w:val="21"/>
        </w:rPr>
        <mc:AlternateContent>
          <mc:Choice Requires="wps">
            <w:drawing>
              <wp:anchor distT="0" distB="0" distL="114300" distR="114300" simplePos="0" relativeHeight="251675648" behindDoc="0" locked="0" layoutInCell="1" allowOverlap="1">
                <wp:simplePos x="0" y="0"/>
                <wp:positionH relativeFrom="column">
                  <wp:posOffset>-323215</wp:posOffset>
                </wp:positionH>
                <wp:positionV relativeFrom="paragraph">
                  <wp:posOffset>73660</wp:posOffset>
                </wp:positionV>
                <wp:extent cx="2306320" cy="553085"/>
                <wp:effectExtent l="4445" t="4445" r="13335" b="13970"/>
                <wp:wrapNone/>
                <wp:docPr id="6" name="文本框 6"/>
                <wp:cNvGraphicFramePr/>
                <a:graphic xmlns:a="http://schemas.openxmlformats.org/drawingml/2006/main">
                  <a:graphicData uri="http://schemas.microsoft.com/office/word/2010/wordprocessingShape">
                    <wps:wsp>
                      <wps:cNvSpPr txBox="1"/>
                      <wps:spPr>
                        <a:xfrm>
                          <a:off x="0" y="0"/>
                          <a:ext cx="2306320" cy="553085"/>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4C05A8F7">
                            <w:r>
                              <w:rPr>
                                <w:rFonts w:hint="eastAsia"/>
                              </w:rPr>
                              <w:t>Recover and count questionnaires, summarize expert opinions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45pt;margin-top:5.8pt;height:43.55pt;width:181.6pt;z-index:251675648;mso-width-relative:page;mso-height-relative:page;" fillcolor="#FFFFFF [3201]" filled="t" stroked="t" coordsize="21600,21600" o:gfxdata="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BqpSNfWAAAACQEA&#10;AA8AAAAAAAAAAQAgAAAAIgAAAGRycy9kb3ducmV2LnhtbFBLAQIUABQAAAAIAIdO4kAcw0h2VQIA&#10;ALgEAAAOAAAAAAAAAAEAIAAAACUBAABkcnMvZTJvRG9jLnhtbFBLBQYAAAAABgAGAFkBAADsBQAA&#10;AAA=&#10;">
                <v:fill on="t" focussize="0,0"/>
                <v:stroke weight="0.5pt" color="#000000 [3213]" joinstyle="round"/>
                <v:imagedata o:title=""/>
                <o:lock v:ext="edit" aspectratio="f"/>
                <v:textbox>
                  <w:txbxContent>
                    <w:p w14:paraId="4C05A8F7">
                      <w:r>
                        <w:rPr>
                          <w:rFonts w:hint="eastAsia"/>
                        </w:rPr>
                        <w:t>Recover and count questionnaires, summarize expert opinions</w:t>
                      </w:r>
                    </w:p>
                  </w:txbxContent>
                </v:textbox>
              </v:shape>
            </w:pict>
          </mc:Fallback>
        </mc:AlternateContent>
      </w:r>
      <w:r>
        <w:rPr>
          <w:rFonts w:hint="default" w:ascii="Cambria" w:hAnsi="Cambria" w:cs="Cambria"/>
          <w:sz w:val="21"/>
        </w:rPr>
        <mc:AlternateContent>
          <mc:Choice Requires="wps">
            <w:drawing>
              <wp:anchor distT="0" distB="0" distL="114300" distR="114300" simplePos="0" relativeHeight="251681792" behindDoc="0" locked="0" layoutInCell="1" allowOverlap="1">
                <wp:simplePos x="0" y="0"/>
                <wp:positionH relativeFrom="column">
                  <wp:posOffset>2493010</wp:posOffset>
                </wp:positionH>
                <wp:positionV relativeFrom="paragraph">
                  <wp:posOffset>71120</wp:posOffset>
                </wp:positionV>
                <wp:extent cx="2306320" cy="543560"/>
                <wp:effectExtent l="4445" t="4445" r="13335" b="10795"/>
                <wp:wrapNone/>
                <wp:docPr id="13" name="文本框 13"/>
                <wp:cNvGraphicFramePr/>
                <a:graphic xmlns:a="http://schemas.openxmlformats.org/drawingml/2006/main">
                  <a:graphicData uri="http://schemas.microsoft.com/office/word/2010/wordprocessingShape">
                    <wps:wsp>
                      <wps:cNvSpPr txBox="1"/>
                      <wps:spPr>
                        <a:xfrm>
                          <a:off x="0" y="0"/>
                          <a:ext cx="2306320" cy="54356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0FA4F350">
                            <w:r>
                              <w:rPr>
                                <w:rFonts w:hint="eastAsia"/>
                              </w:rPr>
                              <w:t>Screen controversial items to form a letter of soliciting opinions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6.3pt;margin-top:5.6pt;height:42.8pt;width:181.6pt;z-index:251681792;mso-width-relative:page;mso-height-relative:page;" fillcolor="#FFFFFF [3201]" filled="t" stroked="t" coordsize="21600,21600" o:gfxdata="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N6LqbrWAAAA&#10;CQEAAA8AAAAAAAAAAQAgAAAAIgAAAGRycy9kb3ducmV2LnhtbFBLAQIUABQAAAAIAIdO4kCHf7Bv&#10;WAIAALoEAAAOAAAAAAAAAAEAIAAAACUBAABkcnMvZTJvRG9jLnhtbFBLBQYAAAAABgAGAFkBAADv&#10;BQAAAAA=&#10;">
                <v:fill on="t" focussize="0,0"/>
                <v:stroke weight="0.5pt" color="#000000 [3213]" joinstyle="round"/>
                <v:imagedata o:title=""/>
                <o:lock v:ext="edit" aspectratio="f"/>
                <v:textbox>
                  <w:txbxContent>
                    <w:p w14:paraId="0FA4F350">
                      <w:r>
                        <w:rPr>
                          <w:rFonts w:hint="eastAsia"/>
                        </w:rPr>
                        <w:t>Screen controversial items to form a letter of soliciting opinions</w:t>
                      </w:r>
                    </w:p>
                  </w:txbxContent>
                </v:textbox>
              </v:shape>
            </w:pict>
          </mc:Fallback>
        </mc:AlternateContent>
      </w:r>
    </w:p>
    <w:p w14:paraId="5F536625">
      <w:pPr>
        <w:rPr>
          <w:rFonts w:hint="default" w:ascii="Cambria" w:hAnsi="Cambria" w:cs="Cambria"/>
        </w:rPr>
      </w:pPr>
      <w:r>
        <w:rPr>
          <w:rFonts w:hint="default" w:ascii="Cambria" w:hAnsi="Cambria" w:cs="Cambria"/>
          <w:sz w:val="21"/>
        </w:rPr>
        <mc:AlternateContent>
          <mc:Choice Requires="wps">
            <w:drawing>
              <wp:anchor distT="0" distB="0" distL="114300" distR="114300" simplePos="0" relativeHeight="251698176" behindDoc="0" locked="0" layoutInCell="1" allowOverlap="1">
                <wp:simplePos x="0" y="0"/>
                <wp:positionH relativeFrom="column">
                  <wp:posOffset>1974215</wp:posOffset>
                </wp:positionH>
                <wp:positionV relativeFrom="paragraph">
                  <wp:posOffset>324485</wp:posOffset>
                </wp:positionV>
                <wp:extent cx="523875" cy="217805"/>
                <wp:effectExtent l="0" t="4445" r="9525" b="19050"/>
                <wp:wrapNone/>
                <wp:docPr id="32" name="直接箭头连接符 32"/>
                <wp:cNvGraphicFramePr/>
                <a:graphic xmlns:a="http://schemas.openxmlformats.org/drawingml/2006/main">
                  <a:graphicData uri="http://schemas.microsoft.com/office/word/2010/wordprocessingShape">
                    <wps:wsp>
                      <wps:cNvCnPr/>
                      <wps:spPr>
                        <a:xfrm flipH="1">
                          <a:off x="0" y="0"/>
                          <a:ext cx="523875" cy="21780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155.45pt;margin-top:25.55pt;height:17.15pt;width:41.25pt;z-index:251698176;mso-width-relative:page;mso-height-relative:page;" filled="f" stroked="t" coordsize="21600,21600" o:gfxdata="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QZXoe9oAAAAJAQAADwAAAAAAAAABACAAAAAiAAAA&#10;ZHJzL2Rvd25yZXYueG1sUEsBAhQAFAAAAAgAh07iQMAGOV8FAgAA1wMAAA4AAAAAAAAAAQAgAAAA&#10;KQEAAGRycy9lMm9Eb2MueG1sUEsFBgAAAAAGAAYAWQEAAKAFAAAAAA==&#10;">
                <v:fill on="f" focussize="0,0"/>
                <v:stroke weight="0.5pt" color="#000000 [3213]" joinstyle="round" endarrow="open"/>
                <v:imagedata o:title=""/>
                <o:lock v:ext="edit" aspectratio="f"/>
              </v:shape>
            </w:pict>
          </mc:Fallback>
        </mc:AlternateContent>
      </w:r>
      <w:r>
        <w:rPr>
          <w:rFonts w:hint="default" w:ascii="Cambria" w:hAnsi="Cambria" w:cs="Cambria"/>
          <w:sz w:val="21"/>
        </w:rPr>
        <mc:AlternateContent>
          <mc:Choice Requires="wps">
            <w:drawing>
              <wp:anchor distT="0" distB="0" distL="114300" distR="114300" simplePos="0" relativeHeight="251688960" behindDoc="0" locked="0" layoutInCell="1" allowOverlap="1">
                <wp:simplePos x="0" y="0"/>
                <wp:positionH relativeFrom="column">
                  <wp:posOffset>2028190</wp:posOffset>
                </wp:positionH>
                <wp:positionV relativeFrom="paragraph">
                  <wp:posOffset>53975</wp:posOffset>
                </wp:positionV>
                <wp:extent cx="398780" cy="6350"/>
                <wp:effectExtent l="0" t="44450" r="7620" b="50800"/>
                <wp:wrapNone/>
                <wp:docPr id="22" name="直接箭头连接符 22"/>
                <wp:cNvGraphicFramePr/>
                <a:graphic xmlns:a="http://schemas.openxmlformats.org/drawingml/2006/main">
                  <a:graphicData uri="http://schemas.microsoft.com/office/word/2010/wordprocessingShape">
                    <wps:wsp>
                      <wps:cNvCnPr/>
                      <wps:spPr>
                        <a:xfrm>
                          <a:off x="0" y="0"/>
                          <a:ext cx="398780" cy="6350"/>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59.7pt;margin-top:4.25pt;height:0.5pt;width:31.4pt;z-index:251688960;mso-width-relative:page;mso-height-relative:page;" filled="f" stroked="t" coordsize="21600,21600" o:gfxdata="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0FTxu1gAAAAcBAAAPAAAAAAAAAAEAIAAAACIAAABkcnMvZG93bnJldi54bWxQ&#10;SwECFAAUAAAACACHTuJAcvUOPfkBAADLAwAADgAAAAAAAAABACAAAAAlAQAAZHJzL2Uyb0RvYy54&#10;bWxQSwUGAAAAAAYABgBZAQAAkAUAAAAA&#10;">
                <v:fill on="f" focussize="0,0"/>
                <v:stroke weight="0.5pt" color="#000000 [3213]" joinstyle="round" endarrow="open"/>
                <v:imagedata o:title=""/>
                <o:lock v:ext="edit" aspectratio="f"/>
              </v:shape>
            </w:pict>
          </mc:Fallback>
        </mc:AlternateContent>
      </w:r>
    </w:p>
    <w:p w14:paraId="60AAA868">
      <w:pPr>
        <w:rPr>
          <w:rFonts w:hint="default" w:ascii="Cambria" w:hAnsi="Cambria" w:cs="Cambria"/>
        </w:rPr>
      </w:pPr>
    </w:p>
    <w:p w14:paraId="4998C4D6">
      <w:pPr>
        <w:rPr>
          <w:rFonts w:hint="default" w:ascii="Cambria" w:hAnsi="Cambria" w:cs="Cambria"/>
        </w:rPr>
      </w:pPr>
      <w:r>
        <w:rPr>
          <w:rFonts w:hint="default" w:ascii="Cambria" w:hAnsi="Cambria" w:cs="Cambria"/>
          <w:sz w:val="21"/>
        </w:rPr>
        <mc:AlternateContent>
          <mc:Choice Requires="wps">
            <w:drawing>
              <wp:anchor distT="0" distB="0" distL="114300" distR="114300" simplePos="0" relativeHeight="251682816" behindDoc="0" locked="0" layoutInCell="1" allowOverlap="1">
                <wp:simplePos x="0" y="0"/>
                <wp:positionH relativeFrom="column">
                  <wp:posOffset>2493010</wp:posOffset>
                </wp:positionH>
                <wp:positionV relativeFrom="paragraph">
                  <wp:posOffset>189865</wp:posOffset>
                </wp:positionV>
                <wp:extent cx="2306320" cy="668020"/>
                <wp:effectExtent l="4445" t="4445" r="13335" b="13335"/>
                <wp:wrapNone/>
                <wp:docPr id="14" name="文本框 14"/>
                <wp:cNvGraphicFramePr/>
                <a:graphic xmlns:a="http://schemas.openxmlformats.org/drawingml/2006/main">
                  <a:graphicData uri="http://schemas.microsoft.com/office/word/2010/wordprocessingShape">
                    <wps:wsp>
                      <wps:cNvSpPr txBox="1"/>
                      <wps:spPr>
                        <a:xfrm>
                          <a:off x="0" y="0"/>
                          <a:ext cx="2306320" cy="66802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0122C309">
                            <w:r>
                              <w:rPr>
                                <w:rFonts w:hint="eastAsia"/>
                              </w:rPr>
                              <w:t>Expert demonstration meeting (</w:t>
                            </w:r>
                            <w:r>
                              <w:rPr>
                                <w:rFonts w:hint="eastAsia"/>
                                <w:lang w:val="en-US" w:eastAsia="zh-CN"/>
                              </w:rPr>
                              <w:t>c</w:t>
                            </w:r>
                            <w:r>
                              <w:rPr>
                                <w:rFonts w:hint="eastAsia"/>
                              </w:rPr>
                              <w:t xml:space="preserve">entralized </w:t>
                            </w:r>
                            <w:r>
                              <w:rPr>
                                <w:rFonts w:hint="eastAsia"/>
                                <w:lang w:val="en-US" w:eastAsia="zh-CN"/>
                              </w:rPr>
                              <w:t>e</w:t>
                            </w:r>
                            <w:r>
                              <w:rPr>
                                <w:rFonts w:hint="eastAsia"/>
                              </w:rPr>
                              <w:t xml:space="preserve">xplanation and </w:t>
                            </w:r>
                            <w:r>
                              <w:rPr>
                                <w:rFonts w:hint="eastAsia"/>
                                <w:lang w:val="en-US" w:eastAsia="zh-CN"/>
                              </w:rPr>
                              <w:t>s</w:t>
                            </w:r>
                            <w:r>
                              <w:rPr>
                                <w:rFonts w:hint="eastAsia"/>
                              </w:rPr>
                              <w:t xml:space="preserve">olicitation of </w:t>
                            </w:r>
                            <w:r>
                              <w:rPr>
                                <w:rFonts w:hint="eastAsia"/>
                                <w:lang w:val="en-US" w:eastAsia="zh-CN"/>
                              </w:rPr>
                              <w:t>r</w:t>
                            </w:r>
                            <w:r>
                              <w:rPr>
                                <w:rFonts w:hint="eastAsia"/>
                              </w:rPr>
                              <w:t xml:space="preserve">evision </w:t>
                            </w:r>
                            <w:r>
                              <w:rPr>
                                <w:rFonts w:hint="eastAsia"/>
                                <w:lang w:val="en-US" w:eastAsia="zh-CN"/>
                              </w:rPr>
                              <w:t>c</w:t>
                            </w:r>
                            <w:r>
                              <w:rPr>
                                <w:rFonts w:hint="eastAsia"/>
                              </w:rPr>
                              <w:t>omments)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6.3pt;margin-top:14.95pt;height:52.6pt;width:181.6pt;z-index:251682816;mso-width-relative:page;mso-height-relative:page;" fillcolor="#FFFFFF [3201]" filled="t" stroked="t" coordsize="21600,21600" o:gfxdata="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592DO1wAAAAoB&#10;AAAPAAAAAAAAAAEAIAAAACIAAABkcnMvZG93bnJldi54bWxQSwECFAAUAAAACACHTuJAwJy3lFUC&#10;AAC6BAAADgAAAAAAAAABACAAAAAmAQAAZHJzL2Uyb0RvYy54bWxQSwUGAAAAAAYABgBZAQAA7QUA&#10;AAAA&#10;">
                <v:fill on="t" focussize="0,0"/>
                <v:stroke weight="0.5pt" color="#000000 [3213]" joinstyle="round"/>
                <v:imagedata o:title=""/>
                <o:lock v:ext="edit" aspectratio="f"/>
                <v:textbox>
                  <w:txbxContent>
                    <w:p w14:paraId="0122C309">
                      <w:r>
                        <w:rPr>
                          <w:rFonts w:hint="eastAsia"/>
                        </w:rPr>
                        <w:t>Expert demonstration meeting (</w:t>
                      </w:r>
                      <w:r>
                        <w:rPr>
                          <w:rFonts w:hint="eastAsia"/>
                          <w:lang w:val="en-US" w:eastAsia="zh-CN"/>
                        </w:rPr>
                        <w:t>c</w:t>
                      </w:r>
                      <w:r>
                        <w:rPr>
                          <w:rFonts w:hint="eastAsia"/>
                        </w:rPr>
                        <w:t xml:space="preserve">entralized </w:t>
                      </w:r>
                      <w:r>
                        <w:rPr>
                          <w:rFonts w:hint="eastAsia"/>
                          <w:lang w:val="en-US" w:eastAsia="zh-CN"/>
                        </w:rPr>
                        <w:t>e</w:t>
                      </w:r>
                      <w:r>
                        <w:rPr>
                          <w:rFonts w:hint="eastAsia"/>
                        </w:rPr>
                        <w:t xml:space="preserve">xplanation and </w:t>
                      </w:r>
                      <w:r>
                        <w:rPr>
                          <w:rFonts w:hint="eastAsia"/>
                          <w:lang w:val="en-US" w:eastAsia="zh-CN"/>
                        </w:rPr>
                        <w:t>s</w:t>
                      </w:r>
                      <w:r>
                        <w:rPr>
                          <w:rFonts w:hint="eastAsia"/>
                        </w:rPr>
                        <w:t xml:space="preserve">olicitation of </w:t>
                      </w:r>
                      <w:r>
                        <w:rPr>
                          <w:rFonts w:hint="eastAsia"/>
                          <w:lang w:val="en-US" w:eastAsia="zh-CN"/>
                        </w:rPr>
                        <w:t>r</w:t>
                      </w:r>
                      <w:r>
                        <w:rPr>
                          <w:rFonts w:hint="eastAsia"/>
                        </w:rPr>
                        <w:t xml:space="preserve">evision </w:t>
                      </w:r>
                      <w:r>
                        <w:rPr>
                          <w:rFonts w:hint="eastAsia"/>
                          <w:lang w:val="en-US" w:eastAsia="zh-CN"/>
                        </w:rPr>
                        <w:t>c</w:t>
                      </w:r>
                      <w:r>
                        <w:rPr>
                          <w:rFonts w:hint="eastAsia"/>
                        </w:rPr>
                        <w:t>omments)</w:t>
                      </w:r>
                    </w:p>
                  </w:txbxContent>
                </v:textbox>
              </v:shape>
            </w:pict>
          </mc:Fallback>
        </mc:AlternateContent>
      </w:r>
      <w:r>
        <w:rPr>
          <w:rFonts w:hint="default" w:ascii="Cambria" w:hAnsi="Cambria" w:cs="Cambria"/>
          <w:sz w:val="21"/>
        </w:rPr>
        <mc:AlternateContent>
          <mc:Choice Requires="wps">
            <w:drawing>
              <wp:anchor distT="0" distB="0" distL="114300" distR="114300" simplePos="0" relativeHeight="251676672" behindDoc="0" locked="0" layoutInCell="1" allowOverlap="1">
                <wp:simplePos x="0" y="0"/>
                <wp:positionH relativeFrom="column">
                  <wp:posOffset>-323215</wp:posOffset>
                </wp:positionH>
                <wp:positionV relativeFrom="paragraph">
                  <wp:posOffset>139700</wp:posOffset>
                </wp:positionV>
                <wp:extent cx="2306320" cy="659765"/>
                <wp:effectExtent l="4445" t="4445" r="13335" b="8890"/>
                <wp:wrapNone/>
                <wp:docPr id="7" name="文本框 7"/>
                <wp:cNvGraphicFramePr/>
                <a:graphic xmlns:a="http://schemas.openxmlformats.org/drawingml/2006/main">
                  <a:graphicData uri="http://schemas.microsoft.com/office/word/2010/wordprocessingShape">
                    <wps:wsp>
                      <wps:cNvSpPr txBox="1"/>
                      <wps:spPr>
                        <a:xfrm>
                          <a:off x="0" y="0"/>
                          <a:ext cx="2306320" cy="659765"/>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33C2AEE8">
                            <w:r>
                              <w:rPr>
                                <w:rFonts w:hint="eastAsia"/>
                              </w:rPr>
                              <w:t>Distribute the letter of soliciting opinions and prepare the expert demonstration meeting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45pt;margin-top:11pt;height:51.95pt;width:181.6pt;z-index:251676672;mso-width-relative:page;mso-height-relative:page;" fillcolor="#FFFFFF [3201]" filled="t" stroked="t" coordsize="21600,21600" o:gfxdata="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X5KOj1gAAAAoB&#10;AAAPAAAAAAAAAAEAIAAAACIAAABkcnMvZG93bnJldi54bWxQSwECFAAUAAAACACHTuJAQwGZYlYC&#10;AAC4BAAADgAAAAAAAAABACAAAAAlAQAAZHJzL2Uyb0RvYy54bWxQSwUGAAAAAAYABgBZAQAA7QUA&#10;AAAA&#10;">
                <v:fill on="t" focussize="0,0"/>
                <v:stroke weight="0.5pt" color="#000000 [3213]" joinstyle="round"/>
                <v:imagedata o:title=""/>
                <o:lock v:ext="edit" aspectratio="f"/>
                <v:textbox>
                  <w:txbxContent>
                    <w:p w14:paraId="33C2AEE8">
                      <w:r>
                        <w:rPr>
                          <w:rFonts w:hint="eastAsia"/>
                        </w:rPr>
                        <w:t>Distribute the letter of soliciting opinions and prepare the expert demonstration meeting</w:t>
                      </w:r>
                    </w:p>
                  </w:txbxContent>
                </v:textbox>
              </v:shape>
            </w:pict>
          </mc:Fallback>
        </mc:AlternateContent>
      </w:r>
    </w:p>
    <w:p w14:paraId="430DFC9C">
      <w:pPr>
        <w:rPr>
          <w:rFonts w:hint="default" w:ascii="Cambria" w:hAnsi="Cambria" w:cs="Cambria"/>
        </w:rPr>
      </w:pPr>
      <w:r>
        <w:rPr>
          <w:rFonts w:hint="default" w:ascii="Cambria" w:hAnsi="Cambria" w:cs="Cambria"/>
          <w:sz w:val="21"/>
        </w:rPr>
        <mc:AlternateContent>
          <mc:Choice Requires="wps">
            <w:drawing>
              <wp:anchor distT="0" distB="0" distL="114300" distR="114300" simplePos="0" relativeHeight="251699200" behindDoc="0" locked="0" layoutInCell="1" allowOverlap="1">
                <wp:simplePos x="0" y="0"/>
                <wp:positionH relativeFrom="column">
                  <wp:posOffset>1981200</wp:posOffset>
                </wp:positionH>
                <wp:positionV relativeFrom="paragraph">
                  <wp:posOffset>594360</wp:posOffset>
                </wp:positionV>
                <wp:extent cx="509905" cy="224790"/>
                <wp:effectExtent l="0" t="4445" r="10795" b="12065"/>
                <wp:wrapNone/>
                <wp:docPr id="33" name="直接箭头连接符 33"/>
                <wp:cNvGraphicFramePr/>
                <a:graphic xmlns:a="http://schemas.openxmlformats.org/drawingml/2006/main">
                  <a:graphicData uri="http://schemas.microsoft.com/office/word/2010/wordprocessingShape">
                    <wps:wsp>
                      <wps:cNvCnPr/>
                      <wps:spPr>
                        <a:xfrm flipH="1">
                          <a:off x="0" y="0"/>
                          <a:ext cx="509905" cy="224790"/>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156pt;margin-top:46.8pt;height:17.7pt;width:40.15pt;z-index:251699200;mso-width-relative:page;mso-height-relative:page;" filled="f" stroked="t" coordsize="21600,21600" o:gfxdata="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KomE0PaAAAACgEAAA8AAAAAAAAAAQAgAAAAIgAA&#10;AGRycy9kb3ducmV2LnhtbFBLAQIUABQAAAAIAIdO4kC2bQ+4BgIAANcDAAAOAAAAAAAAAAEAIAAA&#10;ACkBAABkcnMvZTJvRG9jLnhtbFBLBQYAAAAABgAGAFkBAAChBQAAAAA=&#10;">
                <v:fill on="f" focussize="0,0"/>
                <v:stroke weight="0.5pt" color="#000000 [3213]" joinstyle="round" endarrow="open"/>
                <v:imagedata o:title=""/>
                <o:lock v:ext="edit" aspectratio="f"/>
              </v:shape>
            </w:pict>
          </mc:Fallback>
        </mc:AlternateContent>
      </w:r>
    </w:p>
    <w:p w14:paraId="0CFC369A">
      <w:pPr>
        <w:rPr>
          <w:rFonts w:hint="default" w:ascii="Cambria" w:hAnsi="Cambria" w:cs="Cambria"/>
        </w:rPr>
      </w:pPr>
      <w:r>
        <w:rPr>
          <w:rFonts w:hint="default" w:ascii="Cambria" w:hAnsi="Cambria" w:cs="Cambria"/>
          <w:sz w:val="21"/>
        </w:rPr>
        <mc:AlternateContent>
          <mc:Choice Requires="wps">
            <w:drawing>
              <wp:anchor distT="0" distB="0" distL="114300" distR="114300" simplePos="0" relativeHeight="251689984" behindDoc="0" locked="0" layoutInCell="1" allowOverlap="1">
                <wp:simplePos x="0" y="0"/>
                <wp:positionH relativeFrom="column">
                  <wp:posOffset>2065020</wp:posOffset>
                </wp:positionH>
                <wp:positionV relativeFrom="paragraph">
                  <wp:posOffset>78740</wp:posOffset>
                </wp:positionV>
                <wp:extent cx="398780" cy="6350"/>
                <wp:effectExtent l="0" t="44450" r="7620" b="50800"/>
                <wp:wrapNone/>
                <wp:docPr id="23" name="直接箭头连接符 23"/>
                <wp:cNvGraphicFramePr/>
                <a:graphic xmlns:a="http://schemas.openxmlformats.org/drawingml/2006/main">
                  <a:graphicData uri="http://schemas.microsoft.com/office/word/2010/wordprocessingShape">
                    <wps:wsp>
                      <wps:cNvCnPr/>
                      <wps:spPr>
                        <a:xfrm>
                          <a:off x="0" y="0"/>
                          <a:ext cx="398780" cy="6350"/>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62.6pt;margin-top:6.2pt;height:0.5pt;width:31.4pt;z-index:251689984;mso-width-relative:page;mso-height-relative:page;" filled="f" stroked="t" coordsize="21600,21600" o:gfxdata="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4cHCWtgAAAAJAQAADwAAAAAAAAABACAAAAAiAAAAZHJzL2Rvd25yZXYueG1s&#10;UEsBAhQAFAAAAAgAh07iQPvXYrX4AQAAywMAAA4AAAAAAAAAAQAgAAAAJwEAAGRycy9lMm9Eb2Mu&#10;eG1sUEsFBgAAAAAGAAYAWQEAAJEFAAAAAA==&#10;">
                <v:fill on="f" focussize="0,0"/>
                <v:stroke weight="0.5pt" color="#000000 [3213]" joinstyle="round" endarrow="open"/>
                <v:imagedata o:title=""/>
                <o:lock v:ext="edit" aspectratio="f"/>
              </v:shape>
            </w:pict>
          </mc:Fallback>
        </mc:AlternateContent>
      </w:r>
    </w:p>
    <w:p w14:paraId="2520F9A8">
      <w:pPr>
        <w:rPr>
          <w:rFonts w:hint="default" w:ascii="Cambria" w:hAnsi="Cambria" w:cs="Cambria"/>
        </w:rPr>
      </w:pPr>
    </w:p>
    <w:p w14:paraId="19383352">
      <w:pPr>
        <w:rPr>
          <w:rFonts w:hint="default" w:ascii="Cambria" w:hAnsi="Cambria" w:cs="Cambria"/>
        </w:rPr>
      </w:pPr>
      <w:r>
        <w:rPr>
          <w:rFonts w:hint="default" w:ascii="Cambria" w:hAnsi="Cambria" w:cs="Cambria"/>
          <w:sz w:val="21"/>
        </w:rPr>
        <mc:AlternateContent>
          <mc:Choice Requires="wps">
            <w:drawing>
              <wp:anchor distT="0" distB="0" distL="114300" distR="114300" simplePos="0" relativeHeight="251677696" behindDoc="0" locked="0" layoutInCell="1" allowOverlap="1">
                <wp:simplePos x="0" y="0"/>
                <wp:positionH relativeFrom="column">
                  <wp:posOffset>-323215</wp:posOffset>
                </wp:positionH>
                <wp:positionV relativeFrom="paragraph">
                  <wp:posOffset>231775</wp:posOffset>
                </wp:positionV>
                <wp:extent cx="2306320" cy="577850"/>
                <wp:effectExtent l="4445" t="4445" r="13335" b="14605"/>
                <wp:wrapNone/>
                <wp:docPr id="8" name="文本框 8"/>
                <wp:cNvGraphicFramePr/>
                <a:graphic xmlns:a="http://schemas.openxmlformats.org/drawingml/2006/main">
                  <a:graphicData uri="http://schemas.microsoft.com/office/word/2010/wordprocessingShape">
                    <wps:wsp>
                      <wps:cNvSpPr txBox="1"/>
                      <wps:spPr>
                        <a:xfrm>
                          <a:off x="0" y="0"/>
                          <a:ext cx="2306320" cy="57785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0FAA30B9">
                            <w:r>
                              <w:rPr>
                                <w:rFonts w:hint="eastAsia"/>
                              </w:rPr>
                              <w:t>Summarize expert opinions and form meeting minutes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45pt;margin-top:18.25pt;height:45.5pt;width:181.6pt;z-index:251677696;mso-width-relative:page;mso-height-relative:page;" fillcolor="#FFFFFF [3201]" filled="t" stroked="t" coordsize="21600,21600" o:gfxdata="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P41PnLXAAAACgEA&#10;AA8AAAAAAAAAAQAgAAAAIgAAAGRycy9kb3ducmV2LnhtbFBLAQIUABQAAAAIAIdO4kAX0UFUVAIA&#10;ALgEAAAOAAAAAAAAAAEAIAAAACYBAABkcnMvZTJvRG9jLnhtbFBLBQYAAAAABgAGAFkBAADsBQAA&#10;AAA=&#10;">
                <v:fill on="t" focussize="0,0"/>
                <v:stroke weight="0.5pt" color="#000000 [3213]" joinstyle="round"/>
                <v:imagedata o:title=""/>
                <o:lock v:ext="edit" aspectratio="f"/>
                <v:textbox>
                  <w:txbxContent>
                    <w:p w14:paraId="0FAA30B9">
                      <w:r>
                        <w:rPr>
                          <w:rFonts w:hint="eastAsia"/>
                        </w:rPr>
                        <w:t>Summarize expert opinions and form meeting minutes</w:t>
                      </w:r>
                    </w:p>
                  </w:txbxContent>
                </v:textbox>
              </v:shape>
            </w:pict>
          </mc:Fallback>
        </mc:AlternateContent>
      </w:r>
      <w:r>
        <w:rPr>
          <w:rFonts w:hint="default" w:ascii="Cambria" w:hAnsi="Cambria" w:cs="Cambria"/>
          <w:sz w:val="21"/>
        </w:rPr>
        <mc:AlternateContent>
          <mc:Choice Requires="wps">
            <w:drawing>
              <wp:anchor distT="0" distB="0" distL="114300" distR="114300" simplePos="0" relativeHeight="251700224" behindDoc="0" locked="0" layoutInCell="1" allowOverlap="1">
                <wp:simplePos x="0" y="0"/>
                <wp:positionH relativeFrom="column">
                  <wp:posOffset>1981200</wp:posOffset>
                </wp:positionH>
                <wp:positionV relativeFrom="paragraph">
                  <wp:posOffset>783590</wp:posOffset>
                </wp:positionV>
                <wp:extent cx="509905" cy="231775"/>
                <wp:effectExtent l="0" t="4445" r="10795" b="17780"/>
                <wp:wrapNone/>
                <wp:docPr id="34" name="直接箭头连接符 34"/>
                <wp:cNvGraphicFramePr/>
                <a:graphic xmlns:a="http://schemas.openxmlformats.org/drawingml/2006/main">
                  <a:graphicData uri="http://schemas.microsoft.com/office/word/2010/wordprocessingShape">
                    <wps:wsp>
                      <wps:cNvCnPr/>
                      <wps:spPr>
                        <a:xfrm flipH="1">
                          <a:off x="0" y="0"/>
                          <a:ext cx="509905" cy="23177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156pt;margin-top:61.7pt;height:18.25pt;width:40.15pt;z-index:251700224;mso-width-relative:page;mso-height-relative:page;" filled="f" stroked="t" coordsize="21600,21600" o:gfxdata="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GJ7q2wAAAAsBAAAPAAAAAAAAAAEAIAAAACIA&#10;AABkcnMvZG93bnJldi54bWxQSwECFAAUAAAACACHTuJAiKoyQAYCAADXAwAADgAAAAAAAAABACAA&#10;AAAqAQAAZHJzL2Uyb0RvYy54bWxQSwUGAAAAAAYABgBZAQAAogUAAAAA&#10;">
                <v:fill on="f" focussize="0,0"/>
                <v:stroke weight="0.5pt" color="#000000 [3213]" joinstyle="round" endarrow="open"/>
                <v:imagedata o:title=""/>
                <o:lock v:ext="edit" aspectratio="f"/>
              </v:shape>
            </w:pict>
          </mc:Fallback>
        </mc:AlternateContent>
      </w:r>
    </w:p>
    <w:p w14:paraId="5D6A6CDA">
      <w:pPr>
        <w:rPr>
          <w:rFonts w:hint="default" w:ascii="Cambria" w:hAnsi="Cambria" w:cs="Cambria"/>
        </w:rPr>
      </w:pPr>
      <w:r>
        <w:rPr>
          <w:rFonts w:hint="default" w:ascii="Cambria" w:hAnsi="Cambria" w:cs="Cambria"/>
          <w:sz w:val="21"/>
        </w:rPr>
        <mc:AlternateContent>
          <mc:Choice Requires="wps">
            <w:drawing>
              <wp:anchor distT="0" distB="0" distL="114300" distR="114300" simplePos="0" relativeHeight="251683840" behindDoc="0" locked="0" layoutInCell="1" allowOverlap="1">
                <wp:simplePos x="0" y="0"/>
                <wp:positionH relativeFrom="column">
                  <wp:posOffset>2493010</wp:posOffset>
                </wp:positionH>
                <wp:positionV relativeFrom="paragraph">
                  <wp:posOffset>47625</wp:posOffset>
                </wp:positionV>
                <wp:extent cx="2306320" cy="549910"/>
                <wp:effectExtent l="4445" t="4445" r="13335" b="17145"/>
                <wp:wrapNone/>
                <wp:docPr id="15" name="文本框 15"/>
                <wp:cNvGraphicFramePr/>
                <a:graphic xmlns:a="http://schemas.openxmlformats.org/drawingml/2006/main">
                  <a:graphicData uri="http://schemas.microsoft.com/office/word/2010/wordprocessingShape">
                    <wps:wsp>
                      <wps:cNvSpPr txBox="1"/>
                      <wps:spPr>
                        <a:xfrm>
                          <a:off x="0" y="0"/>
                          <a:ext cx="2306320" cy="54991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0F5BAAD8">
                            <w:pPr>
                              <w:rPr>
                                <w:rFonts w:hint="eastAsia"/>
                              </w:rPr>
                            </w:pPr>
                            <w:r>
                              <w:rPr>
                                <w:rFonts w:hint="eastAsia"/>
                                <w:lang w:eastAsia="zh-CN"/>
                              </w:rPr>
                              <w:t>expert steering group</w:t>
                            </w:r>
                            <w:r>
                              <w:rPr>
                                <w:rFonts w:hint="eastAsia"/>
                              </w:rPr>
                              <w:t xml:space="preserve"> review</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6.3pt;margin-top:3.75pt;height:43.3pt;width:181.6pt;z-index:251683840;mso-width-relative:page;mso-height-relative:page;" fillcolor="#FFFFFF [3201]" filled="t" stroked="t" coordsize="21600,21600" o:gfxdata="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BxIor1gAA&#10;AAgBAAAPAAAAAAAAAAEAIAAAACIAAABkcnMvZG93bnJldi54bWxQSwECFAAUAAAACACHTuJAxPD4&#10;L1kCAAC6BAAADgAAAAAAAAABACAAAAAlAQAAZHJzL2Uyb0RvYy54bWxQSwUGAAAAAAYABgBZAQAA&#10;8AUAAAAA&#10;">
                <v:fill on="t" focussize="0,0"/>
                <v:stroke weight="0.5pt" color="#000000 [3213]" joinstyle="round"/>
                <v:imagedata o:title=""/>
                <o:lock v:ext="edit" aspectratio="f"/>
                <v:textbox>
                  <w:txbxContent>
                    <w:p w14:paraId="0F5BAAD8">
                      <w:pPr>
                        <w:rPr>
                          <w:rFonts w:hint="eastAsia"/>
                        </w:rPr>
                      </w:pPr>
                      <w:r>
                        <w:rPr>
                          <w:rFonts w:hint="eastAsia"/>
                          <w:lang w:eastAsia="zh-CN"/>
                        </w:rPr>
                        <w:t>expert steering group</w:t>
                      </w:r>
                      <w:r>
                        <w:rPr>
                          <w:rFonts w:hint="eastAsia"/>
                        </w:rPr>
                        <w:t xml:space="preserve"> review</w:t>
                      </w:r>
                    </w:p>
                  </w:txbxContent>
                </v:textbox>
              </v:shape>
            </w:pict>
          </mc:Fallback>
        </mc:AlternateContent>
      </w:r>
    </w:p>
    <w:p w14:paraId="18029A76">
      <w:pPr>
        <w:rPr>
          <w:rFonts w:hint="default" w:ascii="Cambria" w:hAnsi="Cambria" w:cs="Cambria"/>
        </w:rPr>
      </w:pPr>
      <w:r>
        <w:rPr>
          <w:rFonts w:hint="default" w:ascii="Cambria" w:hAnsi="Cambria" w:cs="Cambria"/>
          <w:sz w:val="21"/>
        </w:rPr>
        <mc:AlternateContent>
          <mc:Choice Requires="wps">
            <w:drawing>
              <wp:anchor distT="0" distB="0" distL="114300" distR="114300" simplePos="0" relativeHeight="251691008" behindDoc="0" locked="0" layoutInCell="1" allowOverlap="1">
                <wp:simplePos x="0" y="0"/>
                <wp:positionH relativeFrom="column">
                  <wp:posOffset>2047240</wp:posOffset>
                </wp:positionH>
                <wp:positionV relativeFrom="paragraph">
                  <wp:posOffset>129540</wp:posOffset>
                </wp:positionV>
                <wp:extent cx="398780" cy="6350"/>
                <wp:effectExtent l="0" t="44450" r="7620" b="50800"/>
                <wp:wrapNone/>
                <wp:docPr id="24" name="直接箭头连接符 24"/>
                <wp:cNvGraphicFramePr/>
                <a:graphic xmlns:a="http://schemas.openxmlformats.org/drawingml/2006/main">
                  <a:graphicData uri="http://schemas.microsoft.com/office/word/2010/wordprocessingShape">
                    <wps:wsp>
                      <wps:cNvCnPr/>
                      <wps:spPr>
                        <a:xfrm>
                          <a:off x="0" y="0"/>
                          <a:ext cx="398780" cy="6350"/>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61.2pt;margin-top:10.2pt;height:0.5pt;width:31.4pt;z-index:251691008;mso-width-relative:page;mso-height-relative:page;" filled="f" stroked="t" coordsize="21600,21600" o:gfxdata="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L+OTovYAAAACQEAAA8AAAAAAAAAAQAgAAAAIgAAAGRycy9kb3ducmV2Lnht&#10;bFBLAQIUABQAAAAIAIdO4kDGNoS6+QEAAMsDAAAOAAAAAAAAAAEAIAAAACcBAABkcnMvZTJvRG9j&#10;LnhtbFBLBQYAAAAABgAGAFkBAACSBQAAAAA=&#10;">
                <v:fill on="f" focussize="0,0"/>
                <v:stroke weight="0.5pt" color="#000000 [3213]" joinstyle="round" endarrow="open"/>
                <v:imagedata o:title=""/>
                <o:lock v:ext="edit" aspectratio="f"/>
              </v:shape>
            </w:pict>
          </mc:Fallback>
        </mc:AlternateContent>
      </w:r>
    </w:p>
    <w:p w14:paraId="4A2CD1A2">
      <w:pPr>
        <w:rPr>
          <w:rFonts w:hint="default" w:ascii="Cambria" w:hAnsi="Cambria" w:cs="Cambria"/>
        </w:rPr>
      </w:pPr>
    </w:p>
    <w:p w14:paraId="51CE45A2">
      <w:pPr>
        <w:rPr>
          <w:rFonts w:hint="default" w:ascii="Cambria" w:hAnsi="Cambria" w:cs="Cambria"/>
        </w:rPr>
      </w:pPr>
      <w:r>
        <w:rPr>
          <w:rFonts w:hint="default" w:ascii="Cambria" w:hAnsi="Cambria" w:cs="Cambria"/>
          <w:sz w:val="21"/>
        </w:rPr>
        <mc:AlternateContent>
          <mc:Choice Requires="wps">
            <w:drawing>
              <wp:anchor distT="0" distB="0" distL="114300" distR="114300" simplePos="0" relativeHeight="251701248" behindDoc="0" locked="0" layoutInCell="1" allowOverlap="1">
                <wp:simplePos x="0" y="0"/>
                <wp:positionH relativeFrom="column">
                  <wp:posOffset>1988185</wp:posOffset>
                </wp:positionH>
                <wp:positionV relativeFrom="paragraph">
                  <wp:posOffset>851535</wp:posOffset>
                </wp:positionV>
                <wp:extent cx="509905" cy="156210"/>
                <wp:effectExtent l="0" t="4445" r="10795" b="29845"/>
                <wp:wrapNone/>
                <wp:docPr id="35" name="直接箭头连接符 35"/>
                <wp:cNvGraphicFramePr/>
                <a:graphic xmlns:a="http://schemas.openxmlformats.org/drawingml/2006/main">
                  <a:graphicData uri="http://schemas.microsoft.com/office/word/2010/wordprocessingShape">
                    <wps:wsp>
                      <wps:cNvCnPr/>
                      <wps:spPr>
                        <a:xfrm flipH="1">
                          <a:off x="0" y="0"/>
                          <a:ext cx="509905" cy="156210"/>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156.55pt;margin-top:67.05pt;height:12.3pt;width:40.15pt;z-index:251701248;mso-width-relative:page;mso-height-relative:page;" filled="f" stroked="t" coordsize="21600,21600" o:gfxdata="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s4SNzbAAAACwEAAA8AAAAAAAAAAQAgAAAAIgAA&#10;AGRycy9kb3ducmV2LnhtbFBLAQIUABQAAAAIAIdO4kAiMjupBQIAANcDAAAOAAAAAAAAAAEAIAAA&#10;ACoBAABkcnMvZTJvRG9jLnhtbFBLBQYAAAAABgAGAFkBAAChBQAAAAA=&#10;">
                <v:fill on="f" focussize="0,0"/>
                <v:stroke weight="0.5pt" color="#000000 [3213]" joinstyle="round" endarrow="open"/>
                <v:imagedata o:title=""/>
                <o:lock v:ext="edit" aspectratio="f"/>
              </v:shape>
            </w:pict>
          </mc:Fallback>
        </mc:AlternateContent>
      </w:r>
    </w:p>
    <w:p w14:paraId="10306850">
      <w:pPr>
        <w:rPr>
          <w:rFonts w:hint="default" w:ascii="Cambria" w:hAnsi="Cambria" w:cs="Cambria"/>
        </w:rPr>
      </w:pPr>
      <w:r>
        <w:rPr>
          <w:rFonts w:hint="default" w:ascii="Cambria" w:hAnsi="Cambria" w:cs="Cambria"/>
          <w:sz w:val="21"/>
        </w:rPr>
        <mc:AlternateContent>
          <mc:Choice Requires="wps">
            <w:drawing>
              <wp:anchor distT="0" distB="0" distL="114300" distR="114300" simplePos="0" relativeHeight="251684864" behindDoc="0" locked="0" layoutInCell="1" allowOverlap="1">
                <wp:simplePos x="0" y="0"/>
                <wp:positionH relativeFrom="column">
                  <wp:posOffset>2493010</wp:posOffset>
                </wp:positionH>
                <wp:positionV relativeFrom="paragraph">
                  <wp:posOffset>16510</wp:posOffset>
                </wp:positionV>
                <wp:extent cx="2306320" cy="707390"/>
                <wp:effectExtent l="4445" t="4445" r="13335" b="12065"/>
                <wp:wrapNone/>
                <wp:docPr id="16" name="文本框 16"/>
                <wp:cNvGraphicFramePr/>
                <a:graphic xmlns:a="http://schemas.openxmlformats.org/drawingml/2006/main">
                  <a:graphicData uri="http://schemas.microsoft.com/office/word/2010/wordprocessingShape">
                    <wps:wsp>
                      <wps:cNvSpPr txBox="1"/>
                      <wps:spPr>
                        <a:xfrm>
                          <a:off x="0" y="0"/>
                          <a:ext cx="2306320" cy="70739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19BF0507">
                            <w:r>
                              <w:rPr>
                                <w:rFonts w:hint="eastAsia"/>
                              </w:rPr>
                              <w:t xml:space="preserve">Form the draft standard and </w:t>
                            </w:r>
                            <w:r>
                              <w:rPr>
                                <w:rFonts w:hint="eastAsia"/>
                                <w:lang w:val="en-US" w:eastAsia="zh-CN"/>
                              </w:rPr>
                              <w:t>formulation explanations</w:t>
                            </w:r>
                            <w:r>
                              <w:rPr>
                                <w:rFonts w:hint="eastAsia"/>
                              </w:rPr>
                              <w:t xml:space="preserve"> for pediatric cupping therapy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6.3pt;margin-top:1.3pt;height:55.7pt;width:181.6pt;z-index:251684864;mso-width-relative:page;mso-height-relative:page;" fillcolor="#FFFFFF [3201]" filled="t" stroked="t" coordsize="21600,21600" o:gfxdata="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LNHHIrWAAAA&#10;CQEAAA8AAAAAAAAAAQAgAAAAIgAAAGRycy9kb3ducmV2LnhtbFBLAQIUABQAAAAIAIdO4kC13ARD&#10;WAIAALoEAAAOAAAAAAAAAAEAIAAAACUBAABkcnMvZTJvRG9jLnhtbFBLBQYAAAAABgAGAFkBAADv&#10;BQAAAAA=&#10;">
                <v:fill on="t" focussize="0,0"/>
                <v:stroke weight="0.5pt" color="#000000 [3213]" joinstyle="round"/>
                <v:imagedata o:title=""/>
                <o:lock v:ext="edit" aspectratio="f"/>
                <v:textbox>
                  <w:txbxContent>
                    <w:p w14:paraId="19BF0507">
                      <w:r>
                        <w:rPr>
                          <w:rFonts w:hint="eastAsia"/>
                        </w:rPr>
                        <w:t xml:space="preserve">Form the draft standard and </w:t>
                      </w:r>
                      <w:r>
                        <w:rPr>
                          <w:rFonts w:hint="eastAsia"/>
                          <w:lang w:val="en-US" w:eastAsia="zh-CN"/>
                        </w:rPr>
                        <w:t>formulation explanations</w:t>
                      </w:r>
                      <w:r>
                        <w:rPr>
                          <w:rFonts w:hint="eastAsia"/>
                        </w:rPr>
                        <w:t xml:space="preserve"> for pediatric cupping therapy</w:t>
                      </w:r>
                    </w:p>
                  </w:txbxContent>
                </v:textbox>
              </v:shape>
            </w:pict>
          </mc:Fallback>
        </mc:AlternateContent>
      </w:r>
      <w:r>
        <w:rPr>
          <w:rFonts w:hint="default" w:ascii="Cambria" w:hAnsi="Cambria" w:cs="Cambria"/>
          <w:sz w:val="21"/>
        </w:rPr>
        <mc:AlternateContent>
          <mc:Choice Requires="wps">
            <w:drawing>
              <wp:anchor distT="0" distB="0" distL="114300" distR="114300" simplePos="0" relativeHeight="251678720" behindDoc="0" locked="0" layoutInCell="1" allowOverlap="1">
                <wp:simplePos x="0" y="0"/>
                <wp:positionH relativeFrom="column">
                  <wp:posOffset>-323215</wp:posOffset>
                </wp:positionH>
                <wp:positionV relativeFrom="paragraph">
                  <wp:posOffset>43815</wp:posOffset>
                </wp:positionV>
                <wp:extent cx="2306320" cy="537210"/>
                <wp:effectExtent l="5080" t="4445" r="12700" b="17145"/>
                <wp:wrapNone/>
                <wp:docPr id="9" name="文本框 9"/>
                <wp:cNvGraphicFramePr/>
                <a:graphic xmlns:a="http://schemas.openxmlformats.org/drawingml/2006/main">
                  <a:graphicData uri="http://schemas.microsoft.com/office/word/2010/wordprocessingShape">
                    <wps:wsp>
                      <wps:cNvSpPr txBox="1"/>
                      <wps:spPr>
                        <a:xfrm>
                          <a:off x="0" y="0"/>
                          <a:ext cx="2306320" cy="53721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2611C5EE">
                            <w:r>
                              <w:rPr>
                                <w:rFonts w:hint="eastAsia"/>
                              </w:rPr>
                              <w:t>Hold project coordination meeting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45pt;margin-top:3.45pt;height:42.3pt;width:181.6pt;z-index:251678720;mso-width-relative:page;mso-height-relative:page;" fillcolor="#FFFFFF [3201]" filled="t" stroked="t" coordsize="21600,21600" o:gfxdata="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N/f1gDWAAAA&#10;CAEAAA8AAAAAAAAAAQAgAAAAIgAAAGRycy9kb3ducmV2LnhtbFBLAQIUABQAAAAIAIdO4kBB45Rq&#10;WAIAALgEAAAOAAAAAAAAAAEAIAAAACUBAABkcnMvZTJvRG9jLnhtbFBLBQYAAAAABgAGAFkBAADv&#10;BQAAAAA=&#10;">
                <v:fill on="t" focussize="0,0"/>
                <v:stroke weight="0.5pt" color="#000000 [3213]" joinstyle="round"/>
                <v:imagedata o:title=""/>
                <o:lock v:ext="edit" aspectratio="f"/>
                <v:textbox>
                  <w:txbxContent>
                    <w:p w14:paraId="2611C5EE">
                      <w:r>
                        <w:rPr>
                          <w:rFonts w:hint="eastAsia"/>
                        </w:rPr>
                        <w:t>Hold project coordination meeting</w:t>
                      </w:r>
                    </w:p>
                  </w:txbxContent>
                </v:textbox>
              </v:shape>
            </w:pict>
          </mc:Fallback>
        </mc:AlternateContent>
      </w:r>
    </w:p>
    <w:p w14:paraId="7C7156A8">
      <w:pPr>
        <w:rPr>
          <w:rFonts w:hint="default" w:ascii="Cambria" w:hAnsi="Cambria" w:cs="Cambria"/>
        </w:rPr>
      </w:pPr>
      <w:r>
        <w:rPr>
          <w:rFonts w:hint="default" w:ascii="Cambria" w:hAnsi="Cambria" w:cs="Cambria"/>
          <w:sz w:val="21"/>
        </w:rPr>
        <mc:AlternateContent>
          <mc:Choice Requires="wps">
            <w:drawing>
              <wp:anchor distT="0" distB="0" distL="114300" distR="114300" simplePos="0" relativeHeight="251692032" behindDoc="0" locked="0" layoutInCell="1" allowOverlap="1">
                <wp:simplePos x="0" y="0"/>
                <wp:positionH relativeFrom="column">
                  <wp:posOffset>2043430</wp:posOffset>
                </wp:positionH>
                <wp:positionV relativeFrom="paragraph">
                  <wp:posOffset>114300</wp:posOffset>
                </wp:positionV>
                <wp:extent cx="398780" cy="6350"/>
                <wp:effectExtent l="0" t="44450" r="7620" b="50800"/>
                <wp:wrapNone/>
                <wp:docPr id="25" name="直接箭头连接符 25"/>
                <wp:cNvGraphicFramePr/>
                <a:graphic xmlns:a="http://schemas.openxmlformats.org/drawingml/2006/main">
                  <a:graphicData uri="http://schemas.microsoft.com/office/word/2010/wordprocessingShape">
                    <wps:wsp>
                      <wps:cNvCnPr/>
                      <wps:spPr>
                        <a:xfrm>
                          <a:off x="0" y="0"/>
                          <a:ext cx="398780" cy="6350"/>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60.9pt;margin-top:9pt;height:0.5pt;width:31.4pt;z-index:251692032;mso-width-relative:page;mso-height-relative:page;" filled="f" stroked="t" coordsize="21600,21600" o:gfxdata="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buUlDYAAAACQEAAA8AAAAAAAAAAQAgAAAAIgAAAGRycy9kb3ducmV2Lnht&#10;bFBLAQIUABQAAAAIAIdO4kBPFOgy+QEAAMsDAAAOAAAAAAAAAAEAIAAAACcBAABkcnMvZTJvRG9j&#10;LnhtbFBLBQYAAAAABgAGAFkBAACSBQAAAAA=&#10;">
                <v:fill on="f" focussize="0,0"/>
                <v:stroke weight="0.5pt" color="#000000 [3213]" joinstyle="round" endarrow="open"/>
                <v:imagedata o:title=""/>
                <o:lock v:ext="edit" aspectratio="f"/>
              </v:shape>
            </w:pict>
          </mc:Fallback>
        </mc:AlternateContent>
      </w:r>
    </w:p>
    <w:p w14:paraId="3AA6AC07">
      <w:pPr>
        <w:rPr>
          <w:rFonts w:hint="default" w:ascii="Cambria" w:hAnsi="Cambria" w:cs="Cambria"/>
        </w:rPr>
      </w:pPr>
      <w:r>
        <w:rPr>
          <w:rFonts w:hint="default" w:ascii="Cambria" w:hAnsi="Cambria" w:cs="Cambria"/>
          <w:sz w:val="21"/>
        </w:rPr>
        <mc:AlternateContent>
          <mc:Choice Requires="wps">
            <w:drawing>
              <wp:anchor distT="0" distB="0" distL="114300" distR="114300" simplePos="0" relativeHeight="251702272" behindDoc="0" locked="0" layoutInCell="1" allowOverlap="1">
                <wp:simplePos x="0" y="0"/>
                <wp:positionH relativeFrom="column">
                  <wp:posOffset>1988185</wp:posOffset>
                </wp:positionH>
                <wp:positionV relativeFrom="paragraph">
                  <wp:posOffset>862330</wp:posOffset>
                </wp:positionV>
                <wp:extent cx="523875" cy="252095"/>
                <wp:effectExtent l="0" t="4445" r="9525" b="10160"/>
                <wp:wrapNone/>
                <wp:docPr id="36" name="直接箭头连接符 36"/>
                <wp:cNvGraphicFramePr/>
                <a:graphic xmlns:a="http://schemas.openxmlformats.org/drawingml/2006/main">
                  <a:graphicData uri="http://schemas.microsoft.com/office/word/2010/wordprocessingShape">
                    <wps:wsp>
                      <wps:cNvCnPr/>
                      <wps:spPr>
                        <a:xfrm flipH="1">
                          <a:off x="0" y="0"/>
                          <a:ext cx="523875" cy="25209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156.55pt;margin-top:67.9pt;height:19.85pt;width:41.25pt;z-index:251702272;mso-width-relative:page;mso-height-relative:page;" filled="f" stroked="t" coordsize="21600,21600" o:gfxdata="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ilS9udoAAAALAQAADwAAAAAAAAABACAAAAAiAAAA&#10;ZHJzL2Rvd25yZXYueG1sUEsBAhQAFAAAAAgAh07iQBt/uQgFAgAA1wMAAA4AAAAAAAAAAQAgAAAA&#10;KQEAAGRycy9lMm9Eb2MueG1sUEsFBgAAAAAGAAYAWQEAAKAFAAAAAA==&#10;">
                <v:fill on="f" focussize="0,0"/>
                <v:stroke weight="0.5pt" color="#000000 [3213]" joinstyle="round" endarrow="open"/>
                <v:imagedata o:title=""/>
                <o:lock v:ext="edit" aspectratio="f"/>
              </v:shape>
            </w:pict>
          </mc:Fallback>
        </mc:AlternateContent>
      </w:r>
    </w:p>
    <w:p w14:paraId="49E2A34A">
      <w:pPr>
        <w:rPr>
          <w:rFonts w:hint="default" w:ascii="Cambria" w:hAnsi="Cambria" w:cs="Cambria"/>
        </w:rPr>
      </w:pPr>
    </w:p>
    <w:p w14:paraId="0968FB53">
      <w:pPr>
        <w:rPr>
          <w:rFonts w:hint="default" w:ascii="Cambria" w:hAnsi="Cambria" w:cs="Cambria"/>
        </w:rPr>
      </w:pPr>
      <w:r>
        <w:rPr>
          <w:rFonts w:hint="default" w:ascii="Cambria" w:hAnsi="Cambria" w:cs="Cambria"/>
          <w:sz w:val="21"/>
        </w:rPr>
        <mc:AlternateContent>
          <mc:Choice Requires="wps">
            <w:drawing>
              <wp:anchor distT="0" distB="0" distL="114300" distR="114300" simplePos="0" relativeHeight="251694080" behindDoc="0" locked="0" layoutInCell="1" allowOverlap="1">
                <wp:simplePos x="0" y="0"/>
                <wp:positionH relativeFrom="column">
                  <wp:posOffset>2498725</wp:posOffset>
                </wp:positionH>
                <wp:positionV relativeFrom="paragraph">
                  <wp:posOffset>26670</wp:posOffset>
                </wp:positionV>
                <wp:extent cx="2306320" cy="484505"/>
                <wp:effectExtent l="4445" t="4445" r="13335" b="6350"/>
                <wp:wrapNone/>
                <wp:docPr id="27" name="文本框 27"/>
                <wp:cNvGraphicFramePr/>
                <a:graphic xmlns:a="http://schemas.openxmlformats.org/drawingml/2006/main">
                  <a:graphicData uri="http://schemas.microsoft.com/office/word/2010/wordprocessingShape">
                    <wps:wsp>
                      <wps:cNvSpPr txBox="1"/>
                      <wps:spPr>
                        <a:xfrm>
                          <a:off x="0" y="0"/>
                          <a:ext cx="2306320" cy="484505"/>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744B5DFD">
                            <w:r>
                              <w:rPr>
                                <w:rFonts w:hint="eastAsia"/>
                              </w:rPr>
                              <w:t>Publicly solicit opinions and revise for improvement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6.75pt;margin-top:2.1pt;height:38.15pt;width:181.6pt;z-index:251694080;mso-width-relative:page;mso-height-relative:page;" fillcolor="#FFFFFF [3201]" filled="t" stroked="t" coordsize="21600,21600" o:gfxdata="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KQmR5NYAAAAI&#10;AQAADwAAAAAAAAABACAAAAAiAAAAZHJzL2Rvd25yZXYueG1sUEsBAhQAFAAAAAgAh07iQBe/8vVX&#10;AgAAugQAAA4AAAAAAAAAAQAgAAAAJQEAAGRycy9lMm9Eb2MueG1sUEsFBgAAAAAGAAYAWQEAAO4F&#10;AAAAAA==&#10;">
                <v:fill on="t" focussize="0,0"/>
                <v:stroke weight="0.5pt" color="#000000 [3213]" joinstyle="round"/>
                <v:imagedata o:title=""/>
                <o:lock v:ext="edit" aspectratio="f"/>
                <v:textbox>
                  <w:txbxContent>
                    <w:p w14:paraId="744B5DFD">
                      <w:r>
                        <w:rPr>
                          <w:rFonts w:hint="eastAsia"/>
                        </w:rPr>
                        <w:t>Publicly solicit opinions and revise for improvement</w:t>
                      </w:r>
                    </w:p>
                  </w:txbxContent>
                </v:textbox>
              </v:shape>
            </w:pict>
          </mc:Fallback>
        </mc:AlternateContent>
      </w:r>
      <w:r>
        <w:rPr>
          <w:rFonts w:hint="default" w:ascii="Cambria" w:hAnsi="Cambria" w:cs="Cambria"/>
          <w:sz w:val="21"/>
        </w:rPr>
        <mc:AlternateContent>
          <mc:Choice Requires="wps">
            <w:drawing>
              <wp:anchor distT="0" distB="0" distL="114300" distR="114300" simplePos="0" relativeHeight="251672576" behindDoc="0" locked="0" layoutInCell="1" allowOverlap="1">
                <wp:simplePos x="0" y="0"/>
                <wp:positionH relativeFrom="column">
                  <wp:posOffset>-323215</wp:posOffset>
                </wp:positionH>
                <wp:positionV relativeFrom="paragraph">
                  <wp:posOffset>13335</wp:posOffset>
                </wp:positionV>
                <wp:extent cx="2306320" cy="469900"/>
                <wp:effectExtent l="4445" t="4445" r="13335" b="8255"/>
                <wp:wrapNone/>
                <wp:docPr id="5" name="文本框 5"/>
                <wp:cNvGraphicFramePr/>
                <a:graphic xmlns:a="http://schemas.openxmlformats.org/drawingml/2006/main">
                  <a:graphicData uri="http://schemas.microsoft.com/office/word/2010/wordprocessingShape">
                    <wps:wsp>
                      <wps:cNvSpPr txBox="1"/>
                      <wps:spPr>
                        <a:xfrm>
                          <a:off x="0" y="0"/>
                          <a:ext cx="2306320" cy="46990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379CA2ED">
                            <w:r>
                              <w:rPr>
                                <w:rFonts w:hint="eastAsia"/>
                              </w:rPr>
                              <w:t>Submit to WFCMS for review</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45pt;margin-top:1.05pt;height:37pt;width:181.6pt;z-index:251672576;mso-width-relative:page;mso-height-relative:page;" fillcolor="#FFFFFF [3201]" filled="t" stroked="t" coordsize="21600,21600" o:gfxdata="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j5/GxdUAAAAI&#10;AQAADwAAAAAAAAABACAAAAAiAAAAZHJzL2Rvd25yZXYueG1sUEsBAhQAFAAAAAgAh07iQCeRsYJY&#10;AgAAuAQAAA4AAAAAAAAAAQAgAAAAJAEAAGRycy9lMm9Eb2MueG1sUEsFBgAAAAAGAAYAWQEAAO4F&#10;AAAAAA==&#10;">
                <v:fill on="t" focussize="0,0"/>
                <v:stroke weight="0.5pt" color="#000000 [3213]" joinstyle="round"/>
                <v:imagedata o:title=""/>
                <o:lock v:ext="edit" aspectratio="f"/>
                <v:textbox>
                  <w:txbxContent>
                    <w:p w14:paraId="379CA2ED">
                      <w:r>
                        <w:rPr>
                          <w:rFonts w:hint="eastAsia"/>
                        </w:rPr>
                        <w:t>Submit to WFCMS for review</w:t>
                      </w:r>
                    </w:p>
                  </w:txbxContent>
                </v:textbox>
              </v:shape>
            </w:pict>
          </mc:Fallback>
        </mc:AlternateContent>
      </w:r>
    </w:p>
    <w:p w14:paraId="788BDA99">
      <w:pPr>
        <w:rPr>
          <w:rFonts w:hint="default" w:ascii="Cambria" w:hAnsi="Cambria" w:cs="Cambria"/>
        </w:rPr>
      </w:pPr>
      <w:r>
        <w:rPr>
          <w:rFonts w:hint="default" w:ascii="Cambria" w:hAnsi="Cambria" w:cs="Cambria"/>
          <w:sz w:val="21"/>
        </w:rPr>
        <mc:AlternateContent>
          <mc:Choice Requires="wps">
            <w:drawing>
              <wp:anchor distT="0" distB="0" distL="114300" distR="114300" simplePos="0" relativeHeight="251695104" behindDoc="0" locked="0" layoutInCell="1" allowOverlap="1">
                <wp:simplePos x="0" y="0"/>
                <wp:positionH relativeFrom="column">
                  <wp:posOffset>2038985</wp:posOffset>
                </wp:positionH>
                <wp:positionV relativeFrom="paragraph">
                  <wp:posOffset>44450</wp:posOffset>
                </wp:positionV>
                <wp:extent cx="398780" cy="6350"/>
                <wp:effectExtent l="0" t="44450" r="7620" b="50800"/>
                <wp:wrapNone/>
                <wp:docPr id="28" name="直接箭头连接符 28"/>
                <wp:cNvGraphicFramePr/>
                <a:graphic xmlns:a="http://schemas.openxmlformats.org/drawingml/2006/main">
                  <a:graphicData uri="http://schemas.microsoft.com/office/word/2010/wordprocessingShape">
                    <wps:wsp>
                      <wps:cNvCnPr/>
                      <wps:spPr>
                        <a:xfrm>
                          <a:off x="0" y="0"/>
                          <a:ext cx="398780" cy="6350"/>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60.55pt;margin-top:3.5pt;height:0.5pt;width:31.4pt;z-index:251695104;mso-width-relative:page;mso-height-relative:page;" filled="f" stroked="t" coordsize="21600,21600" o:gfxdata="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MjGD/TWAAAABwEAAA8AAAAAAAAAAQAgAAAAIgAAAGRycy9kb3ducmV2LnhtbFBL&#10;AQIUABQAAAAIAIdO4kDvt+Bu+AEAAMsDAAAOAAAAAAAAAAEAIAAAACUBAABkcnMvZTJvRG9jLnht&#10;bFBLBQYAAAAABgAGAFkBAACPBQAAAAA=&#10;">
                <v:fill on="f" focussize="0,0"/>
                <v:stroke weight="0.5pt" color="#000000 [3213]" joinstyle="round" endarrow="open"/>
                <v:imagedata o:title=""/>
                <o:lock v:ext="edit" aspectratio="f"/>
              </v:shape>
            </w:pict>
          </mc:Fallback>
        </mc:AlternateContent>
      </w:r>
    </w:p>
    <w:p w14:paraId="03FEFB5C">
      <w:pPr>
        <w:rPr>
          <w:rFonts w:hint="default" w:ascii="Cambria" w:hAnsi="Cambria" w:cs="Cambria"/>
        </w:rPr>
      </w:pPr>
    </w:p>
    <w:p w14:paraId="0818F214">
      <w:pPr>
        <w:rPr>
          <w:rFonts w:hint="default" w:ascii="Cambria" w:hAnsi="Cambria" w:cs="Cambria"/>
        </w:rPr>
      </w:pPr>
      <w:r>
        <w:rPr>
          <w:rFonts w:hint="default" w:ascii="Cambria" w:hAnsi="Cambria" w:cs="Cambria"/>
          <w:sz w:val="21"/>
        </w:rPr>
        <mc:AlternateContent>
          <mc:Choice Requires="wps">
            <w:drawing>
              <wp:anchor distT="0" distB="0" distL="114300" distR="114300" simplePos="0" relativeHeight="251693056" behindDoc="0" locked="0" layoutInCell="1" allowOverlap="1">
                <wp:simplePos x="0" y="0"/>
                <wp:positionH relativeFrom="column">
                  <wp:posOffset>-320675</wp:posOffset>
                </wp:positionH>
                <wp:positionV relativeFrom="paragraph">
                  <wp:posOffset>113665</wp:posOffset>
                </wp:positionV>
                <wp:extent cx="2306320" cy="676275"/>
                <wp:effectExtent l="4445" t="4445" r="13335" b="5080"/>
                <wp:wrapNone/>
                <wp:docPr id="26" name="文本框 26"/>
                <wp:cNvGraphicFramePr/>
                <a:graphic xmlns:a="http://schemas.openxmlformats.org/drawingml/2006/main">
                  <a:graphicData uri="http://schemas.microsoft.com/office/word/2010/wordprocessingShape">
                    <wps:wsp>
                      <wps:cNvSpPr txBox="1"/>
                      <wps:spPr>
                        <a:xfrm>
                          <a:off x="0" y="0"/>
                          <a:ext cx="2306320" cy="676275"/>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271088C0">
                            <w:r>
                              <w:rPr>
                                <w:rFonts w:hint="eastAsia"/>
                              </w:rPr>
                              <w:t>Finalize the international organization standard and release for implementation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25pt;margin-top:8.95pt;height:53.25pt;width:181.6pt;z-index:251693056;mso-width-relative:page;mso-height-relative:page;" fillcolor="#FFFFFF [3201]" filled="t" stroked="t" coordsize="21600,21600" o:gfxdata="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D3n4FHXAAAA&#10;CgEAAA8AAAAAAAAAAQAgAAAAIgAAAGRycy9kb3ducmV2LnhtbFBLAQIUABQAAAAIAIdO4kBLV1rj&#10;VwIAALoEAAAOAAAAAAAAAAEAIAAAACYBAABkcnMvZTJvRG9jLnhtbFBLBQYAAAAABgAGAFkBAADv&#10;BQAAAAA=&#10;">
                <v:fill on="t" focussize="0,0"/>
                <v:stroke weight="0.5pt" color="#000000 [3213]" joinstyle="round"/>
                <v:imagedata o:title=""/>
                <o:lock v:ext="edit" aspectratio="f"/>
                <v:textbox>
                  <w:txbxContent>
                    <w:p w14:paraId="271088C0">
                      <w:r>
                        <w:rPr>
                          <w:rFonts w:hint="eastAsia"/>
                        </w:rPr>
                        <w:t>Finalize the international organization standard and release for implementation</w:t>
                      </w:r>
                    </w:p>
                  </w:txbxContent>
                </v:textbox>
              </v:shape>
            </w:pict>
          </mc:Fallback>
        </mc:AlternateContent>
      </w:r>
    </w:p>
    <w:p w14:paraId="66752FB6">
      <w:pPr>
        <w:rPr>
          <w:rFonts w:hint="default" w:ascii="Cambria" w:hAnsi="Cambria" w:cs="Cambria"/>
        </w:rPr>
      </w:pPr>
    </w:p>
    <w:p w14:paraId="1D5C356B">
      <w:pPr>
        <w:rPr>
          <w:rFonts w:hint="default" w:ascii="Cambria" w:hAnsi="Cambria" w:cs="Cambria"/>
        </w:rPr>
      </w:pPr>
    </w:p>
    <w:p w14:paraId="1A83A499">
      <w:pPr>
        <w:rPr>
          <w:rFonts w:hint="default" w:ascii="Cambria" w:hAnsi="Cambria" w:cs="Cambria"/>
        </w:rPr>
      </w:pPr>
    </w:p>
    <w:p w14:paraId="0220BC04">
      <w:pPr>
        <w:jc w:val="left"/>
        <w:rPr>
          <w:rFonts w:hint="default" w:ascii="Cambria" w:hAnsi="Cambria" w:cs="Cambria"/>
          <w:b/>
          <w:bCs/>
          <w:sz w:val="24"/>
          <w:szCs w:val="24"/>
        </w:rPr>
      </w:pPr>
    </w:p>
    <w:p w14:paraId="4F9E1FCF">
      <w:pPr>
        <w:jc w:val="left"/>
        <w:rPr>
          <w:rFonts w:hint="default" w:ascii="Cambria" w:hAnsi="Cambria" w:cs="Cambria"/>
          <w:b/>
          <w:bCs/>
          <w:sz w:val="24"/>
          <w:szCs w:val="24"/>
        </w:rPr>
      </w:pPr>
      <w:r>
        <w:rPr>
          <w:rFonts w:hint="default" w:ascii="Cambria" w:hAnsi="Cambria" w:cs="Cambria"/>
          <w:b/>
          <w:bCs/>
          <w:sz w:val="24"/>
          <w:szCs w:val="24"/>
        </w:rPr>
        <w:t>II. Formulation Principles and Basis for Main Content Determination</w:t>
      </w:r>
    </w:p>
    <w:p w14:paraId="15F8CF8B">
      <w:pPr>
        <w:rPr>
          <w:rFonts w:hint="default" w:ascii="Cambria" w:hAnsi="Cambria" w:cs="Cambria"/>
        </w:rPr>
      </w:pPr>
      <w:r>
        <w:rPr>
          <w:rFonts w:hint="default" w:ascii="Cambria" w:hAnsi="Cambria" w:cs="Cambria"/>
        </w:rPr>
        <w:t>(1) Principles of Standard Formulation</w:t>
      </w:r>
    </w:p>
    <w:p w14:paraId="059AF459">
      <w:pPr>
        <w:ind w:firstLine="420" w:firstLineChars="0"/>
        <w:rPr>
          <w:rFonts w:hint="default" w:ascii="Cambria" w:hAnsi="Cambria" w:cs="Cambria"/>
        </w:rPr>
      </w:pPr>
      <w:r>
        <w:rPr>
          <w:rFonts w:hint="default" w:ascii="Cambria" w:hAnsi="Cambria" w:cs="Cambria"/>
        </w:rPr>
        <w:t xml:space="preserve">This standard is formulated following the four principles of scientificity, practicality, standardization, and international adaptability, aiming to be </w:t>
      </w:r>
      <w:r>
        <w:rPr>
          <w:rFonts w:hint="default" w:ascii="Cambria" w:hAnsi="Cambria" w:cs="Cambria"/>
          <w:lang w:val="en-US" w:eastAsia="zh-CN"/>
        </w:rPr>
        <w:t xml:space="preserve">practically </w:t>
      </w:r>
      <w:r>
        <w:rPr>
          <w:rFonts w:hint="default" w:ascii="Cambria" w:hAnsi="Cambria" w:cs="Cambria"/>
        </w:rPr>
        <w:t xml:space="preserve">applicable to global pediatricians of </w:t>
      </w:r>
      <w:r>
        <w:rPr>
          <w:rFonts w:hint="default" w:ascii="Cambria" w:hAnsi="Cambria" w:cs="Cambria"/>
          <w:lang w:eastAsia="zh-CN"/>
        </w:rPr>
        <w:t>TCM</w:t>
      </w:r>
      <w:r>
        <w:rPr>
          <w:rFonts w:hint="default" w:ascii="Cambria" w:hAnsi="Cambria" w:cs="Cambria"/>
        </w:rPr>
        <w:t>, widely accepted and recognized by the international community, and in line with international medical technical specifications.</w:t>
      </w:r>
    </w:p>
    <w:p w14:paraId="43F892E5">
      <w:pPr>
        <w:rPr>
          <w:rFonts w:hint="default" w:ascii="Cambria" w:hAnsi="Cambria" w:cs="Cambria" w:eastAsiaTheme="minorEastAsia"/>
          <w:lang w:eastAsia="zh-CN"/>
        </w:rPr>
      </w:pPr>
      <w:r>
        <w:rPr>
          <w:rFonts w:hint="default" w:ascii="Cambria" w:hAnsi="Cambria" w:cs="Cambria"/>
        </w:rPr>
        <w:t>1. Scientificity</w:t>
      </w:r>
    </w:p>
    <w:p w14:paraId="338D842F">
      <w:pPr>
        <w:ind w:firstLine="420" w:firstLineChars="0"/>
        <w:rPr>
          <w:rFonts w:hint="default" w:ascii="Cambria" w:hAnsi="Cambria" w:cs="Cambria"/>
        </w:rPr>
      </w:pPr>
      <w:r>
        <w:rPr>
          <w:rFonts w:hint="default" w:ascii="Cambria" w:hAnsi="Cambria" w:cs="Cambria"/>
        </w:rPr>
        <w:t>The formulation of this standard is based on systematic literature research, widely retrieving and integrating authoritative domestic and foreign standards, guidelines, and clinical evidence, including WHO guidelines, ISO standards, and the 14</w:t>
      </w:r>
      <w:r>
        <w:rPr>
          <w:rFonts w:hint="default" w:ascii="Cambria" w:hAnsi="Cambria" w:cs="Cambria"/>
          <w:vertAlign w:val="superscript"/>
        </w:rPr>
        <w:t>th</w:t>
      </w:r>
      <w:r>
        <w:rPr>
          <w:rFonts w:hint="default" w:ascii="Cambria" w:hAnsi="Cambria" w:cs="Cambria"/>
        </w:rPr>
        <w:t xml:space="preserve"> Five</w:t>
      </w:r>
      <w:r>
        <w:rPr>
          <w:rFonts w:hint="default" w:ascii="Cambria" w:hAnsi="Cambria" w:cs="Cambria"/>
          <w:lang w:val="en-US" w:eastAsia="zh-CN"/>
        </w:rPr>
        <w:t>-</w:t>
      </w:r>
      <w:r>
        <w:rPr>
          <w:rFonts w:hint="default" w:ascii="Cambria" w:hAnsi="Cambria" w:cs="Cambria"/>
        </w:rPr>
        <w:t>Year</w:t>
      </w:r>
      <w:r>
        <w:rPr>
          <w:rFonts w:hint="default" w:ascii="Cambria" w:hAnsi="Cambria" w:cs="Cambria"/>
          <w:lang w:val="en-US" w:eastAsia="zh-CN"/>
        </w:rPr>
        <w:t xml:space="preserve"> </w:t>
      </w:r>
      <w:r>
        <w:rPr>
          <w:rFonts w:hint="default" w:ascii="Cambria" w:hAnsi="Cambria" w:cs="Cambria"/>
        </w:rPr>
        <w:t>Plan textbook</w:t>
      </w:r>
      <w:r>
        <w:rPr>
          <w:rFonts w:hint="default" w:ascii="Cambria" w:hAnsi="Cambria" w:cs="Cambria"/>
          <w:lang w:val="en-US" w:eastAsia="zh-CN"/>
        </w:rPr>
        <w:t xml:space="preserve">: </w:t>
      </w:r>
      <w:r>
        <w:rPr>
          <w:rFonts w:hint="default" w:ascii="Cambria" w:hAnsi="Cambria" w:cs="Cambria"/>
        </w:rPr>
        <w:t xml:space="preserve">Cupping Therapy of </w:t>
      </w:r>
      <w:r>
        <w:rPr>
          <w:rFonts w:hint="default" w:ascii="Cambria" w:hAnsi="Cambria" w:cs="Cambria"/>
          <w:lang w:eastAsia="zh-CN"/>
        </w:rPr>
        <w:t>TCM</w:t>
      </w:r>
      <w:r>
        <w:rPr>
          <w:rFonts w:hint="default" w:ascii="Cambria" w:hAnsi="Cambria" w:cs="Cambria"/>
        </w:rPr>
        <w:t xml:space="preserve">. At the same time, combined with the consensus opinions of the expert questionnaire survey (30 experts) and the expert demonstration meeting (13 experts), it ensures that technical items (such as term definitions, </w:t>
      </w:r>
      <w:r>
        <w:rPr>
          <w:rFonts w:hint="default" w:ascii="Cambria" w:hAnsi="Cambria" w:cs="Cambria"/>
          <w:lang w:eastAsia="zh-CN"/>
        </w:rPr>
        <w:t>operational procedures</w:t>
      </w:r>
      <w:r>
        <w:rPr>
          <w:rFonts w:hint="default" w:ascii="Cambria" w:hAnsi="Cambria" w:cs="Cambria"/>
        </w:rPr>
        <w:t xml:space="preserve">, and contraindications) have reliable evidence support, avoids subjective experience biases, and promotes the objectivity and verifiability of the standard content. The expert demonstration meeting invited experts from pediatric </w:t>
      </w:r>
      <w:r>
        <w:rPr>
          <w:rFonts w:hint="default" w:ascii="Cambria" w:hAnsi="Cambria" w:cs="Cambria"/>
          <w:lang w:eastAsia="zh-CN"/>
        </w:rPr>
        <w:t>TCM</w:t>
      </w:r>
      <w:r>
        <w:rPr>
          <w:rFonts w:hint="default" w:ascii="Cambria" w:hAnsi="Cambria" w:cs="Cambria"/>
        </w:rPr>
        <w:t xml:space="preserve">, integrated traditional Chinese and Western medicine pediatrics, acupuncture and tuina, pediatric acupuncture and tuina, and </w:t>
      </w:r>
      <w:r>
        <w:rPr>
          <w:rFonts w:hint="default" w:ascii="Cambria" w:hAnsi="Cambria" w:cs="Cambria"/>
          <w:lang w:val="en-US" w:eastAsia="zh-CN"/>
        </w:rPr>
        <w:t xml:space="preserve">experts in </w:t>
      </w:r>
      <w:r>
        <w:rPr>
          <w:rFonts w:hint="default" w:ascii="Cambria" w:hAnsi="Cambria" w:cs="Cambria"/>
        </w:rPr>
        <w:t>standardization to participate, ensuring the scientific rigor of the technical content.</w:t>
      </w:r>
    </w:p>
    <w:p w14:paraId="66BAE214">
      <w:pPr>
        <w:rPr>
          <w:rFonts w:hint="default" w:ascii="Cambria" w:hAnsi="Cambria" w:cs="Cambria"/>
        </w:rPr>
      </w:pPr>
    </w:p>
    <w:p w14:paraId="1200AFE5">
      <w:pPr>
        <w:rPr>
          <w:rFonts w:hint="default" w:ascii="Cambria" w:hAnsi="Cambria" w:cs="Cambria" w:eastAsiaTheme="minorEastAsia"/>
          <w:lang w:eastAsia="zh-CN"/>
        </w:rPr>
      </w:pPr>
      <w:r>
        <w:rPr>
          <w:rFonts w:hint="default" w:ascii="Cambria" w:hAnsi="Cambria" w:cs="Cambria"/>
        </w:rPr>
        <w:t>2. Practicality</w:t>
      </w:r>
    </w:p>
    <w:p w14:paraId="5E0D45CB">
      <w:pPr>
        <w:ind w:firstLine="420" w:firstLineChars="0"/>
        <w:rPr>
          <w:rFonts w:hint="default" w:ascii="Cambria" w:hAnsi="Cambria" w:cs="Cambria" w:eastAsiaTheme="minorEastAsia"/>
          <w:lang w:val="en-US" w:eastAsia="zh-CN"/>
        </w:rPr>
      </w:pPr>
      <w:r>
        <w:rPr>
          <w:rFonts w:hint="default" w:ascii="Cambria" w:hAnsi="Cambria" w:cs="Cambria"/>
        </w:rPr>
        <w:t xml:space="preserve">This standard aims to standardize the cupping operations in global pediatric </w:t>
      </w:r>
      <w:r>
        <w:rPr>
          <w:rFonts w:hint="default" w:ascii="Cambria" w:hAnsi="Cambria" w:cs="Cambria"/>
          <w:lang w:eastAsia="zh-CN"/>
        </w:rPr>
        <w:t>TCM</w:t>
      </w:r>
      <w:r>
        <w:rPr>
          <w:rFonts w:hint="default" w:ascii="Cambria" w:hAnsi="Cambria" w:cs="Cambria"/>
        </w:rPr>
        <w:t xml:space="preserve"> clinics, directly serving pediatric clinical practice.</w:t>
      </w:r>
      <w:r>
        <w:rPr>
          <w:rFonts w:hint="default" w:ascii="Cambria" w:hAnsi="Cambria" w:cs="Cambria"/>
          <w:lang w:val="en-US" w:eastAsia="zh-CN"/>
        </w:rPr>
        <w:t xml:space="preserve"> </w:t>
      </w:r>
      <w:r>
        <w:rPr>
          <w:rFonts w:hint="default" w:ascii="Cambria" w:hAnsi="Cambria" w:cs="Cambria"/>
        </w:rPr>
        <w:t>Targeting the practical clinical demands of pediatric TCM, it optimizes operational details including selecting cupping devices by age groups, retention of needles, and specific contraindications for</w:t>
      </w:r>
      <w:r>
        <w:rPr>
          <w:rFonts w:hint="default" w:ascii="Cambria" w:hAnsi="Cambria" w:cs="Cambria"/>
          <w:highlight w:val="none"/>
        </w:rPr>
        <w:t xml:space="preserve"> </w:t>
      </w:r>
      <w:r>
        <w:rPr>
          <w:rFonts w:hint="default" w:ascii="Cambria" w:hAnsi="Cambria" w:cs="Cambria"/>
          <w:highlight w:val="none"/>
          <w:lang w:eastAsia="zh-CN"/>
        </w:rPr>
        <w:t>blood-letting puncture cupping</w:t>
      </w:r>
      <w:r>
        <w:rPr>
          <w:rFonts w:hint="default" w:ascii="Cambria" w:hAnsi="Cambria" w:cs="Cambria"/>
          <w:highlight w:val="none"/>
        </w:rPr>
        <w:t>.</w:t>
      </w:r>
      <w:r>
        <w:rPr>
          <w:rFonts w:hint="default" w:ascii="Cambria" w:hAnsi="Cambria" w:cs="Cambria"/>
        </w:rPr>
        <w:t xml:space="preserve"> Built upon the framework of the original national standard GB/Z 40893.5-2021 and combined with literature research and expert consensus, this standard boasts easy operability. It is applicable to TCM medical treatment, teaching, scientific research and other fields, and can improve clinical compliance and guarantee therapeutic efficacy.</w:t>
      </w:r>
      <w:r>
        <w:rPr>
          <w:rFonts w:hint="default" w:ascii="Cambria" w:hAnsi="Cambria" w:cs="Cambria"/>
          <w:lang w:val="en-US" w:eastAsia="zh-CN"/>
        </w:rPr>
        <w:t xml:space="preserve"> This standard fully draws on clinical feedback accumulated over more than three years since the original national standard came into force, as well as experience gained from overseas promotion and application, to ensure its provisions align with real clinical scenarios and are simple to operate and implement.</w:t>
      </w:r>
    </w:p>
    <w:p w14:paraId="11C32CFF">
      <w:pPr>
        <w:rPr>
          <w:rFonts w:hint="default" w:ascii="Cambria" w:hAnsi="Cambria" w:cs="Cambria"/>
        </w:rPr>
      </w:pPr>
    </w:p>
    <w:p w14:paraId="0D516FDA">
      <w:pPr>
        <w:rPr>
          <w:rFonts w:hint="default" w:ascii="Cambria" w:hAnsi="Cambria" w:cs="Cambria" w:eastAsiaTheme="minorEastAsia"/>
          <w:lang w:eastAsia="zh-CN"/>
        </w:rPr>
      </w:pPr>
      <w:r>
        <w:rPr>
          <w:rFonts w:hint="default" w:ascii="Cambria" w:hAnsi="Cambria" w:cs="Cambria"/>
        </w:rPr>
        <w:t>3. Standardization</w:t>
      </w:r>
    </w:p>
    <w:p w14:paraId="279B663D">
      <w:pPr>
        <w:ind w:firstLine="420" w:firstLineChars="0"/>
        <w:rPr>
          <w:rFonts w:hint="default" w:ascii="Cambria" w:hAnsi="Cambria" w:cs="Cambria"/>
        </w:rPr>
      </w:pPr>
      <w:r>
        <w:rPr>
          <w:rFonts w:hint="default" w:ascii="Cambria" w:hAnsi="Cambria" w:cs="Cambria"/>
          <w:lang w:val="en-US" w:eastAsia="zh-CN"/>
        </w:rPr>
        <w:t>This standard s</w:t>
      </w:r>
      <w:r>
        <w:rPr>
          <w:rFonts w:hint="default" w:ascii="Cambria" w:hAnsi="Cambria" w:cs="Cambria"/>
        </w:rPr>
        <w:t>trictly complies with the procedural requirements of SCM</w:t>
      </w:r>
      <w:r>
        <w:rPr>
          <w:rFonts w:hint="default" w:ascii="Cambria" w:hAnsi="Cambria" w:cs="Cambria"/>
          <w:lang w:val="en-US" w:eastAsia="zh-CN"/>
        </w:rPr>
        <w:t xml:space="preserve"> </w:t>
      </w:r>
      <w:r>
        <w:rPr>
          <w:rFonts w:hint="default" w:ascii="Cambria" w:hAnsi="Cambria" w:cs="Cambria"/>
        </w:rPr>
        <w:t>1.1</w:t>
      </w:r>
      <w:r>
        <w:rPr>
          <w:rFonts w:hint="default" w:ascii="Cambria" w:hAnsi="Cambria" w:cs="Cambria"/>
          <w:lang w:val="en-US" w:eastAsia="zh-CN"/>
        </w:rPr>
        <w:t>-</w:t>
      </w:r>
      <w:r>
        <w:rPr>
          <w:rFonts w:hint="default" w:ascii="Cambria" w:hAnsi="Cambria" w:cs="Cambria"/>
        </w:rPr>
        <w:t>2021</w:t>
      </w:r>
      <w:r>
        <w:rPr>
          <w:rFonts w:hint="default" w:ascii="Cambria" w:hAnsi="Cambria" w:cs="Cambria"/>
          <w:lang w:val="en-US" w:eastAsia="zh-CN"/>
        </w:rPr>
        <w:t xml:space="preserve"> </w:t>
      </w:r>
      <w:r>
        <w:rPr>
          <w:rFonts w:hint="default" w:ascii="Cambria" w:hAnsi="Cambria" w:cs="Cambria"/>
        </w:rPr>
        <w:t xml:space="preserve">Guidelines for </w:t>
      </w:r>
      <w:r>
        <w:rPr>
          <w:rFonts w:hint="default" w:ascii="Cambria" w:hAnsi="Cambria" w:cs="Cambria"/>
          <w:lang w:val="en-US" w:eastAsia="zh-CN"/>
        </w:rPr>
        <w:t>s</w:t>
      </w:r>
      <w:r>
        <w:rPr>
          <w:rFonts w:hint="default" w:ascii="Cambria" w:hAnsi="Cambria" w:cs="Cambria"/>
        </w:rPr>
        <w:t xml:space="preserve">tandardization </w:t>
      </w:r>
      <w:r>
        <w:rPr>
          <w:rFonts w:hint="default" w:ascii="Cambria" w:hAnsi="Cambria" w:cs="Cambria"/>
          <w:lang w:val="en-US" w:eastAsia="zh-CN"/>
        </w:rPr>
        <w:t>w</w:t>
      </w:r>
      <w:r>
        <w:rPr>
          <w:rFonts w:hint="default" w:ascii="Cambria" w:hAnsi="Cambria" w:cs="Cambria"/>
        </w:rPr>
        <w:t>ork</w:t>
      </w:r>
      <w:r>
        <w:rPr>
          <w:rFonts w:hint="default" w:ascii="Cambria" w:hAnsi="Cambria" w:cs="Cambria" w:eastAsiaTheme="minorEastAsia"/>
          <w:kern w:val="2"/>
          <w:sz w:val="21"/>
          <w:szCs w:val="24"/>
          <w:lang w:val="en-US" w:eastAsia="zh-CN" w:bidi="ar-SA"/>
        </w:rPr>
        <w:t>–</w:t>
      </w:r>
      <w:r>
        <w:rPr>
          <w:rFonts w:hint="default" w:ascii="Cambria" w:hAnsi="Cambria" w:cs="Cambria"/>
        </w:rPr>
        <w:t xml:space="preserve">Part 1: Standard </w:t>
      </w:r>
      <w:r>
        <w:rPr>
          <w:rFonts w:hint="default" w:ascii="Cambria" w:hAnsi="Cambria" w:cs="Cambria"/>
          <w:lang w:val="en-US" w:eastAsia="zh-CN"/>
        </w:rPr>
        <w:t>f</w:t>
      </w:r>
      <w:r>
        <w:rPr>
          <w:rFonts w:hint="default" w:ascii="Cambria" w:hAnsi="Cambria" w:cs="Cambria"/>
        </w:rPr>
        <w:t xml:space="preserve">ormulation, </w:t>
      </w:r>
      <w:r>
        <w:rPr>
          <w:rFonts w:hint="default" w:ascii="Cambria" w:hAnsi="Cambria" w:cs="Cambria"/>
          <w:lang w:val="en-US" w:eastAsia="zh-CN"/>
        </w:rPr>
        <w:t>r</w:t>
      </w:r>
      <w:r>
        <w:rPr>
          <w:rFonts w:hint="default" w:ascii="Cambria" w:hAnsi="Cambria" w:cs="Cambria"/>
        </w:rPr>
        <w:t xml:space="preserve">evision and </w:t>
      </w:r>
      <w:r>
        <w:rPr>
          <w:rFonts w:hint="default" w:ascii="Cambria" w:hAnsi="Cambria" w:cs="Cambria"/>
          <w:lang w:val="en-US" w:eastAsia="zh-CN"/>
        </w:rPr>
        <w:t>r</w:t>
      </w:r>
      <w:r>
        <w:rPr>
          <w:rFonts w:hint="default" w:ascii="Cambria" w:hAnsi="Cambria" w:cs="Cambria"/>
        </w:rPr>
        <w:t xml:space="preserve">elease, </w:t>
      </w:r>
      <w:r>
        <w:rPr>
          <w:rFonts w:hint="default" w:ascii="Cambria" w:hAnsi="Cambria" w:cs="Cambria"/>
          <w:lang w:val="en-US" w:eastAsia="zh-CN"/>
        </w:rPr>
        <w:t xml:space="preserve">covering </w:t>
      </w:r>
      <w:r>
        <w:rPr>
          <w:rFonts w:hint="default" w:ascii="Cambria" w:hAnsi="Cambria" w:cs="Cambria"/>
        </w:rPr>
        <w:t xml:space="preserve">links </w:t>
      </w:r>
      <w:r>
        <w:rPr>
          <w:rFonts w:hint="default" w:ascii="Cambria" w:hAnsi="Cambria" w:cs="Cambria"/>
          <w:lang w:val="en-US" w:eastAsia="zh-CN"/>
        </w:rPr>
        <w:t>including</w:t>
      </w:r>
      <w:r>
        <w:rPr>
          <w:rFonts w:hint="default" w:ascii="Cambria" w:hAnsi="Cambria" w:cs="Cambria"/>
        </w:rPr>
        <w:t xml:space="preserve"> literature research, expert surveys, demonstration meetings, and internal coordination meetings. It unifies term definitions and standardizes </w:t>
      </w:r>
      <w:r>
        <w:rPr>
          <w:rFonts w:hint="default" w:ascii="Cambria" w:hAnsi="Cambria" w:cs="Cambria"/>
          <w:lang w:eastAsia="zh-CN"/>
        </w:rPr>
        <w:t>operational procedures</w:t>
      </w:r>
      <w:r>
        <w:rPr>
          <w:rFonts w:hint="default" w:ascii="Cambria" w:hAnsi="Cambria" w:cs="Cambria"/>
        </w:rPr>
        <w:t>, ensuring that the standard text has a clear structure and strong consistency, facilitating the review of international organizations and global application.</w:t>
      </w:r>
    </w:p>
    <w:p w14:paraId="7E45CDC6">
      <w:pPr>
        <w:numPr>
          <w:ilvl w:val="0"/>
          <w:numId w:val="0"/>
        </w:numPr>
        <w:rPr>
          <w:rFonts w:hint="default" w:ascii="Cambria" w:hAnsi="Cambria" w:cs="Cambria"/>
        </w:rPr>
      </w:pPr>
    </w:p>
    <w:p w14:paraId="72FDDE61">
      <w:pPr>
        <w:numPr>
          <w:ilvl w:val="0"/>
          <w:numId w:val="0"/>
        </w:numPr>
        <w:rPr>
          <w:rFonts w:hint="default" w:ascii="Cambria" w:hAnsi="Cambria" w:cs="Cambria"/>
        </w:rPr>
      </w:pPr>
      <w:r>
        <w:rPr>
          <w:rFonts w:hint="default" w:ascii="Cambria" w:hAnsi="Cambria" w:cs="Cambria"/>
        </w:rPr>
        <w:t>4. International Adaptability</w:t>
      </w:r>
    </w:p>
    <w:p w14:paraId="6BEFB7B7">
      <w:pPr>
        <w:numPr>
          <w:ilvl w:val="0"/>
          <w:numId w:val="0"/>
        </w:numPr>
        <w:ind w:firstLine="420" w:firstLineChars="0"/>
        <w:rPr>
          <w:rFonts w:hint="default" w:ascii="Cambria" w:hAnsi="Cambria" w:cs="Cambria"/>
        </w:rPr>
      </w:pPr>
      <w:r>
        <w:rPr>
          <w:rFonts w:hint="default" w:ascii="Cambria" w:hAnsi="Cambria" w:cs="Cambria"/>
        </w:rPr>
        <w:t xml:space="preserve">This standard takes into account both the characteristics of </w:t>
      </w:r>
      <w:r>
        <w:rPr>
          <w:rFonts w:hint="default" w:ascii="Cambria" w:hAnsi="Cambria" w:cs="Cambria"/>
          <w:lang w:eastAsia="zh-CN"/>
        </w:rPr>
        <w:t>TCM</w:t>
      </w:r>
      <w:r>
        <w:rPr>
          <w:rFonts w:hint="default" w:ascii="Cambria" w:hAnsi="Cambria" w:cs="Cambria"/>
        </w:rPr>
        <w:t xml:space="preserve"> and international regulatory requirements. It incorporates the opinions of experts from multiple countries, including China, Canada, Vietnam, Thailand, Malaysia, and Singapore, and fully considers the differences in laws, regulations, medical systems, and cultural backgrounds among different countries. The Scope section clearly specifies that practitioners performing any invasive procedures covered by this standard shall comply with the laws, regulations and scope of practice requirements of their respective countries or regions. The technical specifications of authoritative institutions such as WHO, the Royal Children's Hospital in Australia, and the National Health Service in the UK are incorporated into the term definitions and operation</w:t>
      </w:r>
      <w:r>
        <w:rPr>
          <w:rFonts w:hint="default" w:ascii="Cambria" w:hAnsi="Cambria" w:cs="Cambria"/>
          <w:lang w:val="en-US" w:eastAsia="zh-CN"/>
        </w:rPr>
        <w:t>al</w:t>
      </w:r>
      <w:r>
        <w:rPr>
          <w:rFonts w:hint="default" w:ascii="Cambria" w:hAnsi="Cambria" w:cs="Cambria"/>
        </w:rPr>
        <w:t xml:space="preserve"> procedures. This is conducive to the global promotion and application of the standard, enables it to adapt to the medical environments of various countries and regions, and promotes the international development of </w:t>
      </w:r>
      <w:r>
        <w:rPr>
          <w:rFonts w:hint="default" w:ascii="Cambria" w:hAnsi="Cambria" w:cs="Cambria"/>
          <w:lang w:eastAsia="zh-CN"/>
        </w:rPr>
        <w:t>TCM</w:t>
      </w:r>
      <w:r>
        <w:rPr>
          <w:rFonts w:hint="default" w:ascii="Cambria" w:hAnsi="Cambria" w:cs="Cambria"/>
        </w:rPr>
        <w:t xml:space="preserve"> pediatric techniques.</w:t>
      </w:r>
    </w:p>
    <w:p w14:paraId="44DF8623">
      <w:pPr>
        <w:numPr>
          <w:ilvl w:val="0"/>
          <w:numId w:val="0"/>
        </w:numPr>
        <w:rPr>
          <w:rFonts w:hint="default" w:ascii="Cambria" w:hAnsi="Cambria" w:cs="Cambria"/>
        </w:rPr>
      </w:pPr>
      <w:r>
        <w:rPr>
          <w:rFonts w:hint="default" w:ascii="Cambria" w:hAnsi="Cambria" w:cs="Cambria"/>
        </w:rPr>
        <w:t>(2) Methods and Basis for Main Content Determination</w:t>
      </w:r>
    </w:p>
    <w:p w14:paraId="6B515E46">
      <w:pPr>
        <w:numPr>
          <w:ilvl w:val="0"/>
          <w:numId w:val="0"/>
        </w:numPr>
        <w:rPr>
          <w:rFonts w:hint="default" w:ascii="Cambria" w:hAnsi="Cambria" w:cs="Cambria" w:eastAsiaTheme="minorEastAsia"/>
          <w:lang w:eastAsia="zh-CN"/>
        </w:rPr>
      </w:pPr>
      <w:r>
        <w:rPr>
          <w:rFonts w:hint="default" w:ascii="Cambria" w:hAnsi="Cambria" w:cs="Cambria"/>
        </w:rPr>
        <w:t>1. Main Contents of the Standard</w:t>
      </w:r>
    </w:p>
    <w:p w14:paraId="7B799450">
      <w:pPr>
        <w:numPr>
          <w:ilvl w:val="0"/>
          <w:numId w:val="0"/>
        </w:numPr>
        <w:ind w:firstLine="420" w:firstLineChars="0"/>
        <w:rPr>
          <w:rFonts w:hint="default" w:ascii="Cambria" w:hAnsi="Cambria" w:cs="Cambria" w:eastAsiaTheme="minorEastAsia"/>
          <w:lang w:val="en-US" w:eastAsia="zh-CN"/>
        </w:rPr>
      </w:pPr>
      <w:r>
        <w:rPr>
          <w:rFonts w:hint="default" w:ascii="Cambria" w:hAnsi="Cambria" w:cs="Cambria"/>
          <w:highlight w:val="none"/>
        </w:rPr>
        <w:t xml:space="preserve">The </w:t>
      </w:r>
      <w:r>
        <w:rPr>
          <w:rFonts w:hint="default" w:ascii="Cambria" w:hAnsi="Cambria" w:cs="Cambria"/>
          <w:highlight w:val="none"/>
          <w:lang w:val="en-US" w:eastAsia="zh-CN"/>
        </w:rPr>
        <w:t xml:space="preserve">project of </w:t>
      </w:r>
      <w:r>
        <w:rPr>
          <w:rFonts w:hint="default" w:ascii="Cambria" w:hAnsi="Cambria" w:cs="Cambria"/>
          <w:highlight w:val="none"/>
          <w:lang w:eastAsia="zh-CN"/>
        </w:rPr>
        <w:t>ISMCMP-CT</w:t>
      </w:r>
      <w:r>
        <w:rPr>
          <w:rFonts w:hint="default" w:ascii="Cambria" w:hAnsi="Cambria" w:cs="Cambria"/>
          <w:highlight w:val="none"/>
        </w:rPr>
        <w:t xml:space="preserve"> consists of six </w:t>
      </w:r>
      <w:r>
        <w:rPr>
          <w:rFonts w:hint="default" w:ascii="Cambria" w:hAnsi="Cambria" w:cs="Cambria"/>
          <w:highlight w:val="none"/>
          <w:lang w:val="en-US" w:eastAsia="zh-CN"/>
        </w:rPr>
        <w:t xml:space="preserve">main </w:t>
      </w:r>
      <w:r>
        <w:rPr>
          <w:rFonts w:hint="default" w:ascii="Cambria" w:hAnsi="Cambria" w:cs="Cambria"/>
          <w:highlight w:val="none"/>
        </w:rPr>
        <w:t>components: Scope, Normative Reference</w:t>
      </w:r>
      <w:r>
        <w:rPr>
          <w:rFonts w:hint="default" w:ascii="Cambria" w:hAnsi="Cambria" w:cs="Cambria"/>
          <w:highlight w:val="none"/>
          <w:lang w:val="en-US" w:eastAsia="zh-CN"/>
        </w:rPr>
        <w:t>s</w:t>
      </w:r>
      <w:r>
        <w:rPr>
          <w:rFonts w:hint="default" w:ascii="Cambria" w:hAnsi="Cambria" w:cs="Cambria"/>
          <w:highlight w:val="none"/>
        </w:rPr>
        <w:t xml:space="preserve">, </w:t>
      </w:r>
      <w:r>
        <w:rPr>
          <w:rFonts w:hint="default" w:ascii="Cambria" w:hAnsi="Cambria" w:cs="Cambria"/>
        </w:rPr>
        <w:t xml:space="preserve">Terms and Definitions, </w:t>
      </w:r>
      <w:r>
        <w:rPr>
          <w:rFonts w:hint="default" w:ascii="Cambria" w:hAnsi="Cambria" w:cs="Cambria"/>
          <w:lang w:eastAsia="zh-CN"/>
        </w:rPr>
        <w:t>Operating Procedures and Requirements</w:t>
      </w:r>
      <w:r>
        <w:rPr>
          <w:rFonts w:hint="default" w:ascii="Cambria" w:hAnsi="Cambria" w:cs="Cambria"/>
        </w:rPr>
        <w:t xml:space="preserve">, Precautions and Contraindications, </w:t>
      </w:r>
      <w:r>
        <w:rPr>
          <w:rFonts w:hint="default" w:ascii="Cambria" w:hAnsi="Cambria" w:cs="Cambria"/>
          <w:lang w:val="en-US" w:eastAsia="zh-CN"/>
        </w:rPr>
        <w:t>and Appendices</w:t>
      </w:r>
      <w:r>
        <w:rPr>
          <w:rFonts w:hint="default" w:ascii="Cambria" w:hAnsi="Cambria" w:cs="Cambria"/>
        </w:rPr>
        <w:t xml:space="preserve">, </w:t>
      </w:r>
      <w:r>
        <w:rPr>
          <w:rFonts w:hint="default" w:ascii="Cambria" w:hAnsi="Cambria" w:cs="Cambria"/>
          <w:lang w:val="en-US" w:eastAsia="zh-CN"/>
        </w:rPr>
        <w:t>aside from the</w:t>
      </w:r>
      <w:r>
        <w:rPr>
          <w:rFonts w:hint="default" w:ascii="Cambria" w:hAnsi="Cambria" w:cs="Cambria"/>
        </w:rPr>
        <w:t xml:space="preserve"> References.</w:t>
      </w:r>
      <w:r>
        <w:rPr>
          <w:rFonts w:hint="default" w:ascii="Cambria" w:hAnsi="Cambria" w:cs="Cambria"/>
          <w:lang w:val="en-US" w:eastAsia="zh-CN"/>
        </w:rPr>
        <w:t xml:space="preserve"> The details are listed below.</w:t>
      </w:r>
    </w:p>
    <w:p w14:paraId="5E5DD612">
      <w:pPr>
        <w:numPr>
          <w:ilvl w:val="0"/>
          <w:numId w:val="0"/>
        </w:numPr>
        <w:rPr>
          <w:rFonts w:hint="default" w:ascii="Cambria" w:hAnsi="Cambria" w:cs="Cambria"/>
        </w:rPr>
      </w:pPr>
      <w:r>
        <w:rPr>
          <w:rFonts w:hint="default" w:ascii="Cambria" w:hAnsi="Cambria" w:cs="Cambria"/>
        </w:rPr>
        <w:t xml:space="preserve">    (1) Scope</w:t>
      </w:r>
    </w:p>
    <w:p w14:paraId="17512627">
      <w:pPr>
        <w:numPr>
          <w:ilvl w:val="0"/>
          <w:numId w:val="0"/>
        </w:numPr>
        <w:rPr>
          <w:rFonts w:hint="default" w:ascii="Cambria" w:hAnsi="Cambria" w:cs="Cambria" w:eastAsiaTheme="minorEastAsia"/>
          <w:lang w:eastAsia="zh-CN"/>
        </w:rPr>
      </w:pPr>
      <w:r>
        <w:rPr>
          <w:rFonts w:hint="default" w:ascii="Cambria" w:hAnsi="Cambria" w:cs="Cambria"/>
        </w:rPr>
        <w:t xml:space="preserve">    (2) Normative Reference</w:t>
      </w:r>
      <w:r>
        <w:rPr>
          <w:rFonts w:hint="default" w:ascii="Cambria" w:hAnsi="Cambria" w:cs="Cambria"/>
          <w:lang w:val="en-US" w:eastAsia="zh-CN"/>
        </w:rPr>
        <w:t>s</w:t>
      </w:r>
    </w:p>
    <w:p w14:paraId="24CA989A">
      <w:pPr>
        <w:numPr>
          <w:ilvl w:val="0"/>
          <w:numId w:val="0"/>
        </w:numPr>
        <w:rPr>
          <w:rFonts w:hint="default" w:ascii="Cambria" w:hAnsi="Cambria" w:cs="Cambria"/>
        </w:rPr>
      </w:pPr>
      <w:r>
        <w:rPr>
          <w:rFonts w:hint="default" w:ascii="Cambria" w:hAnsi="Cambria" w:cs="Cambria"/>
        </w:rPr>
        <w:t xml:space="preserve">    (3) Terms and Definitions</w:t>
      </w:r>
    </w:p>
    <w:p w14:paraId="46D1268B">
      <w:pPr>
        <w:numPr>
          <w:ilvl w:val="0"/>
          <w:numId w:val="0"/>
        </w:numPr>
        <w:rPr>
          <w:rFonts w:hint="default" w:ascii="Cambria" w:hAnsi="Cambria" w:cs="Cambria" w:eastAsiaTheme="minorEastAsia"/>
          <w:lang w:eastAsia="zh-CN"/>
        </w:rPr>
      </w:pPr>
      <w:r>
        <w:rPr>
          <w:rFonts w:hint="default" w:ascii="Cambria" w:hAnsi="Cambria" w:cs="Cambria"/>
        </w:rPr>
        <w:t xml:space="preserve">    (4) </w:t>
      </w:r>
      <w:r>
        <w:rPr>
          <w:rFonts w:hint="default" w:ascii="Cambria" w:hAnsi="Cambria" w:cs="Cambria"/>
          <w:lang w:eastAsia="zh-CN"/>
        </w:rPr>
        <w:t>Operating Procedures and Requirements</w:t>
      </w:r>
    </w:p>
    <w:p w14:paraId="3EC5CBD4">
      <w:pPr>
        <w:numPr>
          <w:ilvl w:val="0"/>
          <w:numId w:val="0"/>
        </w:numPr>
        <w:rPr>
          <w:rFonts w:hint="default" w:ascii="Cambria" w:hAnsi="Cambria" w:cs="Cambria"/>
        </w:rPr>
      </w:pPr>
      <w:r>
        <w:rPr>
          <w:rFonts w:hint="default" w:ascii="Cambria" w:hAnsi="Cambria" w:cs="Cambria"/>
        </w:rPr>
        <w:t xml:space="preserve">    (5) Precautions and Contraindications</w:t>
      </w:r>
    </w:p>
    <w:p w14:paraId="672B2375">
      <w:pPr>
        <w:numPr>
          <w:ilvl w:val="0"/>
          <w:numId w:val="0"/>
        </w:numPr>
        <w:rPr>
          <w:rFonts w:hint="default" w:ascii="Cambria" w:hAnsi="Cambria" w:cs="Cambria" w:eastAsiaTheme="minorEastAsia"/>
          <w:lang w:val="en-US" w:eastAsia="zh-CN"/>
        </w:rPr>
      </w:pPr>
      <w:r>
        <w:rPr>
          <w:rFonts w:hint="default" w:ascii="Cambria" w:hAnsi="Cambria" w:cs="Cambria"/>
        </w:rPr>
        <w:t xml:space="preserve">    (6) </w:t>
      </w:r>
      <w:r>
        <w:rPr>
          <w:rFonts w:hint="default" w:ascii="Cambria" w:hAnsi="Cambria" w:cs="Cambria"/>
          <w:lang w:eastAsia="zh-CN"/>
        </w:rPr>
        <w:t>Annex A</w:t>
      </w:r>
      <w:r>
        <w:rPr>
          <w:rFonts w:hint="default" w:ascii="Cambria" w:hAnsi="Cambria" w:cs="Cambria"/>
        </w:rPr>
        <w:t xml:space="preserve"> (Informative) Types of Commonly Used Cup</w:t>
      </w:r>
      <w:r>
        <w:rPr>
          <w:rFonts w:hint="default" w:ascii="Cambria" w:hAnsi="Cambria" w:cs="Cambria"/>
          <w:lang w:val="en-US" w:eastAsia="zh-CN"/>
        </w:rPr>
        <w:t>ping Jars</w:t>
      </w:r>
    </w:p>
    <w:p w14:paraId="20938485">
      <w:pPr>
        <w:numPr>
          <w:ilvl w:val="0"/>
          <w:numId w:val="0"/>
        </w:numPr>
        <w:rPr>
          <w:rFonts w:hint="default" w:ascii="Cambria" w:hAnsi="Cambria" w:cs="Cambria"/>
        </w:rPr>
      </w:pPr>
      <w:r>
        <w:rPr>
          <w:rFonts w:hint="default" w:ascii="Cambria" w:hAnsi="Cambria" w:cs="Cambria"/>
        </w:rPr>
        <w:t xml:space="preserve">    (7)</w:t>
      </w:r>
      <w:r>
        <w:rPr>
          <w:rFonts w:hint="default" w:ascii="Cambria" w:hAnsi="Cambria" w:cs="Cambria"/>
          <w:lang w:val="en-US" w:eastAsia="zh-CN"/>
        </w:rPr>
        <w:t xml:space="preserve"> </w:t>
      </w:r>
      <w:r>
        <w:rPr>
          <w:rFonts w:hint="default" w:ascii="Cambria" w:hAnsi="Cambria" w:cs="Cambria"/>
          <w:lang w:eastAsia="zh-CN"/>
        </w:rPr>
        <w:t>Annex B</w:t>
      </w:r>
      <w:r>
        <w:rPr>
          <w:rFonts w:hint="default" w:ascii="Cambria" w:hAnsi="Cambria" w:cs="Cambria"/>
        </w:rPr>
        <w:t xml:space="preserve"> (Informative) Cupping Retention Duration,</w:t>
      </w:r>
      <w:r>
        <w:rPr>
          <w:rFonts w:hint="default" w:ascii="Cambria" w:hAnsi="Cambria" w:cs="Cambria"/>
          <w:lang w:val="en-US" w:eastAsia="zh-CN"/>
        </w:rPr>
        <w:t xml:space="preserve"> </w:t>
      </w:r>
      <w:r>
        <w:rPr>
          <w:rFonts w:hint="default" w:ascii="Cambria" w:hAnsi="Cambria" w:cs="Cambria"/>
        </w:rPr>
        <w:t>Treatment Intervals and</w:t>
      </w:r>
      <w:r>
        <w:rPr>
          <w:rFonts w:hint="default" w:ascii="Cambria" w:hAnsi="Cambria" w:cs="Cambria"/>
          <w:lang w:val="en-US" w:eastAsia="zh-CN"/>
        </w:rPr>
        <w:t xml:space="preserve"> </w:t>
      </w:r>
      <w:r>
        <w:rPr>
          <w:rFonts w:hint="default" w:ascii="Cambria" w:hAnsi="Cambria" w:cs="Cambria"/>
        </w:rPr>
        <w:t xml:space="preserve">Treatment </w:t>
      </w:r>
      <w:r>
        <w:rPr>
          <w:rFonts w:hint="default" w:ascii="Cambria" w:hAnsi="Cambria" w:cs="Cambria"/>
          <w:lang w:val="en-US" w:eastAsia="zh-CN"/>
        </w:rPr>
        <w:tab/>
      </w:r>
      <w:r>
        <w:rPr>
          <w:rFonts w:hint="default" w:ascii="Cambria" w:hAnsi="Cambria" w:cs="Cambria"/>
          <w:lang w:val="en-US" w:eastAsia="zh-CN"/>
        </w:rPr>
        <w:tab/>
      </w:r>
      <w:r>
        <w:rPr>
          <w:rFonts w:hint="default" w:ascii="Cambria" w:hAnsi="Cambria" w:cs="Cambria"/>
        </w:rPr>
        <w:t>Courses</w:t>
      </w:r>
    </w:p>
    <w:p w14:paraId="2C9C3B95">
      <w:pPr>
        <w:numPr>
          <w:ilvl w:val="0"/>
          <w:numId w:val="0"/>
        </w:numPr>
        <w:rPr>
          <w:rFonts w:hint="default" w:ascii="Cambria" w:hAnsi="Cambria" w:cs="Cambria" w:eastAsiaTheme="minorEastAsia"/>
          <w:lang w:val="en-US" w:eastAsia="zh-CN"/>
        </w:rPr>
      </w:pPr>
      <w:r>
        <w:rPr>
          <w:rFonts w:hint="default" w:ascii="Cambria" w:hAnsi="Cambria" w:cs="Cambria"/>
        </w:rPr>
        <w:t xml:space="preserve">    (8) </w:t>
      </w:r>
      <w:r>
        <w:rPr>
          <w:rFonts w:hint="default" w:ascii="Cambria" w:hAnsi="Cambria" w:cs="Cambria"/>
          <w:lang w:eastAsia="zh-CN"/>
        </w:rPr>
        <w:t>Annex C</w:t>
      </w:r>
      <w:r>
        <w:rPr>
          <w:rFonts w:hint="default" w:ascii="Cambria" w:hAnsi="Cambria" w:cs="Cambria"/>
        </w:rPr>
        <w:t xml:space="preserve"> (Informative) Precautions for Pediatric Cupping Therapy</w:t>
      </w:r>
      <w:r>
        <w:rPr>
          <w:rFonts w:hint="default" w:ascii="Cambria" w:hAnsi="Cambria" w:cs="Cambria"/>
          <w:lang w:val="en-US" w:eastAsia="zh-CN"/>
        </w:rPr>
        <w:t xml:space="preserve"> </w:t>
      </w:r>
    </w:p>
    <w:p w14:paraId="6B89A547">
      <w:pPr>
        <w:numPr>
          <w:ilvl w:val="0"/>
          <w:numId w:val="0"/>
        </w:numPr>
        <w:rPr>
          <w:rFonts w:hint="default" w:ascii="Cambria" w:hAnsi="Cambria" w:cs="Cambria"/>
        </w:rPr>
      </w:pPr>
      <w:r>
        <w:rPr>
          <w:rFonts w:hint="default" w:ascii="Cambria" w:hAnsi="Cambria" w:cs="Cambria"/>
        </w:rPr>
        <w:t xml:space="preserve">    (9) </w:t>
      </w:r>
      <w:r>
        <w:rPr>
          <w:rFonts w:hint="default" w:ascii="Cambria" w:hAnsi="Cambria" w:cs="Cambria"/>
          <w:lang w:eastAsia="zh-CN"/>
        </w:rPr>
        <w:t>Annex D</w:t>
      </w:r>
      <w:r>
        <w:rPr>
          <w:rFonts w:hint="default" w:ascii="Cambria" w:hAnsi="Cambria" w:cs="Cambria"/>
        </w:rPr>
        <w:t xml:space="preserve"> (Informative) Contraindications of Pediatric Cupping Therapy</w:t>
      </w:r>
    </w:p>
    <w:p w14:paraId="3D32C000">
      <w:pPr>
        <w:numPr>
          <w:ilvl w:val="0"/>
          <w:numId w:val="0"/>
        </w:numPr>
        <w:rPr>
          <w:rFonts w:hint="default" w:ascii="Cambria" w:hAnsi="Cambria" w:cs="Cambria"/>
        </w:rPr>
      </w:pPr>
      <w:r>
        <w:rPr>
          <w:rFonts w:hint="default" w:ascii="Cambria" w:hAnsi="Cambria" w:cs="Cambria"/>
        </w:rPr>
        <w:t xml:space="preserve">    (10) References</w:t>
      </w:r>
    </w:p>
    <w:p w14:paraId="5AB405B3">
      <w:pPr>
        <w:numPr>
          <w:ilvl w:val="0"/>
          <w:numId w:val="0"/>
        </w:numPr>
        <w:rPr>
          <w:rFonts w:hint="default" w:ascii="Cambria" w:hAnsi="Cambria" w:cs="Cambria"/>
        </w:rPr>
      </w:pPr>
    </w:p>
    <w:p w14:paraId="5A28050B">
      <w:pPr>
        <w:numPr>
          <w:ilvl w:val="0"/>
          <w:numId w:val="0"/>
        </w:numPr>
        <w:rPr>
          <w:rFonts w:hint="default" w:ascii="Cambria" w:hAnsi="Cambria" w:cs="Cambria" w:eastAsiaTheme="minorEastAsia"/>
          <w:lang w:eastAsia="zh-CN"/>
        </w:rPr>
      </w:pPr>
      <w:r>
        <w:rPr>
          <w:rFonts w:hint="default" w:ascii="Cambria" w:hAnsi="Cambria" w:cs="Cambria"/>
        </w:rPr>
        <w:t>2. Methods for Main Content Determination</w:t>
      </w:r>
    </w:p>
    <w:p w14:paraId="653894B7">
      <w:pPr>
        <w:numPr>
          <w:ilvl w:val="0"/>
          <w:numId w:val="0"/>
        </w:numPr>
        <w:rPr>
          <w:rFonts w:hint="default" w:ascii="Cambria" w:hAnsi="Cambria" w:cs="Cambria"/>
        </w:rPr>
      </w:pPr>
      <w:r>
        <w:rPr>
          <w:rFonts w:hint="default" w:ascii="Cambria" w:hAnsi="Cambria" w:cs="Cambria"/>
          <w:lang w:val="en-US" w:eastAsia="zh-CN"/>
        </w:rPr>
        <w:t xml:space="preserve">(1) </w:t>
      </w:r>
      <w:r>
        <w:rPr>
          <w:rFonts w:hint="default" w:ascii="Cambria" w:hAnsi="Cambria" w:cs="Cambria"/>
        </w:rPr>
        <w:t>Collection and Screening of Literature</w:t>
      </w:r>
    </w:p>
    <w:p w14:paraId="4A1839D7">
      <w:pPr>
        <w:numPr>
          <w:ilvl w:val="0"/>
          <w:numId w:val="0"/>
        </w:numPr>
        <w:ind w:firstLine="420"/>
        <w:rPr>
          <w:rFonts w:hint="default" w:ascii="Cambria" w:hAnsi="Cambria" w:cs="Cambria"/>
          <w:lang w:val="en-US" w:eastAsia="zh-CN"/>
        </w:rPr>
      </w:pPr>
      <w:r>
        <w:rPr>
          <w:rFonts w:hint="default" w:ascii="Cambria" w:hAnsi="Cambria" w:cs="Cambria"/>
        </w:rPr>
        <w:t xml:space="preserve">The literature collection work was carried out from September to October 2025, aiming to provide evidence support for the </w:t>
      </w:r>
      <w:r>
        <w:rPr>
          <w:rFonts w:hint="default" w:ascii="Cambria" w:hAnsi="Cambria" w:cs="Cambria"/>
          <w:lang w:val="en-US" w:eastAsia="zh-CN"/>
        </w:rPr>
        <w:t xml:space="preserve">upgrading </w:t>
      </w:r>
      <w:r>
        <w:rPr>
          <w:rFonts w:hint="default" w:ascii="Cambria" w:hAnsi="Cambria" w:cs="Cambria"/>
        </w:rPr>
        <w:t>of the national standard to an international standard. The project team conducted a systematic search through domestic and foreign authoritative databases and standard platforms, retrieving relevant domestic and foreign standards, guidelines, and research literature. The search scope included international standards issued by WHO and</w:t>
      </w:r>
      <w:r>
        <w:rPr>
          <w:rFonts w:hint="default" w:ascii="Cambria" w:hAnsi="Cambria" w:cs="Cambria"/>
          <w:lang w:val="en-US" w:eastAsia="zh-CN"/>
        </w:rPr>
        <w:t xml:space="preserve"> </w:t>
      </w:r>
      <w:r>
        <w:rPr>
          <w:rFonts w:hint="default" w:ascii="Cambria" w:hAnsi="Cambria" w:cs="Cambria"/>
        </w:rPr>
        <w:t>ISO/TC249</w:t>
      </w:r>
      <w:r>
        <w:rPr>
          <w:rFonts w:hint="default" w:ascii="Cambria" w:hAnsi="Cambria" w:cs="Cambria"/>
          <w:lang w:val="en-US" w:eastAsia="zh-CN"/>
        </w:rPr>
        <w:t>,</w:t>
      </w:r>
      <w:r>
        <w:rPr>
          <w:rFonts w:hint="default" w:ascii="Cambria" w:hAnsi="Cambria" w:cs="Cambria"/>
        </w:rPr>
        <w:t xml:space="preserve"> Pharmacopoeia of the People's Republic of China </w:t>
      </w:r>
      <w:r>
        <w:rPr>
          <w:rFonts w:hint="default" w:ascii="Cambria" w:hAnsi="Cambria" w:cs="Cambria"/>
          <w:lang w:val="en-US" w:eastAsia="zh-CN"/>
        </w:rPr>
        <w:t>(</w:t>
      </w:r>
      <w:r>
        <w:rPr>
          <w:rFonts w:hint="default" w:ascii="Cambria" w:hAnsi="Cambria" w:cs="Cambria"/>
        </w:rPr>
        <w:t>2025 Edition</w:t>
      </w:r>
      <w:r>
        <w:rPr>
          <w:rFonts w:hint="default" w:ascii="Cambria" w:hAnsi="Cambria" w:cs="Cambria"/>
          <w:lang w:val="en-US" w:eastAsia="zh-CN"/>
        </w:rPr>
        <w:t>)</w:t>
      </w:r>
      <w:r>
        <w:rPr>
          <w:rFonts w:hint="default" w:ascii="Cambria" w:hAnsi="Cambria" w:cs="Cambria"/>
        </w:rPr>
        <w:t xml:space="preserve">, association standards issued by the </w:t>
      </w:r>
      <w:r>
        <w:rPr>
          <w:rFonts w:hint="default" w:ascii="Cambria" w:hAnsi="Cambria" w:cs="Cambria"/>
          <w:lang w:eastAsia="zh-CN"/>
        </w:rPr>
        <w:t>WFCMS</w:t>
      </w:r>
      <w:r>
        <w:rPr>
          <w:rFonts w:hint="default" w:ascii="Cambria" w:hAnsi="Cambria" w:cs="Cambria"/>
          <w:lang w:val="en-US" w:eastAsia="zh-CN"/>
        </w:rPr>
        <w:t xml:space="preserve"> and</w:t>
      </w:r>
      <w:r>
        <w:rPr>
          <w:rFonts w:hint="default" w:ascii="Cambria" w:hAnsi="Cambria" w:cs="Cambria"/>
        </w:rPr>
        <w:t xml:space="preserve"> the China Association of Chinese Medicine, and literature on pediatric cupping therapy retrieved from PubMed, CNKI and medical databases of Canada, Singapore and other regions. The search keywords were "cupping", "filiform needle", "skin needle", combined with </w:t>
      </w:r>
      <w:r>
        <w:rPr>
          <w:rFonts w:hint="default" w:ascii="Cambria" w:hAnsi="Cambria" w:cs="Cambria"/>
          <w:lang w:eastAsia="zh-CN"/>
        </w:rPr>
        <w:t>TCM</w:t>
      </w:r>
      <w:r>
        <w:rPr>
          <w:rFonts w:hint="default" w:ascii="Cambria" w:hAnsi="Cambria" w:cs="Cambria"/>
        </w:rPr>
        <w:t xml:space="preserve"> terms such as "cupping", "fire cupping", and "</w:t>
      </w:r>
      <w:r>
        <w:rPr>
          <w:rFonts w:hint="default" w:ascii="Cambria" w:hAnsi="Cambria" w:cs="Cambria"/>
          <w:lang w:eastAsia="zh-CN"/>
        </w:rPr>
        <w:t>jars</w:t>
      </w:r>
      <w:r>
        <w:rPr>
          <w:rFonts w:hint="default" w:ascii="Cambria" w:hAnsi="Cambria" w:cs="Cambria"/>
        </w:rPr>
        <w:t xml:space="preserve">". </w:t>
      </w:r>
      <w:r>
        <w:rPr>
          <w:rFonts w:hint="default" w:ascii="Cambria" w:hAnsi="Cambria" w:cs="Cambria"/>
          <w:lang w:val="en-US" w:eastAsia="zh-CN"/>
        </w:rPr>
        <w:t>The restrictive conditions mainly include English-language literature involving human pediatric subjects aged 0 to 18 years, and Chinese-language literature published after November 2021, so as to guarantee the timeliness and relevance of the evidence base.</w:t>
      </w:r>
    </w:p>
    <w:p w14:paraId="1A0164FB">
      <w:pPr>
        <w:numPr>
          <w:ilvl w:val="0"/>
          <w:numId w:val="0"/>
        </w:numPr>
        <w:ind w:firstLine="420" w:firstLineChars="0"/>
        <w:rPr>
          <w:rFonts w:hint="default" w:ascii="Cambria" w:hAnsi="Cambria" w:cs="Cambria"/>
        </w:rPr>
      </w:pPr>
      <w:r>
        <w:rPr>
          <w:rFonts w:hint="default" w:ascii="Cambria" w:hAnsi="Cambria" w:cs="Cambria"/>
        </w:rPr>
        <w:t xml:space="preserve">The search sources covered: </w:t>
      </w:r>
      <w:r>
        <w:rPr>
          <w:rFonts w:hint="default" w:ascii="Cambria" w:hAnsi="Cambria" w:cs="Cambria"/>
          <w:lang w:eastAsia="zh-CN"/>
        </w:rPr>
        <w:t xml:space="preserve">1. </w:t>
      </w:r>
      <w:r>
        <w:rPr>
          <w:rFonts w:hint="default" w:ascii="Cambria" w:hAnsi="Cambria" w:cs="Cambria"/>
        </w:rPr>
        <w:t xml:space="preserve">Domestic standards: national standards, industry standards, </w:t>
      </w:r>
      <w:r>
        <w:rPr>
          <w:rFonts w:hint="default" w:ascii="Cambria" w:hAnsi="Cambria" w:cs="Cambria"/>
          <w:lang w:eastAsia="zh-CN"/>
        </w:rPr>
        <w:t>association standards</w:t>
      </w:r>
      <w:r>
        <w:rPr>
          <w:rFonts w:hint="default" w:ascii="Cambria" w:hAnsi="Cambria" w:cs="Cambria"/>
        </w:rPr>
        <w:t xml:space="preserve">, local standards, and the Pharmacopoeia of the People's Republic of China (2025 Edition). </w:t>
      </w:r>
      <w:r>
        <w:rPr>
          <w:rFonts w:hint="default" w:ascii="Cambria" w:hAnsi="Cambria" w:cs="Cambria"/>
          <w:lang w:eastAsia="zh-CN"/>
        </w:rPr>
        <w:t xml:space="preserve">2. </w:t>
      </w:r>
      <w:r>
        <w:rPr>
          <w:rFonts w:hint="default" w:ascii="Cambria" w:hAnsi="Cambria" w:cs="Cambria"/>
        </w:rPr>
        <w:t>International (organizational) standards: ISO</w:t>
      </w:r>
      <w:r>
        <w:rPr>
          <w:rFonts w:hint="default" w:ascii="Cambria" w:hAnsi="Cambria" w:cs="Cambria"/>
          <w:lang w:val="en-US" w:eastAsia="zh-CN"/>
        </w:rPr>
        <w:t xml:space="preserve"> standards</w:t>
      </w:r>
      <w:r>
        <w:rPr>
          <w:rFonts w:hint="default" w:ascii="Cambria" w:hAnsi="Cambria" w:cs="Cambria"/>
        </w:rPr>
        <w:t xml:space="preserve">, WHO guidelines, WFCMS standards, etc. </w:t>
      </w:r>
      <w:r>
        <w:rPr>
          <w:rFonts w:hint="default" w:ascii="Cambria" w:hAnsi="Cambria" w:cs="Cambria"/>
          <w:lang w:eastAsia="zh-CN"/>
        </w:rPr>
        <w:t>3.Documents issued by overseas authorities: standards and guidelines released by the FDA, NHS England, NSW Health, MOH HPP</w:t>
      </w:r>
      <w:r>
        <w:rPr>
          <w:rFonts w:hint="default" w:ascii="Cambria" w:hAnsi="Cambria" w:cs="Cambria"/>
          <w:lang w:val="en-US" w:eastAsia="zh-CN"/>
        </w:rPr>
        <w:t xml:space="preserve">( </w:t>
      </w:r>
      <w:r>
        <w:rPr>
          <w:rFonts w:hint="default" w:ascii="Cambria" w:hAnsi="Cambria" w:cs="Cambria"/>
          <w:lang w:eastAsia="zh-CN"/>
        </w:rPr>
        <w:t>Singapore</w:t>
      </w:r>
      <w:r>
        <w:rPr>
          <w:rFonts w:hint="default" w:ascii="Cambria" w:hAnsi="Cambria" w:cs="Cambria"/>
          <w:lang w:val="en-US" w:eastAsia="zh-CN"/>
        </w:rPr>
        <w:t>)</w:t>
      </w:r>
      <w:r>
        <w:rPr>
          <w:rFonts w:hint="default" w:ascii="Cambria" w:hAnsi="Cambria" w:cs="Cambria"/>
          <w:lang w:eastAsia="zh-CN"/>
        </w:rPr>
        <w:t xml:space="preserve"> and other institutions.</w:t>
      </w:r>
      <w:r>
        <w:rPr>
          <w:rFonts w:hint="default" w:ascii="Cambria" w:hAnsi="Cambria" w:cs="Cambria"/>
          <w:lang w:val="en-US" w:eastAsia="zh-CN"/>
        </w:rPr>
        <w:t xml:space="preserve"> </w:t>
      </w:r>
      <w:r>
        <w:rPr>
          <w:rFonts w:hint="default" w:ascii="Cambria" w:hAnsi="Cambria" w:cs="Cambria"/>
          <w:lang w:eastAsia="zh-CN"/>
        </w:rPr>
        <w:t xml:space="preserve">4. </w:t>
      </w:r>
      <w:r>
        <w:rPr>
          <w:rFonts w:hint="default" w:ascii="Cambria" w:hAnsi="Cambria" w:cs="Cambria"/>
        </w:rPr>
        <w:t xml:space="preserve">Literature databases: guidelines, </w:t>
      </w:r>
      <w:r>
        <w:rPr>
          <w:rFonts w:hint="default" w:ascii="Cambria" w:hAnsi="Cambria" w:cs="Cambria"/>
          <w:lang w:val="en-US" w:eastAsia="zh-CN"/>
        </w:rPr>
        <w:t xml:space="preserve">expert </w:t>
      </w:r>
      <w:r>
        <w:rPr>
          <w:rFonts w:hint="default" w:ascii="Cambria" w:hAnsi="Cambria" w:cs="Cambria"/>
        </w:rPr>
        <w:t>consensus, and clinical studies retrieved from PubMed, CNKI and other databases.</w:t>
      </w:r>
    </w:p>
    <w:p w14:paraId="2E1136E8">
      <w:pPr>
        <w:ind w:firstLine="420" w:firstLineChars="0"/>
        <w:rPr>
          <w:rFonts w:hint="default" w:ascii="Cambria" w:hAnsi="Cambria" w:cs="Cambria"/>
        </w:rPr>
      </w:pPr>
      <w:r>
        <w:rPr>
          <w:rFonts w:hint="default" w:ascii="Cambria" w:hAnsi="Cambria" w:cs="Cambria"/>
        </w:rPr>
        <w:t>The initial screening was based on titles and abstracts, excluding irrelevant or duplicate literature. The re</w:t>
      </w:r>
      <w:r>
        <w:rPr>
          <w:rFonts w:hint="default" w:ascii="Cambria" w:hAnsi="Cambria" w:cs="Cambria"/>
          <w:lang w:val="en-US" w:eastAsia="zh-CN"/>
        </w:rPr>
        <w:t>-</w:t>
      </w:r>
      <w:r>
        <w:rPr>
          <w:rFonts w:hint="default" w:ascii="Cambria" w:hAnsi="Cambria" w:cs="Cambria"/>
        </w:rPr>
        <w:t xml:space="preserve">screening involved reading the full text and including evidence directly related to pediatric cupping. The final included evidence </w:t>
      </w:r>
      <w:r>
        <w:rPr>
          <w:rFonts w:hint="default" w:ascii="Cambria" w:hAnsi="Cambria" w:cs="Cambria"/>
          <w:lang w:val="en-US" w:eastAsia="zh-CN"/>
        </w:rPr>
        <w:t xml:space="preserve">covered </w:t>
      </w:r>
      <w:r>
        <w:rPr>
          <w:rFonts w:hint="default" w:ascii="Cambria" w:hAnsi="Cambria" w:cs="Cambria"/>
        </w:rPr>
        <w:t xml:space="preserve">national standards (such as cupping operation specifications, three edged needle operation specifications, skin needle operation specifications, and </w:t>
      </w:r>
      <w:r>
        <w:rPr>
          <w:rFonts w:hint="default" w:ascii="Cambria" w:hAnsi="Cambria" w:cs="Cambria"/>
          <w:lang w:eastAsia="zh-CN"/>
        </w:rPr>
        <w:t>GB 19193-2025</w:t>
      </w:r>
      <w:r>
        <w:rPr>
          <w:rFonts w:hint="default" w:ascii="Cambria" w:hAnsi="Cambria" w:cs="Cambria"/>
          <w:lang w:val="en-US" w:eastAsia="zh-CN"/>
        </w:rPr>
        <w:t xml:space="preserve"> </w:t>
      </w:r>
      <w:r>
        <w:rPr>
          <w:rFonts w:hint="default" w:ascii="Cambria" w:hAnsi="Cambria" w:cs="Cambria"/>
        </w:rPr>
        <w:t xml:space="preserve">Disinfection of ordinary object surfaces, </w:t>
      </w:r>
      <w:r>
        <w:rPr>
          <w:rFonts w:hint="default" w:ascii="Cambria" w:hAnsi="Cambria" w:cs="Cambria"/>
          <w:lang w:val="en-US" w:eastAsia="zh-CN"/>
        </w:rPr>
        <w:t xml:space="preserve">Annex A, Clause </w:t>
      </w:r>
      <w:r>
        <w:rPr>
          <w:rFonts w:hint="default" w:ascii="Cambria" w:hAnsi="Cambria" w:cs="Cambria"/>
        </w:rPr>
        <w:t>A.2, Disinfection specification for infectious diseases</w:t>
      </w:r>
      <w:r>
        <w:rPr>
          <w:rFonts w:hint="default" w:ascii="Cambria" w:hAnsi="Cambria" w:cs="Cambria"/>
          <w:lang w:val="en-US" w:eastAsia="zh-CN"/>
        </w:rPr>
        <w:t>,</w:t>
      </w:r>
      <w:r>
        <w:rPr>
          <w:rFonts w:hint="default" w:ascii="Cambria" w:hAnsi="Cambria" w:cs="Cambria"/>
        </w:rPr>
        <w:t xml:space="preserve"> </w:t>
      </w:r>
      <w:r>
        <w:rPr>
          <w:rFonts w:hint="default" w:ascii="Cambria" w:hAnsi="Cambria" w:cs="Cambria"/>
          <w:lang w:eastAsia="zh-CN"/>
        </w:rPr>
        <w:t>Tradition</w:t>
      </w:r>
      <w:r>
        <w:rPr>
          <w:rFonts w:hint="default" w:ascii="Cambria" w:hAnsi="Cambria" w:cs="Cambria"/>
          <w:lang w:val="en-US" w:eastAsia="zh-CN"/>
        </w:rPr>
        <w:t>al</w:t>
      </w:r>
      <w:r>
        <w:rPr>
          <w:rFonts w:hint="default" w:ascii="Cambria" w:hAnsi="Cambria" w:cs="Cambria"/>
          <w:lang w:eastAsia="zh-CN"/>
        </w:rPr>
        <w:t xml:space="preserve"> Chinese </w:t>
      </w:r>
      <w:r>
        <w:rPr>
          <w:rFonts w:hint="default" w:ascii="Cambria" w:hAnsi="Cambria" w:cs="Cambria"/>
          <w:lang w:val="en-US" w:eastAsia="zh-CN"/>
        </w:rPr>
        <w:t>m</w:t>
      </w:r>
      <w:r>
        <w:rPr>
          <w:rFonts w:hint="default" w:ascii="Cambria" w:hAnsi="Cambria" w:cs="Cambria"/>
          <w:lang w:eastAsia="zh-CN"/>
        </w:rPr>
        <w:t>edicine</w:t>
      </w:r>
      <w:r>
        <w:rPr>
          <w:rFonts w:hint="default" w:ascii="Cambria" w:hAnsi="Cambria" w:cs="Cambria" w:eastAsiaTheme="minorEastAsia"/>
          <w:kern w:val="2"/>
          <w:sz w:val="21"/>
          <w:szCs w:val="24"/>
          <w:lang w:val="en-US" w:eastAsia="zh-CN" w:bidi="ar-SA"/>
        </w:rPr>
        <w:t>–</w:t>
      </w:r>
      <w:r>
        <w:rPr>
          <w:rFonts w:hint="default" w:ascii="Cambria" w:hAnsi="Cambria" w:cs="Cambria"/>
          <w:lang w:val="en-US" w:eastAsia="zh-CN"/>
        </w:rPr>
        <w:t>G</w:t>
      </w:r>
      <w:r>
        <w:rPr>
          <w:rFonts w:hint="default" w:ascii="Cambria" w:hAnsi="Cambria" w:cs="Cambria"/>
          <w:lang w:eastAsia="zh-CN"/>
        </w:rPr>
        <w:t>lass cupping device</w:t>
      </w:r>
      <w:r>
        <w:rPr>
          <w:rFonts w:hint="default" w:ascii="Cambria" w:hAnsi="Cambria" w:cs="Cambria"/>
        </w:rPr>
        <w:t>, industry standards (such as WS</w:t>
      </w:r>
      <w:r>
        <w:rPr>
          <w:rFonts w:hint="default" w:ascii="Cambria" w:hAnsi="Cambria" w:cs="Cambria"/>
          <w:lang w:val="en-US" w:eastAsia="zh-CN"/>
        </w:rPr>
        <w:t xml:space="preserve"> </w:t>
      </w:r>
      <w:r>
        <w:rPr>
          <w:rFonts w:hint="default" w:ascii="Cambria" w:hAnsi="Cambria" w:cs="Cambria"/>
        </w:rPr>
        <w:t>310.2-2016</w:t>
      </w:r>
      <w:r>
        <w:rPr>
          <w:rFonts w:hint="default" w:ascii="Cambria" w:hAnsi="Cambria" w:cs="Cambria"/>
          <w:lang w:val="en-US" w:eastAsia="zh-CN"/>
        </w:rPr>
        <w:t xml:space="preserve"> </w:t>
      </w:r>
      <w:r>
        <w:rPr>
          <w:rFonts w:hint="default" w:ascii="Cambria" w:hAnsi="Cambria" w:cs="Cambria"/>
        </w:rPr>
        <w:t>Central sterile supply department</w:t>
      </w:r>
      <w:r>
        <w:rPr>
          <w:rFonts w:hint="default" w:ascii="Cambria" w:hAnsi="Cambria" w:cs="Cambria"/>
          <w:lang w:val="en-US" w:eastAsia="zh-CN"/>
        </w:rPr>
        <w:t>(CSSD)</w:t>
      </w:r>
      <w:r>
        <w:rPr>
          <w:rFonts w:hint="default" w:ascii="Cambria" w:hAnsi="Cambria" w:cs="Cambria" w:eastAsiaTheme="minorEastAsia"/>
          <w:kern w:val="2"/>
          <w:sz w:val="21"/>
          <w:szCs w:val="24"/>
          <w:lang w:val="en-US" w:eastAsia="zh-CN" w:bidi="ar-SA"/>
        </w:rPr>
        <w:t>–</w:t>
      </w:r>
      <w:r>
        <w:rPr>
          <w:rFonts w:hint="default" w:ascii="Cambria" w:hAnsi="Cambria" w:cs="Cambria"/>
        </w:rPr>
        <w:t>Part 2: Standard for operating procedure of cleaning, disinfection and sterilization, WS/T 313</w:t>
      </w:r>
      <w:r>
        <w:rPr>
          <w:rFonts w:hint="default" w:ascii="Cambria" w:hAnsi="Cambria" w:cs="Cambria"/>
          <w:lang w:val="en-US" w:eastAsia="zh-CN"/>
        </w:rPr>
        <w:t>-</w:t>
      </w:r>
      <w:r>
        <w:rPr>
          <w:rFonts w:hint="default" w:ascii="Cambria" w:hAnsi="Cambria" w:cs="Cambria"/>
        </w:rPr>
        <w:t>2019</w:t>
      </w:r>
      <w:r>
        <w:rPr>
          <w:rFonts w:hint="default" w:ascii="Cambria" w:hAnsi="Cambria" w:cs="Cambria"/>
          <w:lang w:val="en-US" w:eastAsia="zh-CN"/>
        </w:rPr>
        <w:t xml:space="preserve"> </w:t>
      </w:r>
      <w:r>
        <w:rPr>
          <w:rFonts w:hint="default" w:ascii="Cambria" w:hAnsi="Cambria" w:cs="Cambria"/>
          <w:lang w:eastAsia="zh-CN"/>
        </w:rPr>
        <w:t>Specification of hand hygiene for healthcare workers</w:t>
      </w:r>
      <w:r>
        <w:rPr>
          <w:rFonts w:hint="default" w:ascii="Cambria" w:hAnsi="Cambria" w:cs="Cambria"/>
        </w:rPr>
        <w:t>, and literature evidence (such as the 14</w:t>
      </w:r>
      <w:r>
        <w:rPr>
          <w:rFonts w:hint="default" w:ascii="Cambria" w:hAnsi="Cambria" w:cs="Cambria"/>
          <w:vertAlign w:val="superscript"/>
        </w:rPr>
        <w:t>th</w:t>
      </w:r>
      <w:r>
        <w:rPr>
          <w:rFonts w:hint="default" w:ascii="Cambria" w:hAnsi="Cambria" w:cs="Cambria"/>
        </w:rPr>
        <w:t xml:space="preserve"> Five</w:t>
      </w:r>
      <w:r>
        <w:rPr>
          <w:rFonts w:hint="default" w:ascii="Cambria" w:hAnsi="Cambria" w:cs="Cambria"/>
          <w:lang w:val="en-US" w:eastAsia="zh-CN"/>
        </w:rPr>
        <w:t>-</w:t>
      </w:r>
      <w:r>
        <w:rPr>
          <w:rFonts w:hint="default" w:ascii="Cambria" w:hAnsi="Cambria" w:cs="Cambria"/>
        </w:rPr>
        <w:t>Year Plan innovative textbooks).</w:t>
      </w:r>
    </w:p>
    <w:p w14:paraId="25D7E56F">
      <w:pPr>
        <w:numPr>
          <w:ilvl w:val="0"/>
          <w:numId w:val="1"/>
        </w:numPr>
        <w:rPr>
          <w:rFonts w:hint="default" w:ascii="Cambria" w:hAnsi="Cambria" w:cs="Cambria"/>
        </w:rPr>
      </w:pPr>
      <w:r>
        <w:rPr>
          <w:rFonts w:hint="default" w:ascii="Cambria" w:hAnsi="Cambria" w:cs="Cambria"/>
        </w:rPr>
        <w:t>Literature Evaluation</w:t>
      </w:r>
    </w:p>
    <w:p w14:paraId="51B6FCC9">
      <w:pPr>
        <w:ind w:firstLine="420" w:firstLineChars="0"/>
        <w:rPr>
          <w:rFonts w:hint="default" w:ascii="Cambria" w:hAnsi="Cambria" w:cs="Cambria"/>
        </w:rPr>
      </w:pPr>
      <w:r>
        <w:rPr>
          <w:rFonts w:hint="default" w:ascii="Cambria" w:hAnsi="Cambria" w:cs="Cambria"/>
        </w:rPr>
        <w:t xml:space="preserve">The literature evaluation adopted a qualitative assessment method, focusing on examining the authority, applicability, and adaptability to </w:t>
      </w:r>
      <w:r>
        <w:rPr>
          <w:rFonts w:hint="default" w:ascii="Cambria" w:hAnsi="Cambria" w:cs="Cambria"/>
          <w:lang w:eastAsia="zh-CN"/>
        </w:rPr>
        <w:t>TCM</w:t>
      </w:r>
      <w:r>
        <w:rPr>
          <w:rFonts w:hint="default" w:ascii="Cambria" w:hAnsi="Cambria" w:cs="Cambria"/>
        </w:rPr>
        <w:t xml:space="preserve"> pediatrics of the evidence, rather than quantitative grading. Since the retrieved literature was mainly standard, guideline, and consensus type documents, which are usually issued by international or national authoritative institutions and have high reliability and credibility. The literature was classified as follows: </w:t>
      </w:r>
      <w:r>
        <w:rPr>
          <w:rFonts w:hint="default" w:ascii="Cambria" w:hAnsi="Cambria" w:cs="Cambria"/>
          <w:lang w:eastAsia="zh-CN"/>
        </w:rPr>
        <w:t xml:space="preserve">1. </w:t>
      </w:r>
      <w:r>
        <w:rPr>
          <w:rFonts w:hint="default" w:ascii="Cambria" w:hAnsi="Cambria" w:cs="Cambria"/>
        </w:rPr>
        <w:t>Standard category: including mandatory and recommended standards, such as ISO 22213:2020(E)</w:t>
      </w:r>
      <w:r>
        <w:rPr>
          <w:rFonts w:hint="default" w:ascii="Cambria" w:hAnsi="Cambria" w:cs="Cambria"/>
          <w:lang w:val="en-US" w:eastAsia="zh-CN"/>
        </w:rPr>
        <w:t xml:space="preserve"> </w:t>
      </w:r>
      <w:r>
        <w:rPr>
          <w:rFonts w:hint="default" w:ascii="Cambria" w:hAnsi="Cambria" w:cs="Cambria"/>
          <w:lang w:eastAsia="zh-CN"/>
        </w:rPr>
        <w:t>TCM–</w:t>
      </w:r>
      <w:r>
        <w:rPr>
          <w:rFonts w:hint="default" w:ascii="Cambria" w:hAnsi="Cambria" w:cs="Cambria"/>
          <w:lang w:val="en-US" w:eastAsia="zh-CN"/>
        </w:rPr>
        <w:t>G</w:t>
      </w:r>
      <w:r>
        <w:rPr>
          <w:rFonts w:hint="default" w:ascii="Cambria" w:hAnsi="Cambria" w:cs="Cambria"/>
          <w:lang w:eastAsia="zh-CN"/>
        </w:rPr>
        <w:t>lass cupping device</w:t>
      </w:r>
      <w:r>
        <w:rPr>
          <w:rFonts w:hint="default" w:ascii="Cambria" w:hAnsi="Cambria" w:cs="Cambria"/>
        </w:rPr>
        <w:t xml:space="preserve"> and the original national standard </w:t>
      </w:r>
      <w:r>
        <w:rPr>
          <w:rFonts w:hint="default" w:ascii="Cambria" w:hAnsi="Cambria" w:cs="Cambria"/>
          <w:lang w:val="en-US" w:eastAsia="zh-CN"/>
        </w:rPr>
        <w:t xml:space="preserve">of </w:t>
      </w:r>
      <w:r>
        <w:rPr>
          <w:rFonts w:hint="default" w:ascii="Cambria" w:hAnsi="Cambria" w:cs="Cambria"/>
        </w:rPr>
        <w:t>GB/Z 40893.5</w:t>
      </w:r>
      <w:r>
        <w:rPr>
          <w:rFonts w:hint="default" w:ascii="Cambria" w:hAnsi="Cambria" w:cs="Cambria"/>
          <w:lang w:val="en-US" w:eastAsia="zh-CN"/>
        </w:rPr>
        <w:t>-</w:t>
      </w:r>
      <w:r>
        <w:rPr>
          <w:rFonts w:hint="default" w:ascii="Cambria" w:hAnsi="Cambria" w:cs="Cambria"/>
        </w:rPr>
        <w:t xml:space="preserve">2021. These documents have high authority and are directly used for clause benchmarking. </w:t>
      </w:r>
      <w:r>
        <w:rPr>
          <w:rFonts w:hint="default" w:ascii="Cambria" w:hAnsi="Cambria" w:cs="Cambria"/>
          <w:lang w:eastAsia="zh-CN"/>
        </w:rPr>
        <w:t xml:space="preserve">2. </w:t>
      </w:r>
      <w:r>
        <w:rPr>
          <w:rFonts w:hint="default" w:ascii="Cambria" w:hAnsi="Cambria" w:cs="Cambria"/>
        </w:rPr>
        <w:t>Guideline and consensus category: such as WS</w:t>
      </w:r>
      <w:r>
        <w:rPr>
          <w:rFonts w:hint="default" w:ascii="Cambria" w:hAnsi="Cambria" w:cs="Cambria"/>
          <w:lang w:val="en-US" w:eastAsia="zh-CN"/>
        </w:rPr>
        <w:t xml:space="preserve"> </w:t>
      </w:r>
      <w:r>
        <w:rPr>
          <w:rFonts w:hint="default" w:ascii="Cambria" w:hAnsi="Cambria" w:cs="Cambria"/>
        </w:rPr>
        <w:t>310.2</w:t>
      </w:r>
      <w:r>
        <w:rPr>
          <w:rFonts w:hint="default" w:ascii="Cambria" w:hAnsi="Cambria" w:cs="Cambria"/>
          <w:lang w:val="en-US" w:eastAsia="zh-CN"/>
        </w:rPr>
        <w:t>-</w:t>
      </w:r>
      <w:r>
        <w:rPr>
          <w:rFonts w:hint="default" w:ascii="Cambria" w:hAnsi="Cambria" w:cs="Cambria"/>
        </w:rPr>
        <w:t>2016</w:t>
      </w:r>
      <w:r>
        <w:rPr>
          <w:rFonts w:hint="default" w:ascii="Cambria" w:hAnsi="Cambria" w:cs="Cambria"/>
          <w:lang w:val="en-US" w:eastAsia="zh-CN"/>
        </w:rPr>
        <w:t xml:space="preserve"> CSSD</w:t>
      </w:r>
      <w:r>
        <w:rPr>
          <w:rFonts w:hint="default" w:ascii="Cambria" w:hAnsi="Cambria" w:cs="Cambria"/>
          <w:lang w:eastAsia="zh-CN"/>
        </w:rPr>
        <w:t>–Part 2</w:t>
      </w:r>
      <w:r>
        <w:rPr>
          <w:rFonts w:hint="default" w:ascii="Cambria" w:hAnsi="Cambria" w:cs="Cambria"/>
        </w:rPr>
        <w:t xml:space="preserve">, </w:t>
      </w:r>
      <w:r>
        <w:rPr>
          <w:rFonts w:hint="default" w:ascii="Cambria" w:hAnsi="Cambria" w:cs="Cambria"/>
          <w:lang w:eastAsia="zh-CN"/>
        </w:rPr>
        <w:t>GB 19193-2025</w:t>
      </w:r>
      <w:r>
        <w:rPr>
          <w:rFonts w:hint="default" w:ascii="Cambria" w:hAnsi="Cambria" w:cs="Cambria"/>
          <w:lang w:val="en-US" w:eastAsia="zh-CN"/>
        </w:rPr>
        <w:t xml:space="preserve"> </w:t>
      </w:r>
      <w:r>
        <w:rPr>
          <w:rFonts w:hint="default" w:ascii="Cambria" w:hAnsi="Cambria" w:cs="Cambria"/>
          <w:lang w:eastAsia="zh-CN"/>
        </w:rPr>
        <w:t xml:space="preserve">Disinfection of </w:t>
      </w:r>
      <w:r>
        <w:rPr>
          <w:rFonts w:hint="default" w:ascii="Cambria" w:hAnsi="Cambria" w:cs="Cambria"/>
          <w:lang w:val="en-US" w:eastAsia="zh-CN"/>
        </w:rPr>
        <w:t>o</w:t>
      </w:r>
      <w:r>
        <w:rPr>
          <w:rFonts w:hint="default" w:ascii="Cambria" w:hAnsi="Cambria" w:cs="Cambria"/>
          <w:lang w:eastAsia="zh-CN"/>
        </w:rPr>
        <w:t xml:space="preserve">rdinary </w:t>
      </w:r>
      <w:r>
        <w:rPr>
          <w:rFonts w:hint="default" w:ascii="Cambria" w:hAnsi="Cambria" w:cs="Cambria"/>
          <w:lang w:val="en-US" w:eastAsia="zh-CN"/>
        </w:rPr>
        <w:t>o</w:t>
      </w:r>
      <w:r>
        <w:rPr>
          <w:rFonts w:hint="default" w:ascii="Cambria" w:hAnsi="Cambria" w:cs="Cambria"/>
          <w:lang w:eastAsia="zh-CN"/>
        </w:rPr>
        <w:t xml:space="preserve">bject </w:t>
      </w:r>
      <w:r>
        <w:rPr>
          <w:rFonts w:hint="default" w:ascii="Cambria" w:hAnsi="Cambria" w:cs="Cambria"/>
          <w:lang w:val="en-US" w:eastAsia="zh-CN"/>
        </w:rPr>
        <w:t>s</w:t>
      </w:r>
      <w:r>
        <w:rPr>
          <w:rFonts w:hint="default" w:ascii="Cambria" w:hAnsi="Cambria" w:cs="Cambria"/>
          <w:lang w:eastAsia="zh-CN"/>
        </w:rPr>
        <w:t>urfaces</w:t>
      </w:r>
      <w:r>
        <w:rPr>
          <w:rFonts w:hint="default" w:ascii="Cambria" w:hAnsi="Cambria" w:cs="Cambria"/>
          <w:lang w:val="en-US" w:eastAsia="zh-CN"/>
        </w:rPr>
        <w:t xml:space="preserve">, Annex A, Clause </w:t>
      </w:r>
      <w:r>
        <w:rPr>
          <w:rFonts w:hint="default" w:ascii="Cambria" w:hAnsi="Cambria" w:cs="Cambria"/>
        </w:rPr>
        <w:t>A.2</w:t>
      </w:r>
      <w:r>
        <w:rPr>
          <w:rFonts w:hint="default" w:ascii="Cambria" w:hAnsi="Cambria" w:cs="Cambria"/>
          <w:lang w:val="en-US" w:eastAsia="zh-CN"/>
        </w:rPr>
        <w:t xml:space="preserve">, </w:t>
      </w:r>
      <w:r>
        <w:rPr>
          <w:rFonts w:hint="default" w:ascii="Cambria" w:hAnsi="Cambria" w:cs="Cambria"/>
        </w:rPr>
        <w:t xml:space="preserve">Disinfection </w:t>
      </w:r>
      <w:r>
        <w:rPr>
          <w:rFonts w:hint="default" w:ascii="Cambria" w:hAnsi="Cambria" w:cs="Cambria"/>
          <w:lang w:val="en-US" w:eastAsia="zh-CN"/>
        </w:rPr>
        <w:t>s</w:t>
      </w:r>
      <w:r>
        <w:rPr>
          <w:rFonts w:hint="default" w:ascii="Cambria" w:hAnsi="Cambria" w:cs="Cambria"/>
        </w:rPr>
        <w:t xml:space="preserve">pecification for </w:t>
      </w:r>
      <w:r>
        <w:rPr>
          <w:rFonts w:hint="default" w:ascii="Cambria" w:hAnsi="Cambria" w:cs="Cambria"/>
          <w:lang w:val="en-US" w:eastAsia="zh-CN"/>
        </w:rPr>
        <w:t>i</w:t>
      </w:r>
      <w:r>
        <w:rPr>
          <w:rFonts w:hint="default" w:ascii="Cambria" w:hAnsi="Cambria" w:cs="Cambria"/>
        </w:rPr>
        <w:t xml:space="preserve">nfectious </w:t>
      </w:r>
      <w:r>
        <w:rPr>
          <w:rFonts w:hint="default" w:ascii="Cambria" w:hAnsi="Cambria" w:cs="Cambria"/>
          <w:lang w:val="en-US" w:eastAsia="zh-CN"/>
        </w:rPr>
        <w:t>d</w:t>
      </w:r>
      <w:r>
        <w:rPr>
          <w:rFonts w:hint="default" w:ascii="Cambria" w:hAnsi="Cambria" w:cs="Cambria"/>
        </w:rPr>
        <w:t>iseases, WS/T 313</w:t>
      </w:r>
      <w:r>
        <w:rPr>
          <w:rFonts w:hint="default" w:ascii="Cambria" w:hAnsi="Cambria" w:cs="Cambria"/>
          <w:lang w:val="en-US" w:eastAsia="zh-CN"/>
        </w:rPr>
        <w:t>-</w:t>
      </w:r>
      <w:r>
        <w:rPr>
          <w:rFonts w:hint="default" w:ascii="Cambria" w:hAnsi="Cambria" w:cs="Cambria"/>
        </w:rPr>
        <w:t>2019</w:t>
      </w:r>
      <w:r>
        <w:rPr>
          <w:rFonts w:hint="default" w:ascii="Cambria" w:hAnsi="Cambria" w:cs="Cambria"/>
          <w:lang w:val="en-US" w:eastAsia="zh-CN"/>
        </w:rPr>
        <w:t xml:space="preserve"> </w:t>
      </w:r>
      <w:r>
        <w:rPr>
          <w:rFonts w:hint="default" w:ascii="Cambria" w:hAnsi="Cambria" w:cs="Cambria"/>
          <w:lang w:eastAsia="zh-CN"/>
        </w:rPr>
        <w:t>Specification of hand hygiene for healthcare workers</w:t>
      </w:r>
      <w:r>
        <w:rPr>
          <w:rFonts w:hint="default" w:ascii="Cambria" w:hAnsi="Cambria" w:cs="Cambria"/>
        </w:rPr>
        <w:t>, GB/T 21709.4</w:t>
      </w:r>
      <w:r>
        <w:rPr>
          <w:rFonts w:hint="default" w:ascii="Cambria" w:hAnsi="Cambria" w:cs="Cambria"/>
          <w:lang w:val="en-US" w:eastAsia="zh-CN"/>
        </w:rPr>
        <w:t xml:space="preserve"> </w:t>
      </w:r>
      <w:r>
        <w:rPr>
          <w:rFonts w:hint="default" w:ascii="Cambria" w:hAnsi="Cambria" w:cs="Cambria"/>
          <w:lang w:eastAsia="zh-CN"/>
        </w:rPr>
        <w:t xml:space="preserve">Specifications for </w:t>
      </w:r>
      <w:r>
        <w:rPr>
          <w:rFonts w:hint="default" w:ascii="Cambria" w:hAnsi="Cambria" w:cs="Cambria"/>
          <w:lang w:val="en-US" w:eastAsia="zh-CN"/>
        </w:rPr>
        <w:t>t</w:t>
      </w:r>
      <w:r>
        <w:rPr>
          <w:rFonts w:hint="default" w:ascii="Cambria" w:hAnsi="Cambria" w:cs="Cambria"/>
          <w:lang w:eastAsia="zh-CN"/>
        </w:rPr>
        <w:t xml:space="preserve">echnical </w:t>
      </w:r>
      <w:r>
        <w:rPr>
          <w:rFonts w:hint="default" w:ascii="Cambria" w:hAnsi="Cambria" w:cs="Cambria"/>
          <w:lang w:val="en-US" w:eastAsia="zh-CN"/>
        </w:rPr>
        <w:t>o</w:t>
      </w:r>
      <w:r>
        <w:rPr>
          <w:rFonts w:hint="default" w:ascii="Cambria" w:hAnsi="Cambria" w:cs="Cambria"/>
          <w:lang w:eastAsia="zh-CN"/>
        </w:rPr>
        <w:t xml:space="preserve">perations of </w:t>
      </w:r>
      <w:r>
        <w:rPr>
          <w:rFonts w:hint="default" w:ascii="Cambria" w:hAnsi="Cambria" w:cs="Cambria"/>
          <w:lang w:val="en-US" w:eastAsia="zh-CN"/>
        </w:rPr>
        <w:t>a</w:t>
      </w:r>
      <w:r>
        <w:rPr>
          <w:rFonts w:hint="default" w:ascii="Cambria" w:hAnsi="Cambria" w:cs="Cambria"/>
          <w:lang w:eastAsia="zh-CN"/>
        </w:rPr>
        <w:t xml:space="preserve">cupuncture and </w:t>
      </w:r>
      <w:r>
        <w:rPr>
          <w:rFonts w:hint="default" w:ascii="Cambria" w:hAnsi="Cambria" w:cs="Cambria"/>
          <w:lang w:val="en-US" w:eastAsia="zh-CN"/>
        </w:rPr>
        <w:t>m</w:t>
      </w:r>
      <w:r>
        <w:rPr>
          <w:rFonts w:hint="default" w:ascii="Cambria" w:hAnsi="Cambria" w:cs="Cambria"/>
          <w:lang w:eastAsia="zh-CN"/>
        </w:rPr>
        <w:t>oxibustion</w:t>
      </w:r>
      <w:r>
        <w:rPr>
          <w:rFonts w:hint="default" w:ascii="Cambria" w:hAnsi="Cambria" w:cs="Cambria"/>
          <w:lang w:val="en-US" w:eastAsia="zh-CN"/>
        </w:rPr>
        <w:t>–</w:t>
      </w:r>
      <w:r>
        <w:rPr>
          <w:rFonts w:hint="default" w:ascii="Cambria" w:hAnsi="Cambria" w:cs="Cambria"/>
        </w:rPr>
        <w:t>Part 4: Three</w:t>
      </w:r>
      <w:r>
        <w:rPr>
          <w:rFonts w:hint="default" w:ascii="Cambria" w:hAnsi="Cambria" w:cs="Cambria"/>
          <w:lang w:val="en-US" w:eastAsia="zh-CN"/>
        </w:rPr>
        <w:t>-</w:t>
      </w:r>
      <w:r>
        <w:rPr>
          <w:rFonts w:hint="default" w:ascii="Cambria" w:hAnsi="Cambria" w:cs="Cambria"/>
        </w:rPr>
        <w:t xml:space="preserve">edged </w:t>
      </w:r>
      <w:r>
        <w:rPr>
          <w:rFonts w:hint="default" w:ascii="Cambria" w:hAnsi="Cambria" w:cs="Cambria"/>
          <w:lang w:val="en-US" w:eastAsia="zh-CN"/>
        </w:rPr>
        <w:t>n</w:t>
      </w:r>
      <w:r>
        <w:rPr>
          <w:rFonts w:hint="default" w:ascii="Cambria" w:hAnsi="Cambria" w:cs="Cambria"/>
        </w:rPr>
        <w:t>eedle, GB/T 21709.5</w:t>
      </w:r>
      <w:r>
        <w:rPr>
          <w:rFonts w:hint="default" w:ascii="Cambria" w:hAnsi="Cambria" w:cs="Cambria"/>
          <w:lang w:val="en-US" w:eastAsia="zh-CN"/>
        </w:rPr>
        <w:t xml:space="preserve"> </w:t>
      </w:r>
      <w:r>
        <w:rPr>
          <w:rFonts w:hint="default" w:ascii="Cambria" w:hAnsi="Cambria" w:cs="Cambria"/>
          <w:lang w:eastAsia="zh-CN"/>
        </w:rPr>
        <w:t xml:space="preserve">Specifications for </w:t>
      </w:r>
      <w:r>
        <w:rPr>
          <w:rFonts w:hint="default" w:ascii="Cambria" w:hAnsi="Cambria" w:cs="Cambria"/>
          <w:lang w:val="en-US" w:eastAsia="zh-CN"/>
        </w:rPr>
        <w:t>t</w:t>
      </w:r>
      <w:r>
        <w:rPr>
          <w:rFonts w:hint="default" w:ascii="Cambria" w:hAnsi="Cambria" w:cs="Cambria"/>
          <w:lang w:eastAsia="zh-CN"/>
        </w:rPr>
        <w:t xml:space="preserve">echnical </w:t>
      </w:r>
      <w:r>
        <w:rPr>
          <w:rFonts w:hint="default" w:ascii="Cambria" w:hAnsi="Cambria" w:cs="Cambria"/>
          <w:lang w:val="en-US" w:eastAsia="zh-CN"/>
        </w:rPr>
        <w:t>o</w:t>
      </w:r>
      <w:r>
        <w:rPr>
          <w:rFonts w:hint="default" w:ascii="Cambria" w:hAnsi="Cambria" w:cs="Cambria"/>
          <w:lang w:eastAsia="zh-CN"/>
        </w:rPr>
        <w:t xml:space="preserve">perations of </w:t>
      </w:r>
      <w:r>
        <w:rPr>
          <w:rFonts w:hint="default" w:ascii="Cambria" w:hAnsi="Cambria" w:cs="Cambria"/>
          <w:lang w:val="en-US" w:eastAsia="zh-CN"/>
        </w:rPr>
        <w:t>a</w:t>
      </w:r>
      <w:r>
        <w:rPr>
          <w:rFonts w:hint="default" w:ascii="Cambria" w:hAnsi="Cambria" w:cs="Cambria"/>
          <w:lang w:eastAsia="zh-CN"/>
        </w:rPr>
        <w:t xml:space="preserve">cupuncture and </w:t>
      </w:r>
      <w:r>
        <w:rPr>
          <w:rFonts w:hint="default" w:ascii="Cambria" w:hAnsi="Cambria" w:cs="Cambria"/>
          <w:lang w:val="en-US" w:eastAsia="zh-CN"/>
        </w:rPr>
        <w:t>m</w:t>
      </w:r>
      <w:r>
        <w:rPr>
          <w:rFonts w:hint="default" w:ascii="Cambria" w:hAnsi="Cambria" w:cs="Cambria"/>
          <w:lang w:eastAsia="zh-CN"/>
        </w:rPr>
        <w:t>oxibustion</w:t>
      </w:r>
      <w:r>
        <w:rPr>
          <w:rFonts w:hint="default" w:ascii="Cambria" w:hAnsi="Cambria" w:cs="Cambria"/>
          <w:lang w:val="en-US" w:eastAsia="zh-CN"/>
        </w:rPr>
        <w:t>–</w:t>
      </w:r>
      <w:r>
        <w:rPr>
          <w:rFonts w:hint="default" w:ascii="Cambria" w:hAnsi="Cambria" w:cs="Cambria"/>
        </w:rPr>
        <w:t>Part 5: Cupping,  GB/T 21709.7</w:t>
      </w:r>
      <w:r>
        <w:rPr>
          <w:rFonts w:hint="default" w:ascii="Cambria" w:hAnsi="Cambria" w:cs="Cambria"/>
          <w:lang w:val="en-US" w:eastAsia="zh-CN"/>
        </w:rPr>
        <w:t xml:space="preserve"> </w:t>
      </w:r>
      <w:r>
        <w:rPr>
          <w:rFonts w:hint="default" w:ascii="Cambria" w:hAnsi="Cambria" w:cs="Cambria"/>
          <w:lang w:eastAsia="zh-CN"/>
        </w:rPr>
        <w:t xml:space="preserve">Specifications for </w:t>
      </w:r>
      <w:r>
        <w:rPr>
          <w:rFonts w:hint="default" w:ascii="Cambria" w:hAnsi="Cambria" w:cs="Cambria"/>
          <w:lang w:val="en-US" w:eastAsia="zh-CN"/>
        </w:rPr>
        <w:t>t</w:t>
      </w:r>
      <w:r>
        <w:rPr>
          <w:rFonts w:hint="default" w:ascii="Cambria" w:hAnsi="Cambria" w:cs="Cambria"/>
          <w:lang w:eastAsia="zh-CN"/>
        </w:rPr>
        <w:t xml:space="preserve">echnical </w:t>
      </w:r>
      <w:r>
        <w:rPr>
          <w:rFonts w:hint="default" w:ascii="Cambria" w:hAnsi="Cambria" w:cs="Cambria"/>
          <w:lang w:val="en-US" w:eastAsia="zh-CN"/>
        </w:rPr>
        <w:t>o</w:t>
      </w:r>
      <w:r>
        <w:rPr>
          <w:rFonts w:hint="default" w:ascii="Cambria" w:hAnsi="Cambria" w:cs="Cambria"/>
          <w:lang w:eastAsia="zh-CN"/>
        </w:rPr>
        <w:t xml:space="preserve">perations of </w:t>
      </w:r>
      <w:r>
        <w:rPr>
          <w:rFonts w:hint="default" w:ascii="Cambria" w:hAnsi="Cambria" w:cs="Cambria"/>
          <w:lang w:val="en-US" w:eastAsia="zh-CN"/>
        </w:rPr>
        <w:t>a</w:t>
      </w:r>
      <w:r>
        <w:rPr>
          <w:rFonts w:hint="default" w:ascii="Cambria" w:hAnsi="Cambria" w:cs="Cambria"/>
          <w:lang w:eastAsia="zh-CN"/>
        </w:rPr>
        <w:t xml:space="preserve">cupuncture and </w:t>
      </w:r>
      <w:r>
        <w:rPr>
          <w:rFonts w:hint="default" w:ascii="Cambria" w:hAnsi="Cambria" w:cs="Cambria"/>
          <w:lang w:val="en-US" w:eastAsia="zh-CN"/>
        </w:rPr>
        <w:t>m</w:t>
      </w:r>
      <w:r>
        <w:rPr>
          <w:rFonts w:hint="default" w:ascii="Cambria" w:hAnsi="Cambria" w:cs="Cambria"/>
          <w:lang w:eastAsia="zh-CN"/>
        </w:rPr>
        <w:t>oxibustion</w:t>
      </w:r>
      <w:r>
        <w:rPr>
          <w:rFonts w:hint="default" w:ascii="Cambria" w:hAnsi="Cambria" w:cs="Cambria"/>
          <w:lang w:val="en-US" w:eastAsia="zh-CN"/>
        </w:rPr>
        <w:t>–</w:t>
      </w:r>
      <w:r>
        <w:rPr>
          <w:rFonts w:hint="default" w:ascii="Cambria" w:hAnsi="Cambria" w:cs="Cambria"/>
        </w:rPr>
        <w:t>Part 7: Skin</w:t>
      </w:r>
      <w:r>
        <w:rPr>
          <w:rFonts w:hint="default" w:ascii="Cambria" w:hAnsi="Cambria" w:cs="Cambria"/>
          <w:lang w:val="en-US" w:eastAsia="zh-CN"/>
        </w:rPr>
        <w:t>-n</w:t>
      </w:r>
      <w:r>
        <w:rPr>
          <w:rFonts w:hint="default" w:ascii="Cambria" w:hAnsi="Cambria" w:cs="Cambria"/>
        </w:rPr>
        <w:t xml:space="preserve">eedle. These are issued by international organizations or professional institutions, emphasizing clinical safety and operation specifications, and are suitable for international </w:t>
      </w:r>
      <w:r>
        <w:rPr>
          <w:rFonts w:hint="default" w:ascii="Cambria" w:hAnsi="Cambria" w:cs="Cambria"/>
          <w:lang w:val="en-US" w:eastAsia="zh-CN"/>
        </w:rPr>
        <w:t>upgrading</w:t>
      </w:r>
      <w:r>
        <w:rPr>
          <w:rFonts w:hint="default" w:ascii="Cambria" w:hAnsi="Cambria" w:cs="Cambria"/>
        </w:rPr>
        <w:t xml:space="preserve">. </w:t>
      </w:r>
      <w:r>
        <w:rPr>
          <w:rFonts w:hint="default" w:ascii="Cambria" w:hAnsi="Cambria" w:cs="Cambria"/>
          <w:lang w:eastAsia="zh-CN"/>
        </w:rPr>
        <w:t xml:space="preserve">3. </w:t>
      </w:r>
      <w:r>
        <w:rPr>
          <w:rFonts w:hint="default" w:ascii="Cambria" w:hAnsi="Cambria" w:cs="Cambria"/>
        </w:rPr>
        <w:t xml:space="preserve">Literature category: the </w:t>
      </w:r>
      <w:r>
        <w:rPr>
          <w:rFonts w:hint="default" w:ascii="Cambria" w:hAnsi="Cambria" w:cs="Cambria"/>
          <w:lang w:eastAsia="zh-CN"/>
        </w:rPr>
        <w:t>14</w:t>
      </w:r>
      <w:r>
        <w:rPr>
          <w:rFonts w:hint="default" w:ascii="Cambria" w:hAnsi="Cambria" w:cs="Cambria"/>
          <w:vertAlign w:val="superscript"/>
          <w:lang w:eastAsia="zh-CN"/>
        </w:rPr>
        <w:t>th</w:t>
      </w:r>
      <w:r>
        <w:rPr>
          <w:rFonts w:hint="default" w:ascii="Cambria" w:hAnsi="Cambria" w:cs="Cambria"/>
          <w:lang w:eastAsia="zh-CN"/>
        </w:rPr>
        <w:t xml:space="preserve"> Five-Year Plan</w:t>
      </w:r>
      <w:r>
        <w:rPr>
          <w:rFonts w:hint="default" w:ascii="Cambria" w:hAnsi="Cambria" w:cs="Cambria"/>
        </w:rPr>
        <w:t xml:space="preserve"> innovative textbook</w:t>
      </w:r>
      <w:r>
        <w:rPr>
          <w:rFonts w:hint="default" w:ascii="Cambria" w:hAnsi="Cambria" w:cs="Cambria"/>
          <w:lang w:val="en-US" w:eastAsia="zh-CN"/>
        </w:rPr>
        <w:t>–</w:t>
      </w:r>
      <w:r>
        <w:rPr>
          <w:rFonts w:hint="default" w:ascii="Cambria" w:hAnsi="Cambria" w:cs="Cambria"/>
        </w:rPr>
        <w:t xml:space="preserve">Cupping Therapy of </w:t>
      </w:r>
      <w:r>
        <w:rPr>
          <w:rFonts w:hint="default" w:ascii="Cambria" w:hAnsi="Cambria" w:cs="Cambria"/>
          <w:lang w:eastAsia="zh-CN"/>
        </w:rPr>
        <w:t>TCM</w:t>
      </w:r>
      <w:r>
        <w:rPr>
          <w:rFonts w:hint="default" w:ascii="Cambria" w:hAnsi="Cambria" w:cs="Cambria"/>
        </w:rPr>
        <w:t>. These evidences supplement operation details but have a lower priority than standards and guidelines.</w:t>
      </w:r>
    </w:p>
    <w:p w14:paraId="16C3C06A">
      <w:pPr>
        <w:numPr>
          <w:ilvl w:val="0"/>
          <w:numId w:val="0"/>
        </w:numPr>
        <w:ind w:leftChars="0"/>
        <w:rPr>
          <w:rFonts w:hint="default" w:ascii="Cambria" w:hAnsi="Cambria" w:cs="Cambria"/>
        </w:rPr>
      </w:pPr>
    </w:p>
    <w:p w14:paraId="1F0D01E9">
      <w:pPr>
        <w:numPr>
          <w:ilvl w:val="0"/>
          <w:numId w:val="0"/>
        </w:numPr>
        <w:ind w:leftChars="0"/>
        <w:rPr>
          <w:rFonts w:hint="default" w:ascii="Cambria" w:hAnsi="Cambria" w:cs="Cambria"/>
          <w:lang w:val="en-US" w:eastAsia="zh-CN"/>
        </w:rPr>
      </w:pPr>
      <w:r>
        <w:rPr>
          <w:rFonts w:hint="default" w:ascii="Cambria" w:hAnsi="Cambria" w:cs="Cambria"/>
          <w:lang w:val="en-US" w:eastAsia="zh-CN"/>
        </w:rPr>
        <w:t>The evaluation criteria are as follows:</w:t>
      </w:r>
    </w:p>
    <w:p w14:paraId="1FADD4E7">
      <w:pPr>
        <w:numPr>
          <w:ilvl w:val="0"/>
          <w:numId w:val="0"/>
        </w:numPr>
        <w:ind w:leftChars="0"/>
        <w:rPr>
          <w:rFonts w:hint="default" w:ascii="Cambria" w:hAnsi="Cambria" w:cs="Cambria"/>
          <w:lang w:val="en-US" w:eastAsia="zh-CN"/>
        </w:rPr>
      </w:pPr>
      <w:r>
        <w:rPr>
          <w:rFonts w:hint="default" w:ascii="Cambria" w:hAnsi="Cambria" w:cs="Cambria"/>
          <w:lang w:val="en-US" w:eastAsia="zh-CN"/>
        </w:rPr>
        <w:t>1 Source authority: priority order is the International Organization for Standardization, followed by national authorities and academic journals;</w:t>
      </w:r>
    </w:p>
    <w:p w14:paraId="5D3C8B8B">
      <w:pPr>
        <w:numPr>
          <w:ilvl w:val="0"/>
          <w:numId w:val="0"/>
        </w:numPr>
        <w:ind w:leftChars="0"/>
        <w:rPr>
          <w:rFonts w:hint="default" w:ascii="Cambria" w:hAnsi="Cambria" w:cs="Cambria"/>
          <w:lang w:val="en-US" w:eastAsia="zh-CN"/>
        </w:rPr>
      </w:pPr>
      <w:r>
        <w:rPr>
          <w:rFonts w:hint="default" w:ascii="Cambria" w:hAnsi="Cambria" w:cs="Cambria"/>
          <w:lang w:val="en-US" w:eastAsia="zh-CN"/>
        </w:rPr>
        <w:t>2 Timeliness: literature published after 2021 is prioritized;</w:t>
      </w:r>
    </w:p>
    <w:p w14:paraId="64A78115">
      <w:pPr>
        <w:numPr>
          <w:ilvl w:val="0"/>
          <w:numId w:val="0"/>
        </w:numPr>
        <w:ind w:leftChars="0"/>
        <w:rPr>
          <w:rFonts w:hint="default" w:ascii="Cambria" w:hAnsi="Cambria" w:cs="Cambria"/>
          <w:lang w:val="en-US" w:eastAsia="zh-CN"/>
        </w:rPr>
      </w:pPr>
      <w:r>
        <w:rPr>
          <w:rFonts w:hint="default" w:ascii="Cambria" w:hAnsi="Cambria" w:cs="Cambria"/>
          <w:lang w:val="en-US" w:eastAsia="zh-CN"/>
        </w:rPr>
        <w:t>3 Relevance: literature directly related to pediatric cupping therapy;</w:t>
      </w:r>
    </w:p>
    <w:p w14:paraId="6DE6A230">
      <w:pPr>
        <w:numPr>
          <w:ilvl w:val="0"/>
          <w:numId w:val="0"/>
        </w:numPr>
        <w:ind w:leftChars="0"/>
        <w:rPr>
          <w:rFonts w:hint="default" w:ascii="Cambria" w:hAnsi="Cambria" w:cs="Cambria"/>
          <w:lang w:val="en-US" w:eastAsia="zh-CN"/>
        </w:rPr>
      </w:pPr>
      <w:r>
        <w:rPr>
          <w:rFonts w:hint="default" w:ascii="Cambria" w:hAnsi="Cambria" w:cs="Cambria"/>
          <w:lang w:val="en-US" w:eastAsia="zh-CN"/>
        </w:rPr>
        <w:t>4 TCM compatibility: retention of unique characteristics of TCM.</w:t>
      </w:r>
    </w:p>
    <w:p w14:paraId="647C8690">
      <w:pPr>
        <w:numPr>
          <w:ilvl w:val="0"/>
          <w:numId w:val="0"/>
        </w:numPr>
        <w:ind w:leftChars="0"/>
        <w:rPr>
          <w:rFonts w:hint="default" w:ascii="Cambria" w:hAnsi="Cambria" w:cs="Cambria"/>
          <w:lang w:val="en-US" w:eastAsia="zh-CN"/>
        </w:rPr>
      </w:pPr>
      <w:r>
        <w:rPr>
          <w:rFonts w:hint="default" w:ascii="Cambria" w:hAnsi="Cambria" w:cs="Cambria"/>
          <w:lang w:val="en-US" w:eastAsia="zh-CN"/>
        </w:rPr>
        <w:t>All included literature was collectively reviewed and confirmed by the project team, and no low-quality evidence was incorporated.</w:t>
      </w:r>
    </w:p>
    <w:p w14:paraId="659A33AC">
      <w:pPr>
        <w:numPr>
          <w:ilvl w:val="0"/>
          <w:numId w:val="0"/>
        </w:numPr>
        <w:rPr>
          <w:rFonts w:hint="default" w:ascii="Cambria" w:hAnsi="Cambria" w:cs="Cambria"/>
          <w:lang w:val="en-US" w:eastAsia="zh-CN"/>
        </w:rPr>
      </w:pPr>
    </w:p>
    <w:p w14:paraId="6F7DAB55">
      <w:pPr>
        <w:numPr>
          <w:ilvl w:val="0"/>
          <w:numId w:val="0"/>
        </w:numPr>
        <w:rPr>
          <w:rFonts w:hint="default" w:ascii="Cambria" w:hAnsi="Cambria" w:cs="Cambria"/>
          <w:highlight w:val="none"/>
        </w:rPr>
      </w:pPr>
      <w:r>
        <w:rPr>
          <w:rFonts w:hint="default" w:ascii="Cambria" w:hAnsi="Cambria" w:cs="Cambria"/>
          <w:highlight w:val="none"/>
          <w:lang w:val="en-US" w:eastAsia="zh-CN"/>
        </w:rPr>
        <w:t>(3)</w:t>
      </w:r>
      <w:r>
        <w:rPr>
          <w:rFonts w:hint="default" w:ascii="Cambria" w:hAnsi="Cambria" w:cs="Cambria"/>
          <w:highlight w:val="none"/>
        </w:rPr>
        <w:t>Literature Research</w:t>
      </w:r>
    </w:p>
    <w:p w14:paraId="53D2D06F">
      <w:pPr>
        <w:numPr>
          <w:ilvl w:val="0"/>
          <w:numId w:val="0"/>
        </w:numPr>
        <w:ind w:firstLine="420" w:firstLineChars="0"/>
        <w:rPr>
          <w:rFonts w:hint="default" w:ascii="Cambria" w:hAnsi="Cambria" w:cs="Cambria"/>
        </w:rPr>
      </w:pPr>
      <w:r>
        <w:rPr>
          <w:rFonts w:hint="default" w:ascii="Cambria" w:hAnsi="Cambria" w:cs="Cambria"/>
        </w:rPr>
        <w:t xml:space="preserve">Based on the literature evaluation, the project team carefully read and analyzed the included evidence, focusing on comparing it with the relevant content of the original national standard </w:t>
      </w:r>
      <w:r>
        <w:rPr>
          <w:rFonts w:hint="default" w:ascii="Cambria" w:hAnsi="Cambria" w:cs="Cambria"/>
          <w:lang w:val="en-US" w:eastAsia="zh-CN"/>
        </w:rPr>
        <w:t xml:space="preserve">of </w:t>
      </w:r>
      <w:r>
        <w:rPr>
          <w:rFonts w:hint="default" w:ascii="Cambria" w:hAnsi="Cambria" w:cs="Cambria"/>
        </w:rPr>
        <w:t>GB/Z 40893.5</w:t>
      </w:r>
      <w:r>
        <w:rPr>
          <w:rFonts w:hint="default" w:ascii="Cambria" w:hAnsi="Cambria" w:cs="Cambria"/>
          <w:lang w:val="en-US" w:eastAsia="zh-CN"/>
        </w:rPr>
        <w:t>-</w:t>
      </w:r>
      <w:r>
        <w:rPr>
          <w:rFonts w:hint="default" w:ascii="Cambria" w:hAnsi="Cambria" w:cs="Cambria"/>
        </w:rPr>
        <w:t>2021, and paying attention to expressions different from the national standard clauses. The project team classified the evidence according to themes and clauses and formed a clause comparison table. If there were multiple different expressions for the same clause, all were listed for reference in subsequent questionnaires and demonstrations. Through the comparison table, the project team identified items that needed to be optimized and formed the basis for the questionnaire.</w:t>
      </w:r>
    </w:p>
    <w:p w14:paraId="655975A8">
      <w:pPr>
        <w:numPr>
          <w:ilvl w:val="0"/>
          <w:numId w:val="0"/>
        </w:numPr>
        <w:rPr>
          <w:rFonts w:hint="default" w:ascii="Cambria" w:hAnsi="Cambria" w:cs="Cambria"/>
          <w:lang w:val="en-US" w:eastAsia="zh-CN"/>
        </w:rPr>
      </w:pPr>
    </w:p>
    <w:p w14:paraId="7F63BFE9">
      <w:pPr>
        <w:numPr>
          <w:ilvl w:val="0"/>
          <w:numId w:val="0"/>
        </w:numPr>
        <w:rPr>
          <w:rFonts w:hint="default" w:ascii="Cambria" w:hAnsi="Cambria" w:cs="Cambria"/>
        </w:rPr>
      </w:pPr>
      <w:r>
        <w:rPr>
          <w:rFonts w:hint="default" w:ascii="Cambria" w:hAnsi="Cambria" w:cs="Cambria"/>
          <w:lang w:val="en-US" w:eastAsia="zh-CN"/>
        </w:rPr>
        <w:t>(4)</w:t>
      </w:r>
      <w:r>
        <w:rPr>
          <w:rFonts w:hint="default" w:ascii="Cambria" w:hAnsi="Cambria" w:cs="Cambria"/>
        </w:rPr>
        <w:t>Questionnaire Survey</w:t>
      </w:r>
    </w:p>
    <w:p w14:paraId="3EDCF280">
      <w:pPr>
        <w:numPr>
          <w:ilvl w:val="0"/>
          <w:numId w:val="0"/>
        </w:numPr>
        <w:ind w:firstLine="420" w:firstLineChars="0"/>
        <w:rPr>
          <w:rFonts w:hint="default" w:ascii="Cambria" w:hAnsi="Cambria" w:cs="Cambria"/>
        </w:rPr>
      </w:pPr>
      <w:r>
        <w:rPr>
          <w:rFonts w:hint="default" w:ascii="Cambria" w:hAnsi="Cambria" w:cs="Cambria"/>
        </w:rPr>
        <w:t>In order to widely solicit opinions, the project team prepared an expert questionnaire in October 2025. Based on the literature research results and the comparison table, single choice options and open</w:t>
      </w:r>
      <w:r>
        <w:rPr>
          <w:rFonts w:hint="default" w:ascii="Cambria" w:hAnsi="Cambria" w:cs="Cambria"/>
          <w:lang w:val="en-US" w:eastAsia="zh-CN"/>
        </w:rPr>
        <w:t>-</w:t>
      </w:r>
      <w:r>
        <w:rPr>
          <w:rFonts w:hint="default" w:ascii="Cambria" w:hAnsi="Cambria" w:cs="Cambria"/>
        </w:rPr>
        <w:t xml:space="preserve">ended comments were set for different items (such as term definitions, </w:t>
      </w:r>
      <w:r>
        <w:rPr>
          <w:rFonts w:hint="default" w:ascii="Cambria" w:hAnsi="Cambria" w:cs="Cambria"/>
          <w:lang w:eastAsia="zh-CN"/>
        </w:rPr>
        <w:t>operational procedures</w:t>
      </w:r>
      <w:r>
        <w:rPr>
          <w:rFonts w:hint="default" w:ascii="Cambria" w:hAnsi="Cambria" w:cs="Cambria"/>
        </w:rPr>
        <w:t xml:space="preserve">, and contraindications). The criteria for expert selection included: </w:t>
      </w:r>
      <w:r>
        <w:rPr>
          <w:rFonts w:hint="default" w:ascii="Cambria" w:hAnsi="Cambria" w:cs="Cambria"/>
          <w:lang w:eastAsia="zh-CN"/>
        </w:rPr>
        <w:t xml:space="preserve">1. </w:t>
      </w:r>
      <w:r>
        <w:rPr>
          <w:rFonts w:hint="default" w:ascii="Cambria" w:hAnsi="Cambria" w:cs="Cambria"/>
        </w:rPr>
        <w:t xml:space="preserve">Having a senior professional and technical title background in </w:t>
      </w:r>
      <w:r>
        <w:rPr>
          <w:rFonts w:hint="default" w:ascii="Cambria" w:hAnsi="Cambria" w:cs="Cambria"/>
          <w:lang w:eastAsia="zh-CN"/>
        </w:rPr>
        <w:t>TCM</w:t>
      </w:r>
      <w:r>
        <w:rPr>
          <w:rFonts w:hint="default" w:ascii="Cambria" w:hAnsi="Cambria" w:cs="Cambria"/>
        </w:rPr>
        <w:t xml:space="preserve"> pediatrics or related fields (such as professor, chief physician); </w:t>
      </w:r>
      <w:r>
        <w:rPr>
          <w:rFonts w:hint="default" w:ascii="Cambria" w:hAnsi="Cambria" w:cs="Cambria"/>
          <w:lang w:eastAsia="zh-CN"/>
        </w:rPr>
        <w:t xml:space="preserve">2. </w:t>
      </w:r>
      <w:r>
        <w:rPr>
          <w:rFonts w:hint="default" w:ascii="Cambria" w:hAnsi="Cambria" w:cs="Cambria"/>
        </w:rPr>
        <w:t xml:space="preserve">Having rich clinical or teaching experience, with Chinese mainland experts having engaged in this profession for more than 20 years and overseas experts for more than 10 years; </w:t>
      </w:r>
      <w:r>
        <w:rPr>
          <w:rFonts w:hint="default" w:ascii="Cambria" w:hAnsi="Cambria" w:cs="Cambria"/>
          <w:lang w:eastAsia="zh-CN"/>
        </w:rPr>
        <w:t xml:space="preserve">3. </w:t>
      </w:r>
      <w:r>
        <w:rPr>
          <w:rFonts w:hint="default" w:ascii="Cambria" w:hAnsi="Cambria" w:cs="Cambria"/>
        </w:rPr>
        <w:t xml:space="preserve">Being familiar with pediatric cupping therapy in </w:t>
      </w:r>
      <w:r>
        <w:rPr>
          <w:rFonts w:hint="default" w:ascii="Cambria" w:hAnsi="Cambria" w:cs="Cambria"/>
          <w:lang w:eastAsia="zh-CN"/>
        </w:rPr>
        <w:t>TCM</w:t>
      </w:r>
      <w:r>
        <w:rPr>
          <w:rFonts w:hint="default" w:ascii="Cambria" w:hAnsi="Cambria" w:cs="Cambria"/>
        </w:rPr>
        <w:t xml:space="preserve">; </w:t>
      </w:r>
      <w:r>
        <w:rPr>
          <w:rFonts w:hint="default" w:ascii="Cambria" w:hAnsi="Cambria" w:cs="Cambria"/>
          <w:lang w:eastAsia="zh-CN"/>
        </w:rPr>
        <w:t xml:space="preserve">4. </w:t>
      </w:r>
      <w:r>
        <w:rPr>
          <w:rFonts w:hint="default" w:ascii="Cambria" w:hAnsi="Cambria" w:cs="Cambria"/>
        </w:rPr>
        <w:t xml:space="preserve">Covering different countries and regions to ensure international representativeness. Finally, 30 experts were selected, including 20 from China, 2 from Canada, 2 from Vietnam, 2 from Thailand, 2 from Malaysia, and 2 from Singapore, covering higher education institutions of </w:t>
      </w:r>
      <w:r>
        <w:rPr>
          <w:rFonts w:hint="default" w:ascii="Cambria" w:hAnsi="Cambria" w:cs="Cambria"/>
          <w:lang w:eastAsia="zh-CN"/>
        </w:rPr>
        <w:t>TCM</w:t>
      </w:r>
      <w:r>
        <w:rPr>
          <w:rFonts w:hint="default" w:ascii="Cambria" w:hAnsi="Cambria" w:cs="Cambria"/>
        </w:rPr>
        <w:t xml:space="preserve">, hospitals, and overseas </w:t>
      </w:r>
      <w:r>
        <w:rPr>
          <w:rFonts w:hint="default" w:ascii="Cambria" w:hAnsi="Cambria" w:cs="Cambria"/>
          <w:lang w:eastAsia="zh-CN"/>
        </w:rPr>
        <w:t>TCM</w:t>
      </w:r>
      <w:r>
        <w:rPr>
          <w:rFonts w:hint="default" w:ascii="Cambria" w:hAnsi="Cambria" w:cs="Cambria"/>
        </w:rPr>
        <w:t xml:space="preserve"> institutions, with strong authority and wide geographical representation.</w:t>
      </w:r>
    </w:p>
    <w:p w14:paraId="22A98FBD">
      <w:pPr>
        <w:numPr>
          <w:ilvl w:val="0"/>
          <w:numId w:val="0"/>
        </w:numPr>
        <w:ind w:firstLine="420" w:firstLineChars="0"/>
        <w:rPr>
          <w:rFonts w:hint="default" w:ascii="Cambria" w:hAnsi="Cambria" w:cs="Cambria"/>
        </w:rPr>
      </w:pPr>
      <w:r>
        <w:rPr>
          <w:rFonts w:hint="default" w:ascii="Cambria" w:hAnsi="Cambria" w:cs="Cambria"/>
        </w:rPr>
        <w:t xml:space="preserve">The questionnaires were sent on November 8 and the deadline for collection was November 23. A total of 30 questionnaires were sent out and 30 were </w:t>
      </w:r>
      <w:r>
        <w:rPr>
          <w:rFonts w:hint="default" w:ascii="Cambria" w:hAnsi="Cambria" w:cs="Cambria"/>
          <w:lang w:val="en-US" w:eastAsia="zh-CN"/>
        </w:rPr>
        <w:t>recovered</w:t>
      </w:r>
      <w:r>
        <w:rPr>
          <w:rFonts w:hint="default" w:ascii="Cambria" w:hAnsi="Cambria" w:cs="Cambria"/>
        </w:rPr>
        <w:t xml:space="preserve">, </w:t>
      </w:r>
      <w:r>
        <w:rPr>
          <w:rFonts w:hint="default" w:ascii="Cambria" w:hAnsi="Cambria" w:cs="Cambria"/>
          <w:lang w:eastAsia="zh-CN"/>
        </w:rPr>
        <w:t>with an expert positive coefficient of 100%</w:t>
      </w:r>
      <w:r>
        <w:rPr>
          <w:rFonts w:hint="default" w:ascii="Cambria" w:hAnsi="Cambria" w:cs="Cambria"/>
        </w:rPr>
        <w:t xml:space="preserve">. Statistics were carried out using indicators such as mean value, unimportant percentage, rank sum, and coefficient of variation. The consensus screening method was that an option with a support rate of more than 50% was regarded as a preliminary consensus, and divergent items were submitted to the demonstration meeting. The results are detailed in </w:t>
      </w:r>
      <w:r>
        <w:rPr>
          <w:rFonts w:hint="default" w:ascii="Cambria" w:hAnsi="Cambria" w:cs="Cambria"/>
          <w:highlight w:val="none"/>
          <w:lang w:eastAsia="zh-CN"/>
        </w:rPr>
        <w:t>Appendix</w:t>
      </w:r>
      <w:r>
        <w:rPr>
          <w:rFonts w:hint="default" w:ascii="Cambria" w:hAnsi="Cambria" w:cs="Cambria"/>
          <w:highlight w:val="none"/>
        </w:rPr>
        <w:t xml:space="preserve"> 1: </w:t>
      </w:r>
      <w:r>
        <w:rPr>
          <w:rFonts w:hint="default" w:ascii="Cambria" w:hAnsi="Cambria" w:cs="Cambria"/>
          <w:lang w:val="en-US" w:eastAsia="zh-CN"/>
        </w:rPr>
        <w:t xml:space="preserve">Report on </w:t>
      </w:r>
      <w:r>
        <w:rPr>
          <w:rFonts w:hint="default" w:ascii="Cambria" w:hAnsi="Cambria" w:cs="Cambria"/>
        </w:rPr>
        <w:t>Expert Questionnaire</w:t>
      </w:r>
      <w:r>
        <w:rPr>
          <w:rFonts w:hint="default" w:ascii="Cambria" w:hAnsi="Cambria" w:cs="Cambria"/>
          <w:highlight w:val="none"/>
        </w:rPr>
        <w:t xml:space="preserve">. Items with a high degree of agreement were </w:t>
      </w:r>
      <w:r>
        <w:rPr>
          <w:rFonts w:hint="default" w:ascii="Cambria" w:hAnsi="Cambria" w:cs="Cambria"/>
        </w:rPr>
        <w:t xml:space="preserve">directly included, and the remaining items formed three controversial points, which were jointly submitted for expert demonstration together with </w:t>
      </w:r>
      <w:r>
        <w:rPr>
          <w:rFonts w:hint="default" w:ascii="Cambria" w:hAnsi="Cambria" w:cs="Cambria"/>
          <w:lang w:eastAsia="zh-CN"/>
        </w:rPr>
        <w:t>open-ended questions</w:t>
      </w:r>
      <w:r>
        <w:rPr>
          <w:rFonts w:hint="default" w:ascii="Cambria" w:hAnsi="Cambria" w:cs="Cambria"/>
        </w:rPr>
        <w:t>.</w:t>
      </w:r>
    </w:p>
    <w:p w14:paraId="430A2548">
      <w:pPr>
        <w:numPr>
          <w:ilvl w:val="0"/>
          <w:numId w:val="0"/>
        </w:numPr>
        <w:rPr>
          <w:rFonts w:hint="default" w:ascii="Cambria" w:hAnsi="Cambria" w:cs="Cambria"/>
          <w:lang w:val="en-US" w:eastAsia="zh-CN"/>
        </w:rPr>
      </w:pPr>
    </w:p>
    <w:p w14:paraId="184A2AEA">
      <w:pPr>
        <w:numPr>
          <w:ilvl w:val="0"/>
          <w:numId w:val="0"/>
        </w:numPr>
        <w:rPr>
          <w:rFonts w:hint="default" w:ascii="Cambria" w:hAnsi="Cambria" w:cs="Cambria"/>
        </w:rPr>
      </w:pPr>
      <w:r>
        <w:rPr>
          <w:rFonts w:hint="default" w:ascii="Cambria" w:hAnsi="Cambria" w:cs="Cambria"/>
          <w:lang w:val="en-US" w:eastAsia="zh-CN"/>
        </w:rPr>
        <w:t>(5)</w:t>
      </w:r>
      <w:r>
        <w:rPr>
          <w:rFonts w:hint="default" w:ascii="Cambria" w:hAnsi="Cambria" w:cs="Cambria"/>
        </w:rPr>
        <w:t>Expert Demonstration Meeting</w:t>
      </w:r>
    </w:p>
    <w:p w14:paraId="16429C02">
      <w:pPr>
        <w:numPr>
          <w:ilvl w:val="0"/>
          <w:numId w:val="0"/>
        </w:numPr>
        <w:ind w:firstLine="420" w:firstLineChars="0"/>
        <w:rPr>
          <w:rFonts w:hint="default" w:ascii="Cambria" w:hAnsi="Cambria" w:cs="Cambria"/>
        </w:rPr>
      </w:pPr>
      <w:r>
        <w:rPr>
          <w:rFonts w:hint="default" w:ascii="Cambria" w:hAnsi="Cambria" w:cs="Cambria"/>
        </w:rPr>
        <w:t xml:space="preserve">An expert demonstration meeting was held on December 3, 2025, focusing on the divergent items in the questionnaire. Thirteen domestic authoritative pediatric experts and standardization experts were invited. A letter of soliciting opinions (including three controversial items, </w:t>
      </w:r>
      <w:r>
        <w:rPr>
          <w:rFonts w:hint="default" w:ascii="Cambria" w:hAnsi="Cambria" w:cs="Cambria"/>
          <w:lang w:eastAsia="zh-CN"/>
        </w:rPr>
        <w:t>open-ended questions</w:t>
      </w:r>
      <w:r>
        <w:rPr>
          <w:rFonts w:hint="default" w:ascii="Cambria" w:hAnsi="Cambria" w:cs="Cambria"/>
        </w:rPr>
        <w:t xml:space="preserve">, and the project team's suggestions) was sent before the meeting. Discussions were held during the meeting, and written opinions were </w:t>
      </w:r>
      <w:r>
        <w:rPr>
          <w:rFonts w:hint="default" w:ascii="Cambria" w:hAnsi="Cambria" w:cs="Cambria"/>
          <w:lang w:val="en-US" w:eastAsia="zh-CN"/>
        </w:rPr>
        <w:t xml:space="preserve">recovered </w:t>
      </w:r>
      <w:r>
        <w:rPr>
          <w:rFonts w:hint="default" w:ascii="Cambria" w:hAnsi="Cambria" w:cs="Cambria"/>
        </w:rPr>
        <w:t xml:space="preserve">within one week after the meeting. The meeting adopted and integrated the opinions, and the results are detailed in </w:t>
      </w:r>
      <w:r>
        <w:rPr>
          <w:rFonts w:hint="default" w:ascii="Cambria" w:hAnsi="Cambria" w:cs="Cambria"/>
          <w:lang w:eastAsia="zh-CN"/>
        </w:rPr>
        <w:t>Appendix</w:t>
      </w:r>
      <w:r>
        <w:rPr>
          <w:rFonts w:hint="default" w:ascii="Cambria" w:hAnsi="Cambria" w:cs="Cambria"/>
        </w:rPr>
        <w:t xml:space="preserve"> 2: </w:t>
      </w:r>
      <w:r>
        <w:rPr>
          <w:rFonts w:hint="default" w:ascii="Cambria" w:hAnsi="Cambria" w:cs="Cambria"/>
          <w:lang w:eastAsia="zh-CN"/>
        </w:rPr>
        <w:t>Minutes of Expert Demonstration Meeting</w:t>
      </w:r>
      <w:r>
        <w:rPr>
          <w:rFonts w:hint="default" w:ascii="Cambria" w:hAnsi="Cambria" w:cs="Cambria"/>
        </w:rPr>
        <w:t>.</w:t>
      </w:r>
    </w:p>
    <w:p w14:paraId="291E15BA">
      <w:pPr>
        <w:numPr>
          <w:ilvl w:val="0"/>
          <w:numId w:val="0"/>
        </w:numPr>
        <w:rPr>
          <w:rFonts w:hint="default" w:ascii="Cambria" w:hAnsi="Cambria" w:cs="Cambria"/>
          <w:lang w:val="en-US" w:eastAsia="zh-CN"/>
        </w:rPr>
      </w:pPr>
    </w:p>
    <w:p w14:paraId="6EB4278F">
      <w:pPr>
        <w:numPr>
          <w:ilvl w:val="0"/>
          <w:numId w:val="0"/>
        </w:numPr>
        <w:rPr>
          <w:rFonts w:hint="default" w:ascii="Cambria" w:hAnsi="Cambria" w:cs="Cambria"/>
        </w:rPr>
      </w:pPr>
      <w:r>
        <w:rPr>
          <w:rFonts w:hint="default" w:ascii="Cambria" w:hAnsi="Cambria" w:cs="Cambria"/>
          <w:lang w:val="en-US" w:eastAsia="zh-CN"/>
        </w:rPr>
        <w:t>(6)</w:t>
      </w:r>
      <w:r>
        <w:rPr>
          <w:rFonts w:hint="default" w:ascii="Cambria" w:hAnsi="Cambria" w:cs="Cambria"/>
        </w:rPr>
        <w:t>Expert Review</w:t>
      </w:r>
    </w:p>
    <w:p w14:paraId="18CAFEAD">
      <w:pPr>
        <w:numPr>
          <w:ilvl w:val="0"/>
          <w:numId w:val="0"/>
        </w:numPr>
        <w:ind w:firstLine="420" w:firstLineChars="0"/>
        <w:rPr>
          <w:rFonts w:hint="default" w:ascii="Cambria" w:hAnsi="Cambria" w:cs="Cambria"/>
        </w:rPr>
      </w:pPr>
      <w:r>
        <w:rPr>
          <w:rFonts w:hint="default" w:ascii="Cambria" w:hAnsi="Cambria" w:cs="Cambria"/>
        </w:rPr>
        <w:t xml:space="preserve">After the draft reviewed by the </w:t>
      </w:r>
      <w:r>
        <w:rPr>
          <w:rFonts w:hint="default" w:ascii="Cambria" w:hAnsi="Cambria" w:cs="Cambria"/>
          <w:lang w:eastAsia="zh-CN"/>
        </w:rPr>
        <w:t>expert steering group</w:t>
      </w:r>
      <w:r>
        <w:rPr>
          <w:rFonts w:hint="default" w:ascii="Cambria" w:hAnsi="Cambria" w:cs="Cambria"/>
        </w:rPr>
        <w:t xml:space="preserve"> was finalized, it was examined by the project</w:t>
      </w:r>
      <w:r>
        <w:rPr>
          <w:rFonts w:hint="default" w:ascii="Cambria" w:hAnsi="Cambria" w:cs="Cambria"/>
          <w:lang w:val="en-US" w:eastAsia="zh-CN"/>
        </w:rPr>
        <w:t>’</w:t>
      </w:r>
      <w:r>
        <w:rPr>
          <w:rFonts w:hint="default" w:ascii="Cambria" w:hAnsi="Cambria" w:cs="Cambria"/>
        </w:rPr>
        <w:t xml:space="preserve">s </w:t>
      </w:r>
      <w:r>
        <w:rPr>
          <w:rFonts w:hint="default" w:ascii="Cambria" w:hAnsi="Cambria" w:cs="Cambria"/>
          <w:lang w:eastAsia="zh-CN"/>
        </w:rPr>
        <w:t>expert steering group</w:t>
      </w:r>
      <w:r>
        <w:rPr>
          <w:rFonts w:hint="default" w:ascii="Cambria" w:hAnsi="Cambria" w:cs="Cambria"/>
        </w:rPr>
        <w:t xml:space="preserve"> consisting of Ding Ying, Wan Lisheng, Ma Rong, Wang Youpeng, Wang Lili, Wang Sumei, Shi Zhenggang, Liu Jianzhong, Zhang Baoqing, Yu Jian, Yu Jian'er, Xiong Lei and Dai Qigang.</w:t>
      </w:r>
      <w:r>
        <w:rPr>
          <w:rFonts w:hint="default" w:ascii="Cambria" w:hAnsi="Cambria" w:cs="Cambria"/>
          <w:lang w:val="en-US" w:eastAsia="zh-CN"/>
        </w:rPr>
        <w:t xml:space="preserve"> </w:t>
      </w:r>
      <w:r>
        <w:rPr>
          <w:rFonts w:hint="default" w:ascii="Cambria" w:hAnsi="Cambria" w:cs="Cambria"/>
        </w:rPr>
        <w:t>The review focused on verifying the scientific validity, international adaptability and internal consistency of the content, resulting in the draft standard for submission.</w:t>
      </w:r>
    </w:p>
    <w:p w14:paraId="08863B0E">
      <w:pPr>
        <w:numPr>
          <w:ilvl w:val="0"/>
          <w:numId w:val="0"/>
        </w:numPr>
        <w:rPr>
          <w:rFonts w:hint="default" w:ascii="Cambria" w:hAnsi="Cambria" w:cs="Cambria"/>
        </w:rPr>
      </w:pPr>
    </w:p>
    <w:p w14:paraId="7B7FCE0F">
      <w:pPr>
        <w:numPr>
          <w:ilvl w:val="0"/>
          <w:numId w:val="0"/>
        </w:numPr>
        <w:rPr>
          <w:rFonts w:hint="default" w:ascii="Cambria" w:hAnsi="Cambria" w:cs="Cambria" w:eastAsiaTheme="minorEastAsia"/>
          <w:lang w:eastAsia="zh-CN"/>
        </w:rPr>
      </w:pPr>
      <w:r>
        <w:rPr>
          <w:rFonts w:hint="default" w:ascii="Cambria" w:hAnsi="Cambria" w:cs="Cambria"/>
        </w:rPr>
        <w:t>3. Basis for Main Content Determination</w:t>
      </w:r>
    </w:p>
    <w:p w14:paraId="228735AE">
      <w:pPr>
        <w:numPr>
          <w:ilvl w:val="0"/>
          <w:numId w:val="0"/>
        </w:numPr>
        <w:ind w:firstLine="420" w:firstLineChars="0"/>
        <w:rPr>
          <w:rFonts w:hint="default" w:ascii="Cambria" w:hAnsi="Cambria" w:cs="Cambria"/>
        </w:rPr>
      </w:pPr>
      <w:r>
        <w:rPr>
          <w:rFonts w:hint="default" w:ascii="Cambria" w:hAnsi="Cambria" w:cs="Cambria"/>
        </w:rPr>
        <w:t>The procedures, technical methods, and requirements at each stage of this standard formulation meet the requirements of the relevant normative documents, including SCM</w:t>
      </w:r>
      <w:r>
        <w:rPr>
          <w:rFonts w:hint="default" w:ascii="Cambria" w:hAnsi="Cambria" w:cs="Cambria"/>
          <w:lang w:val="en-US" w:eastAsia="zh-CN"/>
        </w:rPr>
        <w:t xml:space="preserve"> </w:t>
      </w:r>
      <w:r>
        <w:rPr>
          <w:rFonts w:hint="default" w:ascii="Cambria" w:hAnsi="Cambria" w:cs="Cambria"/>
        </w:rPr>
        <w:t>1.1</w:t>
      </w:r>
      <w:r>
        <w:rPr>
          <w:rFonts w:hint="default" w:ascii="Cambria" w:hAnsi="Cambria" w:cs="Cambria"/>
          <w:lang w:val="en-US" w:eastAsia="zh-CN"/>
        </w:rPr>
        <w:t>-</w:t>
      </w:r>
      <w:r>
        <w:rPr>
          <w:rFonts w:hint="default" w:ascii="Cambria" w:hAnsi="Cambria" w:cs="Cambria"/>
        </w:rPr>
        <w:t>2021</w:t>
      </w:r>
      <w:r>
        <w:rPr>
          <w:rFonts w:hint="default" w:ascii="Cambria" w:hAnsi="Cambria" w:cs="Cambria"/>
          <w:lang w:val="en-US" w:eastAsia="zh-CN"/>
        </w:rPr>
        <w:t xml:space="preserve"> </w:t>
      </w:r>
      <w:r>
        <w:rPr>
          <w:rFonts w:hint="default" w:ascii="Cambria" w:hAnsi="Cambria" w:cs="Cambria"/>
        </w:rPr>
        <w:t xml:space="preserve">Guidelines for </w:t>
      </w:r>
      <w:r>
        <w:rPr>
          <w:rFonts w:hint="default" w:ascii="Cambria" w:hAnsi="Cambria" w:cs="Cambria"/>
          <w:lang w:val="en-US" w:eastAsia="zh-CN"/>
        </w:rPr>
        <w:t>s</w:t>
      </w:r>
      <w:r>
        <w:rPr>
          <w:rFonts w:hint="default" w:ascii="Cambria" w:hAnsi="Cambria" w:cs="Cambria"/>
        </w:rPr>
        <w:t xml:space="preserve">tandardization </w:t>
      </w:r>
      <w:r>
        <w:rPr>
          <w:rFonts w:hint="default" w:ascii="Cambria" w:hAnsi="Cambria" w:cs="Cambria"/>
          <w:lang w:val="en-US" w:eastAsia="zh-CN"/>
        </w:rPr>
        <w:t>w</w:t>
      </w:r>
      <w:r>
        <w:rPr>
          <w:rFonts w:hint="default" w:ascii="Cambria" w:hAnsi="Cambria" w:cs="Cambria"/>
        </w:rPr>
        <w:t xml:space="preserve">ork–Part 1: Standard </w:t>
      </w:r>
      <w:r>
        <w:rPr>
          <w:rFonts w:hint="default" w:ascii="Cambria" w:hAnsi="Cambria" w:cs="Cambria"/>
          <w:lang w:val="en-US" w:eastAsia="zh-CN"/>
        </w:rPr>
        <w:t>f</w:t>
      </w:r>
      <w:r>
        <w:rPr>
          <w:rFonts w:hint="default" w:ascii="Cambria" w:hAnsi="Cambria" w:cs="Cambria"/>
        </w:rPr>
        <w:t xml:space="preserve">ormulation, </w:t>
      </w:r>
      <w:r>
        <w:rPr>
          <w:rFonts w:hint="default" w:ascii="Cambria" w:hAnsi="Cambria" w:cs="Cambria"/>
          <w:lang w:val="en-US" w:eastAsia="zh-CN"/>
        </w:rPr>
        <w:t>r</w:t>
      </w:r>
      <w:r>
        <w:rPr>
          <w:rFonts w:hint="default" w:ascii="Cambria" w:hAnsi="Cambria" w:cs="Cambria"/>
        </w:rPr>
        <w:t xml:space="preserve">evision and </w:t>
      </w:r>
      <w:r>
        <w:rPr>
          <w:rFonts w:hint="default" w:ascii="Cambria" w:hAnsi="Cambria" w:cs="Cambria"/>
          <w:lang w:val="en-US" w:eastAsia="zh-CN"/>
        </w:rPr>
        <w:t>r</w:t>
      </w:r>
      <w:r>
        <w:rPr>
          <w:rFonts w:hint="default" w:ascii="Cambria" w:hAnsi="Cambria" w:cs="Cambria"/>
        </w:rPr>
        <w:t xml:space="preserve">elease, the original national standard </w:t>
      </w:r>
      <w:r>
        <w:rPr>
          <w:rFonts w:hint="default" w:ascii="Cambria" w:hAnsi="Cambria" w:cs="Cambria"/>
          <w:lang w:val="en-US" w:eastAsia="zh-CN"/>
        </w:rPr>
        <w:t xml:space="preserve">of </w:t>
      </w:r>
      <w:r>
        <w:rPr>
          <w:rFonts w:hint="default" w:ascii="Cambria" w:hAnsi="Cambria" w:cs="Cambria"/>
        </w:rPr>
        <w:t>GB/Z 40893.5</w:t>
      </w:r>
      <w:r>
        <w:rPr>
          <w:rFonts w:hint="default" w:ascii="Cambria" w:hAnsi="Cambria" w:cs="Cambria"/>
          <w:lang w:val="en-US" w:eastAsia="zh-CN"/>
        </w:rPr>
        <w:t>-</w:t>
      </w:r>
      <w:r>
        <w:rPr>
          <w:rFonts w:hint="default" w:ascii="Cambria" w:hAnsi="Cambria" w:cs="Cambria"/>
        </w:rPr>
        <w:t>2021</w:t>
      </w:r>
      <w:r>
        <w:rPr>
          <w:rFonts w:hint="default" w:ascii="Cambria" w:hAnsi="Cambria" w:cs="Cambria"/>
          <w:lang w:val="en-US" w:eastAsia="zh-CN"/>
        </w:rPr>
        <w:t xml:space="preserve"> SOTTCMP-CT</w:t>
      </w:r>
      <w:r>
        <w:rPr>
          <w:rFonts w:hint="default" w:ascii="Cambria" w:hAnsi="Cambria" w:cs="Cambria"/>
        </w:rPr>
        <w:t>, as well as processes such as literature research, expert questionnaire surveys, and expert demonstration meetings, ensuring that the content of this standard is evidence-based and built on expert consensus.</w:t>
      </w:r>
    </w:p>
    <w:p w14:paraId="6CC14E79">
      <w:pPr>
        <w:keepNext w:val="0"/>
        <w:keepLines w:val="0"/>
        <w:widowControl/>
        <w:suppressLineNumbers w:val="0"/>
        <w:ind w:firstLine="420" w:firstLineChars="0"/>
        <w:jc w:val="both"/>
        <w:rPr>
          <w:rFonts w:hint="default" w:ascii="Cambria" w:hAnsi="Cambria" w:cs="Cambria" w:eastAsiaTheme="minorEastAsia"/>
          <w:lang w:val="en-US" w:eastAsia="zh-CN"/>
        </w:rPr>
      </w:pPr>
      <w:r>
        <w:rPr>
          <w:rFonts w:hint="default" w:ascii="Cambria" w:hAnsi="Cambria" w:cs="Cambria"/>
        </w:rPr>
        <w:t xml:space="preserve">All noun terms are required to be standardized. Noun terms in </w:t>
      </w:r>
      <w:r>
        <w:rPr>
          <w:rFonts w:hint="default" w:ascii="Cambria" w:hAnsi="Cambria" w:cs="Cambria"/>
          <w:lang w:eastAsia="zh-CN"/>
        </w:rPr>
        <w:t>TCM</w:t>
      </w:r>
      <w:r>
        <w:rPr>
          <w:rFonts w:hint="default" w:ascii="Cambria" w:hAnsi="Cambria" w:cs="Cambria"/>
        </w:rPr>
        <w:t xml:space="preserve"> are based on relevant Chinese national standards. Operations such as cupping, acupuncture, and three</w:t>
      </w:r>
      <w:r>
        <w:rPr>
          <w:rFonts w:hint="default" w:ascii="Cambria" w:hAnsi="Cambria" w:cs="Cambria"/>
          <w:lang w:val="en-US" w:eastAsia="zh-CN"/>
        </w:rPr>
        <w:t>-</w:t>
      </w:r>
      <w:r>
        <w:rPr>
          <w:rFonts w:hint="default" w:ascii="Cambria" w:hAnsi="Cambria" w:cs="Cambria"/>
        </w:rPr>
        <w:t>edged needle are based on standards such as GB/T 21709.4, GB/T 21709.5, and GB/T 21709.7. Standard disease names are based on ICD11</w:t>
      </w:r>
      <w:r>
        <w:rPr>
          <w:rFonts w:hint="default" w:ascii="Cambria" w:hAnsi="Cambria" w:cs="Cambria"/>
          <w:lang w:val="en-US" w:eastAsia="zh-CN"/>
        </w:rPr>
        <w:t>-</w:t>
      </w:r>
      <w:r>
        <w:rPr>
          <w:rFonts w:hint="default" w:ascii="Cambria" w:hAnsi="Cambria" w:cs="Cambria"/>
        </w:rPr>
        <w:t>2022</w:t>
      </w:r>
      <w:r>
        <w:rPr>
          <w:rFonts w:hint="default" w:ascii="Cambria" w:hAnsi="Cambria" w:cs="Cambria"/>
          <w:lang w:val="en-US" w:eastAsia="zh-CN"/>
        </w:rPr>
        <w:t xml:space="preserve"> by </w:t>
      </w:r>
      <w:r>
        <w:rPr>
          <w:rFonts w:hint="default" w:ascii="Cambria" w:hAnsi="Cambria" w:cs="Cambria"/>
        </w:rPr>
        <w:t>WHO. Other scientific and technical terms, nouns and denominations shall follow the official terms published by the China National Committee for Terms in Sciences and Technologies</w:t>
      </w:r>
      <w:r>
        <w:rPr>
          <w:rFonts w:hint="default" w:ascii="Cambria" w:hAnsi="Cambria" w:cs="Cambria"/>
          <w:lang w:val="en-US" w:eastAsia="zh-CN"/>
        </w:rPr>
        <w:t xml:space="preserve">. </w:t>
      </w:r>
      <w:r>
        <w:rPr>
          <w:rFonts w:hint="default" w:ascii="Cambria" w:hAnsi="Cambria" w:cs="Cambria"/>
        </w:rPr>
        <w:t xml:space="preserve">Measurement units </w:t>
      </w:r>
      <w:r>
        <w:rPr>
          <w:rFonts w:hint="default" w:ascii="Cambria" w:hAnsi="Cambria" w:cs="Cambria"/>
          <w:lang w:val="en-US" w:eastAsia="zh-CN"/>
        </w:rPr>
        <w:t xml:space="preserve">shall be </w:t>
      </w:r>
      <w:r>
        <w:rPr>
          <w:rFonts w:hint="default" w:ascii="Cambria" w:hAnsi="Cambria" w:cs="Cambria"/>
        </w:rPr>
        <w:t>implemented in accordance with the national standard</w:t>
      </w:r>
      <w:r>
        <w:rPr>
          <w:rFonts w:hint="default" w:ascii="Cambria" w:hAnsi="Cambria" w:cs="Cambria"/>
          <w:lang w:val="en-US" w:eastAsia="zh-CN"/>
        </w:rPr>
        <w:t>s</w:t>
      </w:r>
      <w:r>
        <w:rPr>
          <w:rFonts w:hint="default" w:ascii="Cambria" w:hAnsi="Cambria" w:cs="Cambria"/>
        </w:rPr>
        <w:t xml:space="preserve"> </w:t>
      </w:r>
      <w:r>
        <w:rPr>
          <w:rFonts w:hint="default" w:ascii="Cambria" w:hAnsi="Cambria" w:cs="Cambria"/>
          <w:lang w:val="en-US" w:eastAsia="zh-CN"/>
        </w:rPr>
        <w:t xml:space="preserve">of </w:t>
      </w:r>
      <w:r>
        <w:rPr>
          <w:rFonts w:hint="default" w:ascii="Cambria" w:hAnsi="Cambria" w:cs="Cambria"/>
        </w:rPr>
        <w:t>GB 3100～3102</w:t>
      </w:r>
      <w:r>
        <w:rPr>
          <w:rFonts w:hint="default" w:ascii="Cambria" w:hAnsi="Cambria" w:cs="Cambria" w:eastAsiaTheme="minorEastAsia"/>
          <w:kern w:val="2"/>
          <w:sz w:val="21"/>
          <w:szCs w:val="24"/>
          <w:lang w:val="en-US" w:eastAsia="zh-CN" w:bidi="ar-SA"/>
        </w:rPr>
        <w:t>–</w:t>
      </w:r>
      <w:r>
        <w:rPr>
          <w:rFonts w:hint="default" w:ascii="Cambria" w:hAnsi="Cambria" w:cs="Cambria"/>
        </w:rPr>
        <w:t>1993</w:t>
      </w:r>
      <w:r>
        <w:rPr>
          <w:rFonts w:hint="default" w:ascii="Cambria" w:hAnsi="Cambria" w:cs="Cambria"/>
          <w:lang w:val="en-US" w:eastAsia="zh-CN"/>
        </w:rPr>
        <w:t xml:space="preserve"> </w:t>
      </w:r>
      <w:r>
        <w:rPr>
          <w:rFonts w:hint="default" w:ascii="Cambria" w:hAnsi="Cambria" w:cs="Cambria"/>
        </w:rPr>
        <w:t>Quantities and units of space and time, and unit symbols shall adopt internationally recognized symbols.</w:t>
      </w:r>
      <w:r>
        <w:rPr>
          <w:rFonts w:hint="default" w:ascii="Cambria" w:hAnsi="Cambria" w:cs="Cambria"/>
          <w:lang w:val="en-US" w:eastAsia="zh-CN"/>
        </w:rPr>
        <w:t xml:space="preserve"> </w:t>
      </w:r>
    </w:p>
    <w:p w14:paraId="12023F23">
      <w:pPr>
        <w:rPr>
          <w:rFonts w:hint="default" w:ascii="Cambria" w:hAnsi="Cambria" w:cs="Cambria"/>
          <w:b/>
          <w:bCs/>
          <w:sz w:val="24"/>
          <w:szCs w:val="24"/>
        </w:rPr>
      </w:pPr>
    </w:p>
    <w:p w14:paraId="78B1A870">
      <w:pPr>
        <w:rPr>
          <w:rFonts w:hint="default" w:ascii="Cambria" w:hAnsi="Cambria" w:cs="Cambria"/>
          <w:b/>
          <w:bCs/>
          <w:sz w:val="24"/>
          <w:szCs w:val="24"/>
        </w:rPr>
      </w:pPr>
      <w:r>
        <w:rPr>
          <w:rFonts w:hint="default" w:ascii="Cambria" w:hAnsi="Cambria" w:cs="Cambria"/>
          <w:b/>
          <w:bCs/>
          <w:sz w:val="24"/>
          <w:szCs w:val="24"/>
        </w:rPr>
        <w:t>III. Relationship with Relevant Laws, Regulations and Standards</w:t>
      </w:r>
    </w:p>
    <w:p w14:paraId="1376E7B8">
      <w:pPr>
        <w:numPr>
          <w:ilvl w:val="0"/>
          <w:numId w:val="0"/>
        </w:numPr>
        <w:ind w:firstLine="420" w:firstLineChars="0"/>
        <w:rPr>
          <w:rFonts w:hint="default" w:ascii="Cambria" w:hAnsi="Cambria" w:cs="Cambria"/>
        </w:rPr>
      </w:pPr>
      <w:r>
        <w:rPr>
          <w:rFonts w:hint="default" w:ascii="Cambria" w:hAnsi="Cambria" w:cs="Cambria"/>
        </w:rPr>
        <w:t>As an international organization</w:t>
      </w:r>
      <w:r>
        <w:rPr>
          <w:rFonts w:hint="default" w:ascii="Cambria" w:hAnsi="Cambria" w:cs="Cambria"/>
          <w:lang w:val="en-US" w:eastAsia="zh-CN"/>
        </w:rPr>
        <w:t>al</w:t>
      </w:r>
      <w:r>
        <w:rPr>
          <w:rFonts w:hint="default" w:ascii="Cambria" w:hAnsi="Cambria" w:cs="Cambria"/>
        </w:rPr>
        <w:t xml:space="preserve"> standard, this standard systematically sorts out and reconciles the relationships among relevant laws, regulations, and mandatory and recommended standards at home and abroad during </w:t>
      </w:r>
      <w:r>
        <w:rPr>
          <w:rFonts w:hint="default" w:ascii="Cambria" w:hAnsi="Cambria" w:cs="Cambria"/>
          <w:lang w:val="en-US" w:eastAsia="zh-CN"/>
        </w:rPr>
        <w:t xml:space="preserve">its </w:t>
      </w:r>
      <w:r>
        <w:rPr>
          <w:rFonts w:hint="default" w:ascii="Cambria" w:hAnsi="Cambria" w:cs="Cambria"/>
        </w:rPr>
        <w:t>formulation. The standard not only follows the basic requirements of existing norms</w:t>
      </w:r>
      <w:r>
        <w:rPr>
          <w:rFonts w:hint="default" w:ascii="Cambria" w:hAnsi="Cambria" w:cs="Cambria"/>
          <w:lang w:val="en-US" w:eastAsia="zh-CN"/>
        </w:rPr>
        <w:t>,</w:t>
      </w:r>
      <w:r>
        <w:rPr>
          <w:rFonts w:hint="default" w:ascii="Cambria" w:hAnsi="Cambria" w:cs="Cambria"/>
        </w:rPr>
        <w:t xml:space="preserve"> but also, based on thorough research, expert demonstration, and international benchmarking, makes evidence</w:t>
      </w:r>
      <w:r>
        <w:rPr>
          <w:rFonts w:hint="default" w:ascii="Cambria" w:hAnsi="Cambria" w:cs="Cambria"/>
          <w:lang w:val="en-US" w:eastAsia="zh-CN"/>
        </w:rPr>
        <w:t>-</w:t>
      </w:r>
      <w:r>
        <w:rPr>
          <w:rFonts w:hint="default" w:ascii="Cambria" w:hAnsi="Cambria" w:cs="Cambria"/>
        </w:rPr>
        <w:t xml:space="preserve">based and bounded technical adjustments to </w:t>
      </w:r>
      <w:r>
        <w:rPr>
          <w:rFonts w:hint="default" w:ascii="Cambria" w:hAnsi="Cambria" w:cs="Cambria"/>
          <w:lang w:val="en-US" w:eastAsia="zh-CN"/>
        </w:rPr>
        <w:t xml:space="preserve">partial </w:t>
      </w:r>
      <w:r>
        <w:rPr>
          <w:rFonts w:hint="default" w:ascii="Cambria" w:hAnsi="Cambria" w:cs="Cambria"/>
        </w:rPr>
        <w:t>content</w:t>
      </w:r>
      <w:r>
        <w:rPr>
          <w:rFonts w:hint="default" w:ascii="Cambria" w:hAnsi="Cambria" w:cs="Cambria"/>
          <w:lang w:val="en-US" w:eastAsia="zh-CN"/>
        </w:rPr>
        <w:t>s</w:t>
      </w:r>
      <w:r>
        <w:rPr>
          <w:rFonts w:hint="default" w:ascii="Cambria" w:hAnsi="Cambria" w:cs="Cambria"/>
        </w:rPr>
        <w:t xml:space="preserve"> to ensure its scientificity, safety, standardization, and international applicability.</w:t>
      </w:r>
    </w:p>
    <w:p w14:paraId="53FF4A80">
      <w:pPr>
        <w:numPr>
          <w:ilvl w:val="0"/>
          <w:numId w:val="0"/>
        </w:numPr>
        <w:rPr>
          <w:rFonts w:hint="default" w:ascii="Cambria" w:hAnsi="Cambria" w:cs="Cambria"/>
        </w:rPr>
      </w:pPr>
      <w:r>
        <w:rPr>
          <w:rFonts w:hint="default" w:ascii="Cambria" w:hAnsi="Cambria" w:cs="Cambria"/>
        </w:rPr>
        <w:t>(1) Relationship with Laws and Regulations</w:t>
      </w:r>
    </w:p>
    <w:p w14:paraId="65823B6A">
      <w:pPr>
        <w:numPr>
          <w:ilvl w:val="0"/>
          <w:numId w:val="0"/>
        </w:numPr>
        <w:ind w:firstLine="420" w:firstLineChars="0"/>
        <w:rPr>
          <w:rFonts w:hint="default" w:ascii="Cambria" w:hAnsi="Cambria" w:cs="Cambria"/>
        </w:rPr>
      </w:pPr>
      <w:r>
        <w:rPr>
          <w:rFonts w:hint="default" w:ascii="Cambria" w:hAnsi="Cambria" w:cs="Cambria"/>
        </w:rPr>
        <w:t xml:space="preserve">During the compilation and application of this standard, full respect and compliance with the current medical and health laws, regulations, and practice management systems of various countries and regions are ensured. For methods such as pediatric cupping, flash cupping, moving cupping, </w:t>
      </w:r>
      <w:r>
        <w:rPr>
          <w:rFonts w:hint="default" w:ascii="Cambria" w:hAnsi="Cambria" w:cs="Cambria"/>
          <w:lang w:eastAsia="zh-CN"/>
        </w:rPr>
        <w:t>blood-letting puncture cupping</w:t>
      </w:r>
      <w:r>
        <w:rPr>
          <w:rFonts w:hint="default" w:ascii="Cambria" w:hAnsi="Cambria" w:cs="Cambria"/>
        </w:rPr>
        <w:t xml:space="preserve">, and cupping with retained needles involved in the standard, especially those with certain invasiveness, it is clearly stated that they should be implemented </w:t>
      </w:r>
      <w:r>
        <w:rPr>
          <w:rFonts w:hint="default" w:ascii="Cambria" w:hAnsi="Cambria" w:cs="Cambria"/>
          <w:lang w:val="en-US" w:eastAsia="zh-CN"/>
        </w:rPr>
        <w:t xml:space="preserve">on </w:t>
      </w:r>
      <w:r>
        <w:rPr>
          <w:rFonts w:hint="default" w:ascii="Cambria" w:hAnsi="Cambria" w:cs="Cambria"/>
        </w:rPr>
        <w:t>the premise of complying with laws, regulations, scope of practice, and personnel qualification requirements.</w:t>
      </w:r>
    </w:p>
    <w:p w14:paraId="4A21E2D5">
      <w:pPr>
        <w:numPr>
          <w:ilvl w:val="0"/>
          <w:numId w:val="0"/>
        </w:numPr>
        <w:ind w:firstLine="420" w:firstLineChars="0"/>
        <w:rPr>
          <w:rFonts w:hint="default" w:ascii="Cambria" w:hAnsi="Cambria" w:cs="Cambria"/>
        </w:rPr>
      </w:pPr>
      <w:r>
        <w:rPr>
          <w:rFonts w:hint="default" w:ascii="Cambria" w:hAnsi="Cambria" w:cs="Cambria"/>
        </w:rPr>
        <w:t>During expert questionnaire surveys and demonstration meetings, numerous specialists from Canada, Thailand and other countries and regions clearly pointed out that local laws impose varying degrees of restrictions on pediatric blood-</w:t>
      </w:r>
      <w:r>
        <w:rPr>
          <w:rFonts w:hint="default" w:ascii="Cambria" w:hAnsi="Cambria" w:cs="Cambria"/>
          <w:lang w:val="en-US" w:eastAsia="zh-CN"/>
        </w:rPr>
        <w:t xml:space="preserve">letting puncture </w:t>
      </w:r>
      <w:r>
        <w:rPr>
          <w:rFonts w:hint="default" w:ascii="Cambria" w:hAnsi="Cambria" w:cs="Cambria"/>
        </w:rPr>
        <w:t>cupping and similar procedures. Following expert deliberation, this standard explicitly stipulates the principle of priority of local laws and regulations in prominent sections including "Scope" and "</w:t>
      </w:r>
      <w:r>
        <w:rPr>
          <w:rFonts w:hint="default" w:ascii="Cambria" w:hAnsi="Cambria" w:cs="Cambria"/>
          <w:lang w:val="en-US" w:eastAsia="zh-CN"/>
        </w:rPr>
        <w:t>Preface</w:t>
      </w:r>
      <w:r>
        <w:rPr>
          <w:rFonts w:hint="default" w:ascii="Cambria" w:hAnsi="Cambria" w:cs="Cambria"/>
        </w:rPr>
        <w:t>". Specifically, the standard only provides technical operational references without unified provisions on specific practice qualifications or management systems, so as to guarantee legality and feasibility during its global promotion and application.</w:t>
      </w:r>
    </w:p>
    <w:p w14:paraId="428AAF81">
      <w:pPr>
        <w:numPr>
          <w:ilvl w:val="0"/>
          <w:numId w:val="0"/>
        </w:numPr>
        <w:ind w:firstLine="420" w:firstLineChars="0"/>
        <w:rPr>
          <w:rFonts w:hint="default" w:ascii="Cambria" w:hAnsi="Cambria" w:cs="Cambria"/>
        </w:rPr>
      </w:pPr>
    </w:p>
    <w:p w14:paraId="20D5142A">
      <w:pPr>
        <w:numPr>
          <w:ilvl w:val="0"/>
          <w:numId w:val="0"/>
        </w:numPr>
        <w:rPr>
          <w:rFonts w:hint="default" w:ascii="Cambria" w:hAnsi="Cambria" w:cs="Cambria"/>
        </w:rPr>
      </w:pPr>
      <w:r>
        <w:rPr>
          <w:rFonts w:hint="default" w:ascii="Cambria" w:hAnsi="Cambria" w:cs="Cambria"/>
        </w:rPr>
        <w:t>(2) Relationship with Non</w:t>
      </w:r>
      <w:r>
        <w:rPr>
          <w:rFonts w:hint="default" w:ascii="Cambria" w:hAnsi="Cambria" w:cs="Cambria"/>
          <w:lang w:val="en-US" w:eastAsia="zh-CN"/>
        </w:rPr>
        <w:t>-</w:t>
      </w:r>
      <w:r>
        <w:rPr>
          <w:rFonts w:hint="default" w:ascii="Cambria" w:hAnsi="Cambria" w:cs="Cambria"/>
        </w:rPr>
        <w:t xml:space="preserve">mandatory National Standards, International Standards and </w:t>
      </w:r>
      <w:r>
        <w:rPr>
          <w:rFonts w:hint="default" w:ascii="Cambria" w:hAnsi="Cambria" w:cs="Cambria"/>
          <w:lang w:eastAsia="zh-CN"/>
        </w:rPr>
        <w:t>association standards</w:t>
      </w:r>
      <w:r>
        <w:rPr>
          <w:rFonts w:hint="default" w:ascii="Cambria" w:hAnsi="Cambria" w:cs="Cambria"/>
        </w:rPr>
        <w:t xml:space="preserve"> and Explanation of Modification Basis</w:t>
      </w:r>
    </w:p>
    <w:p w14:paraId="2F35C742">
      <w:pPr>
        <w:numPr>
          <w:ilvl w:val="0"/>
          <w:numId w:val="0"/>
        </w:numPr>
        <w:ind w:firstLine="420" w:firstLineChars="0"/>
        <w:rPr>
          <w:rFonts w:hint="default" w:ascii="Cambria" w:hAnsi="Cambria" w:cs="Cambria"/>
        </w:rPr>
      </w:pPr>
      <w:r>
        <w:rPr>
          <w:rFonts w:hint="default" w:ascii="Cambria" w:hAnsi="Cambria" w:cs="Cambria"/>
        </w:rPr>
        <w:t xml:space="preserve"> Formulated on the basis of</w:t>
      </w:r>
      <w:r>
        <w:rPr>
          <w:rFonts w:hint="default" w:ascii="Cambria" w:hAnsi="Cambria" w:cs="Cambria"/>
          <w:lang w:val="en-US" w:eastAsia="zh-CN"/>
        </w:rPr>
        <w:t xml:space="preserve"> </w:t>
      </w:r>
      <w:r>
        <w:rPr>
          <w:rFonts w:hint="default" w:ascii="Cambria" w:hAnsi="Cambria" w:cs="Cambria"/>
        </w:rPr>
        <w:t>GB/Z 40893.5</w:t>
      </w:r>
      <w:r>
        <w:rPr>
          <w:rFonts w:hint="default" w:ascii="Cambria" w:hAnsi="Cambria" w:cs="Cambria"/>
          <w:lang w:val="en-US" w:eastAsia="zh-CN"/>
        </w:rPr>
        <w:t>-</w:t>
      </w:r>
      <w:r>
        <w:rPr>
          <w:rFonts w:hint="default" w:ascii="Cambria" w:hAnsi="Cambria" w:cs="Cambria"/>
        </w:rPr>
        <w:t>2021</w:t>
      </w:r>
      <w:r>
        <w:rPr>
          <w:rFonts w:hint="default" w:ascii="Cambria" w:hAnsi="Cambria" w:cs="Cambria"/>
          <w:lang w:val="en-US" w:eastAsia="zh-CN"/>
        </w:rPr>
        <w:t xml:space="preserve"> SOTTCMP-CT, </w:t>
      </w:r>
      <w:r>
        <w:rPr>
          <w:rFonts w:hint="default" w:ascii="Cambria" w:hAnsi="Cambria" w:cs="Cambria"/>
        </w:rPr>
        <w:t>this standard has systematically optimized and technically refined partial contents through expert questionnaire surveys, expert deliberations and international benchmarking. The modifications do not substantially change the technical connotation</w:t>
      </w:r>
      <w:r>
        <w:rPr>
          <w:rFonts w:hint="default" w:ascii="Cambria" w:hAnsi="Cambria" w:cs="Cambria"/>
          <w:lang w:val="en-US" w:eastAsia="zh-CN"/>
        </w:rPr>
        <w:t>,</w:t>
      </w:r>
      <w:r>
        <w:rPr>
          <w:rFonts w:hint="default" w:ascii="Cambria" w:hAnsi="Cambria" w:cs="Cambria"/>
        </w:rPr>
        <w:t xml:space="preserve"> but enhance its international versatility and operational safety while maintaining the consistency of the core framework and basic principles of the original standard.</w:t>
      </w:r>
    </w:p>
    <w:p w14:paraId="028696F6">
      <w:pPr>
        <w:numPr>
          <w:ilvl w:val="0"/>
          <w:numId w:val="0"/>
        </w:numPr>
        <w:rPr>
          <w:rFonts w:hint="default" w:ascii="Cambria" w:hAnsi="Cambria" w:cs="Cambria"/>
        </w:rPr>
      </w:pPr>
    </w:p>
    <w:p w14:paraId="3D8327C8">
      <w:pPr>
        <w:numPr>
          <w:ilvl w:val="0"/>
          <w:numId w:val="0"/>
        </w:numPr>
        <w:rPr>
          <w:rFonts w:hint="default" w:ascii="Cambria" w:hAnsi="Cambria" w:cs="Cambria"/>
        </w:rPr>
      </w:pPr>
      <w:r>
        <w:rPr>
          <w:rFonts w:hint="default" w:ascii="Cambria" w:hAnsi="Cambria" w:cs="Cambria"/>
        </w:rPr>
        <w:t>(3) Relationship with Disease Classification and Clinical Diagnosis and Treatment Guideline Documents</w:t>
      </w:r>
    </w:p>
    <w:p w14:paraId="41724C5A">
      <w:pPr>
        <w:numPr>
          <w:ilvl w:val="0"/>
          <w:numId w:val="0"/>
        </w:numPr>
        <w:ind w:firstLine="420" w:firstLineChars="0"/>
        <w:rPr>
          <w:rFonts w:hint="default" w:ascii="Cambria" w:hAnsi="Cambria" w:cs="Cambria"/>
        </w:rPr>
      </w:pPr>
      <w:r>
        <w:rPr>
          <w:rFonts w:hint="default" w:ascii="Cambria" w:hAnsi="Cambria" w:cs="Cambria"/>
        </w:rPr>
        <w:t>Documents</w:t>
      </w:r>
      <w:r>
        <w:rPr>
          <w:rFonts w:hint="default" w:ascii="Cambria" w:hAnsi="Cambria" w:cs="Cambria"/>
          <w:lang w:val="en-US" w:eastAsia="zh-CN"/>
        </w:rPr>
        <w:t>,</w:t>
      </w:r>
      <w:r>
        <w:rPr>
          <w:rFonts w:hint="default" w:ascii="Cambria" w:hAnsi="Cambria" w:cs="Cambria"/>
        </w:rPr>
        <w:t xml:space="preserve"> including ICD</w:t>
      </w:r>
      <w:r>
        <w:rPr>
          <w:rFonts w:hint="default" w:ascii="Cambria" w:hAnsi="Cambria" w:cs="Cambria"/>
          <w:lang w:val="en-US" w:eastAsia="zh-CN"/>
        </w:rPr>
        <w:t>-</w:t>
      </w:r>
      <w:r>
        <w:rPr>
          <w:rFonts w:hint="default" w:ascii="Cambria" w:hAnsi="Cambria" w:cs="Cambria"/>
        </w:rPr>
        <w:t>11</w:t>
      </w:r>
      <w:r>
        <w:rPr>
          <w:rFonts w:hint="default" w:ascii="Cambria" w:hAnsi="Cambria" w:cs="Cambria"/>
          <w:lang w:val="en-US" w:eastAsia="zh-CN"/>
        </w:rPr>
        <w:t xml:space="preserve"> by </w:t>
      </w:r>
      <w:r>
        <w:rPr>
          <w:rFonts w:hint="default" w:ascii="Cambria" w:hAnsi="Cambria" w:cs="Cambria"/>
        </w:rPr>
        <w:t xml:space="preserve">WHO and Clinical Diagnosis and Treatment Guidelines for </w:t>
      </w:r>
      <w:r>
        <w:rPr>
          <w:rFonts w:hint="default" w:ascii="Cambria" w:hAnsi="Cambria" w:cs="Cambria"/>
          <w:lang w:eastAsia="zh-CN"/>
        </w:rPr>
        <w:t>TCM</w:t>
      </w:r>
      <w:r>
        <w:rPr>
          <w:rFonts w:hint="default" w:ascii="Cambria" w:hAnsi="Cambria" w:cs="Cambria"/>
        </w:rPr>
        <w:t xml:space="preserve"> Pediatrics</w:t>
      </w:r>
      <w:r>
        <w:rPr>
          <w:rFonts w:hint="default" w:ascii="Cambria" w:hAnsi="Cambria" w:cs="Cambria"/>
          <w:lang w:val="en-US" w:eastAsia="zh-CN"/>
        </w:rPr>
        <w:t>,</w:t>
      </w:r>
      <w:r>
        <w:rPr>
          <w:rFonts w:hint="default" w:ascii="Cambria" w:hAnsi="Cambria" w:cs="Cambria"/>
        </w:rPr>
        <w:t xml:space="preserve"> are not directly cited in this standard. The</w:t>
      </w:r>
      <w:r>
        <w:rPr>
          <w:rFonts w:hint="default" w:ascii="Cambria" w:hAnsi="Cambria" w:cs="Cambria"/>
          <w:lang w:val="en-US" w:eastAsia="zh-CN"/>
        </w:rPr>
        <w:t>se</w:t>
      </w:r>
      <w:r>
        <w:rPr>
          <w:rFonts w:hint="default" w:ascii="Cambria" w:hAnsi="Cambria" w:cs="Cambria"/>
        </w:rPr>
        <w:t xml:space="preserve"> documents mainly provide guidance on disease classification, diagnosis and treatment principles as well as therapeutic strategies, rather than specifying concrete operational techniques for pediatric TCM cupping therapy.</w:t>
      </w:r>
    </w:p>
    <w:p w14:paraId="0A6D7A39">
      <w:pPr>
        <w:numPr>
          <w:ilvl w:val="0"/>
          <w:numId w:val="0"/>
        </w:numPr>
        <w:rPr>
          <w:rFonts w:hint="default" w:ascii="Cambria" w:hAnsi="Cambria" w:cs="Cambria"/>
        </w:rPr>
      </w:pPr>
    </w:p>
    <w:p w14:paraId="758F23D4">
      <w:pPr>
        <w:numPr>
          <w:ilvl w:val="0"/>
          <w:numId w:val="0"/>
        </w:numPr>
        <w:rPr>
          <w:rFonts w:hint="default" w:ascii="Cambria" w:hAnsi="Cambria" w:cs="Cambria"/>
        </w:rPr>
      </w:pPr>
      <w:r>
        <w:rPr>
          <w:rFonts w:hint="default" w:ascii="Cambria" w:hAnsi="Cambria" w:cs="Cambria"/>
        </w:rPr>
        <w:t>(4) Standard Application Principles and Coordination Explanation</w:t>
      </w:r>
    </w:p>
    <w:p w14:paraId="437B944F">
      <w:pPr>
        <w:numPr>
          <w:ilvl w:val="0"/>
          <w:numId w:val="0"/>
        </w:numPr>
        <w:ind w:firstLine="420" w:firstLineChars="0"/>
        <w:rPr>
          <w:rFonts w:hint="default" w:ascii="Cambria" w:hAnsi="Cambria" w:cs="Cambria"/>
          <w:lang w:val="en-US" w:eastAsia="zh-CN"/>
        </w:rPr>
      </w:pPr>
      <w:r>
        <w:rPr>
          <w:rFonts w:hint="default" w:ascii="Cambria" w:hAnsi="Cambria" w:cs="Cambria"/>
        </w:rPr>
        <w:t xml:space="preserve">This standard is positioned as an operation specification for pediatric cupping therapy in </w:t>
      </w:r>
      <w:r>
        <w:rPr>
          <w:rFonts w:hint="default" w:ascii="Cambria" w:hAnsi="Cambria" w:cs="Cambria"/>
          <w:lang w:eastAsia="zh-CN"/>
        </w:rPr>
        <w:t>TCM</w:t>
      </w:r>
      <w:r>
        <w:rPr>
          <w:rFonts w:hint="default" w:ascii="Cambria" w:hAnsi="Cambria" w:cs="Cambria"/>
        </w:rPr>
        <w:t xml:space="preserve"> and does not involve disease diagnosis, efficacy evaluation, or selection of specific prescriptions and medications. In the process of standard implementation, the principles of giving priority to laws and regulations, mandatory standards, and local management </w:t>
      </w:r>
      <w:r>
        <w:rPr>
          <w:rFonts w:hint="default" w:ascii="Cambria" w:hAnsi="Cambria" w:cs="Cambria"/>
          <w:lang w:val="en-US" w:eastAsia="zh-CN"/>
        </w:rPr>
        <w:t xml:space="preserve">shall </w:t>
      </w:r>
      <w:r>
        <w:rPr>
          <w:rFonts w:hint="default" w:ascii="Cambria" w:hAnsi="Cambria" w:cs="Cambria"/>
        </w:rPr>
        <w:t xml:space="preserve">be followed. </w:t>
      </w:r>
      <w:r>
        <w:rPr>
          <w:rFonts w:hint="default" w:ascii="Cambria" w:hAnsi="Cambria" w:cs="Cambria"/>
          <w:lang w:val="en-US" w:eastAsia="zh-CN"/>
        </w:rPr>
        <w:t>Subject to the above prerequisites, this standard may serve as a technical reference document for clinical practice, teaching, scientific research and international exchanges related to pediatric TCM.</w:t>
      </w:r>
    </w:p>
    <w:p w14:paraId="568996EA">
      <w:pPr>
        <w:numPr>
          <w:ilvl w:val="0"/>
          <w:numId w:val="0"/>
        </w:numPr>
        <w:rPr>
          <w:rFonts w:hint="default" w:ascii="Cambria" w:hAnsi="Cambria" w:cs="Cambria"/>
        </w:rPr>
      </w:pPr>
    </w:p>
    <w:p w14:paraId="083F5AC6">
      <w:pPr>
        <w:numPr>
          <w:ilvl w:val="0"/>
          <w:numId w:val="0"/>
        </w:numPr>
        <w:rPr>
          <w:rFonts w:hint="default" w:ascii="Cambria" w:hAnsi="Cambria" w:cs="Cambria"/>
          <w:b/>
          <w:bCs/>
          <w:sz w:val="24"/>
          <w:szCs w:val="24"/>
        </w:rPr>
      </w:pPr>
      <w:r>
        <w:rPr>
          <w:rFonts w:hint="default" w:ascii="Cambria" w:hAnsi="Cambria" w:cs="Cambria"/>
          <w:b/>
          <w:bCs/>
          <w:sz w:val="24"/>
          <w:szCs w:val="24"/>
        </w:rPr>
        <w:t>IV. Handling Process and Basis of Major Analytical Opinions</w:t>
      </w:r>
    </w:p>
    <w:p w14:paraId="6F46F56A">
      <w:pPr>
        <w:numPr>
          <w:ilvl w:val="0"/>
          <w:numId w:val="0"/>
        </w:numPr>
        <w:ind w:firstLine="420" w:firstLineChars="0"/>
        <w:rPr>
          <w:rFonts w:hint="default" w:ascii="Cambria" w:hAnsi="Cambria" w:cs="Cambria"/>
        </w:rPr>
      </w:pPr>
      <w:r>
        <w:rPr>
          <w:rFonts w:hint="default" w:ascii="Cambria" w:hAnsi="Cambria" w:cs="Cambria"/>
        </w:rPr>
        <w:t xml:space="preserve">In the process of </w:t>
      </w:r>
      <w:r>
        <w:rPr>
          <w:rFonts w:hint="default" w:ascii="Cambria" w:hAnsi="Cambria" w:cs="Cambria"/>
          <w:lang w:val="en-US" w:eastAsia="zh-CN"/>
        </w:rPr>
        <w:t>upgrading SOTTCMP-CT</w:t>
      </w:r>
      <w:r>
        <w:rPr>
          <w:rFonts w:hint="default" w:ascii="Cambria" w:hAnsi="Cambria" w:cs="Cambria"/>
        </w:rPr>
        <w:t xml:space="preserve"> from a national standard to an international </w:t>
      </w:r>
      <w:r>
        <w:rPr>
          <w:rFonts w:hint="default" w:ascii="Cambria" w:hAnsi="Cambria" w:cs="Cambria"/>
          <w:lang w:val="en-US" w:eastAsia="zh-CN"/>
        </w:rPr>
        <w:t>one</w:t>
      </w:r>
      <w:r>
        <w:rPr>
          <w:rFonts w:hint="default" w:ascii="Cambria" w:hAnsi="Cambria" w:cs="Cambria"/>
        </w:rPr>
        <w:t>, the project working group carried out a series of work</w:t>
      </w:r>
      <w:r>
        <w:rPr>
          <w:rFonts w:hint="default" w:ascii="Cambria" w:hAnsi="Cambria" w:cs="Cambria"/>
          <w:lang w:val="en-US" w:eastAsia="zh-CN"/>
        </w:rPr>
        <w:t>,</w:t>
      </w:r>
      <w:r>
        <w:rPr>
          <w:rFonts w:hint="default" w:ascii="Cambria" w:hAnsi="Cambria" w:cs="Cambria"/>
        </w:rPr>
        <w:t xml:space="preserve"> such as expert questionnaire surveys, expert demonstration meetings, and reviews by the </w:t>
      </w:r>
      <w:r>
        <w:rPr>
          <w:rFonts w:hint="default" w:ascii="Cambria" w:hAnsi="Cambria" w:cs="Cambria"/>
          <w:lang w:eastAsia="zh-CN"/>
        </w:rPr>
        <w:t>expert steering group</w:t>
      </w:r>
      <w:r>
        <w:rPr>
          <w:rFonts w:hint="default" w:ascii="Cambria" w:hAnsi="Cambria" w:cs="Cambria"/>
        </w:rPr>
        <w:t xml:space="preserve"> </w:t>
      </w:r>
      <w:r>
        <w:rPr>
          <w:rFonts w:hint="default" w:ascii="Cambria" w:hAnsi="Cambria" w:cs="Cambria"/>
          <w:lang w:val="en-US" w:eastAsia="zh-CN"/>
        </w:rPr>
        <w:t>on essential</w:t>
      </w:r>
      <w:r>
        <w:rPr>
          <w:rFonts w:hint="default" w:ascii="Cambria" w:hAnsi="Cambria" w:cs="Cambria"/>
        </w:rPr>
        <w:t xml:space="preserve"> issues </w:t>
      </w:r>
      <w:r>
        <w:rPr>
          <w:rFonts w:hint="default" w:ascii="Cambria" w:hAnsi="Cambria" w:cs="Cambria"/>
          <w:lang w:val="en-US" w:eastAsia="zh-CN"/>
        </w:rPr>
        <w:t>like</w:t>
      </w:r>
      <w:r>
        <w:rPr>
          <w:rFonts w:hint="default" w:ascii="Cambria" w:hAnsi="Cambria" w:cs="Cambria"/>
        </w:rPr>
        <w:t xml:space="preserve"> the technical content, scope of application, and safety of the standard. The major opinions by experts were systematically sorted out, centrally analyzed, and standardized, forming the final text of this standard. The handling process and basis of relevant opinions are explained as follows.</w:t>
      </w:r>
    </w:p>
    <w:p w14:paraId="22932FAE">
      <w:pPr>
        <w:numPr>
          <w:ilvl w:val="0"/>
          <w:numId w:val="0"/>
        </w:numPr>
        <w:rPr>
          <w:rFonts w:hint="default" w:ascii="Cambria" w:hAnsi="Cambria" w:cs="Cambria"/>
        </w:rPr>
      </w:pPr>
      <w:r>
        <w:rPr>
          <w:rFonts w:hint="default" w:ascii="Cambria" w:hAnsi="Cambria" w:cs="Cambria"/>
        </w:rPr>
        <w:t>(1) Summary and Disposition of Feedback from Expert Questionnaires</w:t>
      </w:r>
    </w:p>
    <w:p w14:paraId="5267D5BE">
      <w:pPr>
        <w:numPr>
          <w:ilvl w:val="0"/>
          <w:numId w:val="0"/>
        </w:numPr>
        <w:ind w:firstLine="420" w:firstLineChars="0"/>
        <w:rPr>
          <w:rFonts w:hint="default" w:ascii="Cambria" w:hAnsi="Cambria" w:cs="Cambria" w:eastAsiaTheme="minorEastAsia"/>
          <w:lang w:val="en-US" w:eastAsia="zh-CN"/>
        </w:rPr>
      </w:pPr>
      <w:r>
        <w:rPr>
          <w:rFonts w:hint="default" w:ascii="Cambria" w:hAnsi="Cambria" w:cs="Cambria"/>
        </w:rPr>
        <w:t xml:space="preserve">Based on literature research and the original national standard, the project working group organized an expert questionnaire survey to widely solicit opinions from domestic and foreign experts in </w:t>
      </w:r>
      <w:r>
        <w:rPr>
          <w:rFonts w:hint="default" w:ascii="Cambria" w:hAnsi="Cambria" w:cs="Cambria"/>
          <w:lang w:eastAsia="zh-CN"/>
        </w:rPr>
        <w:t>TCM</w:t>
      </w:r>
      <w:r>
        <w:rPr>
          <w:rFonts w:hint="default" w:ascii="Cambria" w:hAnsi="Cambria" w:cs="Cambria"/>
        </w:rPr>
        <w:t xml:space="preserve"> pediatrics and related fields on the provisions of </w:t>
      </w:r>
      <w:r>
        <w:rPr>
          <w:rFonts w:hint="default" w:ascii="Cambria" w:hAnsi="Cambria" w:cs="Cambria"/>
          <w:lang w:eastAsia="zh-CN"/>
        </w:rPr>
        <w:t>ISMCMP-CT</w:t>
      </w:r>
      <w:r>
        <w:rPr>
          <w:rFonts w:hint="default" w:ascii="Cambria" w:hAnsi="Cambria" w:cs="Cambria"/>
        </w:rPr>
        <w:t xml:space="preserve">. </w:t>
      </w:r>
      <w:r>
        <w:rPr>
          <w:rFonts w:hint="default" w:ascii="Cambria" w:hAnsi="Cambria" w:cs="Cambria"/>
          <w:lang w:val="en-US" w:eastAsia="zh-CN"/>
        </w:rPr>
        <w:t>The questionnaire contains items covering term definitions, technical operating procedures, precautions and contraindications, safety requirements, standard structure design and other aspects, supplemented by open-ended questions to collect expert opinions.</w:t>
      </w:r>
    </w:p>
    <w:p w14:paraId="289AEC68">
      <w:pPr>
        <w:numPr>
          <w:ilvl w:val="0"/>
          <w:numId w:val="0"/>
        </w:numPr>
        <w:ind w:firstLine="420" w:firstLineChars="0"/>
        <w:rPr>
          <w:rFonts w:hint="default" w:ascii="Cambria" w:hAnsi="Cambria" w:cs="Cambria"/>
        </w:rPr>
      </w:pPr>
      <w:r>
        <w:rPr>
          <w:rFonts w:hint="default" w:ascii="Cambria" w:hAnsi="Cambria" w:cs="Cambria"/>
        </w:rPr>
        <w:t xml:space="preserve">A total of 30 questionnaires were distributed, and 30 valid </w:t>
      </w:r>
      <w:r>
        <w:rPr>
          <w:rFonts w:hint="default" w:ascii="Cambria" w:hAnsi="Cambria" w:cs="Cambria"/>
          <w:lang w:val="en-US" w:eastAsia="zh-CN"/>
        </w:rPr>
        <w:t xml:space="preserve">responses </w:t>
      </w:r>
      <w:r>
        <w:rPr>
          <w:rFonts w:hint="default" w:ascii="Cambria" w:hAnsi="Cambria" w:cs="Cambria"/>
        </w:rPr>
        <w:t xml:space="preserve">were </w:t>
      </w:r>
      <w:r>
        <w:rPr>
          <w:rFonts w:hint="default" w:ascii="Cambria" w:hAnsi="Cambria" w:cs="Cambria"/>
          <w:lang w:val="en-US" w:eastAsia="zh-CN"/>
        </w:rPr>
        <w:t>recovered</w:t>
      </w:r>
      <w:r>
        <w:rPr>
          <w:rFonts w:hint="default" w:ascii="Cambria" w:hAnsi="Cambria" w:cs="Cambria"/>
        </w:rPr>
        <w:t>, with an expert positive</w:t>
      </w:r>
      <w:r>
        <w:rPr>
          <w:rFonts w:hint="default" w:ascii="Cambria" w:hAnsi="Cambria" w:cs="Cambria"/>
          <w:lang w:val="en-US" w:eastAsia="zh-CN"/>
        </w:rPr>
        <w:t xml:space="preserve"> </w:t>
      </w:r>
      <w:r>
        <w:rPr>
          <w:rFonts w:hint="default" w:ascii="Cambria" w:hAnsi="Cambria" w:cs="Cambria"/>
        </w:rPr>
        <w:t>coefficient of 100%. The participating experts came from multiple countries and regions</w:t>
      </w:r>
      <w:r>
        <w:rPr>
          <w:rFonts w:hint="default" w:ascii="Cambria" w:hAnsi="Cambria" w:cs="Cambria"/>
          <w:lang w:val="en-US" w:eastAsia="zh-CN"/>
        </w:rPr>
        <w:t>, including</w:t>
      </w:r>
      <w:r>
        <w:rPr>
          <w:rFonts w:hint="default" w:ascii="Cambria" w:hAnsi="Cambria" w:cs="Cambria"/>
        </w:rPr>
        <w:t xml:space="preserve"> China, Canada, Singapore, Malaysia, Thailand, and Vietnam, featuring</w:t>
      </w:r>
      <w:r>
        <w:rPr>
          <w:rFonts w:hint="default" w:ascii="Cambria" w:hAnsi="Cambria" w:cs="Cambria"/>
          <w:lang w:val="en-US" w:eastAsia="zh-CN"/>
        </w:rPr>
        <w:t xml:space="preserve"> </w:t>
      </w:r>
      <w:r>
        <w:rPr>
          <w:rFonts w:hint="default" w:ascii="Cambria" w:hAnsi="Cambria" w:cs="Cambria"/>
        </w:rPr>
        <w:t>high authority and international representativeness. According to the established statistical and handling principles, the expert opinions were systematically analyzed and classified, with detailed information presented as follows.</w:t>
      </w:r>
    </w:p>
    <w:p w14:paraId="59ACC89D">
      <w:pPr>
        <w:numPr>
          <w:ilvl w:val="0"/>
          <w:numId w:val="0"/>
        </w:numPr>
        <w:rPr>
          <w:rFonts w:hint="default" w:ascii="Cambria" w:hAnsi="Cambria" w:cs="Cambria" w:eastAsiaTheme="minorEastAsia"/>
          <w:lang w:eastAsia="zh-CN"/>
        </w:rPr>
      </w:pPr>
      <w:r>
        <w:rPr>
          <w:rFonts w:hint="default" w:ascii="Cambria" w:hAnsi="Cambria" w:cs="Cambria"/>
        </w:rPr>
        <w:t xml:space="preserve">1. Consensus Opinions with High Agreement and </w:t>
      </w:r>
      <w:r>
        <w:rPr>
          <w:rFonts w:hint="default" w:ascii="Cambria" w:hAnsi="Cambria" w:cs="Cambria"/>
          <w:lang w:val="en-US" w:eastAsia="zh-CN"/>
        </w:rPr>
        <w:t>T</w:t>
      </w:r>
      <w:r>
        <w:rPr>
          <w:rFonts w:hint="default" w:ascii="Cambria" w:hAnsi="Cambria" w:cs="Cambria"/>
        </w:rPr>
        <w:t>heir Disposition</w:t>
      </w:r>
    </w:p>
    <w:p w14:paraId="569D0417">
      <w:pPr>
        <w:numPr>
          <w:ilvl w:val="0"/>
          <w:numId w:val="0"/>
        </w:numPr>
        <w:ind w:firstLine="420" w:firstLineChars="0"/>
        <w:rPr>
          <w:rFonts w:hint="default" w:ascii="Cambria" w:hAnsi="Cambria" w:cs="Cambria" w:eastAsiaTheme="minorEastAsia"/>
          <w:lang w:val="en-US" w:eastAsia="zh-CN"/>
        </w:rPr>
      </w:pPr>
      <w:r>
        <w:rPr>
          <w:rFonts w:hint="default" w:ascii="Cambria" w:hAnsi="Cambria" w:cs="Cambria"/>
        </w:rPr>
        <w:t xml:space="preserve">According to the statistical method, any option supported by more than 50% of the experts (with a rank sum greater than half of the total number of questionnaires) </w:t>
      </w:r>
      <w:r>
        <w:rPr>
          <w:rFonts w:hint="default" w:ascii="Cambria" w:hAnsi="Cambria" w:cs="Cambria"/>
          <w:lang w:val="en-US" w:eastAsia="zh-CN"/>
        </w:rPr>
        <w:t>was to be</w:t>
      </w:r>
      <w:r>
        <w:rPr>
          <w:rFonts w:hint="default" w:ascii="Cambria" w:hAnsi="Cambria" w:cs="Cambria"/>
        </w:rPr>
        <w:t xml:space="preserve"> classified</w:t>
      </w:r>
      <w:r>
        <w:rPr>
          <w:rFonts w:hint="default" w:ascii="Cambria" w:hAnsi="Cambria" w:cs="Cambria"/>
          <w:lang w:val="en-US" w:eastAsia="zh-CN"/>
        </w:rPr>
        <w:t xml:space="preserve"> </w:t>
      </w:r>
      <w:r>
        <w:rPr>
          <w:rFonts w:hint="default" w:ascii="Cambria" w:hAnsi="Cambria" w:cs="Cambria"/>
        </w:rPr>
        <w:t xml:space="preserve">as an expert consensus opinion. </w:t>
      </w:r>
      <w:r>
        <w:rPr>
          <w:rFonts w:hint="default" w:ascii="Cambria" w:hAnsi="Cambria" w:cs="Cambria"/>
          <w:lang w:val="en-US" w:eastAsia="zh-CN"/>
        </w:rPr>
        <w:t>The project working group adopted such opinions in principle and revised or refined the provisions of this standard accordingly.</w:t>
      </w:r>
    </w:p>
    <w:p w14:paraId="62797F66">
      <w:pPr>
        <w:numPr>
          <w:ilvl w:val="0"/>
          <w:numId w:val="0"/>
        </w:numPr>
        <w:ind w:firstLine="420" w:firstLineChars="0"/>
        <w:rPr>
          <w:rFonts w:hint="default" w:ascii="Cambria" w:hAnsi="Cambria" w:cs="Cambria"/>
        </w:rPr>
      </w:pPr>
      <w:r>
        <w:rPr>
          <w:rFonts w:hint="default" w:ascii="Cambria" w:hAnsi="Cambria" w:cs="Cambria"/>
        </w:rPr>
        <w:t>Strong consensus among experts was reached regarding term definitions, certain operational procedures, as well as newly added and revised items. Revisions to the original items were carried out based on the most highly endorsed options, and expert feedback on partial items was summarized separately.</w:t>
      </w:r>
    </w:p>
    <w:p w14:paraId="292AED53">
      <w:pPr>
        <w:numPr>
          <w:ilvl w:val="0"/>
          <w:numId w:val="0"/>
        </w:numPr>
        <w:ind w:firstLine="420" w:firstLineChars="0"/>
        <w:rPr>
          <w:rFonts w:hint="default" w:ascii="Cambria" w:hAnsi="Cambria" w:cs="Cambria" w:eastAsiaTheme="minorEastAsia"/>
          <w:highlight w:val="none"/>
          <w:lang w:val="en-US" w:eastAsia="zh-CN"/>
        </w:rPr>
      </w:pPr>
      <w:r>
        <w:rPr>
          <w:rFonts w:hint="default" w:ascii="Cambria" w:hAnsi="Cambria" w:cs="Cambria"/>
        </w:rPr>
        <w:t xml:space="preserve">The summary of expert opinions is as follows: (1)Regarding the selection of cupping jar specifications, some experts proposed specifying "glass jars", as standardized specifications are unavailable for other types of jars. One expert suggested marking jars by inner diameter sizes as Size 1 to Size 5: Size 2 has an inner diameter of 4 cm, Size 3 4.5 cm, and Size 4 5 cm. Sizes 2 and 3 are mainly used for preschool children, while Sizes 3 and 4 are preferred for children under 12 years old. Two experts recommended selecting cupping jars with appropriately sized openings that can adhere easily, based on the muscle fullness and surface area of the treatment site of pediatric patients. (2) For </w:t>
      </w:r>
      <w:r>
        <w:rPr>
          <w:rFonts w:hint="default" w:ascii="Cambria" w:hAnsi="Cambria" w:cs="Cambria"/>
          <w:lang w:eastAsia="zh-CN"/>
        </w:rPr>
        <w:t>jar</w:t>
      </w:r>
      <w:r>
        <w:rPr>
          <w:rFonts w:hint="default" w:ascii="Cambria" w:hAnsi="Cambria" w:cs="Cambria"/>
        </w:rPr>
        <w:t xml:space="preserve"> disinfection, experts suggested deleting "remove rust if there is rust". Some experts suggested looking for updated national standards. (3) </w:t>
      </w:r>
      <w:r>
        <w:rPr>
          <w:rFonts w:hint="default" w:ascii="Cambria" w:hAnsi="Cambria" w:cs="Cambria"/>
          <w:lang w:val="en-US" w:eastAsia="zh-CN"/>
        </w:rPr>
        <w:t xml:space="preserve">Concerning </w:t>
      </w:r>
      <w:r>
        <w:rPr>
          <w:rFonts w:hint="default" w:ascii="Cambria" w:hAnsi="Cambria" w:cs="Cambria"/>
        </w:rPr>
        <w:t xml:space="preserve">the disinfection of the cupping part, some experts suggested "adopting a hierarchical disinfection principle on the basis of the original national standard, for example, using 75% medical alcohol for normal intact skin; using povidone iodine around damaged skin and mucous membranes." Some experts also suggested "the cupping part generally does not need disinfection. If the skin at the cupping part is dry, a proper amount of white petrolatum or paraffin can be applied. For needle cupping method, 75% ethanol or 0.5% 1% povidone iodine cotton balls should be used to disinfect the acupuncture part." Some experts suggested combining </w:t>
      </w:r>
      <w:r>
        <w:rPr>
          <w:rFonts w:hint="default" w:ascii="Cambria" w:hAnsi="Cambria" w:cs="Cambria"/>
          <w:lang w:val="en-US" w:eastAsia="zh-CN"/>
        </w:rPr>
        <w:t xml:space="preserve">both </w:t>
      </w:r>
      <w:r>
        <w:rPr>
          <w:rFonts w:hint="default" w:ascii="Cambria" w:hAnsi="Cambria" w:cs="Cambria"/>
        </w:rPr>
        <w:t xml:space="preserve">options. (4) Regarding cupping with retained needles, some experts suggested adding "since children are not easy to cooperate, generally no needles are retained." (5) </w:t>
      </w:r>
      <w:r>
        <w:rPr>
          <w:rFonts w:hint="default" w:ascii="Cambria" w:hAnsi="Cambria" w:cs="Cambria"/>
          <w:lang w:val="en-US" w:eastAsia="zh-CN"/>
        </w:rPr>
        <w:t>The section of Normative References cited in this standard shall be supplemented, including</w:t>
      </w:r>
      <w:r>
        <w:rPr>
          <w:rFonts w:hint="default" w:ascii="Cambria" w:hAnsi="Cambria" w:cs="Cambria"/>
        </w:rPr>
        <w:t xml:space="preserve"> ISO</w:t>
      </w:r>
      <w:r>
        <w:rPr>
          <w:rFonts w:hint="default" w:ascii="Cambria" w:hAnsi="Cambria" w:cs="Cambria"/>
          <w:lang w:val="en-US" w:eastAsia="zh-CN"/>
        </w:rPr>
        <w:t xml:space="preserve"> </w:t>
      </w:r>
      <w:r>
        <w:rPr>
          <w:rFonts w:hint="default" w:ascii="Cambria" w:hAnsi="Cambria" w:cs="Cambria"/>
        </w:rPr>
        <w:t>22213:2020(E)</w:t>
      </w:r>
      <w:r>
        <w:rPr>
          <w:rFonts w:hint="default" w:ascii="Cambria" w:hAnsi="Cambria" w:cs="Cambria"/>
          <w:lang w:val="en-US" w:eastAsia="zh-CN"/>
        </w:rPr>
        <w:t xml:space="preserve"> </w:t>
      </w:r>
      <w:r>
        <w:rPr>
          <w:rFonts w:hint="default" w:ascii="Cambria" w:hAnsi="Cambria" w:cs="Cambria"/>
          <w:lang w:eastAsia="zh-CN"/>
        </w:rPr>
        <w:t>TCM–</w:t>
      </w:r>
      <w:r>
        <w:rPr>
          <w:rFonts w:hint="default" w:ascii="Cambria" w:hAnsi="Cambria" w:cs="Cambria"/>
          <w:lang w:val="en-US" w:eastAsia="zh-CN"/>
        </w:rPr>
        <w:t>G</w:t>
      </w:r>
      <w:r>
        <w:rPr>
          <w:rFonts w:hint="default" w:ascii="Cambria" w:hAnsi="Cambria" w:cs="Cambria"/>
          <w:lang w:eastAsia="zh-CN"/>
        </w:rPr>
        <w:t>lass cupping device</w:t>
      </w:r>
      <w:r>
        <w:rPr>
          <w:rFonts w:hint="default" w:ascii="Cambria" w:hAnsi="Cambria" w:cs="Cambria"/>
        </w:rPr>
        <w:t xml:space="preserve"> </w:t>
      </w:r>
      <w:r>
        <w:rPr>
          <w:rFonts w:hint="default" w:ascii="Cambria" w:hAnsi="Cambria" w:cs="Cambria"/>
          <w:highlight w:val="none"/>
        </w:rPr>
        <w:t>and YY/T 1976</w:t>
      </w:r>
      <w:r>
        <w:rPr>
          <w:rFonts w:hint="default" w:ascii="Cambria" w:hAnsi="Cambria" w:cs="Cambria"/>
          <w:highlight w:val="none"/>
          <w:lang w:val="en-US" w:eastAsia="zh-CN"/>
        </w:rPr>
        <w:t>-</w:t>
      </w:r>
      <w:r>
        <w:rPr>
          <w:rFonts w:hint="default" w:ascii="Cambria" w:hAnsi="Cambria" w:cs="Cambria"/>
          <w:highlight w:val="none"/>
        </w:rPr>
        <w:t>2025</w:t>
      </w:r>
      <w:r>
        <w:rPr>
          <w:rFonts w:hint="default" w:ascii="Cambria" w:hAnsi="Cambria" w:cs="Cambria"/>
          <w:highlight w:val="none"/>
          <w:lang w:val="en-US" w:eastAsia="zh-CN"/>
        </w:rPr>
        <w:t xml:space="preserve"> </w:t>
      </w:r>
      <w:r>
        <w:rPr>
          <w:rFonts w:hint="default" w:ascii="Cambria" w:hAnsi="Cambria" w:cs="Cambria"/>
          <w:highlight w:val="none"/>
          <w:lang w:eastAsia="zh-CN"/>
        </w:rPr>
        <w:t>Traditional Chinese medical device</w:t>
      </w:r>
      <w:r>
        <w:rPr>
          <w:rFonts w:hint="default" w:ascii="Cambria" w:hAnsi="Cambria" w:cs="Cambria"/>
          <w:highlight w:val="none"/>
          <w:lang w:val="en-US" w:eastAsia="zh-CN"/>
        </w:rPr>
        <w:t>–G</w:t>
      </w:r>
      <w:r>
        <w:rPr>
          <w:rFonts w:hint="default" w:ascii="Cambria" w:hAnsi="Cambria" w:cs="Cambria"/>
          <w:highlight w:val="none"/>
          <w:lang w:eastAsia="zh-CN"/>
        </w:rPr>
        <w:t>lass cupping device</w:t>
      </w:r>
      <w:r>
        <w:rPr>
          <w:rFonts w:hint="default" w:ascii="Cambria" w:hAnsi="Cambria" w:cs="Cambria"/>
          <w:highlight w:val="none"/>
        </w:rPr>
        <w:t>.</w:t>
      </w:r>
      <w:r>
        <w:rPr>
          <w:rFonts w:hint="default" w:ascii="Cambria" w:hAnsi="Cambria" w:cs="Cambria"/>
          <w:highlight w:val="none"/>
          <w:lang w:val="en-US" w:eastAsia="zh-CN"/>
        </w:rPr>
        <w:t xml:space="preserve"> </w:t>
      </w:r>
    </w:p>
    <w:p w14:paraId="19741329">
      <w:pPr>
        <w:numPr>
          <w:ilvl w:val="0"/>
          <w:numId w:val="0"/>
        </w:numPr>
        <w:rPr>
          <w:rFonts w:hint="default" w:ascii="Cambria" w:hAnsi="Cambria" w:cs="Cambria"/>
        </w:rPr>
      </w:pPr>
    </w:p>
    <w:p w14:paraId="7352DEDF">
      <w:pPr>
        <w:numPr>
          <w:ilvl w:val="0"/>
          <w:numId w:val="0"/>
        </w:numPr>
        <w:rPr>
          <w:rFonts w:hint="default" w:ascii="Cambria" w:hAnsi="Cambria" w:cs="Cambria" w:eastAsiaTheme="minorEastAsia"/>
          <w:lang w:eastAsia="zh-CN"/>
        </w:rPr>
      </w:pPr>
      <w:r>
        <w:rPr>
          <w:rFonts w:hint="default" w:ascii="Cambria" w:hAnsi="Cambria" w:cs="Cambria"/>
        </w:rPr>
        <w:t xml:space="preserve">2. Divergent Comments and </w:t>
      </w:r>
      <w:r>
        <w:rPr>
          <w:rFonts w:hint="default" w:ascii="Cambria" w:hAnsi="Cambria" w:cs="Cambria"/>
          <w:lang w:val="en-US" w:eastAsia="zh-CN"/>
        </w:rPr>
        <w:t xml:space="preserve">Processing </w:t>
      </w:r>
      <w:r>
        <w:rPr>
          <w:rFonts w:hint="default" w:ascii="Cambria" w:hAnsi="Cambria" w:cs="Cambria"/>
        </w:rPr>
        <w:t>Principles</w:t>
      </w:r>
    </w:p>
    <w:p w14:paraId="7347AD9E">
      <w:pPr>
        <w:numPr>
          <w:ilvl w:val="0"/>
          <w:numId w:val="0"/>
        </w:numPr>
        <w:ind w:firstLine="420" w:firstLineChars="0"/>
        <w:rPr>
          <w:rFonts w:hint="default" w:ascii="Cambria" w:hAnsi="Cambria" w:cs="Cambria"/>
        </w:rPr>
      </w:pPr>
      <w:r>
        <w:rPr>
          <w:rFonts w:hint="default" w:ascii="Cambria" w:hAnsi="Cambria" w:cs="Cambria"/>
        </w:rPr>
        <w:t xml:space="preserve">In accordance with the statistical processing scheme, two items failed to gain support from more than 50% of the participating experts: the disinfection of cupping </w:t>
      </w:r>
      <w:r>
        <w:rPr>
          <w:rFonts w:hint="default" w:ascii="Cambria" w:hAnsi="Cambria" w:cs="Cambria"/>
          <w:lang w:val="en-US" w:eastAsia="zh-CN"/>
        </w:rPr>
        <w:t>devices</w:t>
      </w:r>
      <w:r>
        <w:rPr>
          <w:rFonts w:hint="default" w:ascii="Cambria" w:hAnsi="Cambria" w:cs="Cambria"/>
        </w:rPr>
        <w:t xml:space="preserve">, and the definitions of horn </w:t>
      </w:r>
      <w:r>
        <w:rPr>
          <w:rFonts w:hint="default" w:ascii="Cambria" w:hAnsi="Cambria" w:cs="Cambria"/>
          <w:lang w:val="en-US" w:eastAsia="zh-CN"/>
        </w:rPr>
        <w:t>jars</w:t>
      </w:r>
      <w:r>
        <w:rPr>
          <w:rFonts w:hint="default" w:ascii="Cambria" w:hAnsi="Cambria" w:cs="Cambria"/>
        </w:rPr>
        <w:t xml:space="preserve">, bamboo </w:t>
      </w:r>
      <w:r>
        <w:rPr>
          <w:rFonts w:hint="default" w:ascii="Cambria" w:hAnsi="Cambria" w:cs="Cambria"/>
          <w:lang w:val="en-US" w:eastAsia="zh-CN"/>
        </w:rPr>
        <w:t>jars</w:t>
      </w:r>
      <w:r>
        <w:rPr>
          <w:rFonts w:hint="default" w:ascii="Cambria" w:hAnsi="Cambria" w:cs="Cambria"/>
        </w:rPr>
        <w:t xml:space="preserve">, </w:t>
      </w:r>
      <w:r>
        <w:rPr>
          <w:rFonts w:hint="default" w:ascii="Cambria" w:hAnsi="Cambria" w:cs="Cambria"/>
          <w:lang w:eastAsia="zh-CN"/>
        </w:rPr>
        <w:t>bio-</w:t>
      </w:r>
      <w:r>
        <w:rPr>
          <w:rFonts w:hint="default" w:ascii="Cambria" w:hAnsi="Cambria" w:cs="Cambria"/>
        </w:rPr>
        <w:t xml:space="preserve">ceramic </w:t>
      </w:r>
      <w:r>
        <w:rPr>
          <w:rFonts w:hint="default" w:ascii="Cambria" w:hAnsi="Cambria" w:cs="Cambria"/>
          <w:lang w:val="en-US" w:eastAsia="zh-CN"/>
        </w:rPr>
        <w:t>jars</w:t>
      </w:r>
      <w:r>
        <w:rPr>
          <w:rFonts w:hint="default" w:ascii="Cambria" w:hAnsi="Cambria" w:cs="Cambria"/>
        </w:rPr>
        <w:t xml:space="preserve">, glass </w:t>
      </w:r>
      <w:r>
        <w:rPr>
          <w:rFonts w:hint="default" w:ascii="Cambria" w:hAnsi="Cambria" w:cs="Cambria"/>
          <w:lang w:val="en-US" w:eastAsia="zh-CN"/>
        </w:rPr>
        <w:t>jars</w:t>
      </w:r>
      <w:r>
        <w:rPr>
          <w:rFonts w:hint="default" w:ascii="Cambria" w:hAnsi="Cambria" w:cs="Cambria"/>
        </w:rPr>
        <w:t xml:space="preserve">, metal </w:t>
      </w:r>
      <w:r>
        <w:rPr>
          <w:rFonts w:hint="default" w:ascii="Cambria" w:hAnsi="Cambria" w:cs="Cambria"/>
          <w:lang w:val="en-US" w:eastAsia="zh-CN"/>
        </w:rPr>
        <w:t>jars</w:t>
      </w:r>
      <w:r>
        <w:rPr>
          <w:rFonts w:hint="default" w:ascii="Cambria" w:hAnsi="Cambria" w:cs="Cambria"/>
        </w:rPr>
        <w:t>, bio</w:t>
      </w:r>
      <w:r>
        <w:rPr>
          <w:rFonts w:hint="default" w:ascii="Cambria" w:hAnsi="Cambria" w:cs="Cambria"/>
          <w:lang w:val="en-US" w:eastAsia="zh-CN"/>
        </w:rPr>
        <w:t>-</w:t>
      </w:r>
      <w:r>
        <w:rPr>
          <w:rFonts w:hint="default" w:ascii="Cambria" w:hAnsi="Cambria" w:cs="Cambria"/>
        </w:rPr>
        <w:t xml:space="preserve">ceramic fire </w:t>
      </w:r>
      <w:r>
        <w:rPr>
          <w:rFonts w:hint="default" w:ascii="Cambria" w:hAnsi="Cambria" w:cs="Cambria"/>
          <w:lang w:val="en-US" w:eastAsia="zh-CN"/>
        </w:rPr>
        <w:t xml:space="preserve">jars </w:t>
      </w:r>
      <w:r>
        <w:rPr>
          <w:rFonts w:hint="default" w:ascii="Cambria" w:hAnsi="Cambria" w:cs="Cambria"/>
        </w:rPr>
        <w:t xml:space="preserve">and plastic </w:t>
      </w:r>
      <w:r>
        <w:rPr>
          <w:rFonts w:hint="default" w:ascii="Cambria" w:hAnsi="Cambria" w:cs="Cambria"/>
          <w:lang w:val="en-US" w:eastAsia="zh-CN"/>
        </w:rPr>
        <w:t>jars</w:t>
      </w:r>
      <w:r>
        <w:rPr>
          <w:rFonts w:hint="default" w:ascii="Cambria" w:hAnsi="Cambria" w:cs="Cambria"/>
        </w:rPr>
        <w:t>.</w:t>
      </w:r>
      <w:r>
        <w:rPr>
          <w:rFonts w:hint="default" w:ascii="Cambria" w:hAnsi="Cambria" w:cs="Cambria"/>
          <w:lang w:val="en-US" w:eastAsia="zh-CN"/>
        </w:rPr>
        <w:t xml:space="preserve"> </w:t>
      </w:r>
      <w:r>
        <w:rPr>
          <w:rFonts w:hint="default" w:ascii="Cambria" w:hAnsi="Cambria" w:cs="Cambria"/>
        </w:rPr>
        <w:t xml:space="preserve">The </w:t>
      </w:r>
      <w:r>
        <w:rPr>
          <w:rFonts w:hint="default" w:ascii="Cambria" w:hAnsi="Cambria" w:cs="Cambria"/>
          <w:lang w:val="en-US" w:eastAsia="zh-CN"/>
        </w:rPr>
        <w:t xml:space="preserve">annex </w:t>
      </w:r>
      <w:r>
        <w:rPr>
          <w:rFonts w:hint="default" w:ascii="Cambria" w:hAnsi="Cambria" w:cs="Cambria"/>
        </w:rPr>
        <w:t>is titled Types of Commonly Used Cupping Devices. Most experts commented that the original descriptions were overly detailed and cumbersome, and suggested either rewriting the text or integrating the original wording with revised expressions. In response, the project team decided to fully rewrite these two controversial items.</w:t>
      </w:r>
    </w:p>
    <w:p w14:paraId="123BCEDA">
      <w:pPr>
        <w:numPr>
          <w:ilvl w:val="0"/>
          <w:numId w:val="0"/>
        </w:numPr>
        <w:rPr>
          <w:rFonts w:hint="default" w:ascii="Cambria" w:hAnsi="Cambria" w:cs="Cambria"/>
        </w:rPr>
      </w:pPr>
    </w:p>
    <w:p w14:paraId="7FEFE6AF">
      <w:pPr>
        <w:numPr>
          <w:ilvl w:val="0"/>
          <w:numId w:val="0"/>
        </w:numPr>
        <w:rPr>
          <w:rFonts w:hint="default" w:ascii="Cambria" w:hAnsi="Cambria" w:cs="Cambria" w:eastAsiaTheme="minorEastAsia"/>
          <w:lang w:eastAsia="zh-CN"/>
        </w:rPr>
      </w:pPr>
      <w:r>
        <w:rPr>
          <w:rFonts w:hint="default" w:ascii="Cambria" w:hAnsi="Cambria" w:cs="Cambria"/>
        </w:rPr>
        <w:t>3. Handling of Open-ended Comments and Policy-related Suggestions</w:t>
      </w:r>
    </w:p>
    <w:p w14:paraId="5D02D096">
      <w:pPr>
        <w:numPr>
          <w:ilvl w:val="0"/>
          <w:numId w:val="0"/>
        </w:numPr>
        <w:ind w:firstLine="420" w:firstLineChars="0"/>
        <w:rPr>
          <w:rFonts w:hint="default" w:ascii="Cambria" w:hAnsi="Cambria" w:cs="Cambria"/>
        </w:rPr>
      </w:pPr>
      <w:r>
        <w:rPr>
          <w:rFonts w:hint="default" w:ascii="Cambria" w:hAnsi="Cambria" w:cs="Cambria"/>
        </w:rPr>
        <w:t xml:space="preserve">In the </w:t>
      </w:r>
      <w:r>
        <w:rPr>
          <w:rFonts w:hint="default" w:ascii="Cambria" w:hAnsi="Cambria" w:cs="Cambria"/>
          <w:lang w:eastAsia="zh-CN"/>
        </w:rPr>
        <w:t>open-ended questions</w:t>
      </w:r>
      <w:r>
        <w:rPr>
          <w:rFonts w:hint="default" w:ascii="Cambria" w:hAnsi="Cambria" w:cs="Cambria"/>
        </w:rPr>
        <w:t xml:space="preserve">, many experts from </w:t>
      </w:r>
      <w:r>
        <w:rPr>
          <w:rFonts w:hint="default" w:ascii="Cambria" w:hAnsi="Cambria" w:cs="Cambria"/>
          <w:lang w:val="en-US" w:eastAsia="zh-CN"/>
        </w:rPr>
        <w:t>countries</w:t>
      </w:r>
      <w:r>
        <w:rPr>
          <w:rFonts w:hint="default" w:ascii="Cambria" w:hAnsi="Cambria" w:cs="Cambria"/>
        </w:rPr>
        <w:t xml:space="preserve"> such as Canada and Vietnam pointed out that there are differences in laws, regulations, and scope of practice regarding operations</w:t>
      </w:r>
      <w:r>
        <w:rPr>
          <w:rFonts w:hint="default" w:ascii="Cambria" w:hAnsi="Cambria" w:cs="Cambria"/>
          <w:lang w:val="en-US" w:eastAsia="zh-CN"/>
        </w:rPr>
        <w:t>,</w:t>
      </w:r>
      <w:r>
        <w:rPr>
          <w:rFonts w:hint="default" w:ascii="Cambria" w:hAnsi="Cambria" w:cs="Cambria"/>
        </w:rPr>
        <w:t xml:space="preserve"> such as </w:t>
      </w:r>
      <w:r>
        <w:rPr>
          <w:rFonts w:hint="default" w:ascii="Cambria" w:hAnsi="Cambria" w:cs="Cambria"/>
          <w:lang w:eastAsia="zh-CN"/>
        </w:rPr>
        <w:t>blood-letting puncture cupping</w:t>
      </w:r>
      <w:r>
        <w:rPr>
          <w:rFonts w:hint="default" w:ascii="Cambria" w:hAnsi="Cambria" w:cs="Cambria"/>
        </w:rPr>
        <w:t xml:space="preserve"> in different countries and regions, and the scope of practice of </w:t>
      </w:r>
      <w:r>
        <w:rPr>
          <w:rFonts w:hint="default" w:ascii="Cambria" w:hAnsi="Cambria" w:cs="Cambria"/>
          <w:lang w:eastAsia="zh-CN"/>
        </w:rPr>
        <w:t>TCM</w:t>
      </w:r>
      <w:r>
        <w:rPr>
          <w:rFonts w:hint="default" w:ascii="Cambria" w:hAnsi="Cambria" w:cs="Cambria"/>
        </w:rPr>
        <w:t xml:space="preserve"> in some regions is clearly restricted. Some experts also proposed that this standard should be more pediatric characteristic, and expressions like "refer to a certain standard" in the original standard are not suitable for an international standard.</w:t>
      </w:r>
    </w:p>
    <w:p w14:paraId="14DCD2B2">
      <w:pPr>
        <w:numPr>
          <w:ilvl w:val="0"/>
          <w:numId w:val="0"/>
        </w:numPr>
        <w:ind w:firstLine="420" w:firstLineChars="0"/>
        <w:rPr>
          <w:rFonts w:hint="default" w:ascii="Cambria" w:hAnsi="Cambria" w:cs="Cambria"/>
        </w:rPr>
      </w:pPr>
      <w:r>
        <w:rPr>
          <w:rFonts w:hint="default" w:ascii="Cambria" w:hAnsi="Cambria" w:cs="Cambria"/>
        </w:rPr>
        <w:t>In response, the project working group did not make unified provisions on specific practice qualifications or management systems at the standard level. Instead, it clearly put forward the principle of giving priority to local laws and regulations in the "Scope", "</w:t>
      </w:r>
      <w:r>
        <w:rPr>
          <w:rFonts w:hint="default" w:ascii="Cambria" w:hAnsi="Cambria" w:cs="Cambria"/>
          <w:lang w:val="en-US" w:eastAsia="zh-CN"/>
        </w:rPr>
        <w:t>Preface</w:t>
      </w:r>
      <w:r>
        <w:rPr>
          <w:rFonts w:hint="default" w:ascii="Cambria" w:hAnsi="Cambria" w:cs="Cambria"/>
        </w:rPr>
        <w:t>", and relevant precautions, emphasizing that this standard only provides a normative reference at the technical operation level, and its implementation should be based on local laws, regulations, and practice management requirements. This handling method was generally recognized by experts and also reserved the necessary flexibility for the international promotion and practical application of the standard. At the same time, changes such as adopting different operations according to the age of the child and refining various operations were also made in the new standard.</w:t>
      </w:r>
    </w:p>
    <w:p w14:paraId="236A77AD">
      <w:pPr>
        <w:numPr>
          <w:ilvl w:val="0"/>
          <w:numId w:val="0"/>
        </w:numPr>
        <w:ind w:firstLine="420" w:firstLineChars="0"/>
        <w:rPr>
          <w:rFonts w:hint="default" w:ascii="Cambria" w:hAnsi="Cambria" w:cs="Cambria"/>
        </w:rPr>
      </w:pPr>
      <w:r>
        <w:rPr>
          <w:rFonts w:hint="default" w:ascii="Cambria" w:hAnsi="Cambria" w:cs="Cambria"/>
        </w:rPr>
        <w:t>In summary, the expert questionnaire survey opinions provided an important basis for the revision of this standard. The project working group, while fully respecting the expert consensus, adopted a prudent handling strategy for controversial and open</w:t>
      </w:r>
      <w:r>
        <w:rPr>
          <w:rFonts w:hint="default" w:ascii="Cambria" w:hAnsi="Cambria" w:cs="Cambria"/>
          <w:lang w:val="en-US" w:eastAsia="zh-CN"/>
        </w:rPr>
        <w:t>-</w:t>
      </w:r>
      <w:r>
        <w:rPr>
          <w:rFonts w:hint="default" w:ascii="Cambria" w:hAnsi="Cambria" w:cs="Cambria"/>
        </w:rPr>
        <w:t xml:space="preserve">ended issues, laying a solid foundation for the subsequent expert demonstration meeting and review by the </w:t>
      </w:r>
      <w:r>
        <w:rPr>
          <w:rFonts w:hint="default" w:ascii="Cambria" w:hAnsi="Cambria" w:cs="Cambria"/>
          <w:lang w:eastAsia="zh-CN"/>
        </w:rPr>
        <w:t>expert steering group</w:t>
      </w:r>
      <w:r>
        <w:rPr>
          <w:rFonts w:hint="default" w:ascii="Cambria" w:hAnsi="Cambria" w:cs="Cambria"/>
        </w:rPr>
        <w:t>.</w:t>
      </w:r>
    </w:p>
    <w:p w14:paraId="0B7A9A96">
      <w:pPr>
        <w:numPr>
          <w:ilvl w:val="0"/>
          <w:numId w:val="0"/>
        </w:numPr>
        <w:ind w:firstLine="420" w:firstLineChars="0"/>
        <w:rPr>
          <w:rFonts w:hint="default" w:ascii="Cambria" w:hAnsi="Cambria" w:cs="Cambria"/>
        </w:rPr>
      </w:pPr>
      <w:r>
        <w:rPr>
          <w:rFonts w:hint="default" w:ascii="Cambria" w:hAnsi="Cambria" w:cs="Cambria"/>
        </w:rPr>
        <w:t>For specific content, please refer to "</w:t>
      </w:r>
      <w:r>
        <w:rPr>
          <w:rFonts w:hint="default" w:ascii="Cambria" w:hAnsi="Cambria" w:cs="Cambria"/>
          <w:lang w:eastAsia="zh-CN"/>
        </w:rPr>
        <w:t>Appendix</w:t>
      </w:r>
      <w:r>
        <w:rPr>
          <w:rFonts w:hint="default" w:ascii="Cambria" w:hAnsi="Cambria" w:cs="Cambria"/>
        </w:rPr>
        <w:t xml:space="preserve"> 1: </w:t>
      </w:r>
      <w:r>
        <w:rPr>
          <w:rFonts w:hint="default" w:ascii="Cambria" w:hAnsi="Cambria" w:cs="Cambria"/>
          <w:lang w:val="en-US" w:eastAsia="zh-CN"/>
        </w:rPr>
        <w:t xml:space="preserve">Report on </w:t>
      </w:r>
      <w:r>
        <w:rPr>
          <w:rFonts w:hint="default" w:ascii="Cambria" w:hAnsi="Cambria" w:cs="Cambria"/>
        </w:rPr>
        <w:t>Expert Questionnaire".</w:t>
      </w:r>
    </w:p>
    <w:p w14:paraId="6394E2D6">
      <w:pPr>
        <w:numPr>
          <w:ilvl w:val="0"/>
          <w:numId w:val="0"/>
        </w:numPr>
        <w:rPr>
          <w:rFonts w:hint="default" w:ascii="Cambria" w:hAnsi="Cambria" w:cs="Cambria"/>
        </w:rPr>
      </w:pPr>
    </w:p>
    <w:p w14:paraId="5F8FAFE2">
      <w:pPr>
        <w:numPr>
          <w:ilvl w:val="0"/>
          <w:numId w:val="0"/>
        </w:numPr>
        <w:rPr>
          <w:rFonts w:hint="default" w:ascii="Cambria" w:hAnsi="Cambria" w:cs="Cambria"/>
        </w:rPr>
      </w:pPr>
      <w:r>
        <w:rPr>
          <w:rFonts w:hint="default" w:ascii="Cambria" w:hAnsi="Cambria" w:cs="Cambria"/>
        </w:rPr>
        <w:t>(2) Centralized Explanation and Handling of Expert Demonstration Meeting Opinions</w:t>
      </w:r>
    </w:p>
    <w:p w14:paraId="5C335404">
      <w:pPr>
        <w:numPr>
          <w:ilvl w:val="0"/>
          <w:numId w:val="0"/>
        </w:numPr>
        <w:ind w:firstLine="420" w:firstLineChars="0"/>
        <w:rPr>
          <w:rFonts w:hint="default" w:ascii="Cambria" w:hAnsi="Cambria" w:cs="Cambria"/>
        </w:rPr>
      </w:pPr>
      <w:r>
        <w:rPr>
          <w:rFonts w:hint="default" w:ascii="Cambria" w:hAnsi="Cambria" w:cs="Cambria"/>
        </w:rPr>
        <w:t xml:space="preserve">Based on the summary of expert questionnaire survey opinions, the project working group held an expert demonstration meeting for </w:t>
      </w:r>
      <w:r>
        <w:rPr>
          <w:rFonts w:hint="default" w:ascii="Cambria" w:hAnsi="Cambria" w:cs="Cambria"/>
          <w:lang w:eastAsia="zh-CN"/>
        </w:rPr>
        <w:t>ISMCMP-CT</w:t>
      </w:r>
      <w:r>
        <w:rPr>
          <w:rFonts w:hint="default" w:ascii="Cambria" w:hAnsi="Cambria" w:cs="Cambria"/>
        </w:rPr>
        <w:t xml:space="preserve"> on December 3, 2025. The participants included invited demonstration experts and project team members, including successive directors of the Pediatrics Branch of the China Association of Chinese Medicine and the president of the Pediatrics Professional Committee of the </w:t>
      </w:r>
      <w:r>
        <w:rPr>
          <w:rFonts w:hint="default" w:ascii="Cambria" w:hAnsi="Cambria" w:cs="Cambria"/>
          <w:lang w:eastAsia="zh-CN"/>
        </w:rPr>
        <w:t>WFCMS</w:t>
      </w:r>
      <w:r>
        <w:rPr>
          <w:rFonts w:hint="default" w:ascii="Cambria" w:hAnsi="Cambria" w:cs="Cambria"/>
        </w:rPr>
        <w:t xml:space="preserve"> and other authoritative experts. The meeting was carried out in a combination of offline and online methods, focusing on key technical issues and controversial items involved in the </w:t>
      </w:r>
      <w:r>
        <w:rPr>
          <w:rFonts w:hint="default" w:ascii="Cambria" w:hAnsi="Cambria" w:cs="Cambria"/>
          <w:lang w:val="en-US" w:eastAsia="zh-CN"/>
        </w:rPr>
        <w:t xml:space="preserve">upgrading </w:t>
      </w:r>
      <w:r>
        <w:rPr>
          <w:rFonts w:hint="default" w:ascii="Cambria" w:hAnsi="Cambria" w:cs="Cambria"/>
        </w:rPr>
        <w:t xml:space="preserve">of the national standard to an international organization standard of the </w:t>
      </w:r>
      <w:r>
        <w:rPr>
          <w:rFonts w:hint="default" w:ascii="Cambria" w:hAnsi="Cambria" w:cs="Cambria"/>
          <w:lang w:eastAsia="zh-CN"/>
        </w:rPr>
        <w:t>WFCMS</w:t>
      </w:r>
      <w:r>
        <w:rPr>
          <w:rFonts w:hint="default" w:ascii="Cambria" w:hAnsi="Cambria" w:cs="Cambria"/>
        </w:rPr>
        <w:t>, and conducting centralized demonstration and decision making.</w:t>
      </w:r>
    </w:p>
    <w:p w14:paraId="4E199CBB">
      <w:pPr>
        <w:numPr>
          <w:ilvl w:val="0"/>
          <w:numId w:val="0"/>
        </w:numPr>
        <w:rPr>
          <w:rFonts w:hint="default" w:ascii="Cambria" w:hAnsi="Cambria" w:cs="Cambria"/>
        </w:rPr>
      </w:pPr>
    </w:p>
    <w:p w14:paraId="1915B272">
      <w:pPr>
        <w:numPr>
          <w:ilvl w:val="0"/>
          <w:numId w:val="0"/>
        </w:numPr>
        <w:rPr>
          <w:rFonts w:hint="default" w:ascii="Cambria" w:hAnsi="Cambria" w:cs="Cambria" w:eastAsiaTheme="minorEastAsia"/>
          <w:lang w:eastAsia="zh-CN"/>
        </w:rPr>
      </w:pPr>
      <w:r>
        <w:rPr>
          <w:rFonts w:hint="default" w:ascii="Cambria" w:hAnsi="Cambria" w:cs="Cambria"/>
        </w:rPr>
        <w:t>1. Working Method and Positioning of the Demonstration Meeting</w:t>
      </w:r>
    </w:p>
    <w:p w14:paraId="24A75F75">
      <w:pPr>
        <w:numPr>
          <w:ilvl w:val="0"/>
          <w:numId w:val="0"/>
        </w:numPr>
        <w:ind w:firstLine="420" w:firstLineChars="0"/>
        <w:rPr>
          <w:rFonts w:hint="default" w:ascii="Cambria" w:hAnsi="Cambria" w:cs="Cambria"/>
        </w:rPr>
      </w:pPr>
      <w:r>
        <w:rPr>
          <w:rFonts w:hint="default" w:ascii="Cambria" w:hAnsi="Cambria" w:cs="Cambria"/>
        </w:rPr>
        <w:t>To improve the efficiency of the meeting and ensure the sufficiency and objectivity of expert opinions, this expert demonstration meeting did not conduct on</w:t>
      </w:r>
      <w:r>
        <w:rPr>
          <w:rFonts w:hint="default" w:ascii="Cambria" w:hAnsi="Cambria" w:cs="Cambria"/>
          <w:lang w:val="en-US" w:eastAsia="zh-CN"/>
        </w:rPr>
        <w:t>-</w:t>
      </w:r>
      <w:r>
        <w:rPr>
          <w:rFonts w:hint="default" w:ascii="Cambria" w:hAnsi="Cambria" w:cs="Cambria"/>
        </w:rPr>
        <w:t>site voting or detailed demonstration of all controversial items one by one. Instead, it adopted a working mode of "adequate preparation before the meeting, key explanation during the meeting, and quantitative decision making after the meeting".</w:t>
      </w:r>
    </w:p>
    <w:p w14:paraId="75E478A5">
      <w:pPr>
        <w:numPr>
          <w:ilvl w:val="0"/>
          <w:numId w:val="0"/>
        </w:numPr>
        <w:ind w:firstLine="420" w:firstLineChars="0"/>
        <w:rPr>
          <w:rFonts w:hint="default" w:ascii="Cambria" w:hAnsi="Cambria" w:cs="Cambria" w:eastAsiaTheme="minorEastAsia"/>
          <w:lang w:val="en-US" w:eastAsia="zh-CN"/>
        </w:rPr>
      </w:pPr>
      <w:r>
        <w:rPr>
          <w:rFonts w:hint="default" w:ascii="Cambria" w:hAnsi="Cambria" w:cs="Cambria"/>
        </w:rPr>
        <w:t>Before the meeting, the project working group had sent complete demonstration materials to all experts, including</w:t>
      </w:r>
      <w:r>
        <w:rPr>
          <w:rFonts w:hint="default" w:ascii="Cambria" w:hAnsi="Cambria" w:cs="Cambria"/>
          <w:lang w:val="en-US" w:eastAsia="zh-CN"/>
        </w:rPr>
        <w:t xml:space="preserve"> </w:t>
      </w:r>
      <w:r>
        <w:rPr>
          <w:rFonts w:hint="default" w:ascii="Cambria" w:hAnsi="Cambria" w:cs="Cambria"/>
        </w:rPr>
        <w:t>a summary report of the expert questionnaire survey</w:t>
      </w:r>
      <w:r>
        <w:rPr>
          <w:rFonts w:hint="default" w:ascii="Cambria" w:hAnsi="Cambria" w:cs="Cambria"/>
          <w:lang w:val="en-US" w:eastAsia="zh-CN"/>
        </w:rPr>
        <w:t>,</w:t>
      </w:r>
      <w:r>
        <w:rPr>
          <w:rFonts w:hint="default" w:ascii="Cambria" w:hAnsi="Cambria" w:cs="Cambria"/>
        </w:rPr>
        <w:t xml:space="preserve"> a letter of soliciting opinions for the expert demonstration meeting (listing 2 core controversial items, </w:t>
      </w:r>
      <w:r>
        <w:rPr>
          <w:rFonts w:hint="default" w:ascii="Cambria" w:hAnsi="Cambria" w:cs="Cambria"/>
          <w:lang w:eastAsia="zh-CN"/>
        </w:rPr>
        <w:t>open-ended questions</w:t>
      </w:r>
      <w:r>
        <w:rPr>
          <w:rFonts w:hint="default" w:ascii="Cambria" w:hAnsi="Cambria" w:cs="Cambria"/>
        </w:rPr>
        <w:t>, and the project team's integration suggestions)</w:t>
      </w:r>
      <w:r>
        <w:rPr>
          <w:rFonts w:hint="default" w:ascii="Cambria" w:hAnsi="Cambria" w:cs="Cambria"/>
          <w:lang w:val="en-US" w:eastAsia="zh-CN"/>
        </w:rPr>
        <w:t>,</w:t>
      </w:r>
      <w:r>
        <w:rPr>
          <w:rFonts w:hint="default" w:ascii="Cambria" w:hAnsi="Cambria" w:cs="Cambria"/>
        </w:rPr>
        <w:t xml:space="preserve"> and the original national standard text. Experts had completed the independent review of controversial items before the meeting and made preliminary judgments on each item. The core objective of the expert demonstration meeting was for the project working group to present a consolidated overview of disputed key points, alternative revision proposals and their technical rationales. Clarification was provided on the core technical elements, root causes of disagreements and viable resolution options for each item, enabling experts to reach a consistent understanding prior to completing individual scoring and submitting written post-meeting feedback.</w:t>
      </w:r>
      <w:r>
        <w:rPr>
          <w:rFonts w:hint="default" w:ascii="Cambria" w:hAnsi="Cambria" w:cs="Cambria"/>
          <w:lang w:val="en-US" w:eastAsia="zh-CN"/>
        </w:rPr>
        <w:t xml:space="preserve"> </w:t>
      </w:r>
    </w:p>
    <w:p w14:paraId="6FDEA5E5">
      <w:pPr>
        <w:numPr>
          <w:ilvl w:val="0"/>
          <w:numId w:val="0"/>
        </w:numPr>
        <w:rPr>
          <w:rFonts w:hint="default" w:ascii="Cambria" w:hAnsi="Cambria" w:cs="Cambria"/>
        </w:rPr>
      </w:pPr>
    </w:p>
    <w:p w14:paraId="11F86EE7">
      <w:pPr>
        <w:numPr>
          <w:ilvl w:val="0"/>
          <w:numId w:val="0"/>
        </w:numPr>
        <w:rPr>
          <w:rFonts w:hint="default" w:ascii="Cambria" w:hAnsi="Cambria" w:cs="Cambria" w:eastAsiaTheme="minorEastAsia"/>
          <w:lang w:eastAsia="zh-CN"/>
        </w:rPr>
      </w:pPr>
      <w:r>
        <w:rPr>
          <w:rFonts w:hint="default" w:ascii="Cambria" w:hAnsi="Cambria" w:cs="Cambria"/>
        </w:rPr>
        <w:t>2. Generation and Collection of Expert Comments</w:t>
      </w:r>
    </w:p>
    <w:p w14:paraId="552CF03B">
      <w:pPr>
        <w:numPr>
          <w:ilvl w:val="0"/>
          <w:numId w:val="0"/>
        </w:numPr>
        <w:ind w:firstLine="420" w:firstLineChars="0"/>
        <w:rPr>
          <w:rFonts w:hint="default" w:ascii="Cambria" w:hAnsi="Cambria" w:cs="Cambria"/>
        </w:rPr>
      </w:pPr>
      <w:r>
        <w:rPr>
          <w:rFonts w:hint="default" w:ascii="Cambria" w:hAnsi="Cambria" w:cs="Cambria"/>
        </w:rPr>
        <w:t>During the meeting, experts exchanged views on key issues from a directional perspective and held discussions on general principles, yet no on-site resolutions were finalized item by item for controversial provisions.</w:t>
      </w:r>
      <w:r>
        <w:rPr>
          <w:rFonts w:hint="default" w:ascii="Cambria" w:hAnsi="Cambria" w:cs="Cambria"/>
          <w:lang w:val="en-US" w:eastAsia="zh-CN"/>
        </w:rPr>
        <w:t xml:space="preserve"> </w:t>
      </w:r>
      <w:r>
        <w:rPr>
          <w:rFonts w:hint="default" w:ascii="Cambria" w:hAnsi="Cambria" w:cs="Cambria"/>
        </w:rPr>
        <w:t>Following the meeting, the project working group uniformly collected the completed Letter of Soliciting Opinions submitted by experts in accordance with established procedures.</w:t>
      </w:r>
      <w:r>
        <w:rPr>
          <w:rFonts w:hint="default" w:ascii="Cambria" w:hAnsi="Cambria" w:cs="Cambria"/>
          <w:lang w:val="en-US" w:eastAsia="zh-CN"/>
        </w:rPr>
        <w:t xml:space="preserve"> </w:t>
      </w:r>
      <w:r>
        <w:rPr>
          <w:rFonts w:hint="default" w:ascii="Cambria" w:hAnsi="Cambria" w:cs="Cambria"/>
        </w:rPr>
        <w:t>In the forms, experts assigned quantitative scores (mandatory / optional) to each contested item and supplemented written revision suggestions, generating a full set of quantifiable and traceable expert comment data.</w:t>
      </w:r>
    </w:p>
    <w:p w14:paraId="017E74F0">
      <w:pPr>
        <w:numPr>
          <w:ilvl w:val="0"/>
          <w:numId w:val="0"/>
        </w:numPr>
        <w:rPr>
          <w:rFonts w:hint="default" w:ascii="Cambria" w:hAnsi="Cambria" w:cs="Cambria"/>
        </w:rPr>
      </w:pPr>
    </w:p>
    <w:p w14:paraId="3F9609BC">
      <w:pPr>
        <w:numPr>
          <w:ilvl w:val="0"/>
          <w:numId w:val="0"/>
        </w:numPr>
        <w:rPr>
          <w:rFonts w:hint="default" w:ascii="Cambria" w:hAnsi="Cambria" w:cs="Cambria" w:eastAsiaTheme="minorEastAsia"/>
          <w:lang w:eastAsia="zh-CN"/>
        </w:rPr>
      </w:pPr>
      <w:r>
        <w:rPr>
          <w:rFonts w:hint="default" w:ascii="Cambria" w:hAnsi="Cambria" w:cs="Cambria"/>
        </w:rPr>
        <w:t>3. Statistical Analysis and Processing Principles of Post-meeting Expert Comments</w:t>
      </w:r>
    </w:p>
    <w:p w14:paraId="4A414D6B">
      <w:pPr>
        <w:numPr>
          <w:ilvl w:val="0"/>
          <w:numId w:val="0"/>
        </w:numPr>
        <w:ind w:firstLine="420" w:firstLineChars="0"/>
        <w:rPr>
          <w:rFonts w:hint="default" w:ascii="Cambria" w:hAnsi="Cambria" w:cs="Cambria"/>
        </w:rPr>
      </w:pPr>
      <w:r>
        <w:rPr>
          <w:rFonts w:hint="default" w:ascii="Cambria" w:hAnsi="Cambria" w:cs="Cambria"/>
        </w:rPr>
        <w:t>After the meeting, the project working group systematically sorted out and statistically analyzed the retrieved letters of soliciting opinions, which served as an important decision making basis for this standard revision.</w:t>
      </w:r>
    </w:p>
    <w:p w14:paraId="3B6899F7">
      <w:pPr>
        <w:numPr>
          <w:ilvl w:val="0"/>
          <w:numId w:val="0"/>
        </w:numPr>
        <w:ind w:firstLine="420" w:firstLineChars="0"/>
        <w:rPr>
          <w:rFonts w:hint="default" w:ascii="Cambria" w:hAnsi="Cambria" w:cs="Cambria"/>
        </w:rPr>
      </w:pPr>
      <w:r>
        <w:rPr>
          <w:rFonts w:hint="default" w:ascii="Cambria" w:hAnsi="Cambria" w:cs="Cambria"/>
        </w:rPr>
        <w:t>The handling principles are as follows</w:t>
      </w:r>
      <w:r>
        <w:rPr>
          <w:rFonts w:hint="default" w:ascii="Cambria" w:hAnsi="Cambria" w:cs="Cambria"/>
          <w:lang w:val="en-US" w:eastAsia="zh-CN"/>
        </w:rPr>
        <w:t>. F</w:t>
      </w:r>
      <w:r>
        <w:rPr>
          <w:rFonts w:hint="default" w:ascii="Cambria" w:hAnsi="Cambria" w:cs="Cambria"/>
        </w:rPr>
        <w:t xml:space="preserve">or items with a significantly high support rate and consistent expert opinions, the corresponding modification suggestions were directly adopted; for items with a small number of different opinions but not affecting technical safety and standard positioning, the expressions were optimized in combination with expert written opinions; </w:t>
      </w:r>
      <w:r>
        <w:rPr>
          <w:rFonts w:hint="default" w:ascii="Cambria" w:hAnsi="Cambria" w:cs="Cambria"/>
          <w:lang w:val="en-US" w:eastAsia="zh-CN"/>
        </w:rPr>
        <w:t xml:space="preserve">and </w:t>
      </w:r>
      <w:r>
        <w:rPr>
          <w:rFonts w:hint="default" w:ascii="Cambria" w:hAnsi="Cambria" w:cs="Cambria"/>
        </w:rPr>
        <w:t xml:space="preserve">for items with insufficient support rate or </w:t>
      </w:r>
      <w:r>
        <w:rPr>
          <w:rFonts w:hint="default" w:ascii="Cambria" w:hAnsi="Cambria" w:cs="Cambria"/>
          <w:lang w:val="en-US" w:eastAsia="zh-CN"/>
        </w:rPr>
        <w:t xml:space="preserve">low </w:t>
      </w:r>
      <w:r>
        <w:rPr>
          <w:rFonts w:hint="default" w:ascii="Cambria" w:hAnsi="Cambria" w:cs="Cambria"/>
        </w:rPr>
        <w:t xml:space="preserve">technical maturity </w:t>
      </w:r>
      <w:r>
        <w:rPr>
          <w:rFonts w:hint="default" w:ascii="Cambria" w:hAnsi="Cambria" w:cs="Cambria"/>
          <w:lang w:val="en-US" w:eastAsia="zh-CN"/>
        </w:rPr>
        <w:t xml:space="preserve">or </w:t>
      </w:r>
      <w:r>
        <w:rPr>
          <w:rFonts w:hint="default" w:ascii="Cambria" w:hAnsi="Cambria" w:cs="Cambria"/>
        </w:rPr>
        <w:t>insufficient evidence, they were generally postponed from being included in the text of this standard.</w:t>
      </w:r>
    </w:p>
    <w:p w14:paraId="15C6168F">
      <w:pPr>
        <w:numPr>
          <w:ilvl w:val="0"/>
          <w:numId w:val="0"/>
        </w:numPr>
        <w:ind w:firstLine="420" w:firstLineChars="0"/>
        <w:rPr>
          <w:rFonts w:hint="default" w:ascii="Cambria" w:hAnsi="Cambria" w:cs="Cambria"/>
        </w:rPr>
      </w:pPr>
      <w:r>
        <w:rPr>
          <w:rFonts w:hint="default" w:ascii="Cambria" w:hAnsi="Cambria" w:cs="Cambria"/>
        </w:rPr>
        <w:t xml:space="preserve">Through the above methods, the expert demonstration meeting gave full play to the collective wisdom of experts, making the standard revision reflect expert consensus while maintaining the scientificity and standardization of the decision making process. After the demonstration of the expert demonstration meeting, experts unanimously believed that the overall technical plan of this standard was mature, the modification direction was clear, and it could be used as the basis for the </w:t>
      </w:r>
      <w:r>
        <w:rPr>
          <w:rFonts w:hint="default" w:ascii="Cambria" w:hAnsi="Cambria" w:cs="Cambria"/>
          <w:lang w:val="en-US" w:eastAsia="zh-CN"/>
        </w:rPr>
        <w:t xml:space="preserve">upgrading </w:t>
      </w:r>
      <w:r>
        <w:rPr>
          <w:rFonts w:hint="default" w:ascii="Cambria" w:hAnsi="Cambria" w:cs="Cambria"/>
        </w:rPr>
        <w:t>text of the international organization standard.</w:t>
      </w:r>
    </w:p>
    <w:p w14:paraId="4CA27DB5">
      <w:pPr>
        <w:numPr>
          <w:ilvl w:val="0"/>
          <w:numId w:val="0"/>
        </w:numPr>
        <w:ind w:firstLine="420" w:firstLineChars="0"/>
        <w:rPr>
          <w:rFonts w:hint="default" w:ascii="Cambria" w:hAnsi="Cambria" w:cs="Cambria"/>
        </w:rPr>
      </w:pPr>
      <w:r>
        <w:rPr>
          <w:rFonts w:hint="default" w:ascii="Cambria" w:hAnsi="Cambria" w:cs="Cambria"/>
        </w:rPr>
        <w:t xml:space="preserve"> </w:t>
      </w:r>
      <w:r>
        <w:rPr>
          <w:rFonts w:hint="default" w:ascii="Cambria" w:hAnsi="Cambria" w:cs="Cambria"/>
          <w:lang w:val="en-US" w:eastAsia="zh-CN"/>
        </w:rPr>
        <w:t>F</w:t>
      </w:r>
      <w:r>
        <w:rPr>
          <w:rFonts w:hint="default" w:ascii="Cambria" w:hAnsi="Cambria" w:cs="Cambria"/>
        </w:rPr>
        <w:t>or details</w:t>
      </w:r>
      <w:r>
        <w:rPr>
          <w:rFonts w:hint="default" w:ascii="Cambria" w:hAnsi="Cambria" w:cs="Cambria"/>
          <w:lang w:val="en-US" w:eastAsia="zh-CN"/>
        </w:rPr>
        <w:t>, p</w:t>
      </w:r>
      <w:r>
        <w:rPr>
          <w:rFonts w:hint="default" w:ascii="Cambria" w:hAnsi="Cambria" w:cs="Cambria"/>
        </w:rPr>
        <w:t xml:space="preserve">lease refer to </w:t>
      </w:r>
      <w:r>
        <w:rPr>
          <w:rFonts w:hint="default" w:ascii="Cambria" w:hAnsi="Cambria" w:cs="Cambria"/>
          <w:lang w:eastAsia="zh-CN"/>
        </w:rPr>
        <w:t>Appendix</w:t>
      </w:r>
      <w:r>
        <w:rPr>
          <w:rFonts w:hint="default" w:ascii="Cambria" w:hAnsi="Cambria" w:cs="Cambria"/>
        </w:rPr>
        <w:t xml:space="preserve"> 2: </w:t>
      </w:r>
      <w:r>
        <w:rPr>
          <w:rFonts w:hint="default" w:ascii="Cambria" w:hAnsi="Cambria" w:cs="Cambria"/>
          <w:lang w:eastAsia="zh-CN"/>
        </w:rPr>
        <w:t>Minutes of Expert Demonstration Meeting</w:t>
      </w:r>
      <w:r>
        <w:rPr>
          <w:rFonts w:hint="default" w:ascii="Cambria" w:hAnsi="Cambria" w:cs="Cambria"/>
        </w:rPr>
        <w:t>.</w:t>
      </w:r>
    </w:p>
    <w:p w14:paraId="3DD1CE59">
      <w:pPr>
        <w:numPr>
          <w:ilvl w:val="0"/>
          <w:numId w:val="0"/>
        </w:numPr>
        <w:rPr>
          <w:rFonts w:hint="default" w:ascii="Cambria" w:hAnsi="Cambria" w:cs="Cambria"/>
        </w:rPr>
      </w:pPr>
    </w:p>
    <w:p w14:paraId="0AF72EB7">
      <w:pPr>
        <w:numPr>
          <w:ilvl w:val="0"/>
          <w:numId w:val="0"/>
        </w:numPr>
        <w:rPr>
          <w:rFonts w:hint="default" w:ascii="Cambria" w:hAnsi="Cambria" w:cs="Cambria" w:eastAsiaTheme="minorEastAsia"/>
          <w:lang w:eastAsia="zh-CN"/>
        </w:rPr>
      </w:pPr>
      <w:r>
        <w:rPr>
          <w:rFonts w:hint="default" w:ascii="Cambria" w:hAnsi="Cambria" w:cs="Cambria"/>
        </w:rPr>
        <w:t xml:space="preserve">(3) Review by the </w:t>
      </w:r>
      <w:r>
        <w:rPr>
          <w:rFonts w:hint="default" w:ascii="Cambria" w:hAnsi="Cambria" w:cs="Cambria"/>
          <w:lang w:eastAsia="zh-CN"/>
        </w:rPr>
        <w:t>expert steering group</w:t>
      </w:r>
    </w:p>
    <w:p w14:paraId="5394222B">
      <w:pPr>
        <w:numPr>
          <w:ilvl w:val="0"/>
          <w:numId w:val="0"/>
        </w:numPr>
        <w:ind w:firstLine="420" w:firstLineChars="0"/>
        <w:rPr>
          <w:rFonts w:hint="default" w:ascii="Cambria" w:hAnsi="Cambria" w:cs="Cambria"/>
        </w:rPr>
      </w:pPr>
      <w:r>
        <w:rPr>
          <w:rFonts w:hint="default" w:ascii="Cambria" w:hAnsi="Cambria" w:cs="Cambria"/>
        </w:rPr>
        <w:t xml:space="preserve">Based on the handling of expert questionnaire survey and expert demonstration meeting opinions, the project working group formed a preliminary draft of </w:t>
      </w:r>
      <w:r>
        <w:rPr>
          <w:rFonts w:hint="default" w:ascii="Cambria" w:hAnsi="Cambria" w:cs="Cambria"/>
          <w:lang w:eastAsia="zh-CN"/>
        </w:rPr>
        <w:t>ISMCMP-CT</w:t>
      </w:r>
      <w:r>
        <w:rPr>
          <w:rFonts w:hint="default" w:ascii="Cambria" w:hAnsi="Cambria" w:cs="Cambria"/>
        </w:rPr>
        <w:t xml:space="preserve"> according to the expert consensus, and submitted this draft together with the preparation instructions, summary materials of expert opinions, etc. to the </w:t>
      </w:r>
      <w:r>
        <w:rPr>
          <w:rFonts w:hint="default" w:ascii="Cambria" w:hAnsi="Cambria" w:cs="Cambria"/>
          <w:lang w:eastAsia="zh-CN"/>
        </w:rPr>
        <w:t>expert steering group</w:t>
      </w:r>
      <w:r>
        <w:rPr>
          <w:rFonts w:hint="default" w:ascii="Cambria" w:hAnsi="Cambria" w:cs="Cambria"/>
        </w:rPr>
        <w:t xml:space="preserve"> for review.</w:t>
      </w:r>
    </w:p>
    <w:p w14:paraId="09447CB8">
      <w:pPr>
        <w:numPr>
          <w:ilvl w:val="0"/>
          <w:numId w:val="0"/>
        </w:numPr>
        <w:ind w:firstLine="420" w:firstLineChars="0"/>
        <w:rPr>
          <w:rFonts w:hint="default" w:ascii="Cambria" w:hAnsi="Cambria" w:cs="Cambria" w:eastAsiaTheme="minorEastAsia"/>
          <w:lang w:val="en-US" w:eastAsia="zh-CN"/>
        </w:rPr>
      </w:pPr>
      <w:r>
        <w:rPr>
          <w:rFonts w:hint="default" w:ascii="Cambria" w:hAnsi="Cambria" w:cs="Cambria"/>
        </w:rPr>
        <w:t xml:space="preserve">The </w:t>
      </w:r>
      <w:r>
        <w:rPr>
          <w:rFonts w:hint="default" w:ascii="Cambria" w:hAnsi="Cambria" w:cs="Cambria"/>
          <w:lang w:eastAsia="zh-CN"/>
        </w:rPr>
        <w:t>expert steering group</w:t>
      </w:r>
      <w:r>
        <w:rPr>
          <w:rFonts w:hint="default" w:ascii="Cambria" w:hAnsi="Cambria" w:cs="Cambria"/>
        </w:rPr>
        <w:t xml:space="preserve"> conducted an overall review and check of the revised standard from aspects such as standard positioning, technical boundaries, text standardization, and feasibility of international </w:t>
      </w:r>
      <w:r>
        <w:rPr>
          <w:rFonts w:hint="default" w:ascii="Cambria" w:hAnsi="Cambria" w:cs="Cambria"/>
          <w:lang w:val="en-US" w:eastAsia="zh-CN"/>
        </w:rPr>
        <w:t>upgrading</w:t>
      </w:r>
      <w:r>
        <w:rPr>
          <w:rFonts w:hint="default" w:ascii="Cambria" w:hAnsi="Cambria" w:cs="Cambria"/>
        </w:rPr>
        <w:t>. Regarding the opinions put forward during the review process, the project working group studied and implemented them item by item. The relevant modifications did not involve substantial adjustments to the technical content but further improved the integrity, rigor, and readability of the standard.</w:t>
      </w:r>
      <w:r>
        <w:rPr>
          <w:rFonts w:hint="default" w:ascii="Cambria" w:hAnsi="Cambria" w:cs="Cambria"/>
          <w:lang w:val="en-US" w:eastAsia="zh-CN"/>
        </w:rPr>
        <w:t xml:space="preserve"> </w:t>
      </w:r>
    </w:p>
    <w:p w14:paraId="7F2DCE83">
      <w:pPr>
        <w:numPr>
          <w:ilvl w:val="0"/>
          <w:numId w:val="0"/>
        </w:numPr>
        <w:ind w:firstLine="420" w:firstLineChars="0"/>
        <w:rPr>
          <w:rFonts w:hint="default" w:ascii="Cambria" w:hAnsi="Cambria" w:cs="Cambria"/>
        </w:rPr>
      </w:pPr>
      <w:r>
        <w:rPr>
          <w:rFonts w:hint="default" w:ascii="Cambria" w:hAnsi="Cambria" w:cs="Cambria"/>
        </w:rPr>
        <w:t xml:space="preserve">On the basis of fully absorbing the review opinions of the </w:t>
      </w:r>
      <w:r>
        <w:rPr>
          <w:rFonts w:hint="default" w:ascii="Cambria" w:hAnsi="Cambria" w:cs="Cambria"/>
          <w:lang w:eastAsia="zh-CN"/>
        </w:rPr>
        <w:t>expert steering group</w:t>
      </w:r>
      <w:r>
        <w:rPr>
          <w:rFonts w:hint="default" w:ascii="Cambria" w:hAnsi="Cambria" w:cs="Cambria"/>
        </w:rPr>
        <w:t>, the project working group finally modified the standard draft text and preparation instructions, forming the final text of this standard, laying the foundation for the subsequent approval procedures of the international organization standard.</w:t>
      </w:r>
    </w:p>
    <w:p w14:paraId="366A0891">
      <w:pPr>
        <w:numPr>
          <w:ilvl w:val="0"/>
          <w:numId w:val="0"/>
        </w:numPr>
        <w:rPr>
          <w:rFonts w:hint="default" w:ascii="Cambria" w:hAnsi="Cambria" w:cs="Cambria"/>
        </w:rPr>
      </w:pPr>
    </w:p>
    <w:p w14:paraId="181C3F3A">
      <w:pPr>
        <w:numPr>
          <w:ilvl w:val="0"/>
          <w:numId w:val="0"/>
        </w:numPr>
        <w:rPr>
          <w:rFonts w:hint="default" w:ascii="Cambria" w:hAnsi="Cambria" w:cs="Cambria"/>
          <w:b/>
          <w:bCs/>
          <w:sz w:val="24"/>
          <w:szCs w:val="24"/>
        </w:rPr>
      </w:pPr>
      <w:r>
        <w:rPr>
          <w:rFonts w:hint="default" w:ascii="Cambria" w:hAnsi="Cambria" w:cs="Cambria"/>
          <w:b/>
          <w:bCs/>
          <w:sz w:val="24"/>
          <w:szCs w:val="24"/>
        </w:rPr>
        <w:t>V. Recommendations for Adoption as an International Standard</w:t>
      </w:r>
    </w:p>
    <w:p w14:paraId="146B268E">
      <w:pPr>
        <w:numPr>
          <w:ilvl w:val="0"/>
          <w:numId w:val="0"/>
        </w:numPr>
        <w:ind w:firstLine="420" w:firstLineChars="0"/>
        <w:rPr>
          <w:rFonts w:hint="default" w:ascii="Cambria" w:hAnsi="Cambria" w:cs="Cambria"/>
        </w:rPr>
      </w:pPr>
      <w:r>
        <w:rPr>
          <w:rFonts w:hint="default" w:ascii="Cambria" w:hAnsi="Cambria" w:cs="Cambria"/>
          <w:lang w:eastAsia="zh-CN"/>
        </w:rPr>
        <w:t>ISMCMP-CT</w:t>
      </w:r>
      <w:r>
        <w:rPr>
          <w:rFonts w:hint="default" w:ascii="Cambria" w:hAnsi="Cambria" w:cs="Cambria"/>
        </w:rPr>
        <w:t>, as an international organization standard issued by WFCMS, aims to standardize the clinical operation of pediatric cupping therapy in TCM pediatrics, and provide referable technical evidence for TCM pediatric diagnosis and treatment implemented in various countries and regions.</w:t>
      </w:r>
    </w:p>
    <w:p w14:paraId="6407B8C4">
      <w:pPr>
        <w:numPr>
          <w:ilvl w:val="0"/>
          <w:numId w:val="0"/>
        </w:numPr>
        <w:ind w:firstLine="420" w:firstLineChars="0"/>
        <w:rPr>
          <w:rFonts w:hint="default" w:ascii="Cambria" w:hAnsi="Cambria" w:cs="Cambria"/>
        </w:rPr>
      </w:pPr>
      <w:r>
        <w:rPr>
          <w:rFonts w:hint="default" w:ascii="Cambria" w:hAnsi="Cambria" w:cs="Cambria"/>
        </w:rPr>
        <w:t>This standard is non-mandatory. It shall not serve as a basis for medical practice access or professional qualification accreditation, nor shall it supersede the prevailing laws, regulations, mandatory standards or clinical practice guidelines of respective countries and regions. Its core functions are as follows: standardizing the operational workflow of cupping therapy in TCM pediatrics; improving the safety and consistency of relevant technical operations; and offering a unified technical terminology and operational framework for clinical practice, teaching, training and international exchanges.</w:t>
      </w:r>
      <w:r>
        <w:rPr>
          <w:rFonts w:hint="default" w:ascii="Cambria" w:hAnsi="Cambria" w:cs="Cambria"/>
          <w:lang w:val="en-US" w:eastAsia="zh-CN"/>
        </w:rPr>
        <w:t xml:space="preserve"> </w:t>
      </w:r>
      <w:r>
        <w:rPr>
          <w:rFonts w:hint="default" w:ascii="Cambria" w:hAnsi="Cambria" w:cs="Cambria"/>
        </w:rPr>
        <w:t>In practical implementation, each country and region may reasonably adopt and adapt the contents of this standard in light of its own laws, regulations, healthcare management systems and local clinical realities.</w:t>
      </w:r>
    </w:p>
    <w:p w14:paraId="728AA72B">
      <w:pPr>
        <w:numPr>
          <w:ilvl w:val="0"/>
          <w:numId w:val="0"/>
        </w:numPr>
        <w:rPr>
          <w:rFonts w:hint="default" w:ascii="Cambria" w:hAnsi="Cambria" w:cs="Cambria"/>
        </w:rPr>
      </w:pPr>
    </w:p>
    <w:p w14:paraId="03796588">
      <w:pPr>
        <w:numPr>
          <w:ilvl w:val="0"/>
          <w:numId w:val="0"/>
        </w:numPr>
        <w:rPr>
          <w:rFonts w:hint="default" w:ascii="Cambria" w:hAnsi="Cambria" w:cs="Cambria" w:eastAsiaTheme="minorEastAsia"/>
          <w:b/>
          <w:bCs/>
          <w:sz w:val="24"/>
          <w:szCs w:val="24"/>
          <w:lang w:val="en-US" w:eastAsia="zh-CN"/>
        </w:rPr>
      </w:pPr>
      <w:r>
        <w:rPr>
          <w:rFonts w:hint="default" w:ascii="Cambria" w:hAnsi="Cambria" w:cs="Cambria"/>
          <w:b/>
          <w:bCs/>
          <w:sz w:val="24"/>
          <w:szCs w:val="24"/>
        </w:rPr>
        <w:t>VI. Requirements and Recommended Measures for Standard Implementation</w:t>
      </w:r>
    </w:p>
    <w:p w14:paraId="56963D5F">
      <w:pPr>
        <w:numPr>
          <w:ilvl w:val="0"/>
          <w:numId w:val="0"/>
        </w:numPr>
        <w:ind w:firstLine="420" w:firstLineChars="0"/>
        <w:rPr>
          <w:rFonts w:hint="default" w:ascii="Cambria" w:hAnsi="Cambria" w:cs="Cambria"/>
        </w:rPr>
      </w:pPr>
      <w:r>
        <w:rPr>
          <w:rFonts w:hint="default" w:ascii="Cambria" w:hAnsi="Cambria" w:cs="Cambria"/>
        </w:rPr>
        <w:t xml:space="preserve">After this standard is reviewed, approved, and promulgated by the </w:t>
      </w:r>
      <w:r>
        <w:rPr>
          <w:rFonts w:hint="default" w:ascii="Cambria" w:hAnsi="Cambria" w:cs="Cambria"/>
          <w:lang w:eastAsia="zh-CN"/>
        </w:rPr>
        <w:t>WFCMS</w:t>
      </w:r>
      <w:r>
        <w:rPr>
          <w:rFonts w:hint="default" w:ascii="Cambria" w:hAnsi="Cambria" w:cs="Cambria"/>
        </w:rPr>
        <w:t>, it is recommended that publicity, implementation and application activities be carried out through diverse channels to facilitate the promotion and rational use of the standard in the field of TCM pediatrics at home and abroad.</w:t>
      </w:r>
    </w:p>
    <w:p w14:paraId="2ACDC909">
      <w:pPr>
        <w:numPr>
          <w:ilvl w:val="0"/>
          <w:numId w:val="0"/>
        </w:numPr>
        <w:ind w:firstLine="420" w:firstLineChars="0"/>
        <w:rPr>
          <w:rFonts w:hint="default" w:ascii="Cambria" w:hAnsi="Cambria" w:cs="Cambria"/>
        </w:rPr>
      </w:pPr>
      <w:r>
        <w:rPr>
          <w:rFonts w:hint="default" w:ascii="Cambria" w:hAnsi="Cambria" w:cs="Cambria"/>
        </w:rPr>
        <w:t>(1) WFCMS shall coordinate and organize international publicity, promotion and application of the standard. In light of the actual conditions of its member countries and regions, WFCMS will encourage reference to this standard in clinical practice, teaching and scientific research of TCM pediatrics.</w:t>
      </w:r>
    </w:p>
    <w:p w14:paraId="519827C3">
      <w:pPr>
        <w:numPr>
          <w:ilvl w:val="0"/>
          <w:numId w:val="0"/>
        </w:numPr>
        <w:ind w:firstLine="420" w:firstLineChars="0"/>
        <w:rPr>
          <w:rFonts w:hint="default" w:ascii="Cambria" w:hAnsi="Cambria" w:cs="Cambria"/>
          <w:lang w:val="en-US" w:eastAsia="zh-CN"/>
        </w:rPr>
      </w:pPr>
      <w:r>
        <w:rPr>
          <w:rFonts w:hint="default" w:ascii="Cambria" w:hAnsi="Cambria" w:cs="Cambria"/>
        </w:rPr>
        <w:t xml:space="preserve">(2) </w:t>
      </w:r>
      <w:r>
        <w:rPr>
          <w:rFonts w:hint="default" w:ascii="Cambria" w:hAnsi="Cambria" w:cs="Cambria"/>
          <w:lang w:val="en-US" w:eastAsia="zh-CN"/>
        </w:rPr>
        <w:t>Relying on WFCMS and its Pediatrics Professional Committee, special briefings and training sessions on standard application shall be organized, targeting clinical TCM pediatricians and relevant technical specialists to deepen their understanding of the standard’s content and applicable principles.</w:t>
      </w:r>
    </w:p>
    <w:p w14:paraId="53597BD0">
      <w:pPr>
        <w:numPr>
          <w:ilvl w:val="0"/>
          <w:numId w:val="0"/>
        </w:numPr>
        <w:ind w:firstLine="420" w:firstLineChars="0"/>
        <w:rPr>
          <w:rFonts w:hint="default" w:ascii="Cambria" w:hAnsi="Cambria" w:cs="Cambria"/>
          <w:lang w:val="en-US" w:eastAsia="zh-CN"/>
        </w:rPr>
      </w:pPr>
      <w:r>
        <w:rPr>
          <w:rFonts w:hint="default" w:ascii="Cambria" w:hAnsi="Cambria" w:cs="Cambria"/>
        </w:rPr>
        <w:t>(3) Introductions and interpretations of this standard shall be delivered at domestic and international TCM and medical academic conferences and thematic seminars, so as to foster academic consensus on standardized practices of pediatric cupping therapy.</w:t>
      </w:r>
      <w:r>
        <w:rPr>
          <w:rFonts w:hint="default" w:ascii="Cambria" w:hAnsi="Cambria" w:cs="Cambria"/>
          <w:lang w:val="en-US" w:eastAsia="zh-CN"/>
        </w:rPr>
        <w:t xml:space="preserve"> </w:t>
      </w:r>
    </w:p>
    <w:p w14:paraId="07603FA4">
      <w:pPr>
        <w:numPr>
          <w:ilvl w:val="0"/>
          <w:numId w:val="0"/>
        </w:numPr>
        <w:ind w:firstLine="420" w:firstLineChars="0"/>
        <w:rPr>
          <w:rFonts w:hint="default" w:ascii="Cambria" w:hAnsi="Cambria" w:cs="Cambria" w:eastAsiaTheme="minorEastAsia"/>
          <w:lang w:val="en-US" w:eastAsia="zh-CN"/>
        </w:rPr>
      </w:pPr>
      <w:r>
        <w:rPr>
          <w:rFonts w:hint="default" w:ascii="Cambria" w:hAnsi="Cambria" w:cs="Cambria"/>
        </w:rPr>
        <w:t xml:space="preserve">(4) </w:t>
      </w:r>
      <w:r>
        <w:rPr>
          <w:rFonts w:hint="default" w:ascii="Cambria" w:hAnsi="Cambria" w:cs="Cambria"/>
          <w:lang w:val="en-US" w:eastAsia="zh-CN"/>
        </w:rPr>
        <w:t xml:space="preserve">The standard text, compilation instructions and relevant research results should be published in academic journals and professional media to expand the influence of the standard. Moreover, feedback should be continuously collected during the application process to provide a basis for subsequent revisions. </w:t>
      </w:r>
    </w:p>
    <w:p w14:paraId="41BDC4BC">
      <w:pPr>
        <w:numPr>
          <w:ilvl w:val="0"/>
          <w:numId w:val="0"/>
        </w:numPr>
        <w:rPr>
          <w:rFonts w:hint="default" w:ascii="Cambria" w:hAnsi="Cambria" w:cs="Cambria"/>
        </w:rPr>
      </w:pPr>
    </w:p>
    <w:p w14:paraId="609E9FCE">
      <w:pPr>
        <w:numPr>
          <w:ilvl w:val="0"/>
          <w:numId w:val="0"/>
        </w:numPr>
        <w:rPr>
          <w:rFonts w:hint="default" w:ascii="Cambria" w:hAnsi="Cambria" w:cs="Cambria" w:eastAsiaTheme="minorEastAsia"/>
          <w:b/>
          <w:bCs/>
          <w:sz w:val="24"/>
          <w:szCs w:val="24"/>
          <w:lang w:val="en-US" w:eastAsia="zh-CN"/>
        </w:rPr>
      </w:pPr>
      <w:r>
        <w:rPr>
          <w:rFonts w:hint="default" w:ascii="Cambria" w:hAnsi="Cambria" w:cs="Cambria"/>
          <w:b/>
          <w:bCs/>
          <w:sz w:val="24"/>
          <w:szCs w:val="24"/>
        </w:rPr>
        <w:t xml:space="preserve">VII. </w:t>
      </w:r>
      <w:r>
        <w:rPr>
          <w:rFonts w:hint="default" w:ascii="Cambria" w:hAnsi="Cambria" w:cs="Cambria"/>
          <w:b/>
          <w:bCs/>
          <w:sz w:val="24"/>
          <w:szCs w:val="24"/>
          <w:lang w:val="en-US" w:eastAsia="zh-CN"/>
        </w:rPr>
        <w:t>Facilitating and Restricting Factors in Application</w:t>
      </w:r>
    </w:p>
    <w:p w14:paraId="5C346D33">
      <w:pPr>
        <w:numPr>
          <w:ilvl w:val="0"/>
          <w:numId w:val="0"/>
        </w:numPr>
        <w:ind w:firstLine="420" w:firstLineChars="0"/>
        <w:rPr>
          <w:rFonts w:hint="default" w:ascii="Cambria" w:hAnsi="Cambria" w:cs="Cambria"/>
        </w:rPr>
      </w:pPr>
      <w:r>
        <w:rPr>
          <w:rFonts w:hint="default" w:ascii="Cambria" w:hAnsi="Cambria" w:cs="Cambria"/>
        </w:rPr>
        <w:t xml:space="preserve">After this standard is reviewed and issued by the </w:t>
      </w:r>
      <w:r>
        <w:rPr>
          <w:rFonts w:hint="default" w:ascii="Cambria" w:hAnsi="Cambria" w:cs="Cambria"/>
          <w:lang w:eastAsia="zh-CN"/>
        </w:rPr>
        <w:t>WFCMS</w:t>
      </w:r>
      <w:r>
        <w:rPr>
          <w:rFonts w:hint="default" w:ascii="Cambria" w:hAnsi="Cambria" w:cs="Cambria"/>
        </w:rPr>
        <w:t xml:space="preserve">, it will be implemented as a recommended standard of the international organization. In the application process, the academic influence of the </w:t>
      </w:r>
      <w:r>
        <w:rPr>
          <w:rFonts w:hint="default" w:ascii="Cambria" w:hAnsi="Cambria" w:cs="Cambria"/>
          <w:lang w:eastAsia="zh-CN"/>
        </w:rPr>
        <w:t>WFCMS</w:t>
      </w:r>
      <w:r>
        <w:rPr>
          <w:rFonts w:hint="default" w:ascii="Cambria" w:hAnsi="Cambria" w:cs="Cambria"/>
        </w:rPr>
        <w:t xml:space="preserve">, as well as various channels such as training, conferences, and academic journals, can be used to promote the dissemination and application of the standard in the field of </w:t>
      </w:r>
      <w:r>
        <w:rPr>
          <w:rFonts w:hint="default" w:ascii="Cambria" w:hAnsi="Cambria" w:cs="Cambria"/>
          <w:lang w:eastAsia="zh-CN"/>
        </w:rPr>
        <w:t>TCM</w:t>
      </w:r>
      <w:r>
        <w:rPr>
          <w:rFonts w:hint="default" w:ascii="Cambria" w:hAnsi="Cambria" w:cs="Cambria"/>
        </w:rPr>
        <w:t xml:space="preserve"> pediatrics at home and abroad.</w:t>
      </w:r>
    </w:p>
    <w:p w14:paraId="6E26EF62">
      <w:pPr>
        <w:numPr>
          <w:ilvl w:val="0"/>
          <w:numId w:val="0"/>
        </w:numPr>
        <w:ind w:firstLine="420" w:firstLineChars="0"/>
        <w:rPr>
          <w:rFonts w:hint="default" w:ascii="Cambria" w:hAnsi="Cambria" w:cs="Cambria" w:eastAsiaTheme="minorEastAsia"/>
          <w:lang w:val="en-US" w:eastAsia="zh-CN"/>
        </w:rPr>
      </w:pPr>
      <w:r>
        <w:rPr>
          <w:rFonts w:hint="default" w:ascii="Cambria" w:hAnsi="Cambria" w:cs="Cambria"/>
          <w:lang w:val="en-US" w:eastAsia="zh-CN"/>
        </w:rPr>
        <w:t>Meanwhile, objective barriers to its popularization and application should be fully recognized. For one thing, countries and regions differ greatly in the legal status of TCM, healthcare administration systems and clinical practice models. For another, diverse academic schools and individual empirical experience have long existed within TCM pediatrics, leading to inconsistent routine clinical operations that may hinder uniform application of the standard to a certain extent.</w:t>
      </w:r>
    </w:p>
    <w:p w14:paraId="772ECA3B">
      <w:pPr>
        <w:numPr>
          <w:ilvl w:val="0"/>
          <w:numId w:val="0"/>
        </w:numPr>
        <w:ind w:firstLine="420" w:firstLineChars="0"/>
        <w:rPr>
          <w:rFonts w:hint="default" w:ascii="Cambria" w:hAnsi="Cambria" w:cs="Cambria"/>
        </w:rPr>
      </w:pPr>
      <w:r>
        <w:rPr>
          <w:rFonts w:hint="default" w:ascii="Cambria" w:hAnsi="Cambria" w:cs="Cambria"/>
        </w:rPr>
        <w:t>With deepening international exchanges of traditional Chinese medicine, gradual formation of clinical consensus in pediatric TCM, and growing recognition of standardization concepts, continuous training, pilot implementation and dynamic revision of the standard are expected to steadily improve its acceptability and broaden its scope of application.</w:t>
      </w:r>
    </w:p>
    <w:p w14:paraId="0AB1F2F1">
      <w:pPr>
        <w:numPr>
          <w:ilvl w:val="0"/>
          <w:numId w:val="0"/>
        </w:numPr>
        <w:rPr>
          <w:rFonts w:hint="default" w:ascii="Cambria" w:hAnsi="Cambria" w:cs="Cambria"/>
        </w:rPr>
      </w:pPr>
    </w:p>
    <w:p w14:paraId="7A35E2C4">
      <w:pPr>
        <w:numPr>
          <w:ilvl w:val="0"/>
          <w:numId w:val="0"/>
        </w:numPr>
        <w:rPr>
          <w:rFonts w:hint="default" w:ascii="Cambria" w:hAnsi="Cambria" w:cs="Cambria" w:eastAsiaTheme="minorEastAsia"/>
          <w:b/>
          <w:bCs/>
          <w:sz w:val="24"/>
          <w:szCs w:val="24"/>
          <w:lang w:val="en-US" w:eastAsia="zh-CN"/>
        </w:rPr>
      </w:pPr>
      <w:r>
        <w:rPr>
          <w:rFonts w:hint="default" w:ascii="Cambria" w:hAnsi="Cambria" w:cs="Cambria"/>
          <w:b/>
          <w:bCs/>
          <w:sz w:val="24"/>
          <w:szCs w:val="24"/>
        </w:rPr>
        <w:t xml:space="preserve">VIII. Other Matters </w:t>
      </w:r>
      <w:r>
        <w:rPr>
          <w:rFonts w:hint="default" w:ascii="Cambria" w:hAnsi="Cambria" w:cs="Cambria"/>
          <w:b/>
          <w:bCs/>
          <w:sz w:val="24"/>
          <w:szCs w:val="24"/>
          <w:lang w:val="en-US" w:eastAsia="zh-CN"/>
        </w:rPr>
        <w:t>to</w:t>
      </w:r>
      <w:r>
        <w:rPr>
          <w:rFonts w:hint="default" w:ascii="Cambria" w:hAnsi="Cambria" w:cs="Cambria"/>
          <w:b/>
          <w:bCs/>
          <w:sz w:val="24"/>
          <w:szCs w:val="24"/>
        </w:rPr>
        <w:t xml:space="preserve"> be </w:t>
      </w:r>
      <w:r>
        <w:rPr>
          <w:rFonts w:hint="default" w:ascii="Cambria" w:hAnsi="Cambria" w:cs="Cambria"/>
          <w:b/>
          <w:bCs/>
          <w:sz w:val="24"/>
          <w:szCs w:val="24"/>
          <w:lang w:val="en-US" w:eastAsia="zh-CN"/>
        </w:rPr>
        <w:t>Clarified</w:t>
      </w:r>
    </w:p>
    <w:p w14:paraId="5BCE637F">
      <w:pPr>
        <w:numPr>
          <w:ilvl w:val="0"/>
          <w:numId w:val="0"/>
        </w:numPr>
        <w:ind w:firstLine="420" w:firstLineChars="0"/>
        <w:rPr>
          <w:rFonts w:hint="default" w:ascii="Cambria" w:hAnsi="Cambria" w:cs="Cambria"/>
        </w:rPr>
      </w:pPr>
      <w:r>
        <w:rPr>
          <w:rFonts w:hint="default" w:ascii="Cambria" w:hAnsi="Cambria" w:cs="Cambria"/>
        </w:rPr>
        <w:t>Given the continuous development of clinical practice in TCM pediatrics and constant advances in relevant technical approaches, it is recommended that a systematic evaluation of this standard be conducted 3 to 5 years after its issuance and implementation. The evaluation shall take into account international application feedback, progress in clinical research and safety evidence. Supplements, revisions or updates may be carried out as appropriate to maintain the scientific soundness, advancement and applicability of the standard.</w:t>
      </w:r>
    </w:p>
    <w:p w14:paraId="06BB99F9">
      <w:pPr>
        <w:numPr>
          <w:ilvl w:val="0"/>
          <w:numId w:val="0"/>
        </w:numPr>
        <w:rPr>
          <w:rFonts w:hint="default" w:ascii="Cambria" w:hAnsi="Cambria" w:cs="Cambria"/>
        </w:rPr>
      </w:pPr>
    </w:p>
    <w:p w14:paraId="627987F4">
      <w:pPr>
        <w:numPr>
          <w:ilvl w:val="0"/>
          <w:numId w:val="0"/>
        </w:numPr>
        <w:rPr>
          <w:rFonts w:hint="default" w:ascii="Cambria" w:hAnsi="Cambria" w:cs="Cambria"/>
        </w:rPr>
      </w:pPr>
    </w:p>
    <w:p w14:paraId="58C7DB01">
      <w:pPr>
        <w:rPr>
          <w:rFonts w:hint="default" w:ascii="Cambria" w:hAnsi="Cambria" w:cs="Cambria"/>
        </w:rPr>
      </w:pPr>
      <w:r>
        <w:rPr>
          <w:rFonts w:hint="default" w:ascii="Cambria" w:hAnsi="Cambria" w:cs="Cambria"/>
        </w:rPr>
        <w:br w:type="page"/>
      </w:r>
    </w:p>
    <w:p w14:paraId="3EDB87AF">
      <w:pPr>
        <w:numPr>
          <w:ilvl w:val="0"/>
          <w:numId w:val="0"/>
        </w:numPr>
        <w:rPr>
          <w:rFonts w:hint="default" w:ascii="Cambria" w:hAnsi="Cambria" w:cs="Cambria"/>
          <w:b/>
          <w:bCs/>
          <w:sz w:val="24"/>
          <w:szCs w:val="24"/>
        </w:rPr>
      </w:pPr>
      <w:r>
        <w:rPr>
          <w:rFonts w:hint="default" w:ascii="Cambria" w:hAnsi="Cambria" w:cs="Cambria"/>
          <w:b/>
          <w:bCs/>
          <w:sz w:val="24"/>
          <w:szCs w:val="24"/>
          <w:lang w:eastAsia="zh-CN"/>
        </w:rPr>
        <w:t>Appendix</w:t>
      </w:r>
      <w:r>
        <w:rPr>
          <w:rFonts w:hint="default" w:ascii="Cambria" w:hAnsi="Cambria" w:cs="Cambria"/>
          <w:b/>
          <w:bCs/>
          <w:sz w:val="24"/>
          <w:szCs w:val="24"/>
        </w:rPr>
        <w:t xml:space="preserve"> 1</w:t>
      </w:r>
    </w:p>
    <w:p w14:paraId="0B7FDA8D">
      <w:pPr>
        <w:numPr>
          <w:ilvl w:val="0"/>
          <w:numId w:val="0"/>
        </w:numPr>
        <w:jc w:val="center"/>
        <w:rPr>
          <w:rFonts w:hint="default" w:ascii="Cambria" w:hAnsi="Cambria" w:cs="Cambria"/>
          <w:b/>
          <w:bCs/>
          <w:sz w:val="24"/>
          <w:szCs w:val="24"/>
        </w:rPr>
      </w:pPr>
      <w:r>
        <w:rPr>
          <w:rFonts w:hint="default" w:ascii="Cambria" w:hAnsi="Cambria" w:cs="Cambria"/>
          <w:b/>
          <w:bCs/>
          <w:sz w:val="24"/>
          <w:szCs w:val="24"/>
          <w:lang w:val="en-US" w:eastAsia="zh-CN"/>
        </w:rPr>
        <w:t xml:space="preserve">Report on </w:t>
      </w:r>
      <w:r>
        <w:rPr>
          <w:rFonts w:hint="default" w:ascii="Cambria" w:hAnsi="Cambria" w:cs="Cambria"/>
          <w:b/>
          <w:bCs/>
          <w:sz w:val="24"/>
          <w:szCs w:val="24"/>
        </w:rPr>
        <w:t>Expert Questionnaire</w:t>
      </w:r>
    </w:p>
    <w:p w14:paraId="07E73678">
      <w:pPr>
        <w:numPr>
          <w:ilvl w:val="0"/>
          <w:numId w:val="0"/>
        </w:numPr>
        <w:rPr>
          <w:rFonts w:hint="default" w:ascii="Cambria" w:hAnsi="Cambria" w:cs="Cambria" w:eastAsiaTheme="minorEastAsia"/>
          <w:lang w:eastAsia="zh-CN"/>
        </w:rPr>
      </w:pPr>
      <w:r>
        <w:rPr>
          <w:rFonts w:hint="default" w:ascii="Cambria" w:hAnsi="Cambria" w:cs="Cambria"/>
        </w:rPr>
        <w:t xml:space="preserve">1. </w:t>
      </w:r>
      <w:r>
        <w:rPr>
          <w:rFonts w:hint="default" w:ascii="Cambria" w:hAnsi="Cambria" w:cs="Cambria"/>
          <w:lang w:val="en-US" w:eastAsia="zh-CN"/>
        </w:rPr>
        <w:t xml:space="preserve">Survey </w:t>
      </w:r>
      <w:r>
        <w:rPr>
          <w:rFonts w:hint="default" w:ascii="Cambria" w:hAnsi="Cambria" w:cs="Cambria"/>
        </w:rPr>
        <w:t>Background and Objectives</w:t>
      </w:r>
    </w:p>
    <w:p w14:paraId="7C8FB12B">
      <w:pPr>
        <w:numPr>
          <w:ilvl w:val="0"/>
          <w:numId w:val="0"/>
        </w:numPr>
        <w:ind w:firstLine="420" w:firstLineChars="0"/>
        <w:rPr>
          <w:rFonts w:hint="default" w:ascii="Cambria" w:hAnsi="Cambria" w:cs="Cambria"/>
        </w:rPr>
      </w:pPr>
      <w:r>
        <w:rPr>
          <w:rFonts w:hint="default" w:ascii="Cambria" w:hAnsi="Cambria" w:cs="Cambria"/>
        </w:rPr>
        <w:t xml:space="preserve">The project of </w:t>
      </w:r>
      <w:r>
        <w:rPr>
          <w:rFonts w:hint="default" w:ascii="Cambria" w:hAnsi="Cambria" w:cs="Cambria"/>
          <w:lang w:eastAsia="zh-CN"/>
        </w:rPr>
        <w:t>ISMCMP-CT</w:t>
      </w:r>
      <w:r>
        <w:rPr>
          <w:rFonts w:hint="default" w:ascii="Cambria" w:hAnsi="Cambria" w:cs="Cambria"/>
        </w:rPr>
        <w:t xml:space="preserve"> originates from the international standard formulation and revision project of the </w:t>
      </w:r>
      <w:r>
        <w:rPr>
          <w:rFonts w:hint="default" w:ascii="Cambria" w:hAnsi="Cambria" w:cs="Cambria"/>
          <w:lang w:eastAsia="zh-CN"/>
        </w:rPr>
        <w:t>WFCMS</w:t>
      </w:r>
      <w:r>
        <w:rPr>
          <w:rFonts w:hint="default" w:ascii="Cambria" w:hAnsi="Cambria" w:cs="Cambria"/>
        </w:rPr>
        <w:t>. Based on the national standard (guidance technical document) of the People's Republic of China</w:t>
      </w:r>
      <w:r>
        <w:rPr>
          <w:rFonts w:hint="default" w:ascii="Cambria" w:hAnsi="Cambria" w:cs="Cambria"/>
          <w:lang w:val="en-US" w:eastAsia="zh-CN"/>
        </w:rPr>
        <w:t>---</w:t>
      </w:r>
      <w:r>
        <w:rPr>
          <w:rFonts w:hint="default" w:ascii="Cambria" w:hAnsi="Cambria" w:cs="Cambria"/>
        </w:rPr>
        <w:t>GB/Z</w:t>
      </w:r>
      <w:r>
        <w:rPr>
          <w:rFonts w:hint="default" w:ascii="Cambria" w:hAnsi="Cambria" w:cs="Cambria"/>
          <w:lang w:val="en-US" w:eastAsia="zh-CN"/>
        </w:rPr>
        <w:t xml:space="preserve"> </w:t>
      </w:r>
      <w:r>
        <w:rPr>
          <w:rFonts w:hint="default" w:ascii="Cambria" w:hAnsi="Cambria" w:cs="Cambria"/>
        </w:rPr>
        <w:t>40893.5</w:t>
      </w:r>
      <w:r>
        <w:rPr>
          <w:rFonts w:hint="default" w:ascii="Cambria" w:hAnsi="Cambria" w:cs="Cambria"/>
          <w:lang w:val="en-US" w:eastAsia="zh-CN"/>
        </w:rPr>
        <w:t>-</w:t>
      </w:r>
      <w:r>
        <w:rPr>
          <w:rFonts w:hint="default" w:ascii="Cambria" w:hAnsi="Cambria" w:cs="Cambria"/>
        </w:rPr>
        <w:t>2021</w:t>
      </w:r>
      <w:r>
        <w:rPr>
          <w:rFonts w:hint="default" w:ascii="Cambria" w:hAnsi="Cambria" w:cs="Cambria"/>
          <w:lang w:val="en-US" w:eastAsia="zh-CN"/>
        </w:rPr>
        <w:t xml:space="preserve"> </w:t>
      </w:r>
      <w:r>
        <w:rPr>
          <w:rFonts w:hint="default" w:ascii="Cambria" w:hAnsi="Cambria" w:cs="Cambria"/>
          <w:lang w:eastAsia="zh-CN"/>
        </w:rPr>
        <w:t>SOTTCMP-CT</w:t>
      </w:r>
      <w:r>
        <w:rPr>
          <w:rFonts w:hint="default" w:ascii="Cambria" w:hAnsi="Cambria" w:cs="Cambria"/>
        </w:rPr>
        <w:t xml:space="preserve">, it aims to </w:t>
      </w:r>
      <w:r>
        <w:rPr>
          <w:rFonts w:hint="default" w:ascii="Cambria" w:hAnsi="Cambria" w:cs="Cambria"/>
          <w:lang w:val="en-US" w:eastAsia="zh-CN"/>
        </w:rPr>
        <w:t xml:space="preserve">upgrade </w:t>
      </w:r>
      <w:r>
        <w:rPr>
          <w:rFonts w:hint="default" w:ascii="Cambria" w:hAnsi="Cambria" w:cs="Cambria"/>
        </w:rPr>
        <w:t xml:space="preserve">this standard to an international organization standard of the </w:t>
      </w:r>
      <w:r>
        <w:rPr>
          <w:rFonts w:hint="default" w:ascii="Cambria" w:hAnsi="Cambria" w:cs="Cambria"/>
          <w:lang w:eastAsia="zh-CN"/>
        </w:rPr>
        <w:t>WFCMS</w:t>
      </w:r>
      <w:r>
        <w:rPr>
          <w:rFonts w:hint="default" w:ascii="Cambria" w:hAnsi="Cambria" w:cs="Cambria"/>
        </w:rPr>
        <w:t>. This standard standardizes the core definitions and commonly used terminology of pediatric cupping therapy, and specifies the operational procedures and technical requirements for various cupping tools, as well as conventional cupping, needle-cupping, and cup removal techniques. It also clarifies the pre-operation preparation, operational methods, post-operation management, precautions, and contraindications of pediatric cupping therapy.</w:t>
      </w:r>
      <w:r>
        <w:rPr>
          <w:rFonts w:hint="default" w:ascii="Cambria" w:hAnsi="Cambria" w:cs="Cambria"/>
          <w:lang w:val="en-US" w:eastAsia="zh-CN"/>
        </w:rPr>
        <w:t xml:space="preserve"> </w:t>
      </w:r>
      <w:r>
        <w:rPr>
          <w:rFonts w:hint="default" w:ascii="Cambria" w:hAnsi="Cambria" w:cs="Cambria"/>
        </w:rPr>
        <w:t>The formulation of this document is intended to establish standardized operational specifications for TCM pediatric cupping therapy, provide safe and standardized operational guidelines for TCM pediatric practitioners worldwide, and promote the standardization and international application of clinical TCM pediatric techniques.</w:t>
      </w:r>
    </w:p>
    <w:p w14:paraId="5A175BA4">
      <w:pPr>
        <w:numPr>
          <w:ilvl w:val="0"/>
          <w:numId w:val="0"/>
        </w:numPr>
        <w:ind w:firstLine="420" w:firstLineChars="0"/>
        <w:rPr>
          <w:rFonts w:hint="default" w:ascii="Cambria" w:hAnsi="Cambria" w:cs="Cambria"/>
        </w:rPr>
      </w:pPr>
      <w:r>
        <w:rPr>
          <w:rFonts w:hint="default" w:ascii="Cambria" w:hAnsi="Cambria" w:cs="Cambria"/>
        </w:rPr>
        <w:t xml:space="preserve">To ensure the scientificity, standardization, and international adaptability of the standard </w:t>
      </w:r>
      <w:r>
        <w:rPr>
          <w:rFonts w:hint="default" w:ascii="Cambria" w:hAnsi="Cambria" w:cs="Cambria"/>
          <w:lang w:val="en-US" w:eastAsia="zh-CN"/>
        </w:rPr>
        <w:t xml:space="preserve">upgrading </w:t>
      </w:r>
      <w:r>
        <w:rPr>
          <w:rFonts w:hint="default" w:ascii="Cambria" w:hAnsi="Cambria" w:cs="Cambria"/>
        </w:rPr>
        <w:t xml:space="preserve">process, this research solicits opinions from domestic and foreign </w:t>
      </w:r>
      <w:r>
        <w:rPr>
          <w:rFonts w:hint="default" w:ascii="Cambria" w:hAnsi="Cambria" w:cs="Cambria"/>
          <w:lang w:eastAsia="zh-CN"/>
        </w:rPr>
        <w:t>TCM</w:t>
      </w:r>
      <w:r>
        <w:rPr>
          <w:rFonts w:hint="default" w:ascii="Cambria" w:hAnsi="Cambria" w:cs="Cambria"/>
        </w:rPr>
        <w:t xml:space="preserve"> pediatric experts through an expert questionnaire survey, analyzes experts' degree of recognition and modification suggestions for each technical clause, and provides an empirical basis for the revision of the international standard text.</w:t>
      </w:r>
    </w:p>
    <w:p w14:paraId="337A03CA">
      <w:pPr>
        <w:numPr>
          <w:ilvl w:val="0"/>
          <w:numId w:val="0"/>
        </w:numPr>
        <w:rPr>
          <w:rFonts w:hint="default" w:ascii="Cambria" w:hAnsi="Cambria" w:cs="Cambria"/>
        </w:rPr>
      </w:pPr>
    </w:p>
    <w:p w14:paraId="352A0726">
      <w:pPr>
        <w:numPr>
          <w:ilvl w:val="0"/>
          <w:numId w:val="0"/>
        </w:numPr>
        <w:rPr>
          <w:rFonts w:hint="default" w:ascii="Cambria" w:hAnsi="Cambria" w:cs="Cambria" w:eastAsiaTheme="minorEastAsia"/>
          <w:lang w:eastAsia="zh-CN"/>
        </w:rPr>
      </w:pPr>
      <w:r>
        <w:rPr>
          <w:rFonts w:hint="default" w:ascii="Cambria" w:hAnsi="Cambria" w:cs="Cambria"/>
        </w:rPr>
        <w:t>2. Survey Methods and Analysis of Expert Profiles</w:t>
      </w:r>
    </w:p>
    <w:p w14:paraId="6F50DC1C">
      <w:pPr>
        <w:numPr>
          <w:ilvl w:val="0"/>
          <w:numId w:val="0"/>
        </w:numPr>
        <w:rPr>
          <w:rFonts w:hint="default" w:ascii="Cambria" w:hAnsi="Cambria" w:cs="Cambria" w:eastAsiaTheme="minorEastAsia"/>
          <w:lang w:eastAsia="zh-CN"/>
        </w:rPr>
      </w:pPr>
      <w:r>
        <w:rPr>
          <w:rFonts w:hint="default" w:ascii="Cambria" w:hAnsi="Cambria" w:cs="Cambria"/>
          <w:lang w:val="en-US" w:eastAsia="zh-CN"/>
        </w:rPr>
        <w:tab/>
      </w:r>
      <w:r>
        <w:rPr>
          <w:rFonts w:hint="default" w:ascii="Cambria" w:hAnsi="Cambria" w:cs="Cambria"/>
          <w:lang w:val="en-US" w:eastAsia="zh-CN"/>
        </w:rPr>
        <w:t xml:space="preserve">1.  </w:t>
      </w:r>
      <w:r>
        <w:rPr>
          <w:rFonts w:hint="default" w:ascii="Cambria" w:hAnsi="Cambria" w:cs="Cambria"/>
        </w:rPr>
        <w:t>Survey Methods</w:t>
      </w:r>
    </w:p>
    <w:p w14:paraId="016370DB">
      <w:pPr>
        <w:numPr>
          <w:ilvl w:val="0"/>
          <w:numId w:val="0"/>
        </w:numPr>
        <w:ind w:firstLine="420" w:firstLineChars="0"/>
        <w:rPr>
          <w:rFonts w:hint="default" w:ascii="Cambria" w:hAnsi="Cambria" w:cs="Cambria"/>
        </w:rPr>
      </w:pPr>
      <w:r>
        <w:rPr>
          <w:rFonts w:hint="default" w:ascii="Cambria" w:hAnsi="Cambria" w:cs="Cambria"/>
        </w:rPr>
        <w:t>This survey was conducted via online questionnaires from November 8 to November 23, 2025. The questionnaire covered 11 core items</w:t>
      </w:r>
      <w:r>
        <w:rPr>
          <w:rFonts w:hint="default" w:ascii="Cambria" w:hAnsi="Cambria" w:cs="Cambria"/>
          <w:lang w:val="en-US" w:eastAsia="zh-CN"/>
        </w:rPr>
        <w:t>,</w:t>
      </w:r>
      <w:r>
        <w:rPr>
          <w:rFonts w:hint="default" w:ascii="Cambria" w:hAnsi="Cambria" w:cs="Cambria"/>
        </w:rPr>
        <w:t xml:space="preserve"> including term definitions, operational procedures, contraindications, precautions and Annex contents, with open-ended questions set aside to collect supplementary comments.</w:t>
      </w:r>
    </w:p>
    <w:p w14:paraId="54F76F4A">
      <w:pPr>
        <w:numPr>
          <w:ilvl w:val="0"/>
          <w:numId w:val="2"/>
        </w:numPr>
        <w:ind w:left="420" w:leftChars="0" w:firstLine="0" w:firstLineChars="0"/>
        <w:rPr>
          <w:rFonts w:hint="default" w:ascii="Cambria" w:hAnsi="Cambria" w:cs="Cambria" w:eastAsiaTheme="minorEastAsia"/>
          <w:lang w:eastAsia="zh-CN"/>
        </w:rPr>
      </w:pPr>
      <w:r>
        <w:rPr>
          <w:rFonts w:hint="default" w:ascii="Cambria" w:hAnsi="Cambria" w:cs="Cambria"/>
        </w:rPr>
        <w:t>Analysis of Expert Profiles</w:t>
      </w:r>
    </w:p>
    <w:p w14:paraId="28BEFD7F">
      <w:pPr>
        <w:numPr>
          <w:ilvl w:val="0"/>
          <w:numId w:val="0"/>
        </w:numPr>
        <w:rPr>
          <w:rFonts w:hint="default" w:ascii="Cambria" w:hAnsi="Cambria" w:cs="Cambria" w:eastAsiaTheme="minorEastAsia"/>
          <w:lang w:eastAsia="zh-CN"/>
        </w:rPr>
      </w:pPr>
      <w:r>
        <w:rPr>
          <w:rFonts w:hint="default" w:ascii="Cambria" w:hAnsi="Cambria" w:cs="Cambria"/>
        </w:rPr>
        <w:t xml:space="preserve">      </w:t>
      </w:r>
      <w:r>
        <w:rPr>
          <w:rFonts w:hint="default" w:ascii="Cambria" w:hAnsi="Cambria" w:cs="Cambria"/>
          <w:lang w:val="en-US" w:eastAsia="zh-CN"/>
        </w:rPr>
        <w:t xml:space="preserve">2.1 </w:t>
      </w:r>
      <w:r>
        <w:rPr>
          <w:rFonts w:hint="default" w:ascii="Cambria" w:hAnsi="Cambria" w:cs="Cambria"/>
        </w:rPr>
        <w:t>Expert Selection Criteria</w:t>
      </w:r>
    </w:p>
    <w:p w14:paraId="2456EC1E">
      <w:pPr>
        <w:numPr>
          <w:ilvl w:val="0"/>
          <w:numId w:val="0"/>
        </w:numPr>
        <w:ind w:firstLine="420" w:firstLineChars="0"/>
        <w:rPr>
          <w:rFonts w:hint="default" w:ascii="Cambria" w:hAnsi="Cambria" w:cs="Cambria" w:eastAsiaTheme="minorEastAsia"/>
          <w:lang w:val="en-US" w:eastAsia="zh-CN"/>
        </w:rPr>
      </w:pPr>
      <w:r>
        <w:rPr>
          <w:rFonts w:hint="default" w:ascii="Cambria" w:hAnsi="Cambria" w:cs="Cambria"/>
        </w:rPr>
        <w:t xml:space="preserve">The criteria for selecting experts included: </w:t>
      </w:r>
      <w:r>
        <w:rPr>
          <w:rFonts w:hint="default" w:ascii="Cambria" w:hAnsi="Cambria" w:cs="Cambria"/>
          <w:lang w:eastAsia="zh-CN"/>
        </w:rPr>
        <w:t xml:space="preserve">1. </w:t>
      </w:r>
      <w:r>
        <w:rPr>
          <w:rFonts w:hint="default" w:ascii="Cambria" w:hAnsi="Cambria" w:cs="Cambria"/>
        </w:rPr>
        <w:t xml:space="preserve">Having a senior professional background in </w:t>
      </w:r>
      <w:r>
        <w:rPr>
          <w:rFonts w:hint="default" w:ascii="Cambria" w:hAnsi="Cambria" w:cs="Cambria"/>
          <w:lang w:eastAsia="zh-CN"/>
        </w:rPr>
        <w:t>TCM</w:t>
      </w:r>
      <w:r>
        <w:rPr>
          <w:rFonts w:hint="default" w:ascii="Cambria" w:hAnsi="Cambria" w:cs="Cambria"/>
        </w:rPr>
        <w:t xml:space="preserve"> pediatrics or related fields; </w:t>
      </w:r>
      <w:r>
        <w:rPr>
          <w:rFonts w:hint="default" w:ascii="Cambria" w:hAnsi="Cambria" w:cs="Cambria"/>
          <w:lang w:eastAsia="zh-CN"/>
        </w:rPr>
        <w:t xml:space="preserve">2. </w:t>
      </w:r>
      <w:r>
        <w:rPr>
          <w:rFonts w:hint="default" w:ascii="Cambria" w:hAnsi="Cambria" w:cs="Cambria"/>
        </w:rPr>
        <w:t xml:space="preserve">Having rich clinical or teaching experience, with Chinese mainland experts having engaged in this profession for more than 20 years and 90% of overseas experts for more than 10 years; </w:t>
      </w:r>
      <w:r>
        <w:rPr>
          <w:rFonts w:hint="default" w:ascii="Cambria" w:hAnsi="Cambria" w:cs="Cambria"/>
          <w:lang w:eastAsia="zh-CN"/>
        </w:rPr>
        <w:t xml:space="preserve">3. </w:t>
      </w:r>
      <w:r>
        <w:rPr>
          <w:rFonts w:hint="default" w:ascii="Cambria" w:hAnsi="Cambria" w:cs="Cambria"/>
        </w:rPr>
        <w:t xml:space="preserve">Being familiar with pediatric cupping techniques in </w:t>
      </w:r>
      <w:r>
        <w:rPr>
          <w:rFonts w:hint="default" w:ascii="Cambria" w:hAnsi="Cambria" w:cs="Cambria"/>
          <w:lang w:eastAsia="zh-CN"/>
        </w:rPr>
        <w:t>TCM</w:t>
      </w:r>
      <w:r>
        <w:rPr>
          <w:rFonts w:hint="default" w:ascii="Cambria" w:hAnsi="Cambria" w:cs="Cambria"/>
        </w:rPr>
        <w:t xml:space="preserve">; </w:t>
      </w:r>
      <w:r>
        <w:rPr>
          <w:rFonts w:hint="default" w:ascii="Cambria" w:hAnsi="Cambria" w:cs="Cambria"/>
          <w:lang w:eastAsia="zh-CN"/>
        </w:rPr>
        <w:t xml:space="preserve">4. </w:t>
      </w:r>
      <w:r>
        <w:rPr>
          <w:rFonts w:hint="default" w:ascii="Cambria" w:hAnsi="Cambria" w:cs="Cambria"/>
        </w:rPr>
        <w:t xml:space="preserve"> Covering different countries and regions to enhance the international representativeness of the standard.</w:t>
      </w:r>
      <w:r>
        <w:rPr>
          <w:rFonts w:hint="default" w:ascii="Cambria" w:hAnsi="Cambria" w:cs="Cambria"/>
          <w:lang w:val="en-US" w:eastAsia="zh-CN"/>
        </w:rPr>
        <w:t xml:space="preserve"> </w:t>
      </w:r>
    </w:p>
    <w:p w14:paraId="35AB5979">
      <w:pPr>
        <w:numPr>
          <w:ilvl w:val="0"/>
          <w:numId w:val="0"/>
        </w:numPr>
        <w:rPr>
          <w:rFonts w:hint="default" w:ascii="Cambria" w:hAnsi="Cambria" w:cs="Cambria" w:eastAsiaTheme="minorEastAsia"/>
          <w:lang w:eastAsia="zh-CN"/>
        </w:rPr>
      </w:pPr>
      <w:r>
        <w:rPr>
          <w:rFonts w:hint="default" w:ascii="Cambria" w:hAnsi="Cambria" w:cs="Cambria"/>
        </w:rPr>
        <w:t xml:space="preserve">      </w:t>
      </w:r>
      <w:r>
        <w:rPr>
          <w:rFonts w:hint="default" w:ascii="Cambria" w:hAnsi="Cambria" w:cs="Cambria"/>
          <w:lang w:val="en-US" w:eastAsia="zh-CN"/>
        </w:rPr>
        <w:t xml:space="preserve">2.2 </w:t>
      </w:r>
      <w:r>
        <w:rPr>
          <w:rFonts w:hint="default" w:ascii="Cambria" w:hAnsi="Cambria" w:cs="Cambria"/>
        </w:rPr>
        <w:t xml:space="preserve">Expert </w:t>
      </w:r>
      <w:r>
        <w:rPr>
          <w:rFonts w:hint="default" w:ascii="Cambria" w:hAnsi="Cambria" w:cs="Cambria"/>
          <w:lang w:val="en-US" w:eastAsia="zh-CN"/>
        </w:rPr>
        <w:t xml:space="preserve">Positive </w:t>
      </w:r>
      <w:r>
        <w:rPr>
          <w:rFonts w:hint="default" w:ascii="Cambria" w:hAnsi="Cambria" w:cs="Cambria"/>
        </w:rPr>
        <w:t>Coefficient</w:t>
      </w:r>
    </w:p>
    <w:p w14:paraId="7AD3D049">
      <w:pPr>
        <w:numPr>
          <w:ilvl w:val="0"/>
          <w:numId w:val="0"/>
        </w:numPr>
        <w:ind w:firstLine="420" w:firstLineChars="0"/>
        <w:rPr>
          <w:rFonts w:hint="default" w:ascii="Cambria" w:hAnsi="Cambria" w:cs="Cambria"/>
        </w:rPr>
      </w:pPr>
      <w:r>
        <w:rPr>
          <w:rFonts w:hint="default" w:ascii="Cambria" w:hAnsi="Cambria" w:cs="Cambria"/>
        </w:rPr>
        <w:t xml:space="preserve">In this questionnaire survey, 30 questionnaires were distributed, and 30 valid questionnaires were </w:t>
      </w:r>
      <w:r>
        <w:rPr>
          <w:rFonts w:hint="default" w:ascii="Cambria" w:hAnsi="Cambria" w:cs="Cambria"/>
          <w:lang w:val="en-US" w:eastAsia="zh-CN"/>
        </w:rPr>
        <w:t>recovered</w:t>
      </w:r>
      <w:r>
        <w:rPr>
          <w:rFonts w:hint="default" w:ascii="Cambria" w:hAnsi="Cambria" w:cs="Cambria"/>
        </w:rPr>
        <w:t xml:space="preserve">, </w:t>
      </w:r>
      <w:r>
        <w:rPr>
          <w:rFonts w:hint="default" w:ascii="Cambria" w:hAnsi="Cambria" w:cs="Cambria"/>
          <w:lang w:eastAsia="zh-CN"/>
        </w:rPr>
        <w:t>with an expert positive coefficient of 100%</w:t>
      </w:r>
      <w:r>
        <w:rPr>
          <w:rFonts w:hint="default" w:ascii="Cambria" w:hAnsi="Cambria" w:cs="Cambria"/>
        </w:rPr>
        <w:t xml:space="preserve">. The high expert </w:t>
      </w:r>
      <w:r>
        <w:rPr>
          <w:rFonts w:hint="default" w:ascii="Cambria" w:hAnsi="Cambria" w:cs="Cambria"/>
          <w:lang w:val="en-US" w:eastAsia="zh-CN"/>
        </w:rPr>
        <w:t xml:space="preserve">positive </w:t>
      </w:r>
      <w:r>
        <w:rPr>
          <w:rFonts w:hint="default" w:ascii="Cambria" w:hAnsi="Cambria" w:cs="Cambria"/>
        </w:rPr>
        <w:t>coefficient (100%) in this survey, reasonable professional structure, and strong authority ensured the scientificity and reliability of the survey results.</w:t>
      </w:r>
    </w:p>
    <w:p w14:paraId="0BC6FB10">
      <w:pPr>
        <w:numPr>
          <w:ilvl w:val="0"/>
          <w:numId w:val="0"/>
        </w:numPr>
        <w:rPr>
          <w:rFonts w:hint="default" w:ascii="Cambria" w:hAnsi="Cambria" w:cs="Cambria" w:eastAsiaTheme="minorEastAsia"/>
          <w:lang w:eastAsia="zh-CN"/>
        </w:rPr>
      </w:pPr>
      <w:r>
        <w:rPr>
          <w:rFonts w:hint="default" w:ascii="Cambria" w:hAnsi="Cambria" w:cs="Cambria"/>
        </w:rPr>
        <w:t xml:space="preserve">      </w:t>
      </w:r>
      <w:r>
        <w:rPr>
          <w:rFonts w:hint="default" w:ascii="Cambria" w:hAnsi="Cambria" w:cs="Cambria"/>
          <w:lang w:val="en-US" w:eastAsia="zh-CN"/>
        </w:rPr>
        <w:t xml:space="preserve">2.3 </w:t>
      </w:r>
      <w:r>
        <w:rPr>
          <w:rFonts w:hint="default" w:ascii="Cambria" w:hAnsi="Cambria" w:cs="Cambria"/>
        </w:rPr>
        <w:t>Expert Authority and Representativeness</w:t>
      </w:r>
    </w:p>
    <w:p w14:paraId="2A403836">
      <w:pPr>
        <w:numPr>
          <w:ilvl w:val="0"/>
          <w:numId w:val="0"/>
        </w:numPr>
        <w:ind w:firstLine="420" w:firstLineChars="0"/>
        <w:rPr>
          <w:rFonts w:hint="default" w:ascii="Cambria" w:hAnsi="Cambria" w:cs="Cambria"/>
        </w:rPr>
      </w:pPr>
      <w:r>
        <w:rPr>
          <w:rFonts w:hint="default" w:ascii="Cambria" w:hAnsi="Cambria" w:cs="Cambria"/>
        </w:rPr>
        <w:t>A total of 30 experts put forward suggestions on the provisions related to pediatric cupping therapy. The selection of experts took into account regionality, professionalism, and authority. The experts came from 6 countries, namely China, Singapore, Canada, Vietnam, Malaysia, and Thailand. Among them, there were 20 Chinese experts, 2 from Singapore, 2 from Malaysia, 2 from Canada, 2 from Vietnam, and 2 from Thailand, with a wide coverage and strong regional representativeness.</w:t>
      </w:r>
    </w:p>
    <w:p w14:paraId="6B906563">
      <w:pPr>
        <w:numPr>
          <w:ilvl w:val="0"/>
          <w:numId w:val="0"/>
        </w:numPr>
        <w:ind w:firstLine="420" w:firstLineChars="0"/>
        <w:rPr>
          <w:rFonts w:hint="default" w:ascii="Cambria" w:hAnsi="Cambria" w:cs="Cambria"/>
        </w:rPr>
      </w:pPr>
      <w:r>
        <w:rPr>
          <w:rFonts w:hint="default" w:ascii="Cambria" w:hAnsi="Cambria" w:cs="Cambria"/>
        </w:rPr>
        <w:t xml:space="preserve">All recruited experts are senior practitioners specializing in TCM pediatrics and related fields, including professors and chief physicians from domestic higher education institutions of </w:t>
      </w:r>
      <w:r>
        <w:rPr>
          <w:rFonts w:hint="default" w:ascii="Cambria" w:hAnsi="Cambria" w:cs="Cambria"/>
          <w:lang w:eastAsia="zh-CN"/>
        </w:rPr>
        <w:t>TCM</w:t>
      </w:r>
      <w:r>
        <w:rPr>
          <w:rFonts w:hint="default" w:ascii="Cambria" w:hAnsi="Cambria" w:cs="Cambria"/>
        </w:rPr>
        <w:t xml:space="preserve">, and expert scholars from overseas </w:t>
      </w:r>
      <w:r>
        <w:rPr>
          <w:rFonts w:hint="default" w:ascii="Cambria" w:hAnsi="Cambria" w:cs="Cambria"/>
          <w:lang w:eastAsia="zh-CN"/>
        </w:rPr>
        <w:t>TCM</w:t>
      </w:r>
      <w:r>
        <w:rPr>
          <w:rFonts w:hint="default" w:ascii="Cambria" w:hAnsi="Cambria" w:cs="Cambria"/>
        </w:rPr>
        <w:t xml:space="preserve"> medical and teaching institutions. They boast abundant experience in clinical practice, scientific research and teaching, and their feedback fully reflects the professional viewpoints of senior global specialists in pediatric TCM. Detailed information on the 30 experts, including country/region of residence, age, educational background, professional title, postgraduate supervisor qualification, discipline distribution and years of practice, is presented in Tables 1 to 7.</w:t>
      </w:r>
    </w:p>
    <w:p w14:paraId="49979883">
      <w:pPr>
        <w:numPr>
          <w:ilvl w:val="0"/>
          <w:numId w:val="0"/>
        </w:numPr>
        <w:rPr>
          <w:rFonts w:hint="default" w:ascii="Cambria" w:hAnsi="Cambria" w:cs="Cambria"/>
          <w:u w:val="none"/>
          <w:lang w:val="en-US" w:eastAsia="zh-CN"/>
        </w:rPr>
      </w:pPr>
      <w:r>
        <w:rPr>
          <w:rFonts w:hint="default" w:ascii="Cambria" w:hAnsi="Cambria" w:cs="Cambria"/>
          <w:u w:val="none"/>
        </w:rPr>
        <w:t xml:space="preserve">Table 1 </w:t>
      </w:r>
      <w:r>
        <w:rPr>
          <w:rFonts w:hint="default" w:ascii="Cambria" w:hAnsi="Cambria" w:cs="Cambria"/>
          <w:u w:val="none"/>
          <w:lang w:val="en-US" w:eastAsia="zh-CN"/>
        </w:rPr>
        <w:t xml:space="preserve"> </w:t>
      </w:r>
      <w:r>
        <w:rPr>
          <w:rFonts w:hint="default" w:ascii="Cambria" w:hAnsi="Cambria" w:cs="Cambria"/>
          <w:u w:val="none"/>
        </w:rPr>
        <w:t>Distribution of Experts by Country/Region</w:t>
      </w:r>
      <w:r>
        <w:rPr>
          <w:rFonts w:hint="default" w:ascii="Cambria" w:hAnsi="Cambria" w:cs="Cambria"/>
          <w:u w:val="none"/>
          <w:lang w:val="en-US" w:eastAsia="zh-CN"/>
        </w:rPr>
        <w:t xml:space="preserve">   </w:t>
      </w:r>
    </w:p>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40"/>
        <w:gridCol w:w="2841"/>
        <w:gridCol w:w="2841"/>
      </w:tblGrid>
      <w:tr w14:paraId="35CFE1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bottom w:val="single" w:color="auto" w:sz="4" w:space="0"/>
            </w:tcBorders>
            <w:vAlign w:val="top"/>
          </w:tcPr>
          <w:p w14:paraId="343D9EEE">
            <w:pPr>
              <w:numPr>
                <w:ilvl w:val="0"/>
                <w:numId w:val="0"/>
              </w:numPr>
              <w:rPr>
                <w:rFonts w:hint="default" w:ascii="Cambria" w:hAnsi="Cambria" w:cs="Cambria"/>
                <w:u w:val="single"/>
                <w:vertAlign w:val="baseline"/>
                <w:lang w:val="en-US" w:eastAsia="zh-CN"/>
              </w:rPr>
            </w:pPr>
            <w:r>
              <w:rPr>
                <w:rFonts w:hint="default" w:ascii="Cambria" w:hAnsi="Cambria" w:cs="Cambria"/>
                <w:u w:val="none"/>
              </w:rPr>
              <w:t>Country/Region</w:t>
            </w:r>
          </w:p>
        </w:tc>
        <w:tc>
          <w:tcPr>
            <w:tcW w:w="2841" w:type="dxa"/>
            <w:tcBorders>
              <w:bottom w:val="single" w:color="auto" w:sz="4" w:space="0"/>
            </w:tcBorders>
            <w:vAlign w:val="top"/>
          </w:tcPr>
          <w:p w14:paraId="12BE4068">
            <w:pPr>
              <w:numPr>
                <w:ilvl w:val="0"/>
                <w:numId w:val="0"/>
              </w:numPr>
              <w:rPr>
                <w:rFonts w:hint="default" w:ascii="Cambria" w:hAnsi="Cambria" w:cs="Cambria"/>
                <w:u w:val="single"/>
                <w:vertAlign w:val="baseline"/>
                <w:lang w:val="en-US" w:eastAsia="zh-CN"/>
              </w:rPr>
            </w:pPr>
            <w:r>
              <w:rPr>
                <w:rFonts w:hint="default" w:ascii="Cambria" w:hAnsi="Cambria" w:cs="Cambria"/>
                <w:u w:val="none"/>
              </w:rPr>
              <w:t>Number of People</w:t>
            </w:r>
          </w:p>
        </w:tc>
        <w:tc>
          <w:tcPr>
            <w:tcW w:w="2841" w:type="dxa"/>
            <w:tcBorders>
              <w:bottom w:val="single" w:color="auto" w:sz="4" w:space="0"/>
            </w:tcBorders>
            <w:vAlign w:val="top"/>
          </w:tcPr>
          <w:p w14:paraId="1AABE0A0">
            <w:pPr>
              <w:numPr>
                <w:ilvl w:val="0"/>
                <w:numId w:val="0"/>
              </w:numPr>
              <w:rPr>
                <w:rFonts w:hint="default" w:ascii="Cambria" w:hAnsi="Cambria" w:cs="Cambria"/>
                <w:u w:val="single"/>
                <w:vertAlign w:val="baseline"/>
                <w:lang w:val="en-US" w:eastAsia="zh-CN"/>
              </w:rPr>
            </w:pPr>
            <w:r>
              <w:rPr>
                <w:rFonts w:hint="default" w:ascii="Cambria" w:hAnsi="Cambria" w:cs="Cambria"/>
                <w:u w:val="none"/>
              </w:rPr>
              <w:t>Percentage</w:t>
            </w:r>
          </w:p>
        </w:tc>
      </w:tr>
      <w:tr w14:paraId="301B8A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op w:val="single" w:color="auto" w:sz="4" w:space="0"/>
              <w:tl2br w:val="nil"/>
              <w:tr2bl w:val="nil"/>
            </w:tcBorders>
            <w:vAlign w:val="top"/>
          </w:tcPr>
          <w:p w14:paraId="02F24E64">
            <w:pPr>
              <w:numPr>
                <w:ilvl w:val="0"/>
                <w:numId w:val="0"/>
              </w:numPr>
              <w:rPr>
                <w:rFonts w:hint="default" w:ascii="Cambria" w:hAnsi="Cambria" w:cs="Cambria"/>
                <w:u w:val="single"/>
                <w:vertAlign w:val="baseline"/>
                <w:lang w:val="en-US" w:eastAsia="zh-CN"/>
              </w:rPr>
            </w:pPr>
            <w:r>
              <w:rPr>
                <w:rFonts w:hint="default" w:ascii="Cambria" w:hAnsi="Cambria" w:cs="Cambria"/>
              </w:rPr>
              <w:t xml:space="preserve">China </w:t>
            </w:r>
          </w:p>
        </w:tc>
        <w:tc>
          <w:tcPr>
            <w:tcW w:w="2841" w:type="dxa"/>
            <w:tcBorders>
              <w:top w:val="single" w:color="auto" w:sz="4" w:space="0"/>
              <w:tl2br w:val="nil"/>
              <w:tr2bl w:val="nil"/>
            </w:tcBorders>
            <w:vAlign w:val="top"/>
          </w:tcPr>
          <w:p w14:paraId="24E8386D">
            <w:pPr>
              <w:numPr>
                <w:ilvl w:val="0"/>
                <w:numId w:val="0"/>
              </w:numPr>
              <w:rPr>
                <w:rFonts w:hint="default" w:ascii="Cambria" w:hAnsi="Cambria" w:cs="Cambria"/>
                <w:u w:val="single"/>
                <w:vertAlign w:val="baseline"/>
                <w:lang w:val="en-US" w:eastAsia="zh-CN"/>
              </w:rPr>
            </w:pPr>
            <w:r>
              <w:rPr>
                <w:rFonts w:hint="default" w:ascii="Cambria" w:hAnsi="Cambria" w:cs="Cambria"/>
              </w:rPr>
              <w:t>20</w:t>
            </w:r>
          </w:p>
        </w:tc>
        <w:tc>
          <w:tcPr>
            <w:tcW w:w="2841" w:type="dxa"/>
            <w:tcBorders>
              <w:top w:val="single" w:color="auto" w:sz="4" w:space="0"/>
              <w:tl2br w:val="nil"/>
              <w:tr2bl w:val="nil"/>
            </w:tcBorders>
            <w:vAlign w:val="top"/>
          </w:tcPr>
          <w:p w14:paraId="759B3320">
            <w:pPr>
              <w:numPr>
                <w:ilvl w:val="0"/>
                <w:numId w:val="0"/>
              </w:numPr>
              <w:rPr>
                <w:rFonts w:hint="default" w:ascii="Cambria" w:hAnsi="Cambria" w:cs="Cambria"/>
                <w:u w:val="single"/>
                <w:vertAlign w:val="baseline"/>
                <w:lang w:val="en-US" w:eastAsia="zh-CN"/>
              </w:rPr>
            </w:pPr>
            <w:r>
              <w:rPr>
                <w:rFonts w:hint="default" w:ascii="Cambria" w:hAnsi="Cambria" w:cs="Cambria"/>
              </w:rPr>
              <w:t>66.67%</w:t>
            </w:r>
          </w:p>
        </w:tc>
      </w:tr>
      <w:tr w14:paraId="6EDF4D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vAlign w:val="top"/>
          </w:tcPr>
          <w:p w14:paraId="0408A8FD">
            <w:pPr>
              <w:numPr>
                <w:ilvl w:val="0"/>
                <w:numId w:val="0"/>
              </w:numPr>
              <w:rPr>
                <w:rFonts w:hint="default" w:ascii="Cambria" w:hAnsi="Cambria" w:cs="Cambria"/>
                <w:u w:val="single"/>
                <w:vertAlign w:val="baseline"/>
                <w:lang w:val="en-US" w:eastAsia="zh-CN"/>
              </w:rPr>
            </w:pPr>
            <w:r>
              <w:rPr>
                <w:rFonts w:hint="default" w:ascii="Cambria" w:hAnsi="Cambria" w:cs="Cambria"/>
              </w:rPr>
              <w:t xml:space="preserve">Thailand </w:t>
            </w:r>
          </w:p>
        </w:tc>
        <w:tc>
          <w:tcPr>
            <w:tcW w:w="2841" w:type="dxa"/>
            <w:tcBorders>
              <w:tl2br w:val="nil"/>
              <w:tr2bl w:val="nil"/>
            </w:tcBorders>
            <w:vAlign w:val="top"/>
          </w:tcPr>
          <w:p w14:paraId="533CF908">
            <w:pPr>
              <w:numPr>
                <w:ilvl w:val="0"/>
                <w:numId w:val="0"/>
              </w:numPr>
              <w:rPr>
                <w:rFonts w:hint="default" w:ascii="Cambria" w:hAnsi="Cambria" w:cs="Cambria"/>
                <w:u w:val="single"/>
                <w:vertAlign w:val="baseline"/>
                <w:lang w:val="en-US" w:eastAsia="zh-CN"/>
              </w:rPr>
            </w:pPr>
            <w:r>
              <w:rPr>
                <w:rFonts w:hint="default" w:ascii="Cambria" w:hAnsi="Cambria" w:cs="Cambria"/>
              </w:rPr>
              <w:t>2</w:t>
            </w:r>
          </w:p>
        </w:tc>
        <w:tc>
          <w:tcPr>
            <w:tcW w:w="2841" w:type="dxa"/>
            <w:tcBorders>
              <w:tl2br w:val="nil"/>
              <w:tr2bl w:val="nil"/>
            </w:tcBorders>
            <w:vAlign w:val="top"/>
          </w:tcPr>
          <w:p w14:paraId="2B79AAB3">
            <w:pPr>
              <w:numPr>
                <w:ilvl w:val="0"/>
                <w:numId w:val="0"/>
              </w:numPr>
              <w:rPr>
                <w:rFonts w:hint="default" w:ascii="Cambria" w:hAnsi="Cambria" w:cs="Cambria"/>
                <w:u w:val="single"/>
                <w:vertAlign w:val="baseline"/>
                <w:lang w:val="en-US" w:eastAsia="zh-CN"/>
              </w:rPr>
            </w:pPr>
            <w:r>
              <w:rPr>
                <w:rFonts w:hint="default" w:ascii="Cambria" w:hAnsi="Cambria" w:cs="Cambria"/>
              </w:rPr>
              <w:t>6.67%</w:t>
            </w:r>
          </w:p>
        </w:tc>
      </w:tr>
      <w:tr w14:paraId="49B00C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vAlign w:val="top"/>
          </w:tcPr>
          <w:p w14:paraId="2FFEDFDC">
            <w:pPr>
              <w:numPr>
                <w:ilvl w:val="0"/>
                <w:numId w:val="0"/>
              </w:numPr>
              <w:rPr>
                <w:rFonts w:hint="default" w:ascii="Cambria" w:hAnsi="Cambria" w:cs="Cambria"/>
                <w:u w:val="single"/>
                <w:vertAlign w:val="baseline"/>
                <w:lang w:val="en-US" w:eastAsia="zh-CN"/>
              </w:rPr>
            </w:pPr>
            <w:r>
              <w:rPr>
                <w:rFonts w:hint="default" w:ascii="Cambria" w:hAnsi="Cambria" w:cs="Cambria"/>
              </w:rPr>
              <w:t xml:space="preserve">Singapore </w:t>
            </w:r>
          </w:p>
        </w:tc>
        <w:tc>
          <w:tcPr>
            <w:tcW w:w="2841" w:type="dxa"/>
            <w:tcBorders>
              <w:tl2br w:val="nil"/>
              <w:tr2bl w:val="nil"/>
            </w:tcBorders>
            <w:vAlign w:val="top"/>
          </w:tcPr>
          <w:p w14:paraId="77BE6A95">
            <w:pPr>
              <w:numPr>
                <w:ilvl w:val="0"/>
                <w:numId w:val="0"/>
              </w:numPr>
              <w:rPr>
                <w:rFonts w:hint="default" w:ascii="Cambria" w:hAnsi="Cambria" w:cs="Cambria"/>
                <w:u w:val="single"/>
                <w:vertAlign w:val="baseline"/>
                <w:lang w:val="en-US" w:eastAsia="zh-CN"/>
              </w:rPr>
            </w:pPr>
            <w:r>
              <w:rPr>
                <w:rFonts w:hint="default" w:ascii="Cambria" w:hAnsi="Cambria" w:cs="Cambria"/>
              </w:rPr>
              <w:t>2</w:t>
            </w:r>
          </w:p>
        </w:tc>
        <w:tc>
          <w:tcPr>
            <w:tcW w:w="2841" w:type="dxa"/>
            <w:tcBorders>
              <w:tl2br w:val="nil"/>
              <w:tr2bl w:val="nil"/>
            </w:tcBorders>
            <w:vAlign w:val="top"/>
          </w:tcPr>
          <w:p w14:paraId="759B55A5">
            <w:pPr>
              <w:numPr>
                <w:ilvl w:val="0"/>
                <w:numId w:val="0"/>
              </w:numPr>
              <w:rPr>
                <w:rFonts w:hint="default" w:ascii="Cambria" w:hAnsi="Cambria" w:cs="Cambria"/>
                <w:u w:val="single"/>
                <w:vertAlign w:val="baseline"/>
                <w:lang w:val="en-US" w:eastAsia="zh-CN"/>
              </w:rPr>
            </w:pPr>
            <w:r>
              <w:rPr>
                <w:rFonts w:hint="default" w:ascii="Cambria" w:hAnsi="Cambria" w:cs="Cambria"/>
              </w:rPr>
              <w:t>6.67%</w:t>
            </w:r>
          </w:p>
        </w:tc>
      </w:tr>
      <w:tr w14:paraId="085E5B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vAlign w:val="top"/>
          </w:tcPr>
          <w:p w14:paraId="2F184734">
            <w:pPr>
              <w:numPr>
                <w:ilvl w:val="0"/>
                <w:numId w:val="0"/>
              </w:numPr>
              <w:rPr>
                <w:rFonts w:hint="default" w:ascii="Cambria" w:hAnsi="Cambria" w:cs="Cambria"/>
                <w:u w:val="single"/>
                <w:vertAlign w:val="baseline"/>
                <w:lang w:val="en-US" w:eastAsia="zh-CN"/>
              </w:rPr>
            </w:pPr>
            <w:r>
              <w:rPr>
                <w:rFonts w:hint="default" w:ascii="Cambria" w:hAnsi="Cambria" w:cs="Cambria"/>
              </w:rPr>
              <w:t xml:space="preserve">Malaysia </w:t>
            </w:r>
          </w:p>
        </w:tc>
        <w:tc>
          <w:tcPr>
            <w:tcW w:w="2841" w:type="dxa"/>
            <w:tcBorders>
              <w:tl2br w:val="nil"/>
              <w:tr2bl w:val="nil"/>
            </w:tcBorders>
            <w:vAlign w:val="top"/>
          </w:tcPr>
          <w:p w14:paraId="35EF5968">
            <w:pPr>
              <w:numPr>
                <w:ilvl w:val="0"/>
                <w:numId w:val="0"/>
              </w:numPr>
              <w:rPr>
                <w:rFonts w:hint="default" w:ascii="Cambria" w:hAnsi="Cambria" w:cs="Cambria"/>
                <w:u w:val="single"/>
                <w:vertAlign w:val="baseline"/>
                <w:lang w:val="en-US" w:eastAsia="zh-CN"/>
              </w:rPr>
            </w:pPr>
            <w:r>
              <w:rPr>
                <w:rFonts w:hint="default" w:ascii="Cambria" w:hAnsi="Cambria" w:cs="Cambria"/>
              </w:rPr>
              <w:t>2</w:t>
            </w:r>
          </w:p>
        </w:tc>
        <w:tc>
          <w:tcPr>
            <w:tcW w:w="2841" w:type="dxa"/>
            <w:tcBorders>
              <w:tl2br w:val="nil"/>
              <w:tr2bl w:val="nil"/>
            </w:tcBorders>
            <w:vAlign w:val="top"/>
          </w:tcPr>
          <w:p w14:paraId="705AB2F7">
            <w:pPr>
              <w:numPr>
                <w:ilvl w:val="0"/>
                <w:numId w:val="0"/>
              </w:numPr>
              <w:rPr>
                <w:rFonts w:hint="default" w:ascii="Cambria" w:hAnsi="Cambria" w:cs="Cambria"/>
                <w:u w:val="single"/>
                <w:vertAlign w:val="baseline"/>
                <w:lang w:val="en-US" w:eastAsia="zh-CN"/>
              </w:rPr>
            </w:pPr>
            <w:r>
              <w:rPr>
                <w:rFonts w:hint="default" w:ascii="Cambria" w:hAnsi="Cambria" w:cs="Cambria"/>
              </w:rPr>
              <w:t>6.67%</w:t>
            </w:r>
          </w:p>
        </w:tc>
      </w:tr>
      <w:tr w14:paraId="07A64F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vAlign w:val="top"/>
          </w:tcPr>
          <w:p w14:paraId="74898233">
            <w:pPr>
              <w:numPr>
                <w:ilvl w:val="0"/>
                <w:numId w:val="0"/>
              </w:numPr>
              <w:rPr>
                <w:rFonts w:hint="default" w:ascii="Cambria" w:hAnsi="Cambria" w:cs="Cambria"/>
                <w:u w:val="single"/>
                <w:vertAlign w:val="baseline"/>
                <w:lang w:val="en-US" w:eastAsia="zh-CN"/>
              </w:rPr>
            </w:pPr>
            <w:r>
              <w:rPr>
                <w:rFonts w:hint="default" w:ascii="Cambria" w:hAnsi="Cambria" w:cs="Cambria"/>
              </w:rPr>
              <w:t xml:space="preserve">Canada </w:t>
            </w:r>
          </w:p>
        </w:tc>
        <w:tc>
          <w:tcPr>
            <w:tcW w:w="2841" w:type="dxa"/>
            <w:tcBorders>
              <w:tl2br w:val="nil"/>
              <w:tr2bl w:val="nil"/>
            </w:tcBorders>
            <w:vAlign w:val="top"/>
          </w:tcPr>
          <w:p w14:paraId="76004266">
            <w:pPr>
              <w:numPr>
                <w:ilvl w:val="0"/>
                <w:numId w:val="0"/>
              </w:numPr>
              <w:rPr>
                <w:rFonts w:hint="default" w:ascii="Cambria" w:hAnsi="Cambria" w:cs="Cambria"/>
                <w:u w:val="single"/>
                <w:vertAlign w:val="baseline"/>
                <w:lang w:val="en-US" w:eastAsia="zh-CN"/>
              </w:rPr>
            </w:pPr>
            <w:r>
              <w:rPr>
                <w:rFonts w:hint="default" w:ascii="Cambria" w:hAnsi="Cambria" w:cs="Cambria"/>
              </w:rPr>
              <w:t>2</w:t>
            </w:r>
          </w:p>
        </w:tc>
        <w:tc>
          <w:tcPr>
            <w:tcW w:w="2841" w:type="dxa"/>
            <w:tcBorders>
              <w:tl2br w:val="nil"/>
              <w:tr2bl w:val="nil"/>
            </w:tcBorders>
            <w:vAlign w:val="top"/>
          </w:tcPr>
          <w:p w14:paraId="6FBC4467">
            <w:pPr>
              <w:numPr>
                <w:ilvl w:val="0"/>
                <w:numId w:val="0"/>
              </w:numPr>
              <w:rPr>
                <w:rFonts w:hint="default" w:ascii="Cambria" w:hAnsi="Cambria" w:cs="Cambria"/>
                <w:u w:val="single"/>
                <w:vertAlign w:val="baseline"/>
                <w:lang w:val="en-US" w:eastAsia="zh-CN"/>
              </w:rPr>
            </w:pPr>
            <w:r>
              <w:rPr>
                <w:rFonts w:hint="default" w:ascii="Cambria" w:hAnsi="Cambria" w:cs="Cambria"/>
              </w:rPr>
              <w:t>6.67%</w:t>
            </w:r>
          </w:p>
        </w:tc>
      </w:tr>
      <w:tr w14:paraId="6CDDC2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vAlign w:val="top"/>
          </w:tcPr>
          <w:p w14:paraId="42BD58CF">
            <w:pPr>
              <w:numPr>
                <w:ilvl w:val="0"/>
                <w:numId w:val="0"/>
              </w:numPr>
              <w:rPr>
                <w:rFonts w:hint="default" w:ascii="Cambria" w:hAnsi="Cambria" w:cs="Cambria"/>
                <w:u w:val="single"/>
                <w:vertAlign w:val="baseline"/>
                <w:lang w:val="en-US" w:eastAsia="zh-CN"/>
              </w:rPr>
            </w:pPr>
            <w:r>
              <w:rPr>
                <w:rFonts w:hint="default" w:ascii="Cambria" w:hAnsi="Cambria" w:cs="Cambria"/>
                <w:u w:val="none"/>
              </w:rPr>
              <w:t xml:space="preserve">Vietnam </w:t>
            </w:r>
          </w:p>
        </w:tc>
        <w:tc>
          <w:tcPr>
            <w:tcW w:w="2841" w:type="dxa"/>
            <w:tcBorders>
              <w:tl2br w:val="nil"/>
              <w:tr2bl w:val="nil"/>
            </w:tcBorders>
            <w:vAlign w:val="top"/>
          </w:tcPr>
          <w:p w14:paraId="69C53D1E">
            <w:pPr>
              <w:numPr>
                <w:ilvl w:val="0"/>
                <w:numId w:val="0"/>
              </w:numPr>
              <w:rPr>
                <w:rFonts w:hint="default" w:ascii="Cambria" w:hAnsi="Cambria" w:cs="Cambria"/>
                <w:u w:val="single"/>
                <w:vertAlign w:val="baseline"/>
                <w:lang w:val="en-US" w:eastAsia="zh-CN"/>
              </w:rPr>
            </w:pPr>
            <w:r>
              <w:rPr>
                <w:rFonts w:hint="default" w:ascii="Cambria" w:hAnsi="Cambria" w:cs="Cambria"/>
              </w:rPr>
              <w:t>2</w:t>
            </w:r>
          </w:p>
        </w:tc>
        <w:tc>
          <w:tcPr>
            <w:tcW w:w="2841" w:type="dxa"/>
            <w:tcBorders>
              <w:tl2br w:val="nil"/>
              <w:tr2bl w:val="nil"/>
            </w:tcBorders>
            <w:vAlign w:val="top"/>
          </w:tcPr>
          <w:p w14:paraId="68423523">
            <w:pPr>
              <w:numPr>
                <w:ilvl w:val="0"/>
                <w:numId w:val="0"/>
              </w:numPr>
              <w:rPr>
                <w:rFonts w:hint="default" w:ascii="Cambria" w:hAnsi="Cambria" w:cs="Cambria"/>
                <w:u w:val="single"/>
                <w:vertAlign w:val="baseline"/>
                <w:lang w:val="en-US" w:eastAsia="zh-CN"/>
              </w:rPr>
            </w:pPr>
            <w:r>
              <w:rPr>
                <w:rFonts w:hint="default" w:ascii="Cambria" w:hAnsi="Cambria" w:cs="Cambria"/>
              </w:rPr>
              <w:t>6.67%</w:t>
            </w:r>
          </w:p>
        </w:tc>
      </w:tr>
    </w:tbl>
    <w:p w14:paraId="31CA6EC1">
      <w:pPr>
        <w:numPr>
          <w:ilvl w:val="0"/>
          <w:numId w:val="0"/>
        </w:numPr>
        <w:rPr>
          <w:rFonts w:hint="default" w:ascii="Cambria" w:hAnsi="Cambria" w:cs="Cambria"/>
          <w:u w:val="single"/>
          <w:lang w:val="en-US" w:eastAsia="zh-CN"/>
        </w:rPr>
      </w:pPr>
    </w:p>
    <w:p w14:paraId="5621D29C">
      <w:pPr>
        <w:numPr>
          <w:ilvl w:val="0"/>
          <w:numId w:val="0"/>
        </w:numPr>
        <w:rPr>
          <w:rFonts w:hint="default" w:ascii="Cambria" w:hAnsi="Cambria" w:cs="Cambria"/>
          <w:u w:val="none"/>
          <w:lang w:val="en-US" w:eastAsia="zh-CN"/>
        </w:rPr>
      </w:pPr>
      <w:r>
        <w:rPr>
          <w:rFonts w:hint="default" w:ascii="Cambria" w:hAnsi="Cambria" w:cs="Cambria"/>
          <w:u w:val="none"/>
        </w:rPr>
        <w:t>Table 2 Age</w:t>
      </w:r>
      <w:r>
        <w:rPr>
          <w:rFonts w:hint="default" w:ascii="Cambria" w:hAnsi="Cambria" w:cs="Cambria"/>
          <w:u w:val="none"/>
          <w:lang w:val="en-US" w:eastAsia="zh-CN"/>
        </w:rPr>
        <w:t xml:space="preserve"> </w:t>
      </w:r>
      <w:r>
        <w:rPr>
          <w:rFonts w:hint="default" w:ascii="Cambria" w:hAnsi="Cambria" w:cs="Cambria"/>
          <w:u w:val="none"/>
        </w:rPr>
        <w:t xml:space="preserve">Distribution of Experts </w:t>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 xml:space="preserve"> </w:t>
      </w:r>
    </w:p>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40"/>
        <w:gridCol w:w="2841"/>
        <w:gridCol w:w="2841"/>
      </w:tblGrid>
      <w:tr w14:paraId="361990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bottom w:val="single" w:color="auto" w:sz="4" w:space="0"/>
            </w:tcBorders>
            <w:vAlign w:val="top"/>
          </w:tcPr>
          <w:p w14:paraId="705ACEB4">
            <w:pPr>
              <w:numPr>
                <w:ilvl w:val="0"/>
                <w:numId w:val="0"/>
              </w:numPr>
              <w:rPr>
                <w:rFonts w:hint="default" w:ascii="Cambria" w:hAnsi="Cambria" w:cs="Cambria"/>
                <w:u w:val="single"/>
                <w:vertAlign w:val="baseline"/>
                <w:lang w:val="en-US" w:eastAsia="zh-CN"/>
              </w:rPr>
            </w:pPr>
            <w:r>
              <w:rPr>
                <w:rFonts w:hint="default" w:ascii="Cambria" w:hAnsi="Cambria" w:cs="Cambria"/>
                <w:u w:val="none"/>
              </w:rPr>
              <w:t>Age Range</w:t>
            </w:r>
          </w:p>
        </w:tc>
        <w:tc>
          <w:tcPr>
            <w:tcW w:w="2841" w:type="dxa"/>
            <w:tcBorders>
              <w:bottom w:val="single" w:color="auto" w:sz="4" w:space="0"/>
            </w:tcBorders>
            <w:vAlign w:val="top"/>
          </w:tcPr>
          <w:p w14:paraId="3E9B4B9A">
            <w:pPr>
              <w:numPr>
                <w:ilvl w:val="0"/>
                <w:numId w:val="0"/>
              </w:numPr>
              <w:rPr>
                <w:rFonts w:hint="default" w:ascii="Cambria" w:hAnsi="Cambria" w:cs="Cambria"/>
                <w:u w:val="single"/>
                <w:vertAlign w:val="baseline"/>
                <w:lang w:val="en-US" w:eastAsia="zh-CN"/>
              </w:rPr>
            </w:pPr>
            <w:r>
              <w:rPr>
                <w:rFonts w:hint="default" w:ascii="Cambria" w:hAnsi="Cambria" w:cs="Cambria"/>
                <w:u w:val="none"/>
              </w:rPr>
              <w:t xml:space="preserve">Number of People </w:t>
            </w:r>
          </w:p>
        </w:tc>
        <w:tc>
          <w:tcPr>
            <w:tcW w:w="2841" w:type="dxa"/>
            <w:tcBorders>
              <w:bottom w:val="single" w:color="auto" w:sz="4" w:space="0"/>
            </w:tcBorders>
            <w:vAlign w:val="top"/>
          </w:tcPr>
          <w:p w14:paraId="7727C0D5">
            <w:pPr>
              <w:numPr>
                <w:ilvl w:val="0"/>
                <w:numId w:val="0"/>
              </w:numPr>
              <w:rPr>
                <w:rFonts w:hint="default" w:ascii="Cambria" w:hAnsi="Cambria" w:cs="Cambria"/>
                <w:u w:val="single"/>
                <w:vertAlign w:val="baseline"/>
                <w:lang w:val="en-US" w:eastAsia="zh-CN"/>
              </w:rPr>
            </w:pPr>
            <w:r>
              <w:rPr>
                <w:rFonts w:hint="default" w:ascii="Cambria" w:hAnsi="Cambria" w:cs="Cambria"/>
                <w:u w:val="none"/>
              </w:rPr>
              <w:t xml:space="preserve">Percentage </w:t>
            </w:r>
          </w:p>
        </w:tc>
      </w:tr>
      <w:tr w14:paraId="04EBF8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op w:val="single" w:color="auto" w:sz="4" w:space="0"/>
              <w:tl2br w:val="nil"/>
              <w:tr2bl w:val="nil"/>
            </w:tcBorders>
            <w:vAlign w:val="top"/>
          </w:tcPr>
          <w:p w14:paraId="0F0CBE26">
            <w:pPr>
              <w:numPr>
                <w:ilvl w:val="0"/>
                <w:numId w:val="0"/>
              </w:numPr>
              <w:rPr>
                <w:rFonts w:hint="default" w:ascii="Cambria" w:hAnsi="Cambria" w:cs="Cambria" w:eastAsiaTheme="minorEastAsia"/>
                <w:u w:val="single"/>
                <w:vertAlign w:val="baseline"/>
                <w:lang w:val="en-US" w:eastAsia="zh-CN"/>
              </w:rPr>
            </w:pPr>
            <w:r>
              <w:rPr>
                <w:rFonts w:hint="default" w:ascii="Cambria" w:hAnsi="Cambria" w:cs="Cambria"/>
              </w:rPr>
              <w:t>40</w:t>
            </w:r>
            <w:r>
              <w:rPr>
                <w:rFonts w:hint="default" w:ascii="Cambria" w:hAnsi="Cambria" w:cs="Cambria"/>
                <w:lang w:val="en-US" w:eastAsia="zh-CN"/>
              </w:rPr>
              <w:t>-</w:t>
            </w:r>
            <w:r>
              <w:rPr>
                <w:rFonts w:hint="default" w:ascii="Cambria" w:hAnsi="Cambria" w:cs="Cambria"/>
              </w:rPr>
              <w:t>49</w:t>
            </w:r>
            <w:r>
              <w:rPr>
                <w:rFonts w:hint="default" w:ascii="Cambria" w:hAnsi="Cambria" w:cs="Cambria"/>
                <w:lang w:val="en-US" w:eastAsia="zh-CN"/>
              </w:rPr>
              <w:t xml:space="preserve"> </w:t>
            </w:r>
            <w:r>
              <w:rPr>
                <w:rFonts w:hint="default" w:ascii="Cambria" w:hAnsi="Cambria" w:cs="Cambria"/>
              </w:rPr>
              <w:t>years old</w:t>
            </w:r>
          </w:p>
        </w:tc>
        <w:tc>
          <w:tcPr>
            <w:tcW w:w="2841" w:type="dxa"/>
            <w:tcBorders>
              <w:top w:val="single" w:color="auto" w:sz="4" w:space="0"/>
              <w:tl2br w:val="nil"/>
              <w:tr2bl w:val="nil"/>
            </w:tcBorders>
            <w:vAlign w:val="top"/>
          </w:tcPr>
          <w:p w14:paraId="39A02FDC">
            <w:pPr>
              <w:numPr>
                <w:ilvl w:val="0"/>
                <w:numId w:val="0"/>
              </w:numPr>
              <w:rPr>
                <w:rFonts w:hint="default" w:ascii="Cambria" w:hAnsi="Cambria" w:cs="Cambria"/>
                <w:u w:val="single"/>
                <w:vertAlign w:val="baseline"/>
                <w:lang w:val="en-US" w:eastAsia="zh-CN"/>
              </w:rPr>
            </w:pPr>
            <w:r>
              <w:rPr>
                <w:rFonts w:hint="default" w:ascii="Cambria" w:hAnsi="Cambria" w:cs="Cambria"/>
              </w:rPr>
              <w:t>8</w:t>
            </w:r>
          </w:p>
        </w:tc>
        <w:tc>
          <w:tcPr>
            <w:tcW w:w="2841" w:type="dxa"/>
            <w:tcBorders>
              <w:top w:val="single" w:color="auto" w:sz="4" w:space="0"/>
              <w:tl2br w:val="nil"/>
              <w:tr2bl w:val="nil"/>
            </w:tcBorders>
            <w:vAlign w:val="top"/>
          </w:tcPr>
          <w:p w14:paraId="55EDBDDB">
            <w:pPr>
              <w:numPr>
                <w:ilvl w:val="0"/>
                <w:numId w:val="0"/>
              </w:numPr>
              <w:rPr>
                <w:rFonts w:hint="default" w:ascii="Cambria" w:hAnsi="Cambria" w:cs="Cambria"/>
                <w:u w:val="single"/>
                <w:vertAlign w:val="baseline"/>
                <w:lang w:val="en-US" w:eastAsia="zh-CN"/>
              </w:rPr>
            </w:pPr>
            <w:r>
              <w:rPr>
                <w:rFonts w:hint="default" w:ascii="Cambria" w:hAnsi="Cambria" w:cs="Cambria"/>
              </w:rPr>
              <w:t xml:space="preserve">26.67% </w:t>
            </w:r>
          </w:p>
        </w:tc>
      </w:tr>
      <w:tr w14:paraId="1537E8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vAlign w:val="top"/>
          </w:tcPr>
          <w:p w14:paraId="701D80A2">
            <w:pPr>
              <w:numPr>
                <w:ilvl w:val="0"/>
                <w:numId w:val="0"/>
              </w:numPr>
              <w:rPr>
                <w:rFonts w:hint="default" w:ascii="Cambria" w:hAnsi="Cambria" w:cs="Cambria"/>
                <w:u w:val="single"/>
                <w:vertAlign w:val="baseline"/>
                <w:lang w:val="en-US" w:eastAsia="zh-CN"/>
              </w:rPr>
            </w:pPr>
            <w:r>
              <w:rPr>
                <w:rFonts w:hint="default" w:ascii="Cambria" w:hAnsi="Cambria" w:cs="Cambria"/>
              </w:rPr>
              <w:t>50</w:t>
            </w:r>
            <w:r>
              <w:rPr>
                <w:rFonts w:hint="default" w:ascii="Cambria" w:hAnsi="Cambria" w:cs="Cambria"/>
                <w:lang w:val="en-US" w:eastAsia="zh-CN"/>
              </w:rPr>
              <w:t>-</w:t>
            </w:r>
            <w:r>
              <w:rPr>
                <w:rFonts w:hint="default" w:ascii="Cambria" w:hAnsi="Cambria" w:cs="Cambria"/>
              </w:rPr>
              <w:t>59 years old</w:t>
            </w:r>
          </w:p>
        </w:tc>
        <w:tc>
          <w:tcPr>
            <w:tcW w:w="2841" w:type="dxa"/>
            <w:tcBorders>
              <w:tl2br w:val="nil"/>
              <w:tr2bl w:val="nil"/>
            </w:tcBorders>
            <w:vAlign w:val="top"/>
          </w:tcPr>
          <w:p w14:paraId="19173B8F">
            <w:pPr>
              <w:numPr>
                <w:ilvl w:val="0"/>
                <w:numId w:val="0"/>
              </w:numPr>
              <w:rPr>
                <w:rFonts w:hint="default" w:ascii="Cambria" w:hAnsi="Cambria" w:cs="Cambria"/>
                <w:u w:val="single"/>
                <w:vertAlign w:val="baseline"/>
                <w:lang w:val="en-US" w:eastAsia="zh-CN"/>
              </w:rPr>
            </w:pPr>
            <w:r>
              <w:rPr>
                <w:rFonts w:hint="default" w:ascii="Cambria" w:hAnsi="Cambria" w:cs="Cambria"/>
              </w:rPr>
              <w:t>12</w:t>
            </w:r>
          </w:p>
        </w:tc>
        <w:tc>
          <w:tcPr>
            <w:tcW w:w="2841" w:type="dxa"/>
            <w:tcBorders>
              <w:tl2br w:val="nil"/>
              <w:tr2bl w:val="nil"/>
            </w:tcBorders>
            <w:vAlign w:val="top"/>
          </w:tcPr>
          <w:p w14:paraId="1D57C246">
            <w:pPr>
              <w:numPr>
                <w:ilvl w:val="0"/>
                <w:numId w:val="0"/>
              </w:numPr>
              <w:rPr>
                <w:rFonts w:hint="default" w:ascii="Cambria" w:hAnsi="Cambria" w:cs="Cambria"/>
                <w:u w:val="single"/>
                <w:vertAlign w:val="baseline"/>
                <w:lang w:val="en-US" w:eastAsia="zh-CN"/>
              </w:rPr>
            </w:pPr>
            <w:r>
              <w:rPr>
                <w:rFonts w:hint="default" w:ascii="Cambria" w:hAnsi="Cambria" w:cs="Cambria"/>
              </w:rPr>
              <w:t xml:space="preserve">40% </w:t>
            </w:r>
          </w:p>
        </w:tc>
      </w:tr>
      <w:tr w14:paraId="49FC64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vAlign w:val="top"/>
          </w:tcPr>
          <w:p w14:paraId="68953EA4">
            <w:pPr>
              <w:numPr>
                <w:ilvl w:val="0"/>
                <w:numId w:val="0"/>
              </w:numPr>
              <w:rPr>
                <w:rFonts w:hint="default" w:ascii="Cambria" w:hAnsi="Cambria" w:cs="Cambria"/>
                <w:u w:val="single"/>
                <w:vertAlign w:val="baseline"/>
                <w:lang w:val="en-US" w:eastAsia="zh-CN"/>
              </w:rPr>
            </w:pPr>
            <w:r>
              <w:rPr>
                <w:rFonts w:hint="default" w:ascii="Cambria" w:hAnsi="Cambria" w:cs="Cambria"/>
              </w:rPr>
              <w:t>60</w:t>
            </w:r>
            <w:r>
              <w:rPr>
                <w:rFonts w:hint="default" w:ascii="Cambria" w:hAnsi="Cambria" w:cs="Cambria"/>
                <w:lang w:val="en-US" w:eastAsia="zh-CN"/>
              </w:rPr>
              <w:t>-</w:t>
            </w:r>
            <w:r>
              <w:rPr>
                <w:rFonts w:hint="default" w:ascii="Cambria" w:hAnsi="Cambria" w:cs="Cambria"/>
              </w:rPr>
              <w:t>69 years old</w:t>
            </w:r>
          </w:p>
        </w:tc>
        <w:tc>
          <w:tcPr>
            <w:tcW w:w="2841" w:type="dxa"/>
            <w:tcBorders>
              <w:tl2br w:val="nil"/>
              <w:tr2bl w:val="nil"/>
            </w:tcBorders>
            <w:vAlign w:val="top"/>
          </w:tcPr>
          <w:p w14:paraId="799EA914">
            <w:pPr>
              <w:numPr>
                <w:ilvl w:val="0"/>
                <w:numId w:val="0"/>
              </w:numPr>
              <w:rPr>
                <w:rFonts w:hint="default" w:ascii="Cambria" w:hAnsi="Cambria" w:cs="Cambria"/>
                <w:u w:val="single"/>
                <w:vertAlign w:val="baseline"/>
                <w:lang w:val="en-US" w:eastAsia="zh-CN"/>
              </w:rPr>
            </w:pPr>
            <w:r>
              <w:rPr>
                <w:rFonts w:hint="default" w:ascii="Cambria" w:hAnsi="Cambria" w:cs="Cambria"/>
              </w:rPr>
              <w:t>4</w:t>
            </w:r>
          </w:p>
        </w:tc>
        <w:tc>
          <w:tcPr>
            <w:tcW w:w="2841" w:type="dxa"/>
            <w:tcBorders>
              <w:tl2br w:val="nil"/>
              <w:tr2bl w:val="nil"/>
            </w:tcBorders>
            <w:vAlign w:val="top"/>
          </w:tcPr>
          <w:p w14:paraId="08EC8F46">
            <w:pPr>
              <w:numPr>
                <w:ilvl w:val="0"/>
                <w:numId w:val="0"/>
              </w:numPr>
              <w:rPr>
                <w:rFonts w:hint="default" w:ascii="Cambria" w:hAnsi="Cambria" w:cs="Cambria"/>
                <w:u w:val="single"/>
                <w:vertAlign w:val="baseline"/>
                <w:lang w:val="en-US" w:eastAsia="zh-CN"/>
              </w:rPr>
            </w:pPr>
            <w:r>
              <w:rPr>
                <w:rFonts w:hint="default" w:ascii="Cambria" w:hAnsi="Cambria" w:cs="Cambria"/>
              </w:rPr>
              <w:t>13.33%</w:t>
            </w:r>
          </w:p>
        </w:tc>
      </w:tr>
      <w:tr w14:paraId="636843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vAlign w:val="top"/>
          </w:tcPr>
          <w:p w14:paraId="6E00C551">
            <w:pPr>
              <w:numPr>
                <w:ilvl w:val="0"/>
                <w:numId w:val="0"/>
              </w:numPr>
              <w:rPr>
                <w:rFonts w:hint="default" w:ascii="Cambria" w:hAnsi="Cambria" w:cs="Cambria"/>
                <w:u w:val="single"/>
                <w:vertAlign w:val="baseline"/>
                <w:lang w:val="en-US" w:eastAsia="zh-CN"/>
              </w:rPr>
            </w:pPr>
            <w:r>
              <w:rPr>
                <w:rFonts w:hint="default" w:ascii="Cambria" w:hAnsi="Cambria" w:cs="Cambria"/>
                <w:u w:val="none"/>
              </w:rPr>
              <w:t>70 years old and above</w:t>
            </w:r>
          </w:p>
        </w:tc>
        <w:tc>
          <w:tcPr>
            <w:tcW w:w="2841" w:type="dxa"/>
            <w:tcBorders>
              <w:tl2br w:val="nil"/>
              <w:tr2bl w:val="nil"/>
            </w:tcBorders>
            <w:vAlign w:val="top"/>
          </w:tcPr>
          <w:p w14:paraId="60C638C7">
            <w:pPr>
              <w:numPr>
                <w:ilvl w:val="0"/>
                <w:numId w:val="0"/>
              </w:numPr>
              <w:rPr>
                <w:rFonts w:hint="default" w:ascii="Cambria" w:hAnsi="Cambria" w:cs="Cambria"/>
                <w:u w:val="single"/>
                <w:vertAlign w:val="baseline"/>
                <w:lang w:val="en-US" w:eastAsia="zh-CN"/>
              </w:rPr>
            </w:pPr>
            <w:r>
              <w:rPr>
                <w:rFonts w:hint="default" w:ascii="Cambria" w:hAnsi="Cambria" w:cs="Cambria"/>
                <w:u w:val="none"/>
              </w:rPr>
              <w:t>2</w:t>
            </w:r>
          </w:p>
        </w:tc>
        <w:tc>
          <w:tcPr>
            <w:tcW w:w="2841" w:type="dxa"/>
            <w:tcBorders>
              <w:tl2br w:val="nil"/>
              <w:tr2bl w:val="nil"/>
            </w:tcBorders>
            <w:vAlign w:val="top"/>
          </w:tcPr>
          <w:p w14:paraId="5FD4958F">
            <w:pPr>
              <w:numPr>
                <w:ilvl w:val="0"/>
                <w:numId w:val="0"/>
              </w:numPr>
              <w:rPr>
                <w:rFonts w:hint="default" w:ascii="Cambria" w:hAnsi="Cambria" w:cs="Cambria"/>
                <w:u w:val="single"/>
                <w:vertAlign w:val="baseline"/>
                <w:lang w:val="en-US" w:eastAsia="zh-CN"/>
              </w:rPr>
            </w:pPr>
            <w:r>
              <w:rPr>
                <w:rFonts w:hint="default" w:ascii="Cambria" w:hAnsi="Cambria" w:cs="Cambria"/>
                <w:u w:val="none"/>
              </w:rPr>
              <w:t>6.67%</w:t>
            </w:r>
          </w:p>
        </w:tc>
      </w:tr>
    </w:tbl>
    <w:p w14:paraId="4783F58A">
      <w:pPr>
        <w:numPr>
          <w:ilvl w:val="0"/>
          <w:numId w:val="0"/>
        </w:numPr>
        <w:rPr>
          <w:rFonts w:hint="default" w:ascii="Cambria" w:hAnsi="Cambria" w:cs="Cambria"/>
          <w:u w:val="single"/>
          <w:lang w:val="en-US" w:eastAsia="zh-CN"/>
        </w:rPr>
      </w:pPr>
    </w:p>
    <w:p w14:paraId="0DDA9072">
      <w:pPr>
        <w:numPr>
          <w:ilvl w:val="0"/>
          <w:numId w:val="0"/>
        </w:numPr>
        <w:rPr>
          <w:rFonts w:hint="default" w:ascii="Cambria" w:hAnsi="Cambria" w:cs="Cambria"/>
          <w:highlight w:val="none"/>
          <w:u w:val="none"/>
          <w:lang w:val="en-US" w:eastAsia="zh-CN"/>
        </w:rPr>
      </w:pPr>
      <w:r>
        <w:rPr>
          <w:rFonts w:hint="default" w:ascii="Cambria" w:hAnsi="Cambria" w:cs="Cambria"/>
          <w:highlight w:val="none"/>
          <w:u w:val="none"/>
        </w:rPr>
        <w:t>Table 3 Distribution of Experts by Education and Degree</w:t>
      </w:r>
      <w:r>
        <w:rPr>
          <w:rFonts w:hint="default" w:ascii="Cambria" w:hAnsi="Cambria" w:cs="Cambria"/>
          <w:highlight w:val="none"/>
          <w:u w:val="none"/>
          <w:lang w:val="en-US" w:eastAsia="zh-CN"/>
        </w:rPr>
        <w:t xml:space="preserve"> </w:t>
      </w:r>
    </w:p>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40"/>
        <w:gridCol w:w="2841"/>
        <w:gridCol w:w="2841"/>
      </w:tblGrid>
      <w:tr w14:paraId="6CC9A4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bottom w:val="single" w:color="auto" w:sz="4" w:space="0"/>
            </w:tcBorders>
            <w:vAlign w:val="top"/>
          </w:tcPr>
          <w:p w14:paraId="29DFBFC4">
            <w:pPr>
              <w:numPr>
                <w:ilvl w:val="0"/>
                <w:numId w:val="0"/>
              </w:numPr>
              <w:rPr>
                <w:rFonts w:hint="default" w:ascii="Cambria" w:hAnsi="Cambria" w:cs="Cambria"/>
                <w:u w:val="none"/>
                <w:vertAlign w:val="baseline"/>
                <w:lang w:val="en-US" w:eastAsia="zh-CN"/>
              </w:rPr>
            </w:pPr>
            <w:r>
              <w:rPr>
                <w:rFonts w:hint="default" w:ascii="Cambria" w:hAnsi="Cambria" w:cs="Cambria"/>
                <w:u w:val="none"/>
              </w:rPr>
              <w:t>Education/Degree</w:t>
            </w:r>
          </w:p>
        </w:tc>
        <w:tc>
          <w:tcPr>
            <w:tcW w:w="2841" w:type="dxa"/>
            <w:tcBorders>
              <w:bottom w:val="single" w:color="auto" w:sz="4" w:space="0"/>
            </w:tcBorders>
            <w:vAlign w:val="top"/>
          </w:tcPr>
          <w:p w14:paraId="26C52BA2">
            <w:pPr>
              <w:numPr>
                <w:ilvl w:val="0"/>
                <w:numId w:val="0"/>
              </w:numPr>
              <w:rPr>
                <w:rFonts w:hint="default" w:ascii="Cambria" w:hAnsi="Cambria" w:cs="Cambria"/>
                <w:u w:val="none"/>
                <w:vertAlign w:val="baseline"/>
                <w:lang w:val="en-US" w:eastAsia="zh-CN"/>
              </w:rPr>
            </w:pPr>
            <w:r>
              <w:rPr>
                <w:rFonts w:hint="default" w:ascii="Cambria" w:hAnsi="Cambria" w:cs="Cambria"/>
                <w:u w:val="none"/>
              </w:rPr>
              <w:t>Number of People</w:t>
            </w:r>
          </w:p>
        </w:tc>
        <w:tc>
          <w:tcPr>
            <w:tcW w:w="2841" w:type="dxa"/>
            <w:tcBorders>
              <w:bottom w:val="single" w:color="auto" w:sz="4" w:space="0"/>
            </w:tcBorders>
            <w:vAlign w:val="top"/>
          </w:tcPr>
          <w:p w14:paraId="2BDB0C0F">
            <w:pPr>
              <w:numPr>
                <w:ilvl w:val="0"/>
                <w:numId w:val="0"/>
              </w:numPr>
              <w:rPr>
                <w:rFonts w:hint="default" w:ascii="Cambria" w:hAnsi="Cambria" w:cs="Cambria"/>
                <w:u w:val="none"/>
                <w:vertAlign w:val="baseline"/>
                <w:lang w:val="en-US" w:eastAsia="zh-CN"/>
              </w:rPr>
            </w:pPr>
            <w:r>
              <w:rPr>
                <w:rFonts w:hint="default" w:ascii="Cambria" w:hAnsi="Cambria" w:cs="Cambria"/>
                <w:u w:val="none"/>
              </w:rPr>
              <w:t>Percentage</w:t>
            </w:r>
          </w:p>
        </w:tc>
      </w:tr>
      <w:tr w14:paraId="58C873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op w:val="single" w:color="auto" w:sz="4" w:space="0"/>
              <w:tl2br w:val="nil"/>
              <w:tr2bl w:val="nil"/>
            </w:tcBorders>
            <w:vAlign w:val="top"/>
          </w:tcPr>
          <w:p w14:paraId="75E60048">
            <w:pPr>
              <w:numPr>
                <w:ilvl w:val="0"/>
                <w:numId w:val="0"/>
              </w:numPr>
              <w:rPr>
                <w:rFonts w:hint="default" w:ascii="Cambria" w:hAnsi="Cambria" w:cs="Cambria" w:eastAsiaTheme="minorEastAsia"/>
                <w:u w:val="none"/>
                <w:vertAlign w:val="baseline"/>
                <w:lang w:val="en-US" w:eastAsia="zh-CN"/>
              </w:rPr>
            </w:pPr>
            <w:r>
              <w:rPr>
                <w:rFonts w:hint="default" w:ascii="Cambria" w:hAnsi="Cambria" w:cs="Cambria"/>
                <w:lang w:val="en-US" w:eastAsia="zh-CN"/>
              </w:rPr>
              <w:t>Bachelor's degree</w:t>
            </w:r>
          </w:p>
        </w:tc>
        <w:tc>
          <w:tcPr>
            <w:tcW w:w="2841" w:type="dxa"/>
            <w:tcBorders>
              <w:top w:val="single" w:color="auto" w:sz="4" w:space="0"/>
              <w:tl2br w:val="nil"/>
              <w:tr2bl w:val="nil"/>
            </w:tcBorders>
            <w:vAlign w:val="top"/>
          </w:tcPr>
          <w:p w14:paraId="034F0B36">
            <w:pPr>
              <w:numPr>
                <w:ilvl w:val="0"/>
                <w:numId w:val="0"/>
              </w:numPr>
              <w:rPr>
                <w:rFonts w:hint="default" w:ascii="Cambria" w:hAnsi="Cambria" w:cs="Cambria"/>
                <w:u w:val="none"/>
                <w:vertAlign w:val="baseline"/>
                <w:lang w:val="en-US" w:eastAsia="zh-CN"/>
              </w:rPr>
            </w:pPr>
            <w:r>
              <w:rPr>
                <w:rFonts w:hint="default" w:ascii="Cambria" w:hAnsi="Cambria" w:cs="Cambria"/>
              </w:rPr>
              <w:t>2</w:t>
            </w:r>
          </w:p>
        </w:tc>
        <w:tc>
          <w:tcPr>
            <w:tcW w:w="2841" w:type="dxa"/>
            <w:tcBorders>
              <w:top w:val="single" w:color="auto" w:sz="4" w:space="0"/>
              <w:tl2br w:val="nil"/>
              <w:tr2bl w:val="nil"/>
            </w:tcBorders>
            <w:vAlign w:val="top"/>
          </w:tcPr>
          <w:p w14:paraId="775DA035">
            <w:pPr>
              <w:numPr>
                <w:ilvl w:val="0"/>
                <w:numId w:val="0"/>
              </w:numPr>
              <w:rPr>
                <w:rFonts w:hint="default" w:ascii="Cambria" w:hAnsi="Cambria" w:cs="Cambria"/>
                <w:u w:val="none"/>
                <w:vertAlign w:val="baseline"/>
                <w:lang w:val="en-US" w:eastAsia="zh-CN"/>
              </w:rPr>
            </w:pPr>
            <w:r>
              <w:rPr>
                <w:rFonts w:hint="default" w:ascii="Cambria" w:hAnsi="Cambria" w:cs="Cambria"/>
              </w:rPr>
              <w:t>6.67%</w:t>
            </w:r>
          </w:p>
        </w:tc>
      </w:tr>
      <w:tr w14:paraId="6C40249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vAlign w:val="top"/>
          </w:tcPr>
          <w:p w14:paraId="30C88518">
            <w:pPr>
              <w:numPr>
                <w:ilvl w:val="0"/>
                <w:numId w:val="0"/>
              </w:numPr>
              <w:rPr>
                <w:rFonts w:hint="default" w:ascii="Cambria" w:hAnsi="Cambria" w:cs="Cambria"/>
                <w:u w:val="none"/>
                <w:vertAlign w:val="baseline"/>
                <w:lang w:val="en-US" w:eastAsia="zh-CN"/>
              </w:rPr>
            </w:pPr>
            <w:r>
              <w:rPr>
                <w:rFonts w:hint="default" w:ascii="Cambria" w:hAnsi="Cambria" w:cs="Cambria"/>
              </w:rPr>
              <w:t>Master's degree</w:t>
            </w:r>
          </w:p>
        </w:tc>
        <w:tc>
          <w:tcPr>
            <w:tcW w:w="2841" w:type="dxa"/>
            <w:tcBorders>
              <w:tl2br w:val="nil"/>
              <w:tr2bl w:val="nil"/>
            </w:tcBorders>
            <w:vAlign w:val="top"/>
          </w:tcPr>
          <w:p w14:paraId="417F4E7A">
            <w:pPr>
              <w:numPr>
                <w:ilvl w:val="0"/>
                <w:numId w:val="0"/>
              </w:numPr>
              <w:rPr>
                <w:rFonts w:hint="default" w:ascii="Cambria" w:hAnsi="Cambria" w:cs="Cambria"/>
                <w:u w:val="none"/>
                <w:vertAlign w:val="baseline"/>
                <w:lang w:val="en-US" w:eastAsia="zh-CN"/>
              </w:rPr>
            </w:pPr>
            <w:r>
              <w:rPr>
                <w:rFonts w:hint="default" w:ascii="Cambria" w:hAnsi="Cambria" w:cs="Cambria"/>
              </w:rPr>
              <w:t xml:space="preserve">10 </w:t>
            </w:r>
          </w:p>
        </w:tc>
        <w:tc>
          <w:tcPr>
            <w:tcW w:w="2841" w:type="dxa"/>
            <w:tcBorders>
              <w:tl2br w:val="nil"/>
              <w:tr2bl w:val="nil"/>
            </w:tcBorders>
            <w:vAlign w:val="top"/>
          </w:tcPr>
          <w:p w14:paraId="2E95DD5E">
            <w:pPr>
              <w:numPr>
                <w:ilvl w:val="0"/>
                <w:numId w:val="0"/>
              </w:numPr>
              <w:rPr>
                <w:rFonts w:hint="default" w:ascii="Cambria" w:hAnsi="Cambria" w:cs="Cambria"/>
                <w:u w:val="none"/>
                <w:vertAlign w:val="baseline"/>
                <w:lang w:val="en-US" w:eastAsia="zh-CN"/>
              </w:rPr>
            </w:pPr>
            <w:r>
              <w:rPr>
                <w:rFonts w:hint="default" w:ascii="Cambria" w:hAnsi="Cambria" w:cs="Cambria"/>
                <w:lang w:val="en-US" w:eastAsia="zh-CN"/>
              </w:rPr>
              <w:t xml:space="preserve"> </w:t>
            </w:r>
            <w:r>
              <w:rPr>
                <w:rFonts w:hint="default" w:ascii="Cambria" w:hAnsi="Cambria" w:cs="Cambria"/>
              </w:rPr>
              <w:t>33.33%</w:t>
            </w:r>
          </w:p>
        </w:tc>
      </w:tr>
      <w:tr w14:paraId="050B3B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vAlign w:val="top"/>
          </w:tcPr>
          <w:p w14:paraId="119F0A58">
            <w:pPr>
              <w:numPr>
                <w:ilvl w:val="0"/>
                <w:numId w:val="0"/>
              </w:numPr>
              <w:rPr>
                <w:rFonts w:hint="default" w:ascii="Cambria" w:hAnsi="Cambria" w:cs="Cambria"/>
                <w:u w:val="none"/>
                <w:vertAlign w:val="baseline"/>
                <w:lang w:val="en-US" w:eastAsia="zh-CN"/>
              </w:rPr>
            </w:pPr>
            <w:r>
              <w:rPr>
                <w:rFonts w:hint="default" w:ascii="Cambria" w:hAnsi="Cambria" w:cs="Cambria"/>
                <w:u w:val="none"/>
              </w:rPr>
              <w:t>Doctor's degree</w:t>
            </w:r>
          </w:p>
        </w:tc>
        <w:tc>
          <w:tcPr>
            <w:tcW w:w="2841" w:type="dxa"/>
            <w:tcBorders>
              <w:tl2br w:val="nil"/>
              <w:tr2bl w:val="nil"/>
            </w:tcBorders>
            <w:vAlign w:val="top"/>
          </w:tcPr>
          <w:p w14:paraId="4583ABAB">
            <w:pPr>
              <w:numPr>
                <w:ilvl w:val="0"/>
                <w:numId w:val="0"/>
              </w:numPr>
              <w:rPr>
                <w:rFonts w:hint="default" w:ascii="Cambria" w:hAnsi="Cambria" w:cs="Cambria"/>
                <w:u w:val="none"/>
                <w:vertAlign w:val="baseline"/>
                <w:lang w:val="en-US" w:eastAsia="zh-CN"/>
              </w:rPr>
            </w:pPr>
            <w:r>
              <w:rPr>
                <w:rFonts w:hint="default" w:ascii="Cambria" w:hAnsi="Cambria" w:cs="Cambria"/>
                <w:u w:val="none"/>
              </w:rPr>
              <w:t>18</w:t>
            </w:r>
          </w:p>
        </w:tc>
        <w:tc>
          <w:tcPr>
            <w:tcW w:w="2841" w:type="dxa"/>
            <w:tcBorders>
              <w:tl2br w:val="nil"/>
              <w:tr2bl w:val="nil"/>
            </w:tcBorders>
            <w:vAlign w:val="top"/>
          </w:tcPr>
          <w:p w14:paraId="7247CE28">
            <w:pPr>
              <w:numPr>
                <w:ilvl w:val="0"/>
                <w:numId w:val="0"/>
              </w:numPr>
              <w:rPr>
                <w:rFonts w:hint="default" w:ascii="Cambria" w:hAnsi="Cambria" w:cs="Cambria"/>
                <w:u w:val="none"/>
                <w:vertAlign w:val="baseline"/>
                <w:lang w:val="en-US" w:eastAsia="zh-CN"/>
              </w:rPr>
            </w:pPr>
            <w:r>
              <w:rPr>
                <w:rFonts w:hint="default" w:ascii="Cambria" w:hAnsi="Cambria" w:cs="Cambria"/>
                <w:u w:val="none"/>
                <w:lang w:val="en-US" w:eastAsia="zh-CN"/>
              </w:rPr>
              <w:t xml:space="preserve"> </w:t>
            </w:r>
            <w:r>
              <w:rPr>
                <w:rFonts w:hint="default" w:ascii="Cambria" w:hAnsi="Cambria" w:cs="Cambria"/>
                <w:u w:val="none"/>
              </w:rPr>
              <w:t>60.00%</w:t>
            </w:r>
          </w:p>
        </w:tc>
      </w:tr>
    </w:tbl>
    <w:p w14:paraId="14FEA59C">
      <w:pPr>
        <w:numPr>
          <w:ilvl w:val="0"/>
          <w:numId w:val="0"/>
        </w:numPr>
        <w:rPr>
          <w:rFonts w:hint="default" w:ascii="Cambria" w:hAnsi="Cambria" w:cs="Cambria"/>
          <w:u w:val="none"/>
          <w:lang w:val="en-US" w:eastAsia="zh-CN"/>
        </w:rPr>
      </w:pPr>
    </w:p>
    <w:p w14:paraId="61077369">
      <w:pPr>
        <w:numPr>
          <w:ilvl w:val="0"/>
          <w:numId w:val="0"/>
        </w:numPr>
        <w:rPr>
          <w:rFonts w:hint="default" w:ascii="Cambria" w:hAnsi="Cambria" w:cs="Cambria"/>
          <w:u w:val="none"/>
          <w:lang w:val="en-US" w:eastAsia="zh-CN"/>
        </w:rPr>
      </w:pPr>
      <w:r>
        <w:rPr>
          <w:rFonts w:hint="default" w:ascii="Cambria" w:hAnsi="Cambria" w:cs="Cambria"/>
          <w:u w:val="none"/>
        </w:rPr>
        <w:t>Table 4 Distribution of Experts by Professional Title</w:t>
      </w:r>
      <w:r>
        <w:rPr>
          <w:rFonts w:hint="default" w:ascii="Cambria" w:hAnsi="Cambria" w:cs="Cambria"/>
          <w:u w:val="none"/>
          <w:lang w:val="en-US" w:eastAsia="zh-CN"/>
        </w:rPr>
        <w:tab/>
      </w:r>
    </w:p>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79"/>
        <w:gridCol w:w="2336"/>
        <w:gridCol w:w="2407"/>
      </w:tblGrid>
      <w:tr w14:paraId="43A13F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779" w:type="dxa"/>
            <w:tcBorders>
              <w:bottom w:val="single" w:color="auto" w:sz="4" w:space="0"/>
            </w:tcBorders>
            <w:vAlign w:val="top"/>
          </w:tcPr>
          <w:p w14:paraId="1FB6DE52">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Professional Title </w:t>
            </w:r>
          </w:p>
        </w:tc>
        <w:tc>
          <w:tcPr>
            <w:tcW w:w="2336" w:type="dxa"/>
            <w:tcBorders>
              <w:bottom w:val="single" w:color="auto" w:sz="4" w:space="0"/>
            </w:tcBorders>
            <w:vAlign w:val="top"/>
          </w:tcPr>
          <w:p w14:paraId="15322888">
            <w:pPr>
              <w:numPr>
                <w:ilvl w:val="0"/>
                <w:numId w:val="0"/>
              </w:numPr>
              <w:rPr>
                <w:rFonts w:hint="default" w:ascii="Cambria" w:hAnsi="Cambria" w:cs="Cambria"/>
                <w:u w:val="none"/>
                <w:vertAlign w:val="baseline"/>
                <w:lang w:val="en-US" w:eastAsia="zh-CN"/>
              </w:rPr>
            </w:pPr>
            <w:r>
              <w:rPr>
                <w:rFonts w:hint="default" w:ascii="Cambria" w:hAnsi="Cambria" w:cs="Cambria"/>
                <w:u w:val="none"/>
              </w:rPr>
              <w:t>Number of People</w:t>
            </w:r>
          </w:p>
        </w:tc>
        <w:tc>
          <w:tcPr>
            <w:tcW w:w="2407" w:type="dxa"/>
            <w:tcBorders>
              <w:bottom w:val="single" w:color="auto" w:sz="4" w:space="0"/>
            </w:tcBorders>
            <w:vAlign w:val="top"/>
          </w:tcPr>
          <w:p w14:paraId="7DC236FE">
            <w:pPr>
              <w:numPr>
                <w:ilvl w:val="0"/>
                <w:numId w:val="0"/>
              </w:numPr>
              <w:rPr>
                <w:rFonts w:hint="default" w:ascii="Cambria" w:hAnsi="Cambria" w:cs="Cambria"/>
                <w:u w:val="none"/>
                <w:vertAlign w:val="baseline"/>
                <w:lang w:val="en-US" w:eastAsia="zh-CN"/>
              </w:rPr>
            </w:pPr>
            <w:r>
              <w:rPr>
                <w:rFonts w:hint="default" w:ascii="Cambria" w:hAnsi="Cambria" w:cs="Cambria"/>
                <w:u w:val="none"/>
              </w:rPr>
              <w:t>Percentage</w:t>
            </w:r>
          </w:p>
        </w:tc>
      </w:tr>
      <w:tr w14:paraId="7C24462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779" w:type="dxa"/>
            <w:tcBorders>
              <w:top w:val="single" w:color="auto" w:sz="4" w:space="0"/>
              <w:tl2br w:val="nil"/>
              <w:tr2bl w:val="nil"/>
            </w:tcBorders>
            <w:vAlign w:val="top"/>
          </w:tcPr>
          <w:p w14:paraId="05C5D76C">
            <w:pPr>
              <w:numPr>
                <w:ilvl w:val="0"/>
                <w:numId w:val="0"/>
              </w:numPr>
              <w:rPr>
                <w:rFonts w:hint="default" w:ascii="Cambria" w:hAnsi="Cambria" w:cs="Cambria"/>
                <w:u w:val="none"/>
                <w:vertAlign w:val="baseline"/>
                <w:lang w:val="en-US" w:eastAsia="zh-CN"/>
              </w:rPr>
            </w:pPr>
            <w:r>
              <w:rPr>
                <w:rFonts w:hint="default" w:ascii="Cambria" w:hAnsi="Cambria" w:cs="Cambria"/>
              </w:rPr>
              <w:t xml:space="preserve">Professor </w:t>
            </w:r>
          </w:p>
        </w:tc>
        <w:tc>
          <w:tcPr>
            <w:tcW w:w="2336" w:type="dxa"/>
            <w:tcBorders>
              <w:top w:val="single" w:color="auto" w:sz="4" w:space="0"/>
              <w:tl2br w:val="nil"/>
              <w:tr2bl w:val="nil"/>
            </w:tcBorders>
            <w:vAlign w:val="top"/>
          </w:tcPr>
          <w:p w14:paraId="3AB38B73">
            <w:pPr>
              <w:numPr>
                <w:ilvl w:val="0"/>
                <w:numId w:val="0"/>
              </w:numPr>
              <w:rPr>
                <w:rFonts w:hint="default" w:ascii="Cambria" w:hAnsi="Cambria" w:cs="Cambria"/>
                <w:u w:val="none"/>
                <w:vertAlign w:val="baseline"/>
                <w:lang w:val="en-US" w:eastAsia="zh-CN"/>
              </w:rPr>
            </w:pPr>
            <w:r>
              <w:rPr>
                <w:rFonts w:hint="default" w:ascii="Cambria" w:hAnsi="Cambria" w:cs="Cambria"/>
              </w:rPr>
              <w:t>13</w:t>
            </w:r>
          </w:p>
        </w:tc>
        <w:tc>
          <w:tcPr>
            <w:tcW w:w="2407" w:type="dxa"/>
            <w:tcBorders>
              <w:top w:val="single" w:color="auto" w:sz="4" w:space="0"/>
              <w:tl2br w:val="nil"/>
              <w:tr2bl w:val="nil"/>
            </w:tcBorders>
            <w:vAlign w:val="top"/>
          </w:tcPr>
          <w:p w14:paraId="7522E8DB">
            <w:pPr>
              <w:numPr>
                <w:ilvl w:val="0"/>
                <w:numId w:val="0"/>
              </w:numPr>
              <w:rPr>
                <w:rFonts w:hint="default" w:ascii="Cambria" w:hAnsi="Cambria" w:cs="Cambria"/>
                <w:u w:val="none"/>
                <w:vertAlign w:val="baseline"/>
                <w:lang w:val="en-US" w:eastAsia="zh-CN"/>
              </w:rPr>
            </w:pPr>
            <w:r>
              <w:rPr>
                <w:rFonts w:hint="default" w:ascii="Cambria" w:hAnsi="Cambria" w:cs="Cambria"/>
              </w:rPr>
              <w:t>43.33%</w:t>
            </w:r>
          </w:p>
        </w:tc>
      </w:tr>
      <w:tr w14:paraId="359B0C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779" w:type="dxa"/>
            <w:tcBorders>
              <w:tl2br w:val="nil"/>
              <w:tr2bl w:val="nil"/>
            </w:tcBorders>
            <w:vAlign w:val="top"/>
          </w:tcPr>
          <w:p w14:paraId="4683D129">
            <w:pPr>
              <w:numPr>
                <w:ilvl w:val="0"/>
                <w:numId w:val="0"/>
              </w:numPr>
              <w:rPr>
                <w:rFonts w:hint="default" w:ascii="Cambria" w:hAnsi="Cambria" w:cs="Cambria"/>
                <w:u w:val="none"/>
                <w:vertAlign w:val="baseline"/>
                <w:lang w:val="en-US" w:eastAsia="zh-CN"/>
              </w:rPr>
            </w:pPr>
            <w:r>
              <w:rPr>
                <w:rFonts w:hint="default" w:ascii="Cambria" w:hAnsi="Cambria" w:cs="Cambria"/>
              </w:rPr>
              <w:t>Associate Professor</w:t>
            </w:r>
          </w:p>
        </w:tc>
        <w:tc>
          <w:tcPr>
            <w:tcW w:w="2336" w:type="dxa"/>
            <w:tcBorders>
              <w:tl2br w:val="nil"/>
              <w:tr2bl w:val="nil"/>
            </w:tcBorders>
            <w:vAlign w:val="top"/>
          </w:tcPr>
          <w:p w14:paraId="6BCD0625">
            <w:pPr>
              <w:numPr>
                <w:ilvl w:val="0"/>
                <w:numId w:val="0"/>
              </w:numPr>
              <w:rPr>
                <w:rFonts w:hint="default" w:ascii="Cambria" w:hAnsi="Cambria" w:cs="Cambria"/>
                <w:u w:val="none"/>
                <w:vertAlign w:val="baseline"/>
                <w:lang w:val="en-US" w:eastAsia="zh-CN"/>
              </w:rPr>
            </w:pPr>
            <w:r>
              <w:rPr>
                <w:rFonts w:hint="default" w:ascii="Cambria" w:hAnsi="Cambria" w:cs="Cambria"/>
              </w:rPr>
              <w:t>1</w:t>
            </w:r>
          </w:p>
        </w:tc>
        <w:tc>
          <w:tcPr>
            <w:tcW w:w="2407" w:type="dxa"/>
            <w:tcBorders>
              <w:tl2br w:val="nil"/>
              <w:tr2bl w:val="nil"/>
            </w:tcBorders>
            <w:vAlign w:val="top"/>
          </w:tcPr>
          <w:p w14:paraId="6F972054">
            <w:pPr>
              <w:numPr>
                <w:ilvl w:val="0"/>
                <w:numId w:val="0"/>
              </w:numPr>
              <w:rPr>
                <w:rFonts w:hint="default" w:ascii="Cambria" w:hAnsi="Cambria" w:cs="Cambria"/>
                <w:u w:val="none"/>
                <w:vertAlign w:val="baseline"/>
                <w:lang w:val="en-US" w:eastAsia="zh-CN"/>
              </w:rPr>
            </w:pPr>
            <w:r>
              <w:rPr>
                <w:rFonts w:hint="default" w:ascii="Cambria" w:hAnsi="Cambria" w:cs="Cambria"/>
              </w:rPr>
              <w:t xml:space="preserve">3.33% </w:t>
            </w:r>
          </w:p>
        </w:tc>
      </w:tr>
      <w:tr w14:paraId="31BD99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779" w:type="dxa"/>
            <w:tcBorders>
              <w:tl2br w:val="nil"/>
              <w:tr2bl w:val="nil"/>
            </w:tcBorders>
            <w:vAlign w:val="top"/>
          </w:tcPr>
          <w:p w14:paraId="29CB8914">
            <w:pPr>
              <w:numPr>
                <w:ilvl w:val="0"/>
                <w:numId w:val="0"/>
              </w:numPr>
              <w:rPr>
                <w:rFonts w:hint="default" w:ascii="Cambria" w:hAnsi="Cambria" w:cs="Cambria"/>
                <w:u w:val="none"/>
                <w:vertAlign w:val="baseline"/>
                <w:lang w:val="en-US" w:eastAsia="zh-CN"/>
              </w:rPr>
            </w:pPr>
            <w:r>
              <w:rPr>
                <w:rFonts w:hint="default" w:ascii="Cambria" w:hAnsi="Cambria" w:cs="Cambria"/>
              </w:rPr>
              <w:t>Chief Physician</w:t>
            </w:r>
          </w:p>
        </w:tc>
        <w:tc>
          <w:tcPr>
            <w:tcW w:w="2336" w:type="dxa"/>
            <w:tcBorders>
              <w:tl2br w:val="nil"/>
              <w:tr2bl w:val="nil"/>
            </w:tcBorders>
            <w:vAlign w:val="top"/>
          </w:tcPr>
          <w:p w14:paraId="4C64C4DB">
            <w:pPr>
              <w:numPr>
                <w:ilvl w:val="0"/>
                <w:numId w:val="0"/>
              </w:numPr>
              <w:rPr>
                <w:rFonts w:hint="default" w:ascii="Cambria" w:hAnsi="Cambria" w:cs="Cambria"/>
                <w:u w:val="none"/>
                <w:vertAlign w:val="baseline"/>
                <w:lang w:val="en-US" w:eastAsia="zh-CN"/>
              </w:rPr>
            </w:pPr>
            <w:r>
              <w:rPr>
                <w:rFonts w:hint="default" w:ascii="Cambria" w:hAnsi="Cambria" w:cs="Cambria"/>
              </w:rPr>
              <w:t>8</w:t>
            </w:r>
          </w:p>
        </w:tc>
        <w:tc>
          <w:tcPr>
            <w:tcW w:w="2407" w:type="dxa"/>
            <w:tcBorders>
              <w:tl2br w:val="nil"/>
              <w:tr2bl w:val="nil"/>
            </w:tcBorders>
            <w:vAlign w:val="top"/>
          </w:tcPr>
          <w:p w14:paraId="2A919AC6">
            <w:pPr>
              <w:numPr>
                <w:ilvl w:val="0"/>
                <w:numId w:val="0"/>
              </w:numPr>
              <w:rPr>
                <w:rFonts w:hint="default" w:ascii="Cambria" w:hAnsi="Cambria" w:cs="Cambria"/>
                <w:u w:val="none"/>
                <w:vertAlign w:val="baseline"/>
                <w:lang w:val="en-US" w:eastAsia="zh-CN"/>
              </w:rPr>
            </w:pPr>
            <w:r>
              <w:rPr>
                <w:rFonts w:hint="default" w:ascii="Cambria" w:hAnsi="Cambria" w:cs="Cambria"/>
              </w:rPr>
              <w:t>26.67%</w:t>
            </w:r>
          </w:p>
        </w:tc>
      </w:tr>
      <w:tr w14:paraId="11B41F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779" w:type="dxa"/>
            <w:tcBorders>
              <w:tl2br w:val="nil"/>
              <w:tr2bl w:val="nil"/>
            </w:tcBorders>
            <w:vAlign w:val="top"/>
          </w:tcPr>
          <w:p w14:paraId="1C949917">
            <w:pPr>
              <w:numPr>
                <w:ilvl w:val="0"/>
                <w:numId w:val="0"/>
              </w:numPr>
              <w:rPr>
                <w:rFonts w:hint="default" w:ascii="Cambria" w:hAnsi="Cambria" w:cs="Cambria"/>
                <w:u w:val="none"/>
                <w:vertAlign w:val="baseline"/>
                <w:lang w:val="en-US" w:eastAsia="zh-CN"/>
              </w:rPr>
            </w:pPr>
            <w:r>
              <w:rPr>
                <w:rFonts w:hint="default" w:ascii="Cambria" w:hAnsi="Cambria" w:cs="Cambria"/>
              </w:rPr>
              <w:t>Deputy Chief Physician</w:t>
            </w:r>
          </w:p>
        </w:tc>
        <w:tc>
          <w:tcPr>
            <w:tcW w:w="2336" w:type="dxa"/>
            <w:tcBorders>
              <w:tl2br w:val="nil"/>
              <w:tr2bl w:val="nil"/>
            </w:tcBorders>
            <w:shd w:val="clear" w:color="auto" w:fill="auto"/>
            <w:vAlign w:val="top"/>
          </w:tcPr>
          <w:p w14:paraId="7F0FC560">
            <w:pPr>
              <w:numPr>
                <w:ilvl w:val="0"/>
                <w:numId w:val="0"/>
              </w:numPr>
              <w:ind w:left="0" w:leftChars="0" w:firstLine="0" w:firstLineChars="0"/>
              <w:rPr>
                <w:rFonts w:hint="default" w:ascii="Cambria" w:hAnsi="Cambria" w:cs="Cambria" w:eastAsiaTheme="minorEastAsia"/>
                <w:kern w:val="2"/>
                <w:sz w:val="21"/>
                <w:szCs w:val="24"/>
                <w:u w:val="none"/>
                <w:vertAlign w:val="baseline"/>
                <w:lang w:val="en-US" w:eastAsia="zh-CN" w:bidi="ar-SA"/>
              </w:rPr>
            </w:pPr>
            <w:r>
              <w:rPr>
                <w:rFonts w:hint="default" w:ascii="Cambria" w:hAnsi="Cambria" w:cs="Cambria"/>
              </w:rPr>
              <w:t>1</w:t>
            </w:r>
          </w:p>
        </w:tc>
        <w:tc>
          <w:tcPr>
            <w:tcW w:w="2407" w:type="dxa"/>
            <w:tcBorders>
              <w:tl2br w:val="nil"/>
              <w:tr2bl w:val="nil"/>
            </w:tcBorders>
            <w:shd w:val="clear" w:color="auto" w:fill="auto"/>
            <w:vAlign w:val="top"/>
          </w:tcPr>
          <w:p w14:paraId="55124AF5">
            <w:pPr>
              <w:numPr>
                <w:ilvl w:val="0"/>
                <w:numId w:val="0"/>
              </w:numPr>
              <w:ind w:left="0" w:leftChars="0" w:firstLine="0" w:firstLineChars="0"/>
              <w:rPr>
                <w:rFonts w:hint="default" w:ascii="Cambria" w:hAnsi="Cambria" w:cs="Cambria" w:eastAsiaTheme="minorEastAsia"/>
                <w:kern w:val="2"/>
                <w:sz w:val="21"/>
                <w:szCs w:val="24"/>
                <w:u w:val="none"/>
                <w:vertAlign w:val="baseline"/>
                <w:lang w:val="en-US" w:eastAsia="zh-CN" w:bidi="ar-SA"/>
              </w:rPr>
            </w:pPr>
            <w:r>
              <w:rPr>
                <w:rFonts w:hint="default" w:ascii="Cambria" w:hAnsi="Cambria" w:cs="Cambria"/>
              </w:rPr>
              <w:t xml:space="preserve">3.33% </w:t>
            </w:r>
          </w:p>
        </w:tc>
      </w:tr>
      <w:tr w14:paraId="09CEB9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779" w:type="dxa"/>
            <w:tcBorders>
              <w:tl2br w:val="nil"/>
              <w:tr2bl w:val="nil"/>
            </w:tcBorders>
            <w:vAlign w:val="top"/>
          </w:tcPr>
          <w:p w14:paraId="1F0FBB61">
            <w:pPr>
              <w:numPr>
                <w:ilvl w:val="0"/>
                <w:numId w:val="0"/>
              </w:numPr>
              <w:rPr>
                <w:rFonts w:hint="default" w:ascii="Cambria" w:hAnsi="Cambria" w:cs="Cambria"/>
                <w:u w:val="none"/>
                <w:vertAlign w:val="baseline"/>
                <w:lang w:val="en-US" w:eastAsia="zh-CN"/>
              </w:rPr>
            </w:pPr>
            <w:r>
              <w:rPr>
                <w:rFonts w:hint="default" w:ascii="Cambria" w:hAnsi="Cambria" w:cs="Cambria"/>
              </w:rPr>
              <w:t xml:space="preserve">Researcher </w:t>
            </w:r>
          </w:p>
        </w:tc>
        <w:tc>
          <w:tcPr>
            <w:tcW w:w="2336" w:type="dxa"/>
            <w:tcBorders>
              <w:tl2br w:val="nil"/>
              <w:tr2bl w:val="nil"/>
            </w:tcBorders>
            <w:shd w:val="clear" w:color="auto" w:fill="auto"/>
            <w:vAlign w:val="top"/>
          </w:tcPr>
          <w:p w14:paraId="58EE5ADA">
            <w:pPr>
              <w:numPr>
                <w:ilvl w:val="0"/>
                <w:numId w:val="0"/>
              </w:numPr>
              <w:ind w:left="0" w:leftChars="0" w:firstLine="0" w:firstLineChars="0"/>
              <w:rPr>
                <w:rFonts w:hint="default" w:ascii="Cambria" w:hAnsi="Cambria" w:cs="Cambria" w:eastAsiaTheme="minorEastAsia"/>
                <w:kern w:val="2"/>
                <w:sz w:val="21"/>
                <w:szCs w:val="24"/>
                <w:u w:val="none"/>
                <w:vertAlign w:val="baseline"/>
                <w:lang w:val="en-US" w:eastAsia="zh-CN" w:bidi="ar-SA"/>
              </w:rPr>
            </w:pPr>
            <w:r>
              <w:rPr>
                <w:rFonts w:hint="default" w:ascii="Cambria" w:hAnsi="Cambria" w:cs="Cambria"/>
              </w:rPr>
              <w:t>1</w:t>
            </w:r>
          </w:p>
        </w:tc>
        <w:tc>
          <w:tcPr>
            <w:tcW w:w="2407" w:type="dxa"/>
            <w:tcBorders>
              <w:tl2br w:val="nil"/>
              <w:tr2bl w:val="nil"/>
            </w:tcBorders>
            <w:shd w:val="clear" w:color="auto" w:fill="auto"/>
            <w:vAlign w:val="top"/>
          </w:tcPr>
          <w:p w14:paraId="1C9BEAD3">
            <w:pPr>
              <w:numPr>
                <w:ilvl w:val="0"/>
                <w:numId w:val="0"/>
              </w:numPr>
              <w:ind w:left="0" w:leftChars="0" w:firstLine="0" w:firstLineChars="0"/>
              <w:rPr>
                <w:rFonts w:hint="default" w:ascii="Cambria" w:hAnsi="Cambria" w:cs="Cambria" w:eastAsiaTheme="minorEastAsia"/>
                <w:kern w:val="2"/>
                <w:sz w:val="21"/>
                <w:szCs w:val="24"/>
                <w:u w:val="none"/>
                <w:vertAlign w:val="baseline"/>
                <w:lang w:val="en-US" w:eastAsia="zh-CN" w:bidi="ar-SA"/>
              </w:rPr>
            </w:pPr>
            <w:r>
              <w:rPr>
                <w:rFonts w:hint="default" w:ascii="Cambria" w:hAnsi="Cambria" w:cs="Cambria"/>
              </w:rPr>
              <w:t xml:space="preserve">3.33% </w:t>
            </w:r>
          </w:p>
        </w:tc>
      </w:tr>
      <w:tr w14:paraId="4E5703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779" w:type="dxa"/>
            <w:tcBorders>
              <w:tl2br w:val="nil"/>
              <w:tr2bl w:val="nil"/>
            </w:tcBorders>
            <w:vAlign w:val="top"/>
          </w:tcPr>
          <w:p w14:paraId="751FDEA5">
            <w:pPr>
              <w:numPr>
                <w:ilvl w:val="0"/>
                <w:numId w:val="0"/>
              </w:numPr>
              <w:rPr>
                <w:rFonts w:hint="default" w:ascii="Cambria" w:hAnsi="Cambria" w:cs="Cambria"/>
                <w:u w:val="none"/>
                <w:vertAlign w:val="baseline"/>
                <w:lang w:val="en-US" w:eastAsia="zh-CN"/>
              </w:rPr>
            </w:pPr>
            <w:r>
              <w:rPr>
                <w:rFonts w:hint="default" w:ascii="Cambria" w:hAnsi="Cambria" w:cs="Cambria"/>
                <w:u w:val="none"/>
              </w:rPr>
              <w:t>Foreign registered T</w:t>
            </w:r>
            <w:r>
              <w:rPr>
                <w:rFonts w:hint="default" w:ascii="Cambria" w:hAnsi="Cambria" w:cs="Cambria"/>
                <w:u w:val="none"/>
                <w:lang w:val="en-US" w:eastAsia="zh-CN"/>
              </w:rPr>
              <w:t>CM</w:t>
            </w:r>
            <w:r>
              <w:rPr>
                <w:rFonts w:hint="default" w:ascii="Cambria" w:hAnsi="Cambria" w:cs="Cambria"/>
                <w:u w:val="none"/>
              </w:rPr>
              <w:t xml:space="preserve"> Practitioner</w:t>
            </w:r>
          </w:p>
        </w:tc>
        <w:tc>
          <w:tcPr>
            <w:tcW w:w="2336" w:type="dxa"/>
            <w:tcBorders>
              <w:tl2br w:val="nil"/>
              <w:tr2bl w:val="nil"/>
            </w:tcBorders>
            <w:vAlign w:val="top"/>
          </w:tcPr>
          <w:p w14:paraId="7418B6EB">
            <w:pPr>
              <w:numPr>
                <w:ilvl w:val="0"/>
                <w:numId w:val="0"/>
              </w:numPr>
              <w:rPr>
                <w:rFonts w:hint="default" w:ascii="Cambria" w:hAnsi="Cambria" w:cs="Cambria"/>
                <w:u w:val="none"/>
                <w:vertAlign w:val="baseline"/>
                <w:lang w:val="en-US" w:eastAsia="zh-CN"/>
              </w:rPr>
            </w:pPr>
            <w:r>
              <w:rPr>
                <w:rFonts w:hint="default" w:ascii="Cambria" w:hAnsi="Cambria" w:cs="Cambria"/>
                <w:u w:val="none"/>
              </w:rPr>
              <w:t>6</w:t>
            </w:r>
          </w:p>
        </w:tc>
        <w:tc>
          <w:tcPr>
            <w:tcW w:w="2407" w:type="dxa"/>
            <w:tcBorders>
              <w:tl2br w:val="nil"/>
              <w:tr2bl w:val="nil"/>
            </w:tcBorders>
            <w:vAlign w:val="top"/>
          </w:tcPr>
          <w:p w14:paraId="4ACF8AAD">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20.00% </w:t>
            </w:r>
          </w:p>
        </w:tc>
      </w:tr>
    </w:tbl>
    <w:p w14:paraId="6DDED3E1">
      <w:pPr>
        <w:numPr>
          <w:ilvl w:val="0"/>
          <w:numId w:val="0"/>
        </w:numPr>
        <w:rPr>
          <w:rFonts w:hint="default" w:ascii="Cambria" w:hAnsi="Cambria" w:cs="Cambria"/>
          <w:u w:val="none"/>
        </w:rPr>
      </w:pPr>
    </w:p>
    <w:p w14:paraId="428F407A">
      <w:pPr>
        <w:numPr>
          <w:ilvl w:val="0"/>
          <w:numId w:val="0"/>
        </w:numPr>
        <w:rPr>
          <w:rFonts w:hint="default" w:ascii="Cambria" w:hAnsi="Cambria" w:cs="Cambria"/>
          <w:u w:val="none"/>
        </w:rPr>
      </w:pPr>
      <w:r>
        <w:rPr>
          <w:rFonts w:hint="default" w:ascii="Cambria" w:hAnsi="Cambria" w:cs="Cambria"/>
          <w:u w:val="none"/>
        </w:rPr>
        <w:t>Table 5 Distribution of Experts</w:t>
      </w:r>
      <w:r>
        <w:rPr>
          <w:rFonts w:hint="default" w:ascii="Cambria" w:hAnsi="Cambria" w:cs="Cambria"/>
          <w:u w:val="none"/>
          <w:lang w:val="en-US" w:eastAsia="zh-CN"/>
        </w:rPr>
        <w:t xml:space="preserve"> by</w:t>
      </w:r>
      <w:r>
        <w:rPr>
          <w:rFonts w:hint="default" w:ascii="Cambria" w:hAnsi="Cambria" w:cs="Cambria"/>
          <w:u w:val="none"/>
        </w:rPr>
        <w:t xml:space="preserve"> Postgraduate Supervisorship</w:t>
      </w:r>
    </w:p>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40"/>
        <w:gridCol w:w="2841"/>
        <w:gridCol w:w="2841"/>
      </w:tblGrid>
      <w:tr w14:paraId="579AB87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bottom w:val="single" w:color="auto" w:sz="4" w:space="0"/>
            </w:tcBorders>
            <w:vAlign w:val="top"/>
          </w:tcPr>
          <w:p w14:paraId="6508A953">
            <w:pPr>
              <w:numPr>
                <w:ilvl w:val="0"/>
                <w:numId w:val="0"/>
              </w:numPr>
              <w:rPr>
                <w:rFonts w:hint="default" w:ascii="Cambria" w:hAnsi="Cambria" w:cs="Cambria"/>
                <w:u w:val="none"/>
                <w:vertAlign w:val="baseline"/>
                <w:lang w:val="en-US" w:eastAsia="zh-CN"/>
              </w:rPr>
            </w:pPr>
            <w:r>
              <w:rPr>
                <w:rFonts w:hint="default" w:ascii="Cambria" w:hAnsi="Cambria" w:cs="Cambria"/>
                <w:u w:val="none"/>
              </w:rPr>
              <w:t>Type of Supervisor</w:t>
            </w:r>
          </w:p>
        </w:tc>
        <w:tc>
          <w:tcPr>
            <w:tcW w:w="2841" w:type="dxa"/>
            <w:tcBorders>
              <w:bottom w:val="single" w:color="auto" w:sz="4" w:space="0"/>
            </w:tcBorders>
            <w:vAlign w:val="top"/>
          </w:tcPr>
          <w:p w14:paraId="18DF9222">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Number of People </w:t>
            </w:r>
          </w:p>
        </w:tc>
        <w:tc>
          <w:tcPr>
            <w:tcW w:w="2841" w:type="dxa"/>
            <w:tcBorders>
              <w:bottom w:val="single" w:color="auto" w:sz="4" w:space="0"/>
            </w:tcBorders>
            <w:vAlign w:val="top"/>
          </w:tcPr>
          <w:p w14:paraId="3D47AB5F">
            <w:pPr>
              <w:numPr>
                <w:ilvl w:val="0"/>
                <w:numId w:val="0"/>
              </w:numPr>
              <w:rPr>
                <w:rFonts w:hint="default" w:ascii="Cambria" w:hAnsi="Cambria" w:cs="Cambria"/>
                <w:u w:val="none"/>
                <w:vertAlign w:val="baseline"/>
                <w:lang w:val="en-US" w:eastAsia="zh-CN"/>
              </w:rPr>
            </w:pPr>
            <w:r>
              <w:rPr>
                <w:rFonts w:hint="default" w:ascii="Cambria" w:hAnsi="Cambria" w:cs="Cambria"/>
                <w:u w:val="none"/>
              </w:rPr>
              <w:t>Percentage</w:t>
            </w:r>
            <w:r>
              <w:rPr>
                <w:rFonts w:hint="default" w:ascii="Cambria" w:hAnsi="Cambria" w:cs="Cambria"/>
                <w:u w:val="none"/>
                <w:lang w:val="en-US" w:eastAsia="zh-CN"/>
              </w:rPr>
              <w:t xml:space="preserve">  </w:t>
            </w:r>
            <w:r>
              <w:rPr>
                <w:rFonts w:hint="default" w:ascii="Cambria" w:hAnsi="Cambria" w:cs="Cambria"/>
                <w:u w:val="none"/>
              </w:rPr>
              <w:t xml:space="preserve"> </w:t>
            </w:r>
          </w:p>
        </w:tc>
      </w:tr>
      <w:tr w14:paraId="761F3DB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op w:val="single" w:color="auto" w:sz="4" w:space="0"/>
              <w:tl2br w:val="nil"/>
              <w:tr2bl w:val="nil"/>
            </w:tcBorders>
            <w:vAlign w:val="top"/>
          </w:tcPr>
          <w:p w14:paraId="584FEE04">
            <w:pPr>
              <w:numPr>
                <w:ilvl w:val="0"/>
                <w:numId w:val="0"/>
              </w:numPr>
              <w:rPr>
                <w:rFonts w:hint="default" w:ascii="Cambria" w:hAnsi="Cambria" w:cs="Cambria"/>
                <w:u w:val="none"/>
                <w:vertAlign w:val="baseline"/>
                <w:lang w:val="en-US" w:eastAsia="zh-CN"/>
              </w:rPr>
            </w:pPr>
            <w:r>
              <w:rPr>
                <w:rFonts w:hint="default" w:ascii="Cambria" w:hAnsi="Cambria" w:cs="Cambria"/>
                <w:u w:val="none"/>
              </w:rPr>
              <w:t>Doctoral Supervisor</w:t>
            </w:r>
          </w:p>
        </w:tc>
        <w:tc>
          <w:tcPr>
            <w:tcW w:w="2841" w:type="dxa"/>
            <w:tcBorders>
              <w:top w:val="single" w:color="auto" w:sz="4" w:space="0"/>
              <w:tl2br w:val="nil"/>
              <w:tr2bl w:val="nil"/>
            </w:tcBorders>
            <w:vAlign w:val="top"/>
          </w:tcPr>
          <w:p w14:paraId="136CBC2A">
            <w:pPr>
              <w:numPr>
                <w:ilvl w:val="0"/>
                <w:numId w:val="0"/>
              </w:numPr>
              <w:rPr>
                <w:rFonts w:hint="default" w:ascii="Cambria" w:hAnsi="Cambria" w:cs="Cambria"/>
                <w:u w:val="none"/>
                <w:vertAlign w:val="baseline"/>
                <w:lang w:val="en-US" w:eastAsia="zh-CN"/>
              </w:rPr>
            </w:pPr>
            <w:r>
              <w:rPr>
                <w:rFonts w:hint="default" w:ascii="Cambria" w:hAnsi="Cambria" w:cs="Cambria"/>
                <w:u w:val="none"/>
              </w:rPr>
              <w:t>10</w:t>
            </w:r>
          </w:p>
        </w:tc>
        <w:tc>
          <w:tcPr>
            <w:tcW w:w="2841" w:type="dxa"/>
            <w:tcBorders>
              <w:top w:val="single" w:color="auto" w:sz="4" w:space="0"/>
              <w:tl2br w:val="nil"/>
              <w:tr2bl w:val="nil"/>
            </w:tcBorders>
            <w:vAlign w:val="top"/>
          </w:tcPr>
          <w:p w14:paraId="7613C834">
            <w:pPr>
              <w:numPr>
                <w:ilvl w:val="0"/>
                <w:numId w:val="0"/>
              </w:numPr>
              <w:rPr>
                <w:rFonts w:hint="default" w:ascii="Cambria" w:hAnsi="Cambria" w:cs="Cambria"/>
                <w:u w:val="none"/>
                <w:vertAlign w:val="baseline"/>
                <w:lang w:val="en-US" w:eastAsia="zh-CN"/>
              </w:rPr>
            </w:pPr>
            <w:r>
              <w:rPr>
                <w:rFonts w:hint="default" w:ascii="Cambria" w:hAnsi="Cambria" w:cs="Cambria"/>
                <w:u w:val="none"/>
              </w:rPr>
              <w:t>33.33%</w:t>
            </w:r>
          </w:p>
        </w:tc>
      </w:tr>
      <w:tr w14:paraId="2B7E7C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vAlign w:val="top"/>
          </w:tcPr>
          <w:p w14:paraId="56982994">
            <w:pPr>
              <w:numPr>
                <w:ilvl w:val="0"/>
                <w:numId w:val="0"/>
              </w:numPr>
              <w:rPr>
                <w:rFonts w:hint="default" w:ascii="Cambria" w:hAnsi="Cambria" w:cs="Cambria"/>
                <w:u w:val="none"/>
                <w:vertAlign w:val="baseline"/>
                <w:lang w:val="en-US" w:eastAsia="zh-CN"/>
              </w:rPr>
            </w:pPr>
            <w:r>
              <w:rPr>
                <w:rFonts w:hint="default" w:ascii="Cambria" w:hAnsi="Cambria" w:cs="Cambria"/>
                <w:u w:val="none"/>
              </w:rPr>
              <w:t>Master's Supervisor</w:t>
            </w:r>
          </w:p>
        </w:tc>
        <w:tc>
          <w:tcPr>
            <w:tcW w:w="2841" w:type="dxa"/>
            <w:tcBorders>
              <w:tl2br w:val="nil"/>
              <w:tr2bl w:val="nil"/>
            </w:tcBorders>
            <w:vAlign w:val="top"/>
          </w:tcPr>
          <w:p w14:paraId="492E9CAF">
            <w:pPr>
              <w:numPr>
                <w:ilvl w:val="0"/>
                <w:numId w:val="0"/>
              </w:numPr>
              <w:rPr>
                <w:rFonts w:hint="default" w:ascii="Cambria" w:hAnsi="Cambria" w:cs="Cambria"/>
                <w:u w:val="none"/>
                <w:vertAlign w:val="baseline"/>
                <w:lang w:val="en-US" w:eastAsia="zh-CN"/>
              </w:rPr>
            </w:pPr>
            <w:r>
              <w:rPr>
                <w:rFonts w:hint="default" w:ascii="Cambria" w:hAnsi="Cambria" w:cs="Cambria"/>
                <w:u w:val="none"/>
              </w:rPr>
              <w:t>9</w:t>
            </w:r>
          </w:p>
        </w:tc>
        <w:tc>
          <w:tcPr>
            <w:tcW w:w="2841" w:type="dxa"/>
            <w:tcBorders>
              <w:tl2br w:val="nil"/>
              <w:tr2bl w:val="nil"/>
            </w:tcBorders>
            <w:vAlign w:val="top"/>
          </w:tcPr>
          <w:p w14:paraId="7A7B7587">
            <w:pPr>
              <w:numPr>
                <w:ilvl w:val="0"/>
                <w:numId w:val="0"/>
              </w:numPr>
              <w:rPr>
                <w:rFonts w:hint="default" w:ascii="Cambria" w:hAnsi="Cambria" w:cs="Cambria"/>
                <w:u w:val="none"/>
                <w:vertAlign w:val="baseline"/>
                <w:lang w:val="en-US" w:eastAsia="zh-CN"/>
              </w:rPr>
            </w:pPr>
            <w:r>
              <w:rPr>
                <w:rFonts w:hint="default" w:ascii="Cambria" w:hAnsi="Cambria" w:cs="Cambria"/>
                <w:u w:val="none"/>
              </w:rPr>
              <w:t>30%</w:t>
            </w:r>
          </w:p>
        </w:tc>
      </w:tr>
      <w:tr w14:paraId="13228B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vAlign w:val="top"/>
          </w:tcPr>
          <w:p w14:paraId="543B087A">
            <w:pPr>
              <w:numPr>
                <w:ilvl w:val="0"/>
                <w:numId w:val="0"/>
              </w:numPr>
              <w:rPr>
                <w:rFonts w:hint="default" w:ascii="Cambria" w:hAnsi="Cambria" w:cs="Cambria"/>
                <w:u w:val="none"/>
                <w:vertAlign w:val="baseline"/>
                <w:lang w:val="en-US" w:eastAsia="zh-CN"/>
              </w:rPr>
            </w:pPr>
            <w:r>
              <w:rPr>
                <w:rFonts w:hint="default" w:ascii="Cambria" w:hAnsi="Cambria" w:cs="Cambria"/>
                <w:u w:val="none"/>
              </w:rPr>
              <w:t>Non</w:t>
            </w:r>
            <w:r>
              <w:rPr>
                <w:rFonts w:hint="default" w:ascii="Cambria" w:hAnsi="Cambria" w:cs="Cambria"/>
                <w:u w:val="none"/>
                <w:lang w:val="en-US" w:eastAsia="zh-CN"/>
              </w:rPr>
              <w:t>-</w:t>
            </w:r>
            <w:r>
              <w:rPr>
                <w:rFonts w:hint="default" w:ascii="Cambria" w:hAnsi="Cambria" w:cs="Cambria"/>
                <w:u w:val="none"/>
              </w:rPr>
              <w:t>Postgraduate Supervisor</w:t>
            </w:r>
          </w:p>
        </w:tc>
        <w:tc>
          <w:tcPr>
            <w:tcW w:w="2841" w:type="dxa"/>
            <w:tcBorders>
              <w:tl2br w:val="nil"/>
              <w:tr2bl w:val="nil"/>
            </w:tcBorders>
            <w:vAlign w:val="top"/>
          </w:tcPr>
          <w:p w14:paraId="2D6B547D">
            <w:pPr>
              <w:numPr>
                <w:ilvl w:val="0"/>
                <w:numId w:val="0"/>
              </w:numPr>
              <w:rPr>
                <w:rFonts w:hint="default" w:ascii="Cambria" w:hAnsi="Cambria" w:cs="Cambria"/>
                <w:u w:val="none"/>
                <w:vertAlign w:val="baseline"/>
                <w:lang w:val="en-US" w:eastAsia="zh-CN"/>
              </w:rPr>
            </w:pPr>
            <w:r>
              <w:rPr>
                <w:rFonts w:hint="default" w:ascii="Cambria" w:hAnsi="Cambria" w:cs="Cambria"/>
                <w:u w:val="none"/>
              </w:rPr>
              <w:t>11</w:t>
            </w:r>
          </w:p>
        </w:tc>
        <w:tc>
          <w:tcPr>
            <w:tcW w:w="2841" w:type="dxa"/>
            <w:tcBorders>
              <w:tl2br w:val="nil"/>
              <w:tr2bl w:val="nil"/>
            </w:tcBorders>
            <w:vAlign w:val="top"/>
          </w:tcPr>
          <w:p w14:paraId="43CB6CC3">
            <w:pPr>
              <w:numPr>
                <w:ilvl w:val="0"/>
                <w:numId w:val="0"/>
              </w:numPr>
              <w:rPr>
                <w:rFonts w:hint="default" w:ascii="Cambria" w:hAnsi="Cambria" w:cs="Cambria"/>
                <w:u w:val="none"/>
                <w:vertAlign w:val="baseline"/>
                <w:lang w:val="en-US" w:eastAsia="zh-CN"/>
              </w:rPr>
            </w:pPr>
            <w:r>
              <w:rPr>
                <w:rFonts w:hint="default" w:ascii="Cambria" w:hAnsi="Cambria" w:cs="Cambria"/>
                <w:u w:val="none"/>
              </w:rPr>
              <w:t>36.67%</w:t>
            </w:r>
          </w:p>
        </w:tc>
      </w:tr>
    </w:tbl>
    <w:p w14:paraId="50427B77">
      <w:pPr>
        <w:numPr>
          <w:ilvl w:val="0"/>
          <w:numId w:val="0"/>
        </w:numPr>
        <w:rPr>
          <w:rFonts w:hint="default" w:ascii="Cambria" w:hAnsi="Cambria" w:cs="Cambria" w:eastAsiaTheme="minorEastAsia"/>
          <w:u w:val="none"/>
          <w:lang w:val="en-US" w:eastAsia="zh-CN"/>
        </w:rPr>
      </w:pP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p>
    <w:p w14:paraId="775F9EDC">
      <w:pPr>
        <w:numPr>
          <w:ilvl w:val="0"/>
          <w:numId w:val="0"/>
        </w:numPr>
        <w:rPr>
          <w:rFonts w:hint="default" w:ascii="Cambria" w:hAnsi="Cambria" w:cs="Cambria"/>
          <w:u w:val="none"/>
        </w:rPr>
      </w:pPr>
      <w:r>
        <w:rPr>
          <w:rFonts w:hint="default" w:ascii="Cambria" w:hAnsi="Cambria" w:cs="Cambria"/>
          <w:u w:val="none"/>
        </w:rPr>
        <w:t>Table 6 Discipline</w:t>
      </w:r>
      <w:r>
        <w:rPr>
          <w:rFonts w:hint="default" w:ascii="Cambria" w:hAnsi="Cambria" w:cs="Cambria"/>
          <w:u w:val="none"/>
          <w:lang w:val="en-US" w:eastAsia="zh-CN"/>
        </w:rPr>
        <w:t xml:space="preserve"> </w:t>
      </w:r>
      <w:r>
        <w:rPr>
          <w:rFonts w:hint="default" w:ascii="Cambria" w:hAnsi="Cambria" w:cs="Cambria"/>
          <w:u w:val="none"/>
        </w:rPr>
        <w:t>Distribution of Experts</w:t>
      </w:r>
    </w:p>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11"/>
        <w:gridCol w:w="2668"/>
        <w:gridCol w:w="2643"/>
      </w:tblGrid>
      <w:tr w14:paraId="5AEE39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211" w:type="dxa"/>
            <w:tcBorders>
              <w:bottom w:val="single" w:color="auto" w:sz="4" w:space="0"/>
            </w:tcBorders>
            <w:vAlign w:val="top"/>
          </w:tcPr>
          <w:p w14:paraId="7C54657A">
            <w:pPr>
              <w:numPr>
                <w:ilvl w:val="0"/>
                <w:numId w:val="0"/>
              </w:numPr>
              <w:rPr>
                <w:rFonts w:hint="default" w:ascii="Cambria" w:hAnsi="Cambria" w:cs="Cambria"/>
                <w:u w:val="none"/>
                <w:vertAlign w:val="baseline"/>
              </w:rPr>
            </w:pPr>
            <w:r>
              <w:rPr>
                <w:rFonts w:hint="default" w:ascii="Cambria" w:hAnsi="Cambria" w:cs="Cambria"/>
                <w:u w:val="none"/>
              </w:rPr>
              <w:t xml:space="preserve">Profession </w:t>
            </w:r>
          </w:p>
        </w:tc>
        <w:tc>
          <w:tcPr>
            <w:tcW w:w="2668" w:type="dxa"/>
            <w:tcBorders>
              <w:bottom w:val="single" w:color="auto" w:sz="4" w:space="0"/>
            </w:tcBorders>
            <w:vAlign w:val="top"/>
          </w:tcPr>
          <w:p w14:paraId="3E09DD99">
            <w:pPr>
              <w:numPr>
                <w:ilvl w:val="0"/>
                <w:numId w:val="0"/>
              </w:numPr>
              <w:rPr>
                <w:rFonts w:hint="default" w:ascii="Cambria" w:hAnsi="Cambria" w:cs="Cambria"/>
                <w:u w:val="none"/>
                <w:vertAlign w:val="baseline"/>
              </w:rPr>
            </w:pPr>
            <w:r>
              <w:rPr>
                <w:rFonts w:hint="default" w:ascii="Cambria" w:hAnsi="Cambria" w:cs="Cambria"/>
                <w:u w:val="none"/>
              </w:rPr>
              <w:t>Number of People</w:t>
            </w:r>
          </w:p>
        </w:tc>
        <w:tc>
          <w:tcPr>
            <w:tcW w:w="2643" w:type="dxa"/>
            <w:tcBorders>
              <w:bottom w:val="single" w:color="auto" w:sz="4" w:space="0"/>
            </w:tcBorders>
            <w:vAlign w:val="top"/>
          </w:tcPr>
          <w:p w14:paraId="30148071">
            <w:pPr>
              <w:numPr>
                <w:ilvl w:val="0"/>
                <w:numId w:val="0"/>
              </w:numPr>
              <w:rPr>
                <w:rFonts w:hint="default" w:ascii="Cambria" w:hAnsi="Cambria" w:cs="Cambria"/>
                <w:u w:val="none"/>
                <w:vertAlign w:val="baseline"/>
              </w:rPr>
            </w:pPr>
            <w:r>
              <w:rPr>
                <w:rFonts w:hint="default" w:ascii="Cambria" w:hAnsi="Cambria" w:cs="Cambria"/>
                <w:u w:val="none"/>
              </w:rPr>
              <w:t xml:space="preserve">Percentage </w:t>
            </w:r>
          </w:p>
        </w:tc>
      </w:tr>
      <w:tr w14:paraId="14841B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211" w:type="dxa"/>
            <w:tcBorders>
              <w:top w:val="single" w:color="auto" w:sz="4" w:space="0"/>
              <w:tl2br w:val="nil"/>
              <w:tr2bl w:val="nil"/>
            </w:tcBorders>
            <w:vAlign w:val="top"/>
          </w:tcPr>
          <w:p w14:paraId="22F8C82C">
            <w:pPr>
              <w:numPr>
                <w:ilvl w:val="0"/>
                <w:numId w:val="0"/>
              </w:numPr>
              <w:rPr>
                <w:rFonts w:hint="default" w:ascii="Cambria" w:hAnsi="Cambria" w:cs="Cambria"/>
                <w:u w:val="none"/>
                <w:vertAlign w:val="baseline"/>
              </w:rPr>
            </w:pPr>
            <w:r>
              <w:rPr>
                <w:rFonts w:hint="default" w:ascii="Cambria" w:hAnsi="Cambria" w:cs="Cambria"/>
                <w:u w:val="none"/>
                <w:lang w:eastAsia="zh-CN"/>
              </w:rPr>
              <w:t>TCM</w:t>
            </w:r>
            <w:r>
              <w:rPr>
                <w:rFonts w:hint="default" w:ascii="Cambria" w:hAnsi="Cambria" w:cs="Cambria"/>
                <w:u w:val="none"/>
              </w:rPr>
              <w:t xml:space="preserve"> Pediatrics</w:t>
            </w:r>
          </w:p>
        </w:tc>
        <w:tc>
          <w:tcPr>
            <w:tcW w:w="2668" w:type="dxa"/>
            <w:tcBorders>
              <w:top w:val="single" w:color="auto" w:sz="4" w:space="0"/>
              <w:tl2br w:val="nil"/>
              <w:tr2bl w:val="nil"/>
            </w:tcBorders>
            <w:vAlign w:val="top"/>
          </w:tcPr>
          <w:p w14:paraId="01C2CA50">
            <w:pPr>
              <w:numPr>
                <w:ilvl w:val="0"/>
                <w:numId w:val="0"/>
              </w:numPr>
              <w:rPr>
                <w:rFonts w:hint="default" w:ascii="Cambria" w:hAnsi="Cambria" w:cs="Cambria"/>
                <w:u w:val="none"/>
                <w:vertAlign w:val="baseline"/>
              </w:rPr>
            </w:pPr>
            <w:r>
              <w:rPr>
                <w:rFonts w:hint="default" w:ascii="Cambria" w:hAnsi="Cambria" w:cs="Cambria"/>
                <w:u w:val="none"/>
              </w:rPr>
              <w:t>14</w:t>
            </w:r>
          </w:p>
        </w:tc>
        <w:tc>
          <w:tcPr>
            <w:tcW w:w="2643" w:type="dxa"/>
            <w:tcBorders>
              <w:top w:val="single" w:color="auto" w:sz="4" w:space="0"/>
              <w:tl2br w:val="nil"/>
              <w:tr2bl w:val="nil"/>
            </w:tcBorders>
            <w:vAlign w:val="top"/>
          </w:tcPr>
          <w:p w14:paraId="3426A8BF">
            <w:pPr>
              <w:numPr>
                <w:ilvl w:val="0"/>
                <w:numId w:val="0"/>
              </w:numPr>
              <w:rPr>
                <w:rFonts w:hint="default" w:ascii="Cambria" w:hAnsi="Cambria" w:cs="Cambria"/>
                <w:u w:val="none"/>
                <w:vertAlign w:val="baseline"/>
              </w:rPr>
            </w:pPr>
            <w:r>
              <w:rPr>
                <w:rFonts w:hint="default" w:ascii="Cambria" w:hAnsi="Cambria" w:cs="Cambria"/>
                <w:u w:val="none"/>
              </w:rPr>
              <w:t>46.67%</w:t>
            </w:r>
          </w:p>
        </w:tc>
      </w:tr>
      <w:tr w14:paraId="2616070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211" w:type="dxa"/>
            <w:tcBorders>
              <w:tl2br w:val="nil"/>
              <w:tr2bl w:val="nil"/>
            </w:tcBorders>
            <w:vAlign w:val="top"/>
          </w:tcPr>
          <w:p w14:paraId="189F37C6">
            <w:pPr>
              <w:numPr>
                <w:ilvl w:val="0"/>
                <w:numId w:val="0"/>
              </w:numPr>
              <w:rPr>
                <w:rFonts w:hint="default" w:ascii="Cambria" w:hAnsi="Cambria" w:cs="Cambria"/>
                <w:u w:val="none"/>
              </w:rPr>
            </w:pPr>
            <w:r>
              <w:rPr>
                <w:rFonts w:hint="default" w:ascii="Cambria" w:hAnsi="Cambria" w:cs="Cambria"/>
                <w:u w:val="none"/>
              </w:rPr>
              <w:t xml:space="preserve">Integrated Traditional Chinese and </w:t>
            </w:r>
          </w:p>
          <w:p w14:paraId="1910552D">
            <w:pPr>
              <w:numPr>
                <w:ilvl w:val="0"/>
                <w:numId w:val="0"/>
              </w:numPr>
              <w:rPr>
                <w:rFonts w:hint="default" w:ascii="Cambria" w:hAnsi="Cambria" w:cs="Cambria"/>
                <w:u w:val="none"/>
                <w:vertAlign w:val="baseline"/>
              </w:rPr>
            </w:pPr>
            <w:r>
              <w:rPr>
                <w:rFonts w:hint="default" w:ascii="Cambria" w:hAnsi="Cambria" w:cs="Cambria"/>
                <w:u w:val="none"/>
              </w:rPr>
              <w:t>Western Medicine Pediatrics</w:t>
            </w:r>
          </w:p>
        </w:tc>
        <w:tc>
          <w:tcPr>
            <w:tcW w:w="2668" w:type="dxa"/>
            <w:tcBorders>
              <w:tl2br w:val="nil"/>
              <w:tr2bl w:val="nil"/>
            </w:tcBorders>
            <w:vAlign w:val="top"/>
          </w:tcPr>
          <w:p w14:paraId="4C16A1FA">
            <w:pPr>
              <w:numPr>
                <w:ilvl w:val="0"/>
                <w:numId w:val="0"/>
              </w:numPr>
              <w:rPr>
                <w:rFonts w:hint="default" w:ascii="Cambria" w:hAnsi="Cambria" w:cs="Cambria"/>
                <w:u w:val="none"/>
                <w:vertAlign w:val="baseline"/>
              </w:rPr>
            </w:pPr>
            <w:r>
              <w:rPr>
                <w:rFonts w:hint="default" w:ascii="Cambria" w:hAnsi="Cambria" w:cs="Cambria"/>
                <w:u w:val="none"/>
              </w:rPr>
              <w:t>2</w:t>
            </w:r>
          </w:p>
        </w:tc>
        <w:tc>
          <w:tcPr>
            <w:tcW w:w="2643" w:type="dxa"/>
            <w:tcBorders>
              <w:tl2br w:val="nil"/>
              <w:tr2bl w:val="nil"/>
            </w:tcBorders>
            <w:vAlign w:val="top"/>
          </w:tcPr>
          <w:p w14:paraId="11ABD302">
            <w:pPr>
              <w:numPr>
                <w:ilvl w:val="0"/>
                <w:numId w:val="0"/>
              </w:numPr>
              <w:rPr>
                <w:rFonts w:hint="default" w:ascii="Cambria" w:hAnsi="Cambria" w:cs="Cambria"/>
                <w:u w:val="none"/>
                <w:vertAlign w:val="baseline"/>
              </w:rPr>
            </w:pPr>
            <w:r>
              <w:rPr>
                <w:rFonts w:hint="default" w:ascii="Cambria" w:hAnsi="Cambria" w:cs="Cambria"/>
                <w:u w:val="none"/>
              </w:rPr>
              <w:t>6.67%</w:t>
            </w:r>
          </w:p>
        </w:tc>
      </w:tr>
      <w:tr w14:paraId="48F0E5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211" w:type="dxa"/>
            <w:tcBorders>
              <w:tl2br w:val="nil"/>
              <w:tr2bl w:val="nil"/>
            </w:tcBorders>
            <w:vAlign w:val="top"/>
          </w:tcPr>
          <w:p w14:paraId="132B9C2C">
            <w:pPr>
              <w:numPr>
                <w:ilvl w:val="0"/>
                <w:numId w:val="0"/>
              </w:numPr>
              <w:rPr>
                <w:rFonts w:hint="default" w:ascii="Cambria" w:hAnsi="Cambria" w:cs="Cambria"/>
                <w:u w:val="none"/>
                <w:vertAlign w:val="baseline"/>
              </w:rPr>
            </w:pPr>
            <w:r>
              <w:rPr>
                <w:rFonts w:hint="default" w:ascii="Cambria" w:hAnsi="Cambria" w:cs="Cambria"/>
                <w:u w:val="none"/>
              </w:rPr>
              <w:t>Acupuncture and Tuina</w:t>
            </w:r>
          </w:p>
        </w:tc>
        <w:tc>
          <w:tcPr>
            <w:tcW w:w="2668" w:type="dxa"/>
            <w:tcBorders>
              <w:tl2br w:val="nil"/>
              <w:tr2bl w:val="nil"/>
            </w:tcBorders>
            <w:vAlign w:val="top"/>
          </w:tcPr>
          <w:p w14:paraId="765BAEDC">
            <w:pPr>
              <w:numPr>
                <w:ilvl w:val="0"/>
                <w:numId w:val="0"/>
              </w:numPr>
              <w:rPr>
                <w:rFonts w:hint="default" w:ascii="Cambria" w:hAnsi="Cambria" w:cs="Cambria"/>
                <w:u w:val="none"/>
                <w:vertAlign w:val="baseline"/>
              </w:rPr>
            </w:pPr>
            <w:r>
              <w:rPr>
                <w:rFonts w:hint="default" w:ascii="Cambria" w:hAnsi="Cambria" w:cs="Cambria"/>
                <w:u w:val="none"/>
              </w:rPr>
              <w:t>9</w:t>
            </w:r>
          </w:p>
        </w:tc>
        <w:tc>
          <w:tcPr>
            <w:tcW w:w="2643" w:type="dxa"/>
            <w:tcBorders>
              <w:tl2br w:val="nil"/>
              <w:tr2bl w:val="nil"/>
            </w:tcBorders>
            <w:vAlign w:val="top"/>
          </w:tcPr>
          <w:p w14:paraId="5EEF0D31">
            <w:pPr>
              <w:numPr>
                <w:ilvl w:val="0"/>
                <w:numId w:val="0"/>
              </w:numPr>
              <w:rPr>
                <w:rFonts w:hint="default" w:ascii="Cambria" w:hAnsi="Cambria" w:cs="Cambria"/>
                <w:u w:val="none"/>
                <w:vertAlign w:val="baseline"/>
              </w:rPr>
            </w:pPr>
            <w:r>
              <w:rPr>
                <w:rFonts w:hint="default" w:ascii="Cambria" w:hAnsi="Cambria" w:cs="Cambria"/>
                <w:u w:val="none"/>
              </w:rPr>
              <w:t>30%</w:t>
            </w:r>
          </w:p>
        </w:tc>
      </w:tr>
      <w:tr w14:paraId="537A9B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211" w:type="dxa"/>
            <w:tcBorders>
              <w:tl2br w:val="nil"/>
              <w:tr2bl w:val="nil"/>
            </w:tcBorders>
            <w:vAlign w:val="top"/>
          </w:tcPr>
          <w:p w14:paraId="17A8A2C3">
            <w:pPr>
              <w:numPr>
                <w:ilvl w:val="0"/>
                <w:numId w:val="0"/>
              </w:numPr>
              <w:rPr>
                <w:rFonts w:hint="default" w:ascii="Cambria" w:hAnsi="Cambria" w:cs="Cambria"/>
                <w:u w:val="none"/>
                <w:vertAlign w:val="baseline"/>
              </w:rPr>
            </w:pPr>
            <w:r>
              <w:rPr>
                <w:rFonts w:hint="default" w:ascii="Cambria" w:hAnsi="Cambria" w:cs="Cambria"/>
                <w:u w:val="none"/>
              </w:rPr>
              <w:t xml:space="preserve">Literature of </w:t>
            </w:r>
            <w:r>
              <w:rPr>
                <w:rFonts w:hint="default" w:ascii="Cambria" w:hAnsi="Cambria" w:cs="Cambria"/>
                <w:u w:val="none"/>
                <w:lang w:eastAsia="zh-CN"/>
              </w:rPr>
              <w:t>TCM</w:t>
            </w:r>
          </w:p>
        </w:tc>
        <w:tc>
          <w:tcPr>
            <w:tcW w:w="2668" w:type="dxa"/>
            <w:tcBorders>
              <w:tl2br w:val="nil"/>
              <w:tr2bl w:val="nil"/>
            </w:tcBorders>
            <w:vAlign w:val="top"/>
          </w:tcPr>
          <w:p w14:paraId="6C4F5665">
            <w:pPr>
              <w:numPr>
                <w:ilvl w:val="0"/>
                <w:numId w:val="0"/>
              </w:numPr>
              <w:rPr>
                <w:rFonts w:hint="default" w:ascii="Cambria" w:hAnsi="Cambria" w:cs="Cambria"/>
                <w:u w:val="none"/>
                <w:vertAlign w:val="baseline"/>
              </w:rPr>
            </w:pPr>
            <w:r>
              <w:rPr>
                <w:rFonts w:hint="default" w:ascii="Cambria" w:hAnsi="Cambria" w:cs="Cambria"/>
                <w:u w:val="none"/>
              </w:rPr>
              <w:t>1</w:t>
            </w:r>
          </w:p>
        </w:tc>
        <w:tc>
          <w:tcPr>
            <w:tcW w:w="2643" w:type="dxa"/>
            <w:tcBorders>
              <w:tl2br w:val="nil"/>
              <w:tr2bl w:val="nil"/>
            </w:tcBorders>
            <w:vAlign w:val="top"/>
          </w:tcPr>
          <w:p w14:paraId="7CDE92AD">
            <w:pPr>
              <w:numPr>
                <w:ilvl w:val="0"/>
                <w:numId w:val="0"/>
              </w:numPr>
              <w:rPr>
                <w:rFonts w:hint="default" w:ascii="Cambria" w:hAnsi="Cambria" w:cs="Cambria"/>
                <w:u w:val="none"/>
                <w:vertAlign w:val="baseline"/>
              </w:rPr>
            </w:pPr>
            <w:r>
              <w:rPr>
                <w:rFonts w:hint="default" w:ascii="Cambria" w:hAnsi="Cambria" w:cs="Cambria"/>
                <w:u w:val="none"/>
              </w:rPr>
              <w:t>3.33%</w:t>
            </w:r>
          </w:p>
        </w:tc>
      </w:tr>
      <w:tr w14:paraId="780ABB7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211" w:type="dxa"/>
            <w:tcBorders>
              <w:tl2br w:val="nil"/>
              <w:tr2bl w:val="nil"/>
            </w:tcBorders>
            <w:vAlign w:val="top"/>
          </w:tcPr>
          <w:p w14:paraId="4DADA702">
            <w:pPr>
              <w:numPr>
                <w:ilvl w:val="0"/>
                <w:numId w:val="0"/>
              </w:numPr>
              <w:rPr>
                <w:rFonts w:hint="default" w:ascii="Cambria" w:hAnsi="Cambria" w:cs="Cambria"/>
                <w:u w:val="none"/>
                <w:vertAlign w:val="baseline"/>
              </w:rPr>
            </w:pPr>
            <w:r>
              <w:rPr>
                <w:rFonts w:hint="default" w:ascii="Cambria" w:hAnsi="Cambria" w:cs="Cambria"/>
                <w:u w:val="none"/>
              </w:rPr>
              <w:t>Pediatric Acupuncture and Tuina</w:t>
            </w:r>
          </w:p>
        </w:tc>
        <w:tc>
          <w:tcPr>
            <w:tcW w:w="2668" w:type="dxa"/>
            <w:tcBorders>
              <w:tl2br w:val="nil"/>
              <w:tr2bl w:val="nil"/>
            </w:tcBorders>
            <w:vAlign w:val="top"/>
          </w:tcPr>
          <w:p w14:paraId="0665A1B3">
            <w:pPr>
              <w:numPr>
                <w:ilvl w:val="0"/>
                <w:numId w:val="0"/>
              </w:numPr>
              <w:rPr>
                <w:rFonts w:hint="default" w:ascii="Cambria" w:hAnsi="Cambria" w:cs="Cambria"/>
                <w:u w:val="none"/>
                <w:vertAlign w:val="baseline"/>
              </w:rPr>
            </w:pPr>
            <w:r>
              <w:rPr>
                <w:rFonts w:hint="default" w:ascii="Cambria" w:hAnsi="Cambria" w:cs="Cambria"/>
                <w:u w:val="none"/>
              </w:rPr>
              <w:t>4</w:t>
            </w:r>
          </w:p>
        </w:tc>
        <w:tc>
          <w:tcPr>
            <w:tcW w:w="2643" w:type="dxa"/>
            <w:tcBorders>
              <w:tl2br w:val="nil"/>
              <w:tr2bl w:val="nil"/>
            </w:tcBorders>
            <w:vAlign w:val="top"/>
          </w:tcPr>
          <w:p w14:paraId="20A8B2D1">
            <w:pPr>
              <w:numPr>
                <w:ilvl w:val="0"/>
                <w:numId w:val="0"/>
              </w:numPr>
              <w:rPr>
                <w:rFonts w:hint="default" w:ascii="Cambria" w:hAnsi="Cambria" w:cs="Cambria"/>
                <w:u w:val="none"/>
                <w:vertAlign w:val="baseline"/>
              </w:rPr>
            </w:pPr>
            <w:r>
              <w:rPr>
                <w:rFonts w:hint="default" w:ascii="Cambria" w:hAnsi="Cambria" w:cs="Cambria"/>
                <w:u w:val="none"/>
              </w:rPr>
              <w:t>13.33%</w:t>
            </w:r>
          </w:p>
        </w:tc>
      </w:tr>
    </w:tbl>
    <w:p w14:paraId="721038EB">
      <w:pPr>
        <w:numPr>
          <w:ilvl w:val="0"/>
          <w:numId w:val="0"/>
        </w:numPr>
        <w:rPr>
          <w:rFonts w:hint="default" w:ascii="Cambria" w:hAnsi="Cambria" w:cs="Cambria" w:eastAsiaTheme="minorEastAsia"/>
          <w:u w:val="none"/>
          <w:lang w:val="en-US" w:eastAsia="zh-CN"/>
        </w:rPr>
      </w:pP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 xml:space="preserve">  </w:t>
      </w:r>
    </w:p>
    <w:p w14:paraId="19AEAF01">
      <w:pPr>
        <w:numPr>
          <w:ilvl w:val="0"/>
          <w:numId w:val="0"/>
        </w:numPr>
        <w:rPr>
          <w:rFonts w:hint="default" w:ascii="Cambria" w:hAnsi="Cambria" w:cs="Cambria"/>
          <w:u w:val="none"/>
          <w:lang w:val="en-US" w:eastAsia="zh-CN"/>
        </w:rPr>
      </w:pPr>
      <w:r>
        <w:rPr>
          <w:rFonts w:hint="default" w:ascii="Cambria" w:hAnsi="Cambria" w:cs="Cambria"/>
          <w:u w:val="none"/>
        </w:rPr>
        <w:t>Table 7 Distribution of Experts by Years of Professional Practice</w:t>
      </w:r>
    </w:p>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40"/>
        <w:gridCol w:w="2841"/>
        <w:gridCol w:w="2841"/>
      </w:tblGrid>
      <w:tr w14:paraId="553F32A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bottom w:val="single" w:color="auto" w:sz="4" w:space="0"/>
            </w:tcBorders>
            <w:vAlign w:val="top"/>
          </w:tcPr>
          <w:p w14:paraId="09DE8DBB">
            <w:pPr>
              <w:numPr>
                <w:ilvl w:val="0"/>
                <w:numId w:val="0"/>
              </w:numPr>
              <w:rPr>
                <w:rFonts w:hint="default" w:ascii="Cambria" w:hAnsi="Cambria" w:cs="Cambria"/>
                <w:u w:val="none"/>
                <w:vertAlign w:val="baseline"/>
                <w:lang w:val="en-US" w:eastAsia="zh-CN"/>
              </w:rPr>
            </w:pPr>
            <w:r>
              <w:rPr>
                <w:rFonts w:hint="default" w:ascii="Cambria" w:hAnsi="Cambria" w:cs="Cambria"/>
                <w:u w:val="none"/>
              </w:rPr>
              <w:t>Years of Work Range</w:t>
            </w:r>
          </w:p>
        </w:tc>
        <w:tc>
          <w:tcPr>
            <w:tcW w:w="2841" w:type="dxa"/>
            <w:tcBorders>
              <w:bottom w:val="single" w:color="auto" w:sz="4" w:space="0"/>
            </w:tcBorders>
            <w:vAlign w:val="top"/>
          </w:tcPr>
          <w:p w14:paraId="47244805">
            <w:pPr>
              <w:numPr>
                <w:ilvl w:val="0"/>
                <w:numId w:val="0"/>
              </w:numPr>
              <w:rPr>
                <w:rFonts w:hint="default" w:ascii="Cambria" w:hAnsi="Cambria" w:cs="Cambria"/>
                <w:u w:val="none"/>
                <w:vertAlign w:val="baseline"/>
                <w:lang w:val="en-US" w:eastAsia="zh-CN"/>
              </w:rPr>
            </w:pPr>
            <w:r>
              <w:rPr>
                <w:rFonts w:hint="default" w:ascii="Cambria" w:hAnsi="Cambria" w:cs="Cambria"/>
                <w:u w:val="none"/>
              </w:rPr>
              <w:t>Number of People</w:t>
            </w:r>
          </w:p>
        </w:tc>
        <w:tc>
          <w:tcPr>
            <w:tcW w:w="2841" w:type="dxa"/>
            <w:tcBorders>
              <w:bottom w:val="single" w:color="auto" w:sz="4" w:space="0"/>
            </w:tcBorders>
            <w:vAlign w:val="top"/>
          </w:tcPr>
          <w:p w14:paraId="6EB7AAF4">
            <w:pPr>
              <w:numPr>
                <w:ilvl w:val="0"/>
                <w:numId w:val="0"/>
              </w:numPr>
              <w:rPr>
                <w:rFonts w:hint="default" w:ascii="Cambria" w:hAnsi="Cambria" w:cs="Cambria"/>
                <w:u w:val="none"/>
                <w:vertAlign w:val="baseline"/>
                <w:lang w:val="en-US" w:eastAsia="zh-CN"/>
              </w:rPr>
            </w:pPr>
            <w:r>
              <w:rPr>
                <w:rFonts w:hint="default" w:ascii="Cambria" w:hAnsi="Cambria" w:cs="Cambria"/>
                <w:u w:val="none"/>
              </w:rPr>
              <w:t>Percentage</w:t>
            </w:r>
          </w:p>
        </w:tc>
      </w:tr>
      <w:tr w14:paraId="368DB7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op w:val="single" w:color="auto" w:sz="4" w:space="0"/>
              <w:tl2br w:val="nil"/>
              <w:tr2bl w:val="nil"/>
            </w:tcBorders>
            <w:vAlign w:val="top"/>
          </w:tcPr>
          <w:p w14:paraId="41D58E5A">
            <w:pPr>
              <w:numPr>
                <w:ilvl w:val="0"/>
                <w:numId w:val="0"/>
              </w:numPr>
              <w:rPr>
                <w:rFonts w:hint="default" w:ascii="Cambria" w:hAnsi="Cambria" w:cs="Cambria"/>
                <w:u w:val="none"/>
                <w:vertAlign w:val="baseline"/>
                <w:lang w:val="en-US" w:eastAsia="zh-CN"/>
              </w:rPr>
            </w:pPr>
            <w:r>
              <w:rPr>
                <w:rFonts w:hint="default" w:ascii="Cambria" w:hAnsi="Cambria" w:cs="Cambria"/>
                <w:u w:val="none"/>
              </w:rPr>
              <w:t>5</w:t>
            </w:r>
            <w:r>
              <w:rPr>
                <w:rFonts w:hint="default" w:ascii="Cambria" w:hAnsi="Cambria" w:cs="Cambria"/>
                <w:u w:val="none"/>
                <w:lang w:val="en-US" w:eastAsia="zh-CN"/>
              </w:rPr>
              <w:t>-</w:t>
            </w:r>
            <w:r>
              <w:rPr>
                <w:rFonts w:hint="default" w:ascii="Cambria" w:hAnsi="Cambria" w:cs="Cambria"/>
                <w:u w:val="none"/>
              </w:rPr>
              <w:t>9 years</w:t>
            </w:r>
          </w:p>
        </w:tc>
        <w:tc>
          <w:tcPr>
            <w:tcW w:w="2841" w:type="dxa"/>
            <w:tcBorders>
              <w:top w:val="single" w:color="auto" w:sz="4" w:space="0"/>
              <w:tl2br w:val="nil"/>
              <w:tr2bl w:val="nil"/>
            </w:tcBorders>
            <w:vAlign w:val="top"/>
          </w:tcPr>
          <w:p w14:paraId="77353DD8">
            <w:pPr>
              <w:numPr>
                <w:ilvl w:val="0"/>
                <w:numId w:val="0"/>
              </w:numPr>
              <w:rPr>
                <w:rFonts w:hint="default" w:ascii="Cambria" w:hAnsi="Cambria" w:cs="Cambria"/>
                <w:u w:val="none"/>
                <w:vertAlign w:val="baseline"/>
                <w:lang w:val="en-US" w:eastAsia="zh-CN"/>
              </w:rPr>
            </w:pPr>
            <w:r>
              <w:rPr>
                <w:rFonts w:hint="default" w:ascii="Cambria" w:hAnsi="Cambria" w:cs="Cambria"/>
                <w:u w:val="none"/>
              </w:rPr>
              <w:t>1</w:t>
            </w:r>
          </w:p>
        </w:tc>
        <w:tc>
          <w:tcPr>
            <w:tcW w:w="2841" w:type="dxa"/>
            <w:tcBorders>
              <w:top w:val="single" w:color="auto" w:sz="4" w:space="0"/>
              <w:tl2br w:val="nil"/>
              <w:tr2bl w:val="nil"/>
            </w:tcBorders>
            <w:vAlign w:val="top"/>
          </w:tcPr>
          <w:p w14:paraId="2A22DD8A">
            <w:pPr>
              <w:numPr>
                <w:ilvl w:val="0"/>
                <w:numId w:val="0"/>
              </w:numPr>
              <w:rPr>
                <w:rFonts w:hint="default" w:ascii="Cambria" w:hAnsi="Cambria" w:cs="Cambria"/>
                <w:u w:val="none"/>
                <w:vertAlign w:val="baseline"/>
                <w:lang w:val="en-US" w:eastAsia="zh-CN"/>
              </w:rPr>
            </w:pPr>
            <w:r>
              <w:rPr>
                <w:rFonts w:hint="default" w:ascii="Cambria" w:hAnsi="Cambria" w:cs="Cambria"/>
                <w:u w:val="none"/>
              </w:rPr>
              <w:t>3.33%</w:t>
            </w:r>
          </w:p>
        </w:tc>
      </w:tr>
      <w:tr w14:paraId="5769D24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840" w:type="dxa"/>
            <w:tcBorders>
              <w:tl2br w:val="nil"/>
              <w:tr2bl w:val="nil"/>
            </w:tcBorders>
            <w:vAlign w:val="top"/>
          </w:tcPr>
          <w:p w14:paraId="3C4CE972">
            <w:pPr>
              <w:numPr>
                <w:ilvl w:val="0"/>
                <w:numId w:val="0"/>
              </w:numPr>
              <w:rPr>
                <w:rFonts w:hint="default" w:ascii="Cambria" w:hAnsi="Cambria" w:cs="Cambria" w:eastAsiaTheme="minorEastAsia"/>
                <w:u w:val="none"/>
                <w:vertAlign w:val="baseline"/>
                <w:lang w:val="en-US" w:eastAsia="zh-CN"/>
              </w:rPr>
            </w:pPr>
            <w:r>
              <w:rPr>
                <w:rFonts w:hint="default" w:ascii="Cambria" w:hAnsi="Cambria" w:cs="Cambria"/>
                <w:u w:val="none"/>
              </w:rPr>
              <w:t>10</w:t>
            </w:r>
            <w:r>
              <w:rPr>
                <w:rFonts w:hint="default" w:ascii="Cambria" w:hAnsi="Cambria" w:cs="Cambria"/>
                <w:u w:val="none"/>
                <w:lang w:val="en-US" w:eastAsia="zh-CN"/>
              </w:rPr>
              <w:t>-</w:t>
            </w:r>
            <w:r>
              <w:rPr>
                <w:rFonts w:hint="default" w:ascii="Cambria" w:hAnsi="Cambria" w:cs="Cambria"/>
                <w:u w:val="none"/>
              </w:rPr>
              <w:t>19 year</w:t>
            </w:r>
            <w:r>
              <w:rPr>
                <w:rFonts w:hint="default" w:ascii="Cambria" w:hAnsi="Cambria" w:cs="Cambria"/>
                <w:u w:val="none"/>
                <w:lang w:val="en-US" w:eastAsia="zh-CN"/>
              </w:rPr>
              <w:t>s</w:t>
            </w:r>
          </w:p>
        </w:tc>
        <w:tc>
          <w:tcPr>
            <w:tcW w:w="2841" w:type="dxa"/>
            <w:tcBorders>
              <w:tl2br w:val="nil"/>
              <w:tr2bl w:val="nil"/>
            </w:tcBorders>
            <w:vAlign w:val="top"/>
          </w:tcPr>
          <w:p w14:paraId="5C4954DF">
            <w:pPr>
              <w:numPr>
                <w:ilvl w:val="0"/>
                <w:numId w:val="0"/>
              </w:numPr>
              <w:rPr>
                <w:rFonts w:hint="default" w:ascii="Cambria" w:hAnsi="Cambria" w:cs="Cambria"/>
                <w:u w:val="none"/>
                <w:vertAlign w:val="baseline"/>
                <w:lang w:val="en-US" w:eastAsia="zh-CN"/>
              </w:rPr>
            </w:pPr>
            <w:r>
              <w:rPr>
                <w:rFonts w:hint="default" w:ascii="Cambria" w:hAnsi="Cambria" w:cs="Cambria"/>
                <w:u w:val="none"/>
              </w:rPr>
              <w:t>7</w:t>
            </w:r>
          </w:p>
        </w:tc>
        <w:tc>
          <w:tcPr>
            <w:tcW w:w="2841" w:type="dxa"/>
            <w:tcBorders>
              <w:tl2br w:val="nil"/>
              <w:tr2bl w:val="nil"/>
            </w:tcBorders>
            <w:vAlign w:val="top"/>
          </w:tcPr>
          <w:p w14:paraId="05F193A0">
            <w:pPr>
              <w:numPr>
                <w:ilvl w:val="0"/>
                <w:numId w:val="0"/>
              </w:numPr>
              <w:rPr>
                <w:rFonts w:hint="default" w:ascii="Cambria" w:hAnsi="Cambria" w:cs="Cambria"/>
                <w:u w:val="none"/>
                <w:vertAlign w:val="baseline"/>
                <w:lang w:val="en-US" w:eastAsia="zh-CN"/>
              </w:rPr>
            </w:pPr>
            <w:r>
              <w:rPr>
                <w:rFonts w:hint="default" w:ascii="Cambria" w:hAnsi="Cambria" w:cs="Cambria"/>
                <w:u w:val="none"/>
              </w:rPr>
              <w:t>23.33%</w:t>
            </w:r>
          </w:p>
        </w:tc>
      </w:tr>
      <w:tr w14:paraId="40B1BA5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vAlign w:val="top"/>
          </w:tcPr>
          <w:p w14:paraId="5AE2B40E">
            <w:pPr>
              <w:numPr>
                <w:ilvl w:val="0"/>
                <w:numId w:val="0"/>
              </w:numPr>
              <w:rPr>
                <w:rFonts w:hint="default" w:ascii="Cambria" w:hAnsi="Cambria" w:cs="Cambria"/>
                <w:u w:val="none"/>
                <w:vertAlign w:val="baseline"/>
                <w:lang w:val="en-US" w:eastAsia="zh-CN"/>
              </w:rPr>
            </w:pPr>
            <w:r>
              <w:rPr>
                <w:rFonts w:hint="default" w:ascii="Cambria" w:hAnsi="Cambria" w:cs="Cambria"/>
                <w:u w:val="none"/>
              </w:rPr>
              <w:t>20</w:t>
            </w:r>
            <w:r>
              <w:rPr>
                <w:rFonts w:hint="default" w:ascii="Cambria" w:hAnsi="Cambria" w:cs="Cambria"/>
                <w:u w:val="none"/>
                <w:lang w:val="en-US" w:eastAsia="zh-CN"/>
              </w:rPr>
              <w:t>-</w:t>
            </w:r>
            <w:r>
              <w:rPr>
                <w:rFonts w:hint="default" w:ascii="Cambria" w:hAnsi="Cambria" w:cs="Cambria"/>
                <w:u w:val="none"/>
              </w:rPr>
              <w:t>29 years</w:t>
            </w:r>
          </w:p>
        </w:tc>
        <w:tc>
          <w:tcPr>
            <w:tcW w:w="2841" w:type="dxa"/>
            <w:tcBorders>
              <w:tl2br w:val="nil"/>
              <w:tr2bl w:val="nil"/>
            </w:tcBorders>
            <w:vAlign w:val="top"/>
          </w:tcPr>
          <w:p w14:paraId="297F1886">
            <w:pPr>
              <w:numPr>
                <w:ilvl w:val="0"/>
                <w:numId w:val="0"/>
              </w:numPr>
              <w:rPr>
                <w:rFonts w:hint="default" w:ascii="Cambria" w:hAnsi="Cambria" w:cs="Cambria"/>
                <w:u w:val="none"/>
                <w:vertAlign w:val="baseline"/>
                <w:lang w:val="en-US" w:eastAsia="zh-CN"/>
              </w:rPr>
            </w:pPr>
            <w:r>
              <w:rPr>
                <w:rFonts w:hint="default" w:ascii="Cambria" w:hAnsi="Cambria" w:cs="Cambria"/>
                <w:u w:val="none"/>
              </w:rPr>
              <w:t>6</w:t>
            </w:r>
          </w:p>
        </w:tc>
        <w:tc>
          <w:tcPr>
            <w:tcW w:w="2841" w:type="dxa"/>
            <w:tcBorders>
              <w:tl2br w:val="nil"/>
              <w:tr2bl w:val="nil"/>
            </w:tcBorders>
            <w:vAlign w:val="top"/>
          </w:tcPr>
          <w:p w14:paraId="01D5FEAE">
            <w:pPr>
              <w:numPr>
                <w:ilvl w:val="0"/>
                <w:numId w:val="0"/>
              </w:numPr>
              <w:rPr>
                <w:rFonts w:hint="default" w:ascii="Cambria" w:hAnsi="Cambria" w:cs="Cambria"/>
                <w:u w:val="none"/>
                <w:vertAlign w:val="baseline"/>
                <w:lang w:val="en-US" w:eastAsia="zh-CN"/>
              </w:rPr>
            </w:pPr>
            <w:r>
              <w:rPr>
                <w:rFonts w:hint="default" w:ascii="Cambria" w:hAnsi="Cambria" w:cs="Cambria"/>
                <w:u w:val="none"/>
              </w:rPr>
              <w:t>20%</w:t>
            </w:r>
          </w:p>
        </w:tc>
      </w:tr>
      <w:tr w14:paraId="17987D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vAlign w:val="top"/>
          </w:tcPr>
          <w:p w14:paraId="4231994D">
            <w:pPr>
              <w:numPr>
                <w:ilvl w:val="0"/>
                <w:numId w:val="0"/>
              </w:numPr>
              <w:rPr>
                <w:rFonts w:hint="default" w:ascii="Cambria" w:hAnsi="Cambria" w:cs="Cambria"/>
                <w:u w:val="none"/>
                <w:vertAlign w:val="baseline"/>
                <w:lang w:val="en-US" w:eastAsia="zh-CN"/>
              </w:rPr>
            </w:pPr>
            <w:r>
              <w:rPr>
                <w:rFonts w:hint="default" w:ascii="Cambria" w:hAnsi="Cambria" w:cs="Cambria"/>
                <w:u w:val="none"/>
              </w:rPr>
              <w:t>30</w:t>
            </w:r>
            <w:r>
              <w:rPr>
                <w:rFonts w:hint="default" w:ascii="Cambria" w:hAnsi="Cambria" w:cs="Cambria"/>
                <w:u w:val="none"/>
                <w:lang w:val="en-US" w:eastAsia="zh-CN"/>
              </w:rPr>
              <w:t>-</w:t>
            </w:r>
            <w:r>
              <w:rPr>
                <w:rFonts w:hint="default" w:ascii="Cambria" w:hAnsi="Cambria" w:cs="Cambria"/>
                <w:u w:val="none"/>
              </w:rPr>
              <w:t>39 years</w:t>
            </w:r>
          </w:p>
        </w:tc>
        <w:tc>
          <w:tcPr>
            <w:tcW w:w="2841" w:type="dxa"/>
            <w:tcBorders>
              <w:tl2br w:val="nil"/>
              <w:tr2bl w:val="nil"/>
            </w:tcBorders>
            <w:vAlign w:val="top"/>
          </w:tcPr>
          <w:p w14:paraId="394DF1ED">
            <w:pPr>
              <w:numPr>
                <w:ilvl w:val="0"/>
                <w:numId w:val="0"/>
              </w:numPr>
              <w:rPr>
                <w:rFonts w:hint="default" w:ascii="Cambria" w:hAnsi="Cambria" w:cs="Cambria"/>
                <w:u w:val="none"/>
                <w:vertAlign w:val="baseline"/>
                <w:lang w:val="en-US" w:eastAsia="zh-CN"/>
              </w:rPr>
            </w:pPr>
            <w:r>
              <w:rPr>
                <w:rFonts w:hint="default" w:ascii="Cambria" w:hAnsi="Cambria" w:cs="Cambria"/>
                <w:u w:val="none"/>
              </w:rPr>
              <w:t>13</w:t>
            </w:r>
          </w:p>
        </w:tc>
        <w:tc>
          <w:tcPr>
            <w:tcW w:w="2841" w:type="dxa"/>
            <w:tcBorders>
              <w:tl2br w:val="nil"/>
              <w:tr2bl w:val="nil"/>
            </w:tcBorders>
            <w:vAlign w:val="top"/>
          </w:tcPr>
          <w:p w14:paraId="28108875">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43.33% </w:t>
            </w:r>
          </w:p>
        </w:tc>
      </w:tr>
      <w:tr w14:paraId="7C12A6F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vAlign w:val="top"/>
          </w:tcPr>
          <w:p w14:paraId="2D250035">
            <w:pPr>
              <w:numPr>
                <w:ilvl w:val="0"/>
                <w:numId w:val="0"/>
              </w:numPr>
              <w:rPr>
                <w:rFonts w:hint="default" w:ascii="Cambria" w:hAnsi="Cambria" w:cs="Cambria"/>
                <w:u w:val="none"/>
                <w:vertAlign w:val="baseline"/>
                <w:lang w:val="en-US" w:eastAsia="zh-CN"/>
              </w:rPr>
            </w:pPr>
            <w:r>
              <w:rPr>
                <w:rFonts w:hint="default" w:ascii="Cambria" w:hAnsi="Cambria" w:cs="Cambria"/>
                <w:u w:val="none"/>
              </w:rPr>
              <w:t>40</w:t>
            </w:r>
            <w:r>
              <w:rPr>
                <w:rFonts w:hint="default" w:ascii="Cambria" w:hAnsi="Cambria" w:cs="Cambria"/>
                <w:u w:val="none"/>
                <w:lang w:val="en-US" w:eastAsia="zh-CN"/>
              </w:rPr>
              <w:t>-</w:t>
            </w:r>
            <w:r>
              <w:rPr>
                <w:rFonts w:hint="default" w:ascii="Cambria" w:hAnsi="Cambria" w:cs="Cambria"/>
                <w:u w:val="none"/>
              </w:rPr>
              <w:t>49 years</w:t>
            </w:r>
          </w:p>
        </w:tc>
        <w:tc>
          <w:tcPr>
            <w:tcW w:w="2841" w:type="dxa"/>
            <w:tcBorders>
              <w:tl2br w:val="nil"/>
              <w:tr2bl w:val="nil"/>
            </w:tcBorders>
            <w:vAlign w:val="top"/>
          </w:tcPr>
          <w:p w14:paraId="207A3AEE">
            <w:pPr>
              <w:numPr>
                <w:ilvl w:val="0"/>
                <w:numId w:val="0"/>
              </w:numPr>
              <w:rPr>
                <w:rFonts w:hint="default" w:ascii="Cambria" w:hAnsi="Cambria" w:cs="Cambria"/>
                <w:u w:val="none"/>
                <w:vertAlign w:val="baseline"/>
                <w:lang w:val="en-US" w:eastAsia="zh-CN"/>
              </w:rPr>
            </w:pPr>
            <w:r>
              <w:rPr>
                <w:rFonts w:hint="default" w:ascii="Cambria" w:hAnsi="Cambria" w:cs="Cambria"/>
                <w:u w:val="none"/>
              </w:rPr>
              <w:t>2</w:t>
            </w:r>
          </w:p>
        </w:tc>
        <w:tc>
          <w:tcPr>
            <w:tcW w:w="2841" w:type="dxa"/>
            <w:tcBorders>
              <w:tl2br w:val="nil"/>
              <w:tr2bl w:val="nil"/>
            </w:tcBorders>
            <w:vAlign w:val="top"/>
          </w:tcPr>
          <w:p w14:paraId="2FD877A3">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6.67% </w:t>
            </w:r>
          </w:p>
        </w:tc>
      </w:tr>
      <w:tr w14:paraId="0B9C4BB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vAlign w:val="top"/>
          </w:tcPr>
          <w:p w14:paraId="0A96D5C1">
            <w:pPr>
              <w:numPr>
                <w:ilvl w:val="0"/>
                <w:numId w:val="0"/>
              </w:numPr>
              <w:rPr>
                <w:rFonts w:hint="default" w:ascii="Cambria" w:hAnsi="Cambria" w:cs="Cambria"/>
                <w:u w:val="none"/>
                <w:vertAlign w:val="baseline"/>
                <w:lang w:val="en-US" w:eastAsia="zh-CN"/>
              </w:rPr>
            </w:pPr>
            <w:r>
              <w:rPr>
                <w:rFonts w:hint="default" w:ascii="Cambria" w:hAnsi="Cambria" w:cs="Cambria"/>
                <w:u w:val="none"/>
              </w:rPr>
              <w:t>50 years and above</w:t>
            </w:r>
          </w:p>
        </w:tc>
        <w:tc>
          <w:tcPr>
            <w:tcW w:w="2841" w:type="dxa"/>
            <w:tcBorders>
              <w:tl2br w:val="nil"/>
              <w:tr2bl w:val="nil"/>
            </w:tcBorders>
            <w:vAlign w:val="top"/>
          </w:tcPr>
          <w:p w14:paraId="0C4EF21D">
            <w:pPr>
              <w:numPr>
                <w:ilvl w:val="0"/>
                <w:numId w:val="0"/>
              </w:numPr>
              <w:rPr>
                <w:rFonts w:hint="default" w:ascii="Cambria" w:hAnsi="Cambria" w:cs="Cambria"/>
                <w:u w:val="none"/>
                <w:vertAlign w:val="baseline"/>
                <w:lang w:val="en-US" w:eastAsia="zh-CN"/>
              </w:rPr>
            </w:pPr>
            <w:r>
              <w:rPr>
                <w:rFonts w:hint="default" w:ascii="Cambria" w:hAnsi="Cambria" w:cs="Cambria"/>
                <w:u w:val="none"/>
              </w:rPr>
              <w:t>1</w:t>
            </w:r>
          </w:p>
        </w:tc>
        <w:tc>
          <w:tcPr>
            <w:tcW w:w="2841" w:type="dxa"/>
            <w:tcBorders>
              <w:tl2br w:val="nil"/>
              <w:tr2bl w:val="nil"/>
            </w:tcBorders>
            <w:vAlign w:val="top"/>
          </w:tcPr>
          <w:p w14:paraId="33AE8610">
            <w:pPr>
              <w:numPr>
                <w:ilvl w:val="0"/>
                <w:numId w:val="0"/>
              </w:numPr>
              <w:rPr>
                <w:rFonts w:hint="default" w:ascii="Cambria" w:hAnsi="Cambria" w:cs="Cambria"/>
                <w:u w:val="none"/>
                <w:vertAlign w:val="baseline"/>
                <w:lang w:val="en-US" w:eastAsia="zh-CN"/>
              </w:rPr>
            </w:pPr>
            <w:r>
              <w:rPr>
                <w:rFonts w:hint="default" w:ascii="Cambria" w:hAnsi="Cambria" w:cs="Cambria"/>
                <w:u w:val="none"/>
              </w:rPr>
              <w:t>3.33%</w:t>
            </w:r>
          </w:p>
        </w:tc>
      </w:tr>
    </w:tbl>
    <w:p w14:paraId="3B9FAED5">
      <w:pPr>
        <w:numPr>
          <w:ilvl w:val="0"/>
          <w:numId w:val="0"/>
        </w:numPr>
        <w:rPr>
          <w:rFonts w:hint="default" w:ascii="Cambria" w:hAnsi="Cambria" w:cs="Cambria"/>
          <w:u w:val="none"/>
          <w:lang w:val="en-US" w:eastAsia="zh-CN"/>
        </w:rPr>
      </w:pPr>
    </w:p>
    <w:p w14:paraId="7F2B5A35">
      <w:pPr>
        <w:numPr>
          <w:ilvl w:val="0"/>
          <w:numId w:val="0"/>
        </w:numPr>
        <w:ind w:firstLine="420" w:firstLineChars="0"/>
        <w:rPr>
          <w:rFonts w:hint="default" w:ascii="Cambria" w:hAnsi="Cambria" w:cs="Cambria" w:eastAsiaTheme="minorEastAsia"/>
          <w:lang w:val="en-US" w:eastAsia="zh-CN"/>
        </w:rPr>
      </w:pPr>
      <w:r>
        <w:rPr>
          <w:rFonts w:hint="default" w:ascii="Cambria" w:hAnsi="Cambria" w:cs="Cambria"/>
          <w:lang w:val="en-US" w:eastAsia="zh-CN"/>
        </w:rPr>
        <w:t>In summary, the consulted experts featured high academic authority, broad cross-regional representativeness and full participation, which guarantees high credibility of the consultation results.</w:t>
      </w:r>
    </w:p>
    <w:p w14:paraId="0A67DD72">
      <w:pPr>
        <w:numPr>
          <w:ilvl w:val="0"/>
          <w:numId w:val="0"/>
        </w:numPr>
        <w:rPr>
          <w:rFonts w:hint="default" w:ascii="Cambria" w:hAnsi="Cambria" w:cs="Cambria"/>
        </w:rPr>
      </w:pPr>
    </w:p>
    <w:p w14:paraId="6F3464DE">
      <w:pPr>
        <w:numPr>
          <w:ilvl w:val="0"/>
          <w:numId w:val="0"/>
        </w:numPr>
        <w:rPr>
          <w:rFonts w:hint="default" w:ascii="Cambria" w:hAnsi="Cambria" w:cs="Cambria" w:eastAsiaTheme="minorEastAsia"/>
          <w:lang w:eastAsia="zh-CN"/>
        </w:rPr>
      </w:pPr>
      <w:r>
        <w:rPr>
          <w:rFonts w:hint="default" w:ascii="Cambria" w:hAnsi="Cambria" w:cs="Cambria"/>
        </w:rPr>
        <w:t>3. Statistical Results of the Expert Questionnaire Survey</w:t>
      </w:r>
    </w:p>
    <w:p w14:paraId="6A1861F6">
      <w:pPr>
        <w:numPr>
          <w:ilvl w:val="0"/>
          <w:numId w:val="0"/>
        </w:numPr>
        <w:rPr>
          <w:rFonts w:hint="default" w:ascii="Cambria" w:hAnsi="Cambria" w:cs="Cambria" w:eastAsiaTheme="minorEastAsia"/>
          <w:lang w:eastAsia="zh-CN"/>
        </w:rPr>
      </w:pPr>
      <w:r>
        <w:rPr>
          <w:rFonts w:hint="default" w:ascii="Cambria" w:hAnsi="Cambria" w:cs="Cambria"/>
          <w:lang w:val="en-US" w:eastAsia="zh-CN"/>
        </w:rPr>
        <w:t xml:space="preserve">1. </w:t>
      </w:r>
      <w:r>
        <w:rPr>
          <w:rFonts w:hint="default" w:ascii="Cambria" w:hAnsi="Cambria" w:cs="Cambria"/>
        </w:rPr>
        <w:t>Scoring Method</w:t>
      </w:r>
    </w:p>
    <w:p w14:paraId="1324DBDF">
      <w:pPr>
        <w:numPr>
          <w:ilvl w:val="0"/>
          <w:numId w:val="0"/>
        </w:numPr>
        <w:ind w:firstLine="420" w:firstLineChars="0"/>
        <w:rPr>
          <w:rFonts w:hint="default" w:ascii="Cambria" w:hAnsi="Cambria" w:cs="Cambria"/>
        </w:rPr>
      </w:pPr>
      <w:r>
        <w:rPr>
          <w:rFonts w:hint="default" w:ascii="Cambria" w:hAnsi="Cambria" w:cs="Cambria"/>
        </w:rPr>
        <w:t xml:space="preserve">The questionnaire used Excel to organize and statistically process the data of each item, calculate the degree of concentration and coordination of expert opinions, and used indicators such as the </w:t>
      </w:r>
      <w:r>
        <w:rPr>
          <w:rFonts w:hint="default" w:ascii="Cambria" w:hAnsi="Cambria" w:cs="Cambria"/>
          <w:lang w:val="en-US" w:eastAsia="zh-CN"/>
        </w:rPr>
        <w:t>M</w:t>
      </w:r>
      <w:r>
        <w:rPr>
          <w:rFonts w:hint="default" w:ascii="Cambria" w:hAnsi="Cambria" w:cs="Cambria"/>
        </w:rPr>
        <w:t>ean value (</w:t>
      </w:r>
      <w:r>
        <w:rPr>
          <w:rFonts w:hint="default" w:ascii="Cambria" w:hAnsi="Cambria" w:cs="Cambria"/>
          <w:lang w:val="en-US" w:eastAsia="zh-CN"/>
        </w:rPr>
        <w:t>X̅</w:t>
      </w:r>
      <w:r>
        <w:rPr>
          <w:rFonts w:hint="default" w:ascii="Cambria" w:hAnsi="Cambria" w:cs="Cambria"/>
        </w:rPr>
        <w:t xml:space="preserve">), </w:t>
      </w:r>
      <w:r>
        <w:rPr>
          <w:rFonts w:hint="default" w:ascii="Cambria" w:hAnsi="Cambria" w:cs="Cambria"/>
          <w:lang w:val="en-US" w:eastAsia="zh-CN"/>
        </w:rPr>
        <w:t>P</w:t>
      </w:r>
      <w:r>
        <w:rPr>
          <w:rFonts w:hint="default" w:ascii="Cambria" w:hAnsi="Cambria" w:cs="Cambria"/>
        </w:rPr>
        <w:t xml:space="preserve">ercentage of </w:t>
      </w:r>
      <w:r>
        <w:rPr>
          <w:rFonts w:hint="default" w:ascii="Cambria" w:hAnsi="Cambria" w:cs="Cambria"/>
          <w:lang w:val="en-US" w:eastAsia="zh-CN"/>
        </w:rPr>
        <w:t>U</w:t>
      </w:r>
      <w:r>
        <w:rPr>
          <w:rFonts w:hint="default" w:ascii="Cambria" w:hAnsi="Cambria" w:cs="Cambria"/>
        </w:rPr>
        <w:t xml:space="preserve">nimportance (R), </w:t>
      </w:r>
      <w:r>
        <w:rPr>
          <w:rFonts w:hint="default" w:ascii="Cambria" w:hAnsi="Cambria" w:cs="Cambria"/>
          <w:lang w:val="en-US" w:eastAsia="zh-CN"/>
        </w:rPr>
        <w:t>R</w:t>
      </w:r>
      <w:r>
        <w:rPr>
          <w:rFonts w:hint="default" w:ascii="Cambria" w:hAnsi="Cambria" w:cs="Cambria"/>
        </w:rPr>
        <w:t xml:space="preserve">ank </w:t>
      </w:r>
      <w:r>
        <w:rPr>
          <w:rFonts w:hint="default" w:ascii="Cambria" w:hAnsi="Cambria" w:cs="Cambria"/>
          <w:lang w:val="en-US" w:eastAsia="zh-CN"/>
        </w:rPr>
        <w:t>S</w:t>
      </w:r>
      <w:r>
        <w:rPr>
          <w:rFonts w:hint="default" w:ascii="Cambria" w:hAnsi="Cambria" w:cs="Cambria"/>
        </w:rPr>
        <w:t xml:space="preserve">um (S), and </w:t>
      </w:r>
      <w:r>
        <w:rPr>
          <w:rFonts w:hint="default" w:ascii="Cambria" w:hAnsi="Cambria" w:cs="Cambria"/>
          <w:lang w:val="en-US" w:eastAsia="zh-CN"/>
        </w:rPr>
        <w:t>C</w:t>
      </w:r>
      <w:r>
        <w:rPr>
          <w:rFonts w:hint="default" w:ascii="Cambria" w:hAnsi="Cambria" w:cs="Cambria"/>
        </w:rPr>
        <w:t xml:space="preserve">oefficient of </w:t>
      </w:r>
      <w:r>
        <w:rPr>
          <w:rFonts w:hint="default" w:ascii="Cambria" w:hAnsi="Cambria" w:cs="Cambria"/>
          <w:lang w:val="en-US" w:eastAsia="zh-CN"/>
        </w:rPr>
        <w:t>V</w:t>
      </w:r>
      <w:r>
        <w:rPr>
          <w:rFonts w:hint="default" w:ascii="Cambria" w:hAnsi="Cambria" w:cs="Cambria"/>
        </w:rPr>
        <w:t>ariation (CV) for relevant statistical analysis.</w:t>
      </w:r>
    </w:p>
    <w:p w14:paraId="60B5D565">
      <w:pPr>
        <w:numPr>
          <w:ilvl w:val="0"/>
          <w:numId w:val="0"/>
        </w:numPr>
        <w:rPr>
          <w:rFonts w:hint="default" w:ascii="Cambria" w:hAnsi="Cambria" w:cs="Cambria" w:eastAsiaTheme="minorEastAsia"/>
          <w:lang w:eastAsia="zh-CN"/>
        </w:rPr>
      </w:pPr>
      <w:r>
        <w:rPr>
          <w:rFonts w:hint="default" w:ascii="Cambria" w:hAnsi="Cambria" w:cs="Cambria"/>
          <w:lang w:val="en-US" w:eastAsia="zh-CN"/>
        </w:rPr>
        <w:t xml:space="preserve">1.1 </w:t>
      </w:r>
      <w:r>
        <w:rPr>
          <w:rFonts w:hint="default" w:ascii="Cambria" w:hAnsi="Cambria" w:cs="Cambria"/>
        </w:rPr>
        <w:t>Meaning and Calculation Method of Each Indicator</w:t>
      </w:r>
    </w:p>
    <w:p w14:paraId="63ACFEE7">
      <w:pPr>
        <w:numPr>
          <w:ilvl w:val="0"/>
          <w:numId w:val="0"/>
        </w:numPr>
        <w:ind w:firstLine="420" w:firstLineChars="0"/>
        <w:rPr>
          <w:rFonts w:hint="default" w:ascii="Cambria" w:hAnsi="Cambria" w:cs="Cambria"/>
        </w:rPr>
      </w:pPr>
      <w:r>
        <w:rPr>
          <w:rFonts w:hint="default" w:ascii="Cambria" w:hAnsi="Cambria" w:cs="Cambria"/>
        </w:rPr>
        <w:t xml:space="preserve">(1) Frequency (f) of the assignment of each indicator: That is, the number of times experts assign values of 0 or 1 to each piece of information. In this study, the information marked with </w:t>
      </w:r>
      <w:r>
        <w:rPr>
          <w:rFonts w:hint="default" w:ascii="Cambria" w:hAnsi="Cambria" w:cs="Cambria"/>
          <w:lang w:val="en-US" w:eastAsia="zh-CN"/>
        </w:rPr>
        <w:t>“</w:t>
      </w:r>
      <w:r>
        <w:rPr>
          <w:rFonts w:hint="default" w:ascii="Cambria" w:hAnsi="Cambria" w:cs="Cambria"/>
        </w:rPr>
        <w:t>√</w:t>
      </w:r>
      <w:r>
        <w:rPr>
          <w:rFonts w:hint="default" w:ascii="Cambria" w:hAnsi="Cambria" w:cs="Cambria"/>
          <w:lang w:val="en-US" w:eastAsia="zh-CN"/>
        </w:rPr>
        <w:t>”</w:t>
      </w:r>
      <w:r>
        <w:rPr>
          <w:rFonts w:hint="default" w:ascii="Cambria" w:hAnsi="Cambria" w:cs="Cambria"/>
        </w:rPr>
        <w:t xml:space="preserve"> in the questionnaire is counted as 1 point, and the information not marked with</w:t>
      </w:r>
      <w:r>
        <w:rPr>
          <w:rFonts w:hint="default" w:ascii="Cambria" w:hAnsi="Cambria" w:cs="Cambria"/>
          <w:lang w:val="en-US" w:eastAsia="zh-CN"/>
        </w:rPr>
        <w:t xml:space="preserve"> “</w:t>
      </w:r>
      <w:r>
        <w:rPr>
          <w:rFonts w:hint="default" w:ascii="Cambria" w:hAnsi="Cambria" w:cs="Cambria"/>
        </w:rPr>
        <w:t>√</w:t>
      </w:r>
      <w:r>
        <w:rPr>
          <w:rFonts w:hint="default" w:ascii="Cambria" w:hAnsi="Cambria" w:cs="Cambria"/>
          <w:lang w:val="en-US" w:eastAsia="zh-CN"/>
        </w:rPr>
        <w:t>”</w:t>
      </w:r>
      <w:r>
        <w:rPr>
          <w:rFonts w:hint="default" w:ascii="Cambria" w:hAnsi="Cambria" w:cs="Cambria"/>
        </w:rPr>
        <w:t xml:space="preserve"> is counted as 0 points.</w:t>
      </w:r>
    </w:p>
    <w:p w14:paraId="1560AF07">
      <w:pPr>
        <w:numPr>
          <w:ilvl w:val="0"/>
          <w:numId w:val="0"/>
        </w:numPr>
        <w:ind w:firstLine="420" w:firstLineChars="0"/>
        <w:rPr>
          <w:rFonts w:hint="default" w:ascii="Cambria" w:hAnsi="Cambria" w:cs="Cambria"/>
        </w:rPr>
      </w:pPr>
      <w:r>
        <w:rPr>
          <w:rFonts w:hint="default" w:ascii="Cambria" w:hAnsi="Cambria" w:cs="Cambria"/>
        </w:rPr>
        <w:t>(2) Calculation method of the mean value (</w:t>
      </w:r>
      <w:r>
        <w:rPr>
          <w:rFonts w:hint="default" w:ascii="Cambria" w:hAnsi="Cambria" w:cs="Cambria"/>
          <w:lang w:val="en-US" w:eastAsia="zh-CN"/>
        </w:rPr>
        <w:t>X̅</w:t>
      </w:r>
      <w:r>
        <w:rPr>
          <w:rFonts w:hint="default" w:ascii="Cambria" w:hAnsi="Cambria" w:cs="Cambria"/>
        </w:rPr>
        <w:t>)</w:t>
      </w:r>
      <w:r>
        <w:rPr>
          <w:rFonts w:hint="default" w:ascii="Cambria" w:hAnsi="Cambria" w:cs="Cambria"/>
          <w:lang w:val="en-US" w:eastAsia="zh-CN"/>
        </w:rPr>
        <w:t xml:space="preserve"> t</w:t>
      </w:r>
      <w:r>
        <w:rPr>
          <w:rFonts w:hint="default" w:ascii="Cambria" w:hAnsi="Cambria" w:cs="Cambria"/>
        </w:rPr>
        <w:t>hat is the average value of the scores of the counted objects.</w:t>
      </w:r>
    </w:p>
    <w:p w14:paraId="19862F15">
      <w:pPr>
        <w:numPr>
          <w:ilvl w:val="0"/>
          <w:numId w:val="0"/>
        </w:numPr>
        <w:ind w:firstLine="420" w:firstLineChars="0"/>
        <w:rPr>
          <w:rFonts w:hint="default" w:ascii="Cambria" w:hAnsi="Cambria" w:cs="Cambria"/>
        </w:rPr>
      </w:pPr>
      <w:r>
        <w:rPr>
          <w:rFonts w:hint="default" w:ascii="Cambria" w:hAnsi="Cambria" w:cs="Cambria"/>
        </w:rPr>
        <w:t xml:space="preserve">(3) </w:t>
      </w:r>
      <w:r>
        <w:rPr>
          <w:rFonts w:hint="default" w:ascii="Cambria" w:hAnsi="Cambria" w:cs="Cambria"/>
          <w:lang w:val="en-US" w:eastAsia="zh-CN"/>
        </w:rPr>
        <w:t>P</w:t>
      </w:r>
      <w:r>
        <w:rPr>
          <w:rFonts w:hint="default" w:ascii="Cambria" w:hAnsi="Cambria" w:cs="Cambria"/>
        </w:rPr>
        <w:t xml:space="preserve">ercentage of </w:t>
      </w:r>
      <w:r>
        <w:rPr>
          <w:rFonts w:hint="default" w:ascii="Cambria" w:hAnsi="Cambria" w:cs="Cambria"/>
          <w:lang w:val="en-US" w:eastAsia="zh-CN"/>
        </w:rPr>
        <w:t>U</w:t>
      </w:r>
      <w:r>
        <w:rPr>
          <w:rFonts w:hint="default" w:ascii="Cambria" w:hAnsi="Cambria" w:cs="Cambria"/>
        </w:rPr>
        <w:t>nimportance (R): That is, the ratio of the frequency of experts assigning a value of 0 to each piece of information to the total number of participating experts.</w:t>
      </w:r>
    </w:p>
    <w:p w14:paraId="23491BA3">
      <w:pPr>
        <w:numPr>
          <w:ilvl w:val="0"/>
          <w:numId w:val="0"/>
        </w:numPr>
        <w:ind w:firstLine="210" w:firstLineChars="100"/>
        <w:rPr>
          <w:rFonts w:hint="default" w:ascii="Cambria" w:hAnsi="Cambria" w:cs="Cambria"/>
        </w:rPr>
      </w:pPr>
      <w:r>
        <w:rPr>
          <w:rFonts w:hint="default" w:ascii="Cambria" w:hAnsi="Cambria" w:cs="Cambria"/>
          <w:position w:val="-28"/>
        </w:rPr>
        <w:object>
          <v:shape id="_x0000_i1025" o:spt="75" type="#_x0000_t75" style="height:23.7pt;width:138pt;" o:ole="t" filled="f" o:preferrelative="t" stroked="f" coordsize="21600,21600">
            <v:path/>
            <v:fill on="f" focussize="0,0"/>
            <v:stroke on="f"/>
            <v:imagedata r:id="rId19" o:title=""/>
            <o:lock v:ext="edit" aspectratio="t"/>
            <w10:wrap type="none"/>
            <w10:anchorlock/>
          </v:shape>
          <o:OLEObject Type="Embed" ProgID="Equation.KSEE3" ShapeID="_x0000_i1025" DrawAspect="Content" ObjectID="_1468075725" r:id="rId18">
            <o:LockedField>false</o:LockedField>
          </o:OLEObject>
        </w:object>
      </w:r>
    </w:p>
    <w:p w14:paraId="62B7B744">
      <w:pPr>
        <w:numPr>
          <w:ilvl w:val="0"/>
          <w:numId w:val="0"/>
        </w:numPr>
        <w:ind w:firstLine="420" w:firstLineChars="0"/>
        <w:rPr>
          <w:rFonts w:hint="default" w:ascii="Cambria" w:hAnsi="Cambria" w:cs="Cambria"/>
        </w:rPr>
      </w:pPr>
      <w:r>
        <w:rPr>
          <w:rFonts w:hint="default" w:ascii="Cambria" w:hAnsi="Cambria" w:cs="Cambria"/>
        </w:rPr>
        <w:t xml:space="preserve">(4) Rank </w:t>
      </w:r>
      <w:r>
        <w:rPr>
          <w:rFonts w:hint="default" w:ascii="Cambria" w:hAnsi="Cambria" w:cs="Cambria"/>
          <w:lang w:val="en-US" w:eastAsia="zh-CN"/>
        </w:rPr>
        <w:t>S</w:t>
      </w:r>
      <w:r>
        <w:rPr>
          <w:rFonts w:hint="default" w:ascii="Cambria" w:hAnsi="Cambria" w:cs="Cambria"/>
        </w:rPr>
        <w:t>um (S): That is, the algebraic sum of the values assigned by experts to each piece of information.</w:t>
      </w:r>
    </w:p>
    <w:p w14:paraId="0A16C8DC">
      <w:pPr>
        <w:numPr>
          <w:ilvl w:val="0"/>
          <w:numId w:val="0"/>
        </w:numPr>
        <w:ind w:firstLine="420" w:firstLineChars="0"/>
        <w:rPr>
          <w:rFonts w:hint="default" w:ascii="Cambria" w:hAnsi="Cambria" w:cs="Cambria"/>
        </w:rPr>
      </w:pPr>
      <w:r>
        <w:rPr>
          <w:rFonts w:hint="default" w:ascii="Cambria" w:hAnsi="Cambria" w:cs="Cambria"/>
        </w:rPr>
        <w:t xml:space="preserve">(5) Coefficient of </w:t>
      </w:r>
      <w:r>
        <w:rPr>
          <w:rFonts w:hint="default" w:ascii="Cambria" w:hAnsi="Cambria" w:cs="Cambria"/>
          <w:lang w:val="en-US" w:eastAsia="zh-CN"/>
        </w:rPr>
        <w:t>V</w:t>
      </w:r>
      <w:r>
        <w:rPr>
          <w:rFonts w:hint="default" w:ascii="Cambria" w:hAnsi="Cambria" w:cs="Cambria"/>
        </w:rPr>
        <w:t xml:space="preserve">ariation (CV): It is mostly used when the observation indicators have different units or the means differ greatly. It is essentially a relative variation index. The calculation formula is: </w:t>
      </w:r>
      <w:r>
        <w:rPr>
          <w:rFonts w:hint="default" w:ascii="Cambria" w:hAnsi="Cambria" w:cs="Cambria"/>
          <w:position w:val="-34"/>
        </w:rPr>
        <w:object>
          <v:shape id="_x0000_i1026" o:spt="75" type="#_x0000_t75" style="height:28.1pt;width:60.9pt;" o:ole="t" filled="f" o:preferrelative="t" stroked="f" coordsize="21600,21600">
            <v:path/>
            <v:fill on="f" focussize="0,0"/>
            <v:stroke on="f"/>
            <v:imagedata r:id="rId21" o:title=""/>
            <o:lock v:ext="edit" aspectratio="t"/>
            <w10:wrap type="none"/>
            <w10:anchorlock/>
          </v:shape>
          <o:OLEObject Type="Embed" ProgID="Equation.KSEE3" ShapeID="_x0000_i1026" DrawAspect="Content" ObjectID="_1468075726" r:id="rId20">
            <o:LockedField>false</o:LockedField>
          </o:OLEObject>
        </w:object>
      </w:r>
      <w:r>
        <w:rPr>
          <w:rFonts w:hint="default" w:ascii="Cambria" w:hAnsi="Cambria" w:cs="Cambria"/>
        </w:rPr>
        <w:t xml:space="preserve"> (S represents the standard deviation, and </w:t>
      </w:r>
      <w:r>
        <w:rPr>
          <w:rFonts w:hint="default" w:ascii="Cambria" w:hAnsi="Cambria" w:cs="Cambria"/>
          <w:lang w:val="en-US" w:eastAsia="zh-CN"/>
        </w:rPr>
        <w:t>X̅</w:t>
      </w:r>
      <w:r>
        <w:rPr>
          <w:rFonts w:hint="default" w:ascii="Cambria" w:hAnsi="Cambria" w:cs="Cambria"/>
        </w:rPr>
        <w:t xml:space="preserve"> represents the mean).</w:t>
      </w:r>
    </w:p>
    <w:p w14:paraId="36D1AC5F">
      <w:pPr>
        <w:numPr>
          <w:ilvl w:val="0"/>
          <w:numId w:val="0"/>
        </w:numPr>
        <w:ind w:firstLine="420" w:firstLineChars="0"/>
        <w:rPr>
          <w:rFonts w:hint="default" w:ascii="Cambria" w:hAnsi="Cambria" w:cs="Cambria"/>
        </w:rPr>
      </w:pPr>
      <w:r>
        <w:rPr>
          <w:rFonts w:hint="default" w:ascii="Cambria" w:hAnsi="Cambria" w:cs="Cambria"/>
        </w:rPr>
        <w:t>(</w:t>
      </w:r>
      <w:r>
        <w:rPr>
          <w:rFonts w:hint="default" w:ascii="Cambria" w:hAnsi="Cambria" w:cs="Cambria"/>
          <w:lang w:val="en-US" w:eastAsia="zh-CN"/>
        </w:rPr>
        <w:t>6</w:t>
      </w:r>
      <w:r>
        <w:rPr>
          <w:rFonts w:hint="default" w:ascii="Cambria" w:hAnsi="Cambria" w:cs="Cambria"/>
        </w:rPr>
        <w:t xml:space="preserve">) Standard </w:t>
      </w:r>
      <w:r>
        <w:rPr>
          <w:rFonts w:hint="default" w:ascii="Cambria" w:hAnsi="Cambria" w:cs="Cambria"/>
          <w:lang w:val="en-US" w:eastAsia="zh-CN"/>
        </w:rPr>
        <w:t>D</w:t>
      </w:r>
      <w:r>
        <w:rPr>
          <w:rFonts w:hint="default" w:ascii="Cambria" w:hAnsi="Cambria" w:cs="Cambria"/>
        </w:rPr>
        <w:t xml:space="preserve">eviation (S): It is the positive square root of the variance, and its dimension is the same as that of the original variable value. The variance, also known as the mean square deviation, reflects the average discrete level of a set of data. The calculation formula is as follows: </w:t>
      </w:r>
    </w:p>
    <w:p w14:paraId="02536E4C">
      <w:pPr>
        <w:numPr>
          <w:ilvl w:val="0"/>
          <w:numId w:val="0"/>
        </w:numPr>
        <w:rPr>
          <w:rFonts w:hint="default" w:ascii="Cambria" w:hAnsi="Cambria" w:cs="Cambria" w:eastAsiaTheme="minorEastAsia"/>
          <w:lang w:val="en-US" w:eastAsia="zh-CN"/>
        </w:rPr>
      </w:pPr>
      <w:r>
        <w:rPr>
          <w:rFonts w:hint="default" w:ascii="Cambria" w:hAnsi="Cambria" w:cs="Cambria"/>
          <w:position w:val="-26"/>
        </w:rPr>
        <w:object>
          <v:shape id="_x0000_i1027" o:spt="75" type="#_x0000_t75" style="height:40.7pt;width:67.95pt;" o:ole="t" filled="f" o:preferrelative="t" stroked="f" coordsize="21600,21600">
            <v:path/>
            <v:fill on="f" focussize="0,0"/>
            <v:stroke on="f"/>
            <v:imagedata r:id="rId23" o:title=""/>
            <o:lock v:ext="edit" aspectratio="t"/>
            <w10:wrap type="none"/>
            <w10:anchorlock/>
          </v:shape>
          <o:OLEObject Type="Embed" ProgID="Equation.KSEE3" ShapeID="_x0000_i1027" DrawAspect="Content" ObjectID="_1468075727" r:id="rId22">
            <o:LockedField>false</o:LockedField>
          </o:OLEObject>
        </w:object>
      </w:r>
    </w:p>
    <w:p w14:paraId="748B7CBB">
      <w:pPr>
        <w:numPr>
          <w:ilvl w:val="0"/>
          <w:numId w:val="0"/>
        </w:numPr>
        <w:rPr>
          <w:rFonts w:hint="default" w:ascii="Cambria" w:hAnsi="Cambria" w:cs="Cambria" w:eastAsiaTheme="minorEastAsia"/>
          <w:lang w:val="en-US" w:eastAsia="zh-CN"/>
        </w:rPr>
      </w:pPr>
      <w:r>
        <w:rPr>
          <w:rFonts w:hint="default" w:ascii="Cambria" w:hAnsi="Cambria" w:cs="Cambria"/>
          <w:lang w:val="en-US" w:eastAsia="zh-CN"/>
        </w:rPr>
        <w:t xml:space="preserve"> </w:t>
      </w:r>
    </w:p>
    <w:p w14:paraId="7A609D4A">
      <w:pPr>
        <w:numPr>
          <w:ilvl w:val="0"/>
          <w:numId w:val="0"/>
        </w:numPr>
        <w:rPr>
          <w:rFonts w:hint="default" w:ascii="Cambria" w:hAnsi="Cambria" w:cs="Cambria" w:eastAsiaTheme="minorEastAsia"/>
          <w:lang w:eastAsia="zh-CN"/>
        </w:rPr>
      </w:pPr>
      <w:r>
        <w:rPr>
          <w:rFonts w:hint="default" w:ascii="Cambria" w:hAnsi="Cambria" w:cs="Cambria"/>
          <w:lang w:val="en-US" w:eastAsia="zh-CN"/>
        </w:rPr>
        <w:t xml:space="preserve">1.2 </w:t>
      </w:r>
      <w:r>
        <w:rPr>
          <w:rFonts w:hint="default" w:ascii="Cambria" w:hAnsi="Cambria" w:cs="Cambria"/>
          <w:lang w:eastAsia="zh-CN"/>
        </w:rPr>
        <w:t>Procedures for Processing Statistical Results</w:t>
      </w:r>
    </w:p>
    <w:p w14:paraId="57F14A1A">
      <w:pPr>
        <w:numPr>
          <w:ilvl w:val="0"/>
          <w:numId w:val="0"/>
        </w:numPr>
        <w:ind w:firstLine="420" w:firstLineChars="0"/>
        <w:rPr>
          <w:rFonts w:hint="default" w:ascii="Cambria" w:hAnsi="Cambria" w:cs="Cambria"/>
        </w:rPr>
      </w:pPr>
      <w:r>
        <w:rPr>
          <w:rFonts w:hint="default" w:ascii="Cambria" w:hAnsi="Cambria" w:cs="Cambria"/>
        </w:rPr>
        <w:t>In principle, items endorsed by more than 50% of experts (i.e., items whose sum of rank scores exceeds half the total number of questionnaires) shall be retained based on statistical results and adopted as direct revision suggestions.</w:t>
      </w:r>
    </w:p>
    <w:p w14:paraId="01EFA49C">
      <w:pPr>
        <w:numPr>
          <w:ilvl w:val="0"/>
          <w:numId w:val="0"/>
        </w:numPr>
        <w:ind w:firstLine="420" w:firstLineChars="0"/>
        <w:rPr>
          <w:rFonts w:hint="default" w:ascii="Cambria" w:hAnsi="Cambria" w:cs="Cambria"/>
        </w:rPr>
      </w:pPr>
      <w:r>
        <w:rPr>
          <w:rFonts w:hint="default" w:ascii="Cambria" w:hAnsi="Cambria" w:cs="Cambria"/>
        </w:rPr>
        <w:t xml:space="preserve">For items whose sum of rank scores does not exceed half of the total number of questionnaires (this situation occurs more frequently for items with multiple options), the mean score of each option under every item shall be recorded truthfully. These items will be submitted to the expert demonstration meeting as key topics for focused discussion.    </w:t>
      </w:r>
    </w:p>
    <w:p w14:paraId="494D1954">
      <w:pPr>
        <w:numPr>
          <w:ilvl w:val="0"/>
          <w:numId w:val="0"/>
        </w:numPr>
        <w:rPr>
          <w:rFonts w:hint="default" w:ascii="Cambria" w:hAnsi="Cambria" w:cs="Cambria"/>
          <w:lang w:val="en-US" w:eastAsia="zh-CN"/>
        </w:rPr>
      </w:pPr>
    </w:p>
    <w:p w14:paraId="7264B7BE">
      <w:pPr>
        <w:numPr>
          <w:ilvl w:val="0"/>
          <w:numId w:val="0"/>
        </w:numPr>
        <w:rPr>
          <w:rFonts w:hint="default" w:ascii="Cambria" w:hAnsi="Cambria" w:cs="Cambria" w:eastAsiaTheme="minorEastAsia"/>
          <w:lang w:eastAsia="zh-CN"/>
        </w:rPr>
      </w:pPr>
      <w:r>
        <w:rPr>
          <w:rFonts w:hint="default" w:ascii="Cambria" w:hAnsi="Cambria" w:cs="Cambria"/>
          <w:lang w:val="en-US" w:eastAsia="zh-CN"/>
        </w:rPr>
        <w:t xml:space="preserve">2. </w:t>
      </w:r>
      <w:r>
        <w:rPr>
          <w:rFonts w:hint="default" w:ascii="Cambria" w:hAnsi="Cambria" w:cs="Cambria"/>
        </w:rPr>
        <w:t>Questionnaire Survey Results</w:t>
      </w:r>
    </w:p>
    <w:p w14:paraId="77E6214A">
      <w:pPr>
        <w:numPr>
          <w:ilvl w:val="0"/>
          <w:numId w:val="0"/>
        </w:numPr>
        <w:rPr>
          <w:rFonts w:hint="default" w:ascii="Cambria" w:hAnsi="Cambria" w:cs="Cambria" w:eastAsiaTheme="minorEastAsia"/>
          <w:lang w:eastAsia="zh-CN"/>
        </w:rPr>
      </w:pPr>
      <w:r>
        <w:rPr>
          <w:rFonts w:hint="default" w:ascii="Cambria" w:hAnsi="Cambria" w:cs="Cambria"/>
          <w:lang w:val="en-US" w:eastAsia="zh-CN"/>
        </w:rPr>
        <w:t xml:space="preserve">2.1 </w:t>
      </w:r>
      <w:r>
        <w:rPr>
          <w:rFonts w:hint="default" w:ascii="Cambria" w:hAnsi="Cambria" w:cs="Cambria"/>
        </w:rPr>
        <w:t>Survey Results of the Definition of Fire Cupping</w:t>
      </w:r>
    </w:p>
    <w:p w14:paraId="6308C691">
      <w:pPr>
        <w:numPr>
          <w:ilvl w:val="0"/>
          <w:numId w:val="0"/>
        </w:numPr>
        <w:rPr>
          <w:rFonts w:hint="default" w:ascii="Cambria" w:hAnsi="Cambria" w:cs="Cambria"/>
          <w:u w:val="none"/>
        </w:rPr>
      </w:pPr>
      <w:r>
        <w:rPr>
          <w:rFonts w:hint="default" w:ascii="Cambria" w:hAnsi="Cambria" w:cs="Cambria"/>
          <w:u w:val="none"/>
        </w:rPr>
        <w:t>Table 8 Survey Results of the Definition of Fire Cupping</w:t>
      </w:r>
    </w:p>
    <w:p w14:paraId="18C2BFCA">
      <w:pPr>
        <w:numPr>
          <w:ilvl w:val="0"/>
          <w:numId w:val="0"/>
        </w:numPr>
        <w:rPr>
          <w:rFonts w:hint="default" w:ascii="Cambria" w:hAnsi="Cambria" w:cs="Cambria"/>
          <w:u w:val="none"/>
        </w:rPr>
      </w:pPr>
    </w:p>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78"/>
        <w:gridCol w:w="933"/>
        <w:gridCol w:w="942"/>
        <w:gridCol w:w="483"/>
        <w:gridCol w:w="986"/>
      </w:tblGrid>
      <w:tr w14:paraId="5FC7EAA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bottom w:val="single" w:color="auto" w:sz="4" w:space="0"/>
              <w:tl2br w:val="nil"/>
              <w:tr2bl w:val="nil"/>
            </w:tcBorders>
            <w:vAlign w:val="top"/>
          </w:tcPr>
          <w:p w14:paraId="5FDE9ABC">
            <w:pPr>
              <w:numPr>
                <w:ilvl w:val="0"/>
                <w:numId w:val="0"/>
              </w:numPr>
              <w:rPr>
                <w:rFonts w:hint="default" w:ascii="Cambria" w:hAnsi="Cambria" w:cs="Cambria"/>
                <w:u w:val="none"/>
                <w:vertAlign w:val="baseline"/>
                <w:lang w:val="en-US" w:eastAsia="zh-CN"/>
              </w:rPr>
            </w:pPr>
            <w:r>
              <w:rPr>
                <w:rFonts w:hint="default" w:ascii="Cambria" w:hAnsi="Cambria" w:cs="Cambria"/>
                <w:u w:val="none"/>
              </w:rPr>
              <w:t>Option</w:t>
            </w:r>
          </w:p>
        </w:tc>
        <w:tc>
          <w:tcPr>
            <w:tcW w:w="933" w:type="dxa"/>
            <w:tcBorders>
              <w:bottom w:val="single" w:color="auto" w:sz="4" w:space="0"/>
              <w:tl2br w:val="nil"/>
              <w:tr2bl w:val="nil"/>
            </w:tcBorders>
            <w:vAlign w:val="top"/>
          </w:tcPr>
          <w:p w14:paraId="3871060F">
            <w:pPr>
              <w:numPr>
                <w:ilvl w:val="0"/>
                <w:numId w:val="0"/>
              </w:numPr>
              <w:rPr>
                <w:rFonts w:hint="default" w:ascii="Cambria" w:hAnsi="Cambria" w:cs="Cambria"/>
                <w:u w:val="none"/>
                <w:vertAlign w:val="baseline"/>
                <w:lang w:val="en-US" w:eastAsia="zh-CN"/>
              </w:rPr>
            </w:pPr>
            <w:r>
              <w:rPr>
                <w:rFonts w:hint="default" w:ascii="Cambria" w:hAnsi="Cambria" w:cs="Cambria"/>
                <w:u w:val="none"/>
                <w:lang w:val="en-US" w:eastAsia="zh-CN"/>
              </w:rPr>
              <w:t xml:space="preserve">X̅  </w:t>
            </w:r>
          </w:p>
        </w:tc>
        <w:tc>
          <w:tcPr>
            <w:tcW w:w="942" w:type="dxa"/>
            <w:tcBorders>
              <w:bottom w:val="single" w:color="auto" w:sz="4" w:space="0"/>
              <w:tl2br w:val="nil"/>
              <w:tr2bl w:val="nil"/>
            </w:tcBorders>
            <w:vAlign w:val="top"/>
          </w:tcPr>
          <w:p w14:paraId="25FEBD25">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R </w:t>
            </w:r>
          </w:p>
        </w:tc>
        <w:tc>
          <w:tcPr>
            <w:tcW w:w="483" w:type="dxa"/>
            <w:tcBorders>
              <w:bottom w:val="single" w:color="auto" w:sz="4" w:space="0"/>
              <w:tl2br w:val="nil"/>
              <w:tr2bl w:val="nil"/>
            </w:tcBorders>
            <w:vAlign w:val="top"/>
          </w:tcPr>
          <w:p w14:paraId="2E05FC49">
            <w:pPr>
              <w:numPr>
                <w:ilvl w:val="0"/>
                <w:numId w:val="0"/>
              </w:numPr>
              <w:rPr>
                <w:rFonts w:hint="default" w:ascii="Cambria" w:hAnsi="Cambria" w:cs="Cambria"/>
                <w:u w:val="none"/>
                <w:vertAlign w:val="baseline"/>
                <w:lang w:val="en-US" w:eastAsia="zh-CN"/>
              </w:rPr>
            </w:pPr>
            <w:r>
              <w:rPr>
                <w:rFonts w:hint="default" w:ascii="Cambria" w:hAnsi="Cambria" w:cs="Cambria"/>
                <w:u w:val="none"/>
              </w:rPr>
              <w:t>S</w:t>
            </w:r>
          </w:p>
        </w:tc>
        <w:tc>
          <w:tcPr>
            <w:tcW w:w="986" w:type="dxa"/>
            <w:tcBorders>
              <w:bottom w:val="single" w:color="auto" w:sz="4" w:space="0"/>
              <w:tl2br w:val="nil"/>
              <w:tr2bl w:val="nil"/>
            </w:tcBorders>
            <w:vAlign w:val="top"/>
          </w:tcPr>
          <w:p w14:paraId="757F0971">
            <w:pPr>
              <w:numPr>
                <w:ilvl w:val="0"/>
                <w:numId w:val="0"/>
              </w:numPr>
              <w:rPr>
                <w:rFonts w:hint="default" w:ascii="Cambria" w:hAnsi="Cambria" w:cs="Cambria"/>
                <w:u w:val="none"/>
                <w:vertAlign w:val="baseline"/>
                <w:lang w:val="en-US" w:eastAsia="zh-CN"/>
              </w:rPr>
            </w:pPr>
            <w:r>
              <w:rPr>
                <w:rFonts w:hint="default" w:ascii="Cambria" w:hAnsi="Cambria" w:cs="Cambria"/>
                <w:u w:val="none"/>
              </w:rPr>
              <w:t>CV</w:t>
            </w:r>
          </w:p>
        </w:tc>
      </w:tr>
      <w:tr w14:paraId="207735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top w:val="single" w:color="auto" w:sz="4" w:space="0"/>
            </w:tcBorders>
            <w:vAlign w:val="top"/>
          </w:tcPr>
          <w:p w14:paraId="6C78DAFD">
            <w:pPr>
              <w:numPr>
                <w:ilvl w:val="0"/>
                <w:numId w:val="0"/>
              </w:numPr>
              <w:rPr>
                <w:rFonts w:hint="default" w:ascii="Cambria" w:hAnsi="Cambria" w:cs="Cambria"/>
              </w:rPr>
            </w:pPr>
            <w:r>
              <w:rPr>
                <w:rFonts w:hint="default" w:ascii="Cambria" w:hAnsi="Cambria" w:cs="Cambria"/>
              </w:rPr>
              <w:t>A. Fire cupping refers to the practice of using thermal energy generated by the combustion of ethanol and other fuels to expand the gas inside the jar and expel part of the air therein. This creates a pressure inside the jar lower than the atmospheric pressure outside, collectively referred to as negative pressure, which enables the jar to adhere to the skin at the treatment site.</w:t>
            </w:r>
          </w:p>
          <w:p w14:paraId="62B85520">
            <w:pPr>
              <w:numPr>
                <w:ilvl w:val="0"/>
                <w:numId w:val="0"/>
              </w:numPr>
              <w:rPr>
                <w:rFonts w:hint="default" w:ascii="Cambria" w:hAnsi="Cambria" w:cs="Cambria" w:eastAsiaTheme="minorEastAsia"/>
                <w:u w:val="none"/>
                <w:vertAlign w:val="baseline"/>
                <w:lang w:val="en-US" w:eastAsia="zh-CN"/>
              </w:rPr>
            </w:pPr>
            <w:r>
              <w:rPr>
                <w:rFonts w:hint="default" w:ascii="Cambria" w:hAnsi="Cambria" w:cs="Cambria"/>
              </w:rPr>
              <w:t xml:space="preserve">The suction force of fire cupping is determined by multiple factors including jar size, the temperature and mode of in-jar combustion, as well as the timing and speed of jar application. Clinicians may flexibly adjust these factors according to therapeutic requirements. (Source: Cupping Therapy of </w:t>
            </w:r>
            <w:r>
              <w:rPr>
                <w:rFonts w:hint="default" w:ascii="Cambria" w:hAnsi="Cambria" w:cs="Cambria"/>
                <w:lang w:eastAsia="zh-CN"/>
              </w:rPr>
              <w:t>TCM，</w:t>
            </w:r>
            <w:r>
              <w:rPr>
                <w:rFonts w:hint="default" w:ascii="Cambria" w:hAnsi="Cambria" w:cs="Cambria"/>
              </w:rPr>
              <w:t xml:space="preserve">Innovative Textbook for Higher Education in the National </w:t>
            </w:r>
            <w:r>
              <w:rPr>
                <w:rFonts w:hint="default" w:ascii="Cambria" w:hAnsi="Cambria" w:cs="Cambria"/>
                <w:lang w:eastAsia="zh-CN"/>
              </w:rPr>
              <w:t>TCM</w:t>
            </w:r>
            <w:r>
              <w:rPr>
                <w:rFonts w:hint="default" w:ascii="Cambria" w:hAnsi="Cambria" w:cs="Cambria"/>
              </w:rPr>
              <w:t xml:space="preserve"> Industry</w:t>
            </w:r>
            <w:r>
              <w:rPr>
                <w:rFonts w:hint="default" w:ascii="Cambria" w:hAnsi="Cambria" w:cs="Cambria"/>
                <w:lang w:val="en-US" w:eastAsia="zh-CN"/>
              </w:rPr>
              <w:t xml:space="preserve"> </w:t>
            </w:r>
            <w:r>
              <w:rPr>
                <w:rFonts w:hint="default" w:ascii="Cambria" w:hAnsi="Cambria" w:cs="Cambria"/>
              </w:rPr>
              <w:t>during</w:t>
            </w:r>
            <w:r>
              <w:rPr>
                <w:rFonts w:hint="default" w:ascii="Cambria" w:hAnsi="Cambria" w:cs="Cambria"/>
                <w:lang w:val="en-US" w:eastAsia="zh-CN"/>
              </w:rPr>
              <w:t xml:space="preserve"> t</w:t>
            </w:r>
            <w:r>
              <w:rPr>
                <w:rFonts w:hint="default" w:ascii="Cambria" w:hAnsi="Cambria" w:cs="Cambria"/>
              </w:rPr>
              <w:t>he 14</w:t>
            </w:r>
            <w:r>
              <w:rPr>
                <w:rFonts w:hint="default" w:ascii="Cambria" w:hAnsi="Cambria" w:cs="Cambria"/>
                <w:vertAlign w:val="superscript"/>
              </w:rPr>
              <w:t>th</w:t>
            </w:r>
            <w:r>
              <w:rPr>
                <w:rFonts w:hint="default" w:ascii="Cambria" w:hAnsi="Cambria" w:cs="Cambria"/>
              </w:rPr>
              <w:t xml:space="preserve"> Five</w:t>
            </w:r>
            <w:r>
              <w:rPr>
                <w:rFonts w:hint="default" w:ascii="Cambria" w:hAnsi="Cambria" w:cs="Cambria"/>
                <w:lang w:val="en-US" w:eastAsia="zh-CN"/>
              </w:rPr>
              <w:t>-</w:t>
            </w:r>
            <w:r>
              <w:rPr>
                <w:rFonts w:hint="default" w:ascii="Cambria" w:hAnsi="Cambria" w:cs="Cambria"/>
              </w:rPr>
              <w:t>Year Plan</w:t>
            </w:r>
            <w:r>
              <w:rPr>
                <w:rFonts w:hint="default" w:ascii="Cambria" w:hAnsi="Cambria" w:cs="Cambria"/>
                <w:lang w:val="en-US" w:eastAsia="zh-CN"/>
              </w:rPr>
              <w:t>.</w:t>
            </w:r>
            <w:r>
              <w:rPr>
                <w:rFonts w:hint="default" w:ascii="Cambria" w:hAnsi="Cambria" w:cs="Cambria"/>
              </w:rPr>
              <w:t xml:space="preserve"> Editor in Chief: Chen Zelin</w:t>
            </w:r>
            <w:r>
              <w:rPr>
                <w:rFonts w:hint="default" w:ascii="Cambria" w:hAnsi="Cambria" w:cs="Cambria"/>
                <w:lang w:val="en-US" w:eastAsia="zh-CN"/>
              </w:rPr>
              <w:t>.</w:t>
            </w:r>
            <w:r>
              <w:rPr>
                <w:rFonts w:hint="default" w:ascii="Cambria" w:hAnsi="Cambria" w:cs="Cambria"/>
              </w:rPr>
              <w:t xml:space="preserve"> China Press of </w:t>
            </w:r>
            <w:r>
              <w:rPr>
                <w:rFonts w:hint="default" w:ascii="Cambria" w:hAnsi="Cambria" w:cs="Cambria"/>
                <w:lang w:val="en-US" w:eastAsia="zh-CN"/>
              </w:rPr>
              <w:t>TCM</w:t>
            </w:r>
            <w:r>
              <w:rPr>
                <w:rFonts w:hint="default" w:ascii="Cambria" w:hAnsi="Cambria" w:cs="Cambria"/>
              </w:rPr>
              <w:t>, 2023)</w:t>
            </w:r>
          </w:p>
        </w:tc>
        <w:tc>
          <w:tcPr>
            <w:tcW w:w="933" w:type="dxa"/>
            <w:tcBorders>
              <w:top w:val="single" w:color="auto" w:sz="4" w:space="0"/>
            </w:tcBorders>
            <w:vAlign w:val="top"/>
          </w:tcPr>
          <w:p w14:paraId="49BE0544">
            <w:pPr>
              <w:numPr>
                <w:ilvl w:val="0"/>
                <w:numId w:val="0"/>
              </w:numPr>
              <w:rPr>
                <w:rFonts w:hint="default" w:ascii="Cambria" w:hAnsi="Cambria" w:cs="Cambria"/>
                <w:u w:val="none"/>
                <w:vertAlign w:val="baseline"/>
                <w:lang w:val="en-US" w:eastAsia="zh-CN"/>
              </w:rPr>
            </w:pPr>
            <w:r>
              <w:rPr>
                <w:rFonts w:hint="default" w:ascii="Cambria" w:hAnsi="Cambria" w:cs="Cambria"/>
              </w:rPr>
              <w:t>0.47</w:t>
            </w:r>
          </w:p>
        </w:tc>
        <w:tc>
          <w:tcPr>
            <w:tcW w:w="942" w:type="dxa"/>
            <w:tcBorders>
              <w:top w:val="single" w:color="auto" w:sz="4" w:space="0"/>
            </w:tcBorders>
            <w:vAlign w:val="top"/>
          </w:tcPr>
          <w:p w14:paraId="3058F609">
            <w:pPr>
              <w:numPr>
                <w:ilvl w:val="0"/>
                <w:numId w:val="0"/>
              </w:numPr>
              <w:rPr>
                <w:rFonts w:hint="default" w:ascii="Cambria" w:hAnsi="Cambria" w:cs="Cambria"/>
                <w:u w:val="none"/>
                <w:vertAlign w:val="baseline"/>
                <w:lang w:val="en-US" w:eastAsia="zh-CN"/>
              </w:rPr>
            </w:pPr>
            <w:r>
              <w:rPr>
                <w:rFonts w:hint="default" w:ascii="Cambria" w:hAnsi="Cambria" w:cs="Cambria"/>
              </w:rPr>
              <w:t xml:space="preserve">53.00% </w:t>
            </w:r>
          </w:p>
        </w:tc>
        <w:tc>
          <w:tcPr>
            <w:tcW w:w="483" w:type="dxa"/>
            <w:tcBorders>
              <w:top w:val="single" w:color="auto" w:sz="4" w:space="0"/>
            </w:tcBorders>
            <w:vAlign w:val="top"/>
          </w:tcPr>
          <w:p w14:paraId="6F846B8A">
            <w:pPr>
              <w:numPr>
                <w:ilvl w:val="0"/>
                <w:numId w:val="0"/>
              </w:numPr>
              <w:rPr>
                <w:rFonts w:hint="default" w:ascii="Cambria" w:hAnsi="Cambria" w:cs="Cambria"/>
                <w:u w:val="none"/>
                <w:vertAlign w:val="baseline"/>
                <w:lang w:val="en-US" w:eastAsia="zh-CN"/>
              </w:rPr>
            </w:pPr>
            <w:r>
              <w:rPr>
                <w:rFonts w:hint="default" w:ascii="Cambria" w:hAnsi="Cambria" w:cs="Cambria"/>
              </w:rPr>
              <w:t>14</w:t>
            </w:r>
          </w:p>
        </w:tc>
        <w:tc>
          <w:tcPr>
            <w:tcW w:w="986" w:type="dxa"/>
            <w:tcBorders>
              <w:top w:val="single" w:color="auto" w:sz="4" w:space="0"/>
            </w:tcBorders>
            <w:vAlign w:val="top"/>
          </w:tcPr>
          <w:p w14:paraId="294D1B85">
            <w:pPr>
              <w:numPr>
                <w:ilvl w:val="0"/>
                <w:numId w:val="0"/>
              </w:numPr>
              <w:rPr>
                <w:rFonts w:hint="default" w:ascii="Cambria" w:hAnsi="Cambria" w:cs="Cambria"/>
                <w:u w:val="none"/>
                <w:vertAlign w:val="baseline"/>
                <w:lang w:val="en-US" w:eastAsia="zh-CN"/>
              </w:rPr>
            </w:pPr>
            <w:r>
              <w:rPr>
                <w:rFonts w:hint="default" w:ascii="Cambria" w:hAnsi="Cambria" w:cs="Cambria"/>
              </w:rPr>
              <w:t>107.96%</w:t>
            </w:r>
          </w:p>
        </w:tc>
      </w:tr>
      <w:tr w14:paraId="170A4B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tl2br w:val="nil"/>
              <w:tr2bl w:val="nil"/>
            </w:tcBorders>
            <w:vAlign w:val="top"/>
          </w:tcPr>
          <w:p w14:paraId="3D1F51BE">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B. Follow the original text of the national standard. </w:t>
            </w:r>
          </w:p>
        </w:tc>
        <w:tc>
          <w:tcPr>
            <w:tcW w:w="933" w:type="dxa"/>
            <w:tcBorders>
              <w:tl2br w:val="nil"/>
              <w:tr2bl w:val="nil"/>
            </w:tcBorders>
            <w:vAlign w:val="top"/>
          </w:tcPr>
          <w:p w14:paraId="755C4363">
            <w:pPr>
              <w:numPr>
                <w:ilvl w:val="0"/>
                <w:numId w:val="0"/>
              </w:numPr>
              <w:rPr>
                <w:rFonts w:hint="default" w:ascii="Cambria" w:hAnsi="Cambria" w:cs="Cambria"/>
                <w:u w:val="none"/>
                <w:vertAlign w:val="baseline"/>
                <w:lang w:val="en-US" w:eastAsia="zh-CN"/>
              </w:rPr>
            </w:pPr>
            <w:r>
              <w:rPr>
                <w:rFonts w:hint="default" w:ascii="Cambria" w:hAnsi="Cambria" w:cs="Cambria"/>
                <w:u w:val="none"/>
              </w:rPr>
              <w:t>0.53</w:t>
            </w:r>
          </w:p>
        </w:tc>
        <w:tc>
          <w:tcPr>
            <w:tcW w:w="942" w:type="dxa"/>
            <w:tcBorders>
              <w:tl2br w:val="nil"/>
              <w:tr2bl w:val="nil"/>
            </w:tcBorders>
            <w:vAlign w:val="top"/>
          </w:tcPr>
          <w:p w14:paraId="05CBED53">
            <w:pPr>
              <w:numPr>
                <w:ilvl w:val="0"/>
                <w:numId w:val="0"/>
              </w:numPr>
              <w:rPr>
                <w:rFonts w:hint="default" w:ascii="Cambria" w:hAnsi="Cambria" w:cs="Cambria"/>
                <w:u w:val="none"/>
                <w:vertAlign w:val="baseline"/>
                <w:lang w:val="en-US" w:eastAsia="zh-CN"/>
              </w:rPr>
            </w:pPr>
            <w:r>
              <w:rPr>
                <w:rFonts w:hint="default" w:ascii="Cambria" w:hAnsi="Cambria" w:cs="Cambria"/>
                <w:u w:val="none"/>
              </w:rPr>
              <w:t>47.00%</w:t>
            </w:r>
          </w:p>
        </w:tc>
        <w:tc>
          <w:tcPr>
            <w:tcW w:w="483" w:type="dxa"/>
            <w:tcBorders>
              <w:tl2br w:val="nil"/>
              <w:tr2bl w:val="nil"/>
            </w:tcBorders>
            <w:vAlign w:val="top"/>
          </w:tcPr>
          <w:p w14:paraId="40353A91">
            <w:pPr>
              <w:numPr>
                <w:ilvl w:val="0"/>
                <w:numId w:val="0"/>
              </w:numPr>
              <w:rPr>
                <w:rFonts w:hint="default" w:ascii="Cambria" w:hAnsi="Cambria" w:cs="Cambria"/>
                <w:u w:val="none"/>
                <w:vertAlign w:val="baseline"/>
                <w:lang w:val="en-US" w:eastAsia="zh-CN"/>
              </w:rPr>
            </w:pPr>
            <w:r>
              <w:rPr>
                <w:rFonts w:hint="default" w:ascii="Cambria" w:hAnsi="Cambria" w:cs="Cambria"/>
                <w:u w:val="none"/>
              </w:rPr>
              <w:t>16</w:t>
            </w:r>
          </w:p>
        </w:tc>
        <w:tc>
          <w:tcPr>
            <w:tcW w:w="986" w:type="dxa"/>
            <w:tcBorders>
              <w:tl2br w:val="nil"/>
              <w:tr2bl w:val="nil"/>
            </w:tcBorders>
            <w:vAlign w:val="top"/>
          </w:tcPr>
          <w:p w14:paraId="23EB81B5">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95.74% </w:t>
            </w:r>
          </w:p>
        </w:tc>
      </w:tr>
    </w:tbl>
    <w:p w14:paraId="3EA7E976">
      <w:pPr>
        <w:numPr>
          <w:ilvl w:val="0"/>
          <w:numId w:val="0"/>
        </w:numPr>
        <w:rPr>
          <w:rFonts w:hint="default" w:ascii="Cambria" w:hAnsi="Cambria" w:cs="Cambria"/>
          <w:u w:val="none"/>
          <w:lang w:val="en-US" w:eastAsia="zh-CN"/>
        </w:rPr>
      </w:pP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 xml:space="preserve"> </w:t>
      </w:r>
    </w:p>
    <w:p w14:paraId="3DA11B21">
      <w:pPr>
        <w:numPr>
          <w:ilvl w:val="0"/>
          <w:numId w:val="0"/>
        </w:numPr>
        <w:rPr>
          <w:rFonts w:hint="default" w:ascii="Cambria" w:hAnsi="Cambria" w:cs="Cambria" w:eastAsiaTheme="minorEastAsia"/>
          <w:lang w:eastAsia="zh-CN"/>
        </w:rPr>
      </w:pPr>
      <w:r>
        <w:rPr>
          <w:rFonts w:hint="default" w:ascii="Cambria" w:hAnsi="Cambria" w:cs="Cambria"/>
          <w:lang w:val="en-US" w:eastAsia="zh-CN"/>
        </w:rPr>
        <w:t xml:space="preserve">2.2 </w:t>
      </w:r>
      <w:r>
        <w:rPr>
          <w:rFonts w:hint="default" w:ascii="Cambria" w:hAnsi="Cambria" w:cs="Cambria"/>
        </w:rPr>
        <w:t xml:space="preserve">Survey Results of the Selection of </w:t>
      </w:r>
      <w:r>
        <w:rPr>
          <w:rFonts w:hint="default" w:ascii="Cambria" w:hAnsi="Cambria" w:cs="Cambria"/>
          <w:lang w:val="en-US" w:eastAsia="zh-CN"/>
        </w:rPr>
        <w:t>J</w:t>
      </w:r>
      <w:r>
        <w:rPr>
          <w:rFonts w:hint="default" w:ascii="Cambria" w:hAnsi="Cambria" w:cs="Cambria"/>
          <w:lang w:eastAsia="zh-CN"/>
        </w:rPr>
        <w:t>ar</w:t>
      </w:r>
      <w:r>
        <w:rPr>
          <w:rFonts w:hint="default" w:ascii="Cambria" w:hAnsi="Cambria" w:cs="Cambria"/>
        </w:rPr>
        <w:t xml:space="preserve"> Models</w:t>
      </w:r>
    </w:p>
    <w:p w14:paraId="78A2C4D5">
      <w:pPr>
        <w:numPr>
          <w:ilvl w:val="0"/>
          <w:numId w:val="0"/>
        </w:numPr>
        <w:rPr>
          <w:rFonts w:hint="default" w:ascii="Cambria" w:hAnsi="Cambria" w:cs="Cambria"/>
          <w:u w:val="none"/>
          <w:lang w:val="en-US" w:eastAsia="zh-CN"/>
        </w:rPr>
      </w:pPr>
      <w:r>
        <w:rPr>
          <w:rFonts w:hint="default" w:ascii="Cambria" w:hAnsi="Cambria" w:cs="Cambria"/>
          <w:u w:val="none"/>
        </w:rPr>
        <w:t xml:space="preserve">Table 9 Survey Results of the Selection of </w:t>
      </w:r>
      <w:r>
        <w:rPr>
          <w:rFonts w:hint="default" w:ascii="Cambria" w:hAnsi="Cambria" w:cs="Cambria"/>
          <w:u w:val="none"/>
          <w:lang w:val="en-US" w:eastAsia="zh-CN"/>
        </w:rPr>
        <w:t>J</w:t>
      </w:r>
      <w:r>
        <w:rPr>
          <w:rFonts w:hint="default" w:ascii="Cambria" w:hAnsi="Cambria" w:cs="Cambria"/>
          <w:u w:val="none"/>
          <w:lang w:eastAsia="zh-CN"/>
        </w:rPr>
        <w:t>ar</w:t>
      </w:r>
      <w:r>
        <w:rPr>
          <w:rFonts w:hint="default" w:ascii="Cambria" w:hAnsi="Cambria" w:cs="Cambria"/>
          <w:u w:val="none"/>
        </w:rPr>
        <w:t xml:space="preserve"> Models</w:t>
      </w:r>
      <w:r>
        <w:rPr>
          <w:rFonts w:hint="default" w:ascii="Cambria" w:hAnsi="Cambria" w:cs="Cambria"/>
          <w:u w:val="none"/>
          <w:lang w:val="en-US" w:eastAsia="zh-CN"/>
        </w:rPr>
        <w:tab/>
      </w:r>
    </w:p>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78"/>
        <w:gridCol w:w="933"/>
        <w:gridCol w:w="942"/>
        <w:gridCol w:w="483"/>
        <w:gridCol w:w="986"/>
      </w:tblGrid>
      <w:tr w14:paraId="342E955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bottom w:val="single" w:color="auto" w:sz="4" w:space="0"/>
            </w:tcBorders>
            <w:vAlign w:val="top"/>
          </w:tcPr>
          <w:p w14:paraId="36683E37">
            <w:pPr>
              <w:numPr>
                <w:ilvl w:val="0"/>
                <w:numId w:val="0"/>
              </w:numPr>
              <w:rPr>
                <w:rFonts w:hint="default" w:ascii="Cambria" w:hAnsi="Cambria" w:cs="Cambria"/>
                <w:u w:val="none"/>
                <w:vertAlign w:val="baseline"/>
                <w:lang w:val="en-US" w:eastAsia="zh-CN"/>
              </w:rPr>
            </w:pPr>
            <w:r>
              <w:rPr>
                <w:rFonts w:hint="default" w:ascii="Cambria" w:hAnsi="Cambria" w:cs="Cambria"/>
                <w:u w:val="none"/>
              </w:rPr>
              <w:t>Option</w:t>
            </w:r>
          </w:p>
        </w:tc>
        <w:tc>
          <w:tcPr>
            <w:tcW w:w="933" w:type="dxa"/>
            <w:tcBorders>
              <w:bottom w:val="single" w:color="auto" w:sz="4" w:space="0"/>
            </w:tcBorders>
            <w:vAlign w:val="top"/>
          </w:tcPr>
          <w:p w14:paraId="2C2A75C0">
            <w:pPr>
              <w:numPr>
                <w:ilvl w:val="0"/>
                <w:numId w:val="0"/>
              </w:numPr>
              <w:rPr>
                <w:rFonts w:hint="default" w:ascii="Cambria" w:hAnsi="Cambria" w:cs="Cambria"/>
                <w:u w:val="none"/>
                <w:vertAlign w:val="baseline"/>
                <w:lang w:val="en-US" w:eastAsia="zh-CN"/>
              </w:rPr>
            </w:pPr>
            <w:r>
              <w:rPr>
                <w:rFonts w:hint="default" w:ascii="Cambria" w:hAnsi="Cambria" w:cs="Cambria"/>
                <w:u w:val="none"/>
                <w:lang w:val="en-US" w:eastAsia="zh-CN"/>
              </w:rPr>
              <w:t xml:space="preserve">X̅  </w:t>
            </w:r>
          </w:p>
        </w:tc>
        <w:tc>
          <w:tcPr>
            <w:tcW w:w="942" w:type="dxa"/>
            <w:tcBorders>
              <w:bottom w:val="single" w:color="auto" w:sz="4" w:space="0"/>
            </w:tcBorders>
            <w:vAlign w:val="top"/>
          </w:tcPr>
          <w:p w14:paraId="2383523A">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R </w:t>
            </w:r>
          </w:p>
        </w:tc>
        <w:tc>
          <w:tcPr>
            <w:tcW w:w="483" w:type="dxa"/>
            <w:tcBorders>
              <w:bottom w:val="single" w:color="auto" w:sz="4" w:space="0"/>
            </w:tcBorders>
            <w:vAlign w:val="top"/>
          </w:tcPr>
          <w:p w14:paraId="487CBEA3">
            <w:pPr>
              <w:numPr>
                <w:ilvl w:val="0"/>
                <w:numId w:val="0"/>
              </w:numPr>
              <w:rPr>
                <w:rFonts w:hint="default" w:ascii="Cambria" w:hAnsi="Cambria" w:cs="Cambria"/>
                <w:u w:val="none"/>
                <w:vertAlign w:val="baseline"/>
                <w:lang w:val="en-US" w:eastAsia="zh-CN"/>
              </w:rPr>
            </w:pPr>
            <w:r>
              <w:rPr>
                <w:rFonts w:hint="default" w:ascii="Cambria" w:hAnsi="Cambria" w:cs="Cambria"/>
                <w:u w:val="none"/>
              </w:rPr>
              <w:t>S</w:t>
            </w:r>
          </w:p>
        </w:tc>
        <w:tc>
          <w:tcPr>
            <w:tcW w:w="986" w:type="dxa"/>
            <w:tcBorders>
              <w:bottom w:val="single" w:color="auto" w:sz="4" w:space="0"/>
            </w:tcBorders>
            <w:vAlign w:val="top"/>
          </w:tcPr>
          <w:p w14:paraId="76EADBF1">
            <w:pPr>
              <w:numPr>
                <w:ilvl w:val="0"/>
                <w:numId w:val="0"/>
              </w:numPr>
              <w:rPr>
                <w:rFonts w:hint="default" w:ascii="Cambria" w:hAnsi="Cambria" w:cs="Cambria"/>
                <w:u w:val="none"/>
                <w:vertAlign w:val="baseline"/>
                <w:lang w:val="en-US" w:eastAsia="zh-CN"/>
              </w:rPr>
            </w:pPr>
            <w:r>
              <w:rPr>
                <w:rFonts w:hint="default" w:ascii="Cambria" w:hAnsi="Cambria" w:cs="Cambria"/>
                <w:u w:val="none"/>
              </w:rPr>
              <w:t>CV</w:t>
            </w:r>
          </w:p>
        </w:tc>
      </w:tr>
      <w:tr w14:paraId="08D58D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top w:val="single" w:color="auto" w:sz="4" w:space="0"/>
              <w:tl2br w:val="nil"/>
              <w:tr2bl w:val="nil"/>
            </w:tcBorders>
            <w:vAlign w:val="top"/>
          </w:tcPr>
          <w:p w14:paraId="139F731A">
            <w:pPr>
              <w:numPr>
                <w:ilvl w:val="0"/>
                <w:numId w:val="3"/>
              </w:numPr>
              <w:rPr>
                <w:rFonts w:hint="default" w:ascii="Cambria" w:hAnsi="Cambria" w:cs="Cambria"/>
              </w:rPr>
            </w:pPr>
            <w:r>
              <w:rPr>
                <w:rFonts w:hint="default" w:ascii="Cambria" w:hAnsi="Cambria" w:cs="Cambria"/>
              </w:rPr>
              <w:t xml:space="preserve">Select the </w:t>
            </w:r>
            <w:r>
              <w:rPr>
                <w:rFonts w:hint="default" w:ascii="Cambria" w:hAnsi="Cambria" w:cs="Cambria"/>
                <w:lang w:eastAsia="zh-CN"/>
              </w:rPr>
              <w:t>jar</w:t>
            </w:r>
            <w:r>
              <w:rPr>
                <w:rFonts w:hint="default" w:ascii="Cambria" w:hAnsi="Cambria" w:cs="Cambria"/>
              </w:rPr>
              <w:t xml:space="preserve"> according to the age or height and weight of the child. For </w:t>
            </w:r>
            <w:r>
              <w:rPr>
                <w:rFonts w:hint="default" w:ascii="Cambria" w:hAnsi="Cambria" w:cs="Cambria"/>
                <w:lang w:eastAsia="zh-CN"/>
              </w:rPr>
              <w:t>preschool-aged</w:t>
            </w:r>
            <w:r>
              <w:rPr>
                <w:rFonts w:hint="default" w:ascii="Cambria" w:hAnsi="Cambria" w:cs="Cambria"/>
              </w:rPr>
              <w:t xml:space="preserve"> children, </w:t>
            </w:r>
            <w:r>
              <w:rPr>
                <w:rFonts w:hint="default" w:ascii="Cambria" w:hAnsi="Cambria" w:cs="Cambria"/>
                <w:lang w:eastAsia="zh-CN"/>
              </w:rPr>
              <w:t>Size</w:t>
            </w:r>
            <w:r>
              <w:rPr>
                <w:rFonts w:hint="default" w:ascii="Cambria" w:hAnsi="Cambria" w:cs="Cambria"/>
              </w:rPr>
              <w:t xml:space="preserve"> 5 </w:t>
            </w:r>
            <w:r>
              <w:rPr>
                <w:rFonts w:hint="default" w:ascii="Cambria" w:hAnsi="Cambria" w:cs="Cambria"/>
                <w:lang w:eastAsia="zh-CN"/>
              </w:rPr>
              <w:t>jar</w:t>
            </w:r>
            <w:r>
              <w:rPr>
                <w:rFonts w:hint="default" w:ascii="Cambria" w:hAnsi="Cambria" w:cs="Cambria"/>
              </w:rPr>
              <w:t xml:space="preserve"> is mainly used, and for children before the age of 12, </w:t>
            </w:r>
            <w:r>
              <w:rPr>
                <w:rFonts w:hint="default" w:ascii="Cambria" w:hAnsi="Cambria" w:cs="Cambria"/>
                <w:lang w:eastAsia="zh-CN"/>
              </w:rPr>
              <w:t>Size</w:t>
            </w:r>
            <w:r>
              <w:rPr>
                <w:rFonts w:hint="default" w:ascii="Cambria" w:hAnsi="Cambria" w:cs="Cambria"/>
              </w:rPr>
              <w:t xml:space="preserve"> 4 </w:t>
            </w:r>
            <w:r>
              <w:rPr>
                <w:rFonts w:hint="default" w:ascii="Cambria" w:hAnsi="Cambria" w:cs="Cambria"/>
                <w:lang w:eastAsia="zh-CN"/>
              </w:rPr>
              <w:t>jar</w:t>
            </w:r>
            <w:r>
              <w:rPr>
                <w:rFonts w:hint="default" w:ascii="Cambria" w:hAnsi="Cambria" w:cs="Cambria"/>
              </w:rPr>
              <w:t xml:space="preserve"> is mainly used (the internal volume of </w:t>
            </w:r>
            <w:r>
              <w:rPr>
                <w:rFonts w:hint="default" w:ascii="Cambria" w:hAnsi="Cambria" w:cs="Cambria"/>
                <w:lang w:eastAsia="zh-CN"/>
              </w:rPr>
              <w:t>Size</w:t>
            </w:r>
            <w:r>
              <w:rPr>
                <w:rFonts w:hint="default" w:ascii="Cambria" w:hAnsi="Cambria" w:cs="Cambria"/>
              </w:rPr>
              <w:t xml:space="preserve"> 5 </w:t>
            </w:r>
            <w:r>
              <w:rPr>
                <w:rFonts w:hint="default" w:ascii="Cambria" w:hAnsi="Cambria" w:cs="Cambria"/>
                <w:lang w:eastAsia="zh-CN"/>
              </w:rPr>
              <w:t>jar</w:t>
            </w:r>
            <w:r>
              <w:rPr>
                <w:rFonts w:hint="default" w:ascii="Cambria" w:hAnsi="Cambria" w:cs="Cambria"/>
              </w:rPr>
              <w:t xml:space="preserve"> is 95 ± 4.8 </w:t>
            </w:r>
            <w:r>
              <w:rPr>
                <w:rFonts w:hint="default" w:ascii="Cambria" w:hAnsi="Cambria" w:cs="Cambria"/>
                <w:lang w:eastAsia="zh-CN"/>
              </w:rPr>
              <w:t>mL</w:t>
            </w:r>
            <w:r>
              <w:rPr>
                <w:rFonts w:hint="default" w:ascii="Cambria" w:hAnsi="Cambria" w:cs="Cambria"/>
              </w:rPr>
              <w:t xml:space="preserve">, and the internal volume of </w:t>
            </w:r>
            <w:r>
              <w:rPr>
                <w:rFonts w:hint="default" w:ascii="Cambria" w:hAnsi="Cambria" w:cs="Cambria"/>
                <w:lang w:eastAsia="zh-CN"/>
              </w:rPr>
              <w:t>Size</w:t>
            </w:r>
            <w:r>
              <w:rPr>
                <w:rFonts w:hint="default" w:ascii="Cambria" w:hAnsi="Cambria" w:cs="Cambria"/>
              </w:rPr>
              <w:t xml:space="preserve"> 4 cupping</w:t>
            </w:r>
          </w:p>
          <w:p w14:paraId="656CAC28">
            <w:pPr>
              <w:numPr>
                <w:ilvl w:val="0"/>
                <w:numId w:val="0"/>
              </w:numPr>
              <w:rPr>
                <w:rFonts w:hint="default" w:ascii="Cambria" w:hAnsi="Cambria" w:cs="Cambria" w:eastAsiaTheme="minorEastAsia"/>
                <w:u w:val="none"/>
                <w:vertAlign w:val="baseline"/>
                <w:lang w:val="en-US" w:eastAsia="zh-CN"/>
              </w:rPr>
            </w:pPr>
            <w:r>
              <w:rPr>
                <w:rFonts w:hint="default" w:ascii="Cambria" w:hAnsi="Cambria" w:cs="Cambria"/>
              </w:rPr>
              <w:t xml:space="preserve">device is 130±6.5 </w:t>
            </w:r>
            <w:r>
              <w:rPr>
                <w:rFonts w:hint="default" w:ascii="Cambria" w:hAnsi="Cambria" w:cs="Cambria"/>
                <w:lang w:eastAsia="zh-CN"/>
              </w:rPr>
              <w:t>mL</w:t>
            </w:r>
            <w:r>
              <w:rPr>
                <w:rFonts w:hint="default" w:ascii="Cambria" w:hAnsi="Cambria" w:cs="Cambria"/>
              </w:rPr>
              <w:t xml:space="preserve">. </w:t>
            </w:r>
            <w:r>
              <w:rPr>
                <w:rFonts w:hint="default" w:ascii="Cambria" w:hAnsi="Cambria" w:cs="Cambria"/>
                <w:lang w:val="en-US" w:eastAsia="zh-CN"/>
              </w:rPr>
              <w:t>(</w:t>
            </w:r>
            <w:r>
              <w:rPr>
                <w:rFonts w:hint="default" w:ascii="Cambria" w:hAnsi="Cambria" w:cs="Cambria"/>
              </w:rPr>
              <w:t xml:space="preserve">Source: </w:t>
            </w:r>
            <w:r>
              <w:rPr>
                <w:rFonts w:hint="default" w:ascii="Cambria" w:hAnsi="Cambria" w:cs="Cambria"/>
                <w:lang w:eastAsia="zh-CN"/>
              </w:rPr>
              <w:t xml:space="preserve">ISO 22213:2020 (E) TCM–Glass cupping device </w:t>
            </w:r>
            <w:r>
              <w:rPr>
                <w:rFonts w:hint="default" w:ascii="Cambria" w:hAnsi="Cambria" w:cs="Cambria"/>
              </w:rPr>
              <w:t xml:space="preserve">and </w:t>
            </w:r>
            <w:r>
              <w:rPr>
                <w:rFonts w:hint="default" w:ascii="Cambria" w:hAnsi="Cambria" w:cs="Cambria"/>
                <w:lang w:eastAsia="zh-CN"/>
              </w:rPr>
              <w:t>YY/T 1976-2025 Traditional Chinese medical device–Glass cupping device</w:t>
            </w:r>
            <w:r>
              <w:rPr>
                <w:rFonts w:hint="default" w:ascii="Cambria" w:hAnsi="Cambria" w:cs="Cambria"/>
                <w:lang w:val="en-US" w:eastAsia="zh-CN"/>
              </w:rPr>
              <w:t>)</w:t>
            </w:r>
          </w:p>
        </w:tc>
        <w:tc>
          <w:tcPr>
            <w:tcW w:w="933" w:type="dxa"/>
            <w:tcBorders>
              <w:top w:val="single" w:color="auto" w:sz="4" w:space="0"/>
              <w:tl2br w:val="nil"/>
              <w:tr2bl w:val="nil"/>
            </w:tcBorders>
            <w:vAlign w:val="top"/>
          </w:tcPr>
          <w:p w14:paraId="58D3B6FB">
            <w:pPr>
              <w:numPr>
                <w:ilvl w:val="0"/>
                <w:numId w:val="0"/>
              </w:numPr>
              <w:rPr>
                <w:rFonts w:hint="default" w:ascii="Cambria" w:hAnsi="Cambria" w:cs="Cambria"/>
                <w:u w:val="none"/>
                <w:vertAlign w:val="baseline"/>
                <w:lang w:val="en-US" w:eastAsia="zh-CN"/>
              </w:rPr>
            </w:pPr>
            <w:r>
              <w:rPr>
                <w:rFonts w:hint="default" w:ascii="Cambria" w:hAnsi="Cambria" w:cs="Cambria"/>
              </w:rPr>
              <w:t xml:space="preserve">0.77 </w:t>
            </w:r>
          </w:p>
        </w:tc>
        <w:tc>
          <w:tcPr>
            <w:tcW w:w="942" w:type="dxa"/>
            <w:tcBorders>
              <w:top w:val="single" w:color="auto" w:sz="4" w:space="0"/>
              <w:tl2br w:val="nil"/>
              <w:tr2bl w:val="nil"/>
            </w:tcBorders>
            <w:vAlign w:val="top"/>
          </w:tcPr>
          <w:p w14:paraId="0E84757E">
            <w:pPr>
              <w:numPr>
                <w:ilvl w:val="0"/>
                <w:numId w:val="0"/>
              </w:numPr>
              <w:rPr>
                <w:rFonts w:hint="default" w:ascii="Cambria" w:hAnsi="Cambria" w:cs="Cambria"/>
                <w:u w:val="none"/>
                <w:vertAlign w:val="baseline"/>
                <w:lang w:val="en-US" w:eastAsia="zh-CN"/>
              </w:rPr>
            </w:pPr>
            <w:r>
              <w:rPr>
                <w:rFonts w:hint="default" w:ascii="Cambria" w:hAnsi="Cambria" w:cs="Cambria"/>
              </w:rPr>
              <w:t>23.00%</w:t>
            </w:r>
          </w:p>
        </w:tc>
        <w:tc>
          <w:tcPr>
            <w:tcW w:w="483" w:type="dxa"/>
            <w:tcBorders>
              <w:top w:val="single" w:color="auto" w:sz="4" w:space="0"/>
              <w:tl2br w:val="nil"/>
              <w:tr2bl w:val="nil"/>
            </w:tcBorders>
            <w:vAlign w:val="top"/>
          </w:tcPr>
          <w:p w14:paraId="4AE4C374">
            <w:pPr>
              <w:numPr>
                <w:ilvl w:val="0"/>
                <w:numId w:val="0"/>
              </w:numPr>
              <w:rPr>
                <w:rFonts w:hint="default" w:ascii="Cambria" w:hAnsi="Cambria" w:cs="Cambria"/>
                <w:u w:val="none"/>
                <w:vertAlign w:val="baseline"/>
                <w:lang w:val="en-US" w:eastAsia="zh-CN"/>
              </w:rPr>
            </w:pPr>
            <w:r>
              <w:rPr>
                <w:rFonts w:hint="default" w:ascii="Cambria" w:hAnsi="Cambria" w:cs="Cambria"/>
              </w:rPr>
              <w:t xml:space="preserve">23 </w:t>
            </w:r>
          </w:p>
        </w:tc>
        <w:tc>
          <w:tcPr>
            <w:tcW w:w="986" w:type="dxa"/>
            <w:tcBorders>
              <w:top w:val="single" w:color="auto" w:sz="4" w:space="0"/>
              <w:tl2br w:val="nil"/>
              <w:tr2bl w:val="nil"/>
            </w:tcBorders>
            <w:vAlign w:val="top"/>
          </w:tcPr>
          <w:p w14:paraId="7A5CB681">
            <w:pPr>
              <w:numPr>
                <w:ilvl w:val="0"/>
                <w:numId w:val="0"/>
              </w:numPr>
              <w:rPr>
                <w:rFonts w:hint="default" w:ascii="Cambria" w:hAnsi="Cambria" w:cs="Cambria"/>
                <w:u w:val="none"/>
                <w:vertAlign w:val="baseline"/>
                <w:lang w:val="en-US" w:eastAsia="zh-CN"/>
              </w:rPr>
            </w:pPr>
            <w:r>
              <w:rPr>
                <w:rFonts w:hint="default" w:ascii="Cambria" w:hAnsi="Cambria" w:cs="Cambria"/>
              </w:rPr>
              <w:t xml:space="preserve">55.87% </w:t>
            </w:r>
          </w:p>
        </w:tc>
      </w:tr>
      <w:tr w14:paraId="76EA494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tl2br w:val="nil"/>
              <w:tr2bl w:val="nil"/>
            </w:tcBorders>
            <w:vAlign w:val="top"/>
          </w:tcPr>
          <w:p w14:paraId="0028D4BD">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B. Follow the original text of the national standard. </w:t>
            </w:r>
          </w:p>
        </w:tc>
        <w:tc>
          <w:tcPr>
            <w:tcW w:w="933" w:type="dxa"/>
            <w:tcBorders>
              <w:tl2br w:val="nil"/>
              <w:tr2bl w:val="nil"/>
            </w:tcBorders>
            <w:vAlign w:val="top"/>
          </w:tcPr>
          <w:p w14:paraId="345FF320">
            <w:pPr>
              <w:numPr>
                <w:ilvl w:val="0"/>
                <w:numId w:val="0"/>
              </w:numPr>
              <w:rPr>
                <w:rFonts w:hint="default" w:ascii="Cambria" w:hAnsi="Cambria" w:cs="Cambria"/>
                <w:u w:val="none"/>
                <w:vertAlign w:val="baseline"/>
                <w:lang w:val="en-US" w:eastAsia="zh-CN"/>
              </w:rPr>
            </w:pPr>
            <w:r>
              <w:rPr>
                <w:rFonts w:hint="default" w:ascii="Cambria" w:hAnsi="Cambria" w:cs="Cambria"/>
                <w:u w:val="none"/>
              </w:rPr>
              <w:t>0.13</w:t>
            </w:r>
          </w:p>
        </w:tc>
        <w:tc>
          <w:tcPr>
            <w:tcW w:w="942" w:type="dxa"/>
            <w:tcBorders>
              <w:tl2br w:val="nil"/>
              <w:tr2bl w:val="nil"/>
            </w:tcBorders>
            <w:vAlign w:val="top"/>
          </w:tcPr>
          <w:p w14:paraId="2C500FC0">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87.00% </w:t>
            </w:r>
          </w:p>
        </w:tc>
        <w:tc>
          <w:tcPr>
            <w:tcW w:w="483" w:type="dxa"/>
            <w:tcBorders>
              <w:tl2br w:val="nil"/>
              <w:tr2bl w:val="nil"/>
            </w:tcBorders>
            <w:vAlign w:val="top"/>
          </w:tcPr>
          <w:p w14:paraId="39320057">
            <w:pPr>
              <w:numPr>
                <w:ilvl w:val="0"/>
                <w:numId w:val="0"/>
              </w:numPr>
              <w:rPr>
                <w:rFonts w:hint="default" w:ascii="Cambria" w:hAnsi="Cambria" w:cs="Cambria"/>
                <w:u w:val="none"/>
                <w:vertAlign w:val="baseline"/>
                <w:lang w:val="en-US" w:eastAsia="zh-CN"/>
              </w:rPr>
            </w:pPr>
            <w:r>
              <w:rPr>
                <w:rFonts w:hint="default" w:ascii="Cambria" w:hAnsi="Cambria" w:cs="Cambria"/>
                <w:u w:val="none"/>
              </w:rPr>
              <w:t>4</w:t>
            </w:r>
          </w:p>
        </w:tc>
        <w:tc>
          <w:tcPr>
            <w:tcW w:w="986" w:type="dxa"/>
            <w:tcBorders>
              <w:tl2br w:val="nil"/>
              <w:tr2bl w:val="nil"/>
            </w:tcBorders>
            <w:vAlign w:val="top"/>
          </w:tcPr>
          <w:p w14:paraId="1EB06FFA">
            <w:pPr>
              <w:numPr>
                <w:ilvl w:val="0"/>
                <w:numId w:val="0"/>
              </w:numPr>
              <w:rPr>
                <w:rFonts w:hint="default" w:ascii="Cambria" w:hAnsi="Cambria" w:cs="Cambria"/>
                <w:u w:val="none"/>
                <w:vertAlign w:val="baseline"/>
                <w:lang w:val="en-US" w:eastAsia="zh-CN"/>
              </w:rPr>
            </w:pPr>
            <w:r>
              <w:rPr>
                <w:rFonts w:hint="default" w:ascii="Cambria" w:hAnsi="Cambria" w:cs="Cambria"/>
                <w:u w:val="none"/>
              </w:rPr>
              <w:t>265.96%</w:t>
            </w:r>
          </w:p>
        </w:tc>
      </w:tr>
    </w:tbl>
    <w:p w14:paraId="62629EE8">
      <w:pPr>
        <w:numPr>
          <w:ilvl w:val="0"/>
          <w:numId w:val="0"/>
        </w:numPr>
        <w:rPr>
          <w:rFonts w:hint="default" w:ascii="Cambria" w:hAnsi="Cambria" w:cs="Cambria"/>
          <w:u w:val="none"/>
          <w:lang w:val="en-US" w:eastAsia="zh-CN"/>
        </w:rPr>
      </w:pPr>
      <w:r>
        <w:rPr>
          <w:rFonts w:hint="default" w:ascii="Cambria" w:hAnsi="Cambria" w:cs="Cambria"/>
          <w:u w:val="none"/>
          <w:lang w:val="en-US" w:eastAsia="zh-CN"/>
        </w:rPr>
        <w:tab/>
      </w:r>
      <w:r>
        <w:rPr>
          <w:rFonts w:hint="default" w:ascii="Cambria" w:hAnsi="Cambria" w:cs="Cambria"/>
          <w:u w:val="none"/>
          <w:lang w:val="en-US" w:eastAsia="zh-CN"/>
        </w:rPr>
        <w:tab/>
      </w:r>
    </w:p>
    <w:p w14:paraId="788E233C">
      <w:pPr>
        <w:numPr>
          <w:ilvl w:val="0"/>
          <w:numId w:val="0"/>
        </w:numPr>
        <w:rPr>
          <w:rFonts w:hint="default" w:ascii="Cambria" w:hAnsi="Cambria" w:cs="Cambria" w:eastAsiaTheme="minorEastAsia"/>
          <w:lang w:eastAsia="zh-CN"/>
        </w:rPr>
      </w:pPr>
      <w:r>
        <w:rPr>
          <w:rFonts w:hint="default" w:ascii="Cambria" w:hAnsi="Cambria" w:cs="Cambria"/>
          <w:lang w:val="en-US" w:eastAsia="zh-CN"/>
        </w:rPr>
        <w:t xml:space="preserve">2.3 </w:t>
      </w:r>
      <w:r>
        <w:rPr>
          <w:rFonts w:hint="default" w:ascii="Cambria" w:hAnsi="Cambria" w:cs="Cambria"/>
        </w:rPr>
        <w:t xml:space="preserve">Survey Results of </w:t>
      </w:r>
      <w:r>
        <w:rPr>
          <w:rFonts w:hint="default" w:ascii="Cambria" w:hAnsi="Cambria" w:cs="Cambria"/>
          <w:u w:val="none"/>
          <w:lang w:val="en-US" w:eastAsia="zh-CN"/>
        </w:rPr>
        <w:t>J</w:t>
      </w:r>
      <w:r>
        <w:rPr>
          <w:rFonts w:hint="default" w:ascii="Cambria" w:hAnsi="Cambria" w:cs="Cambria"/>
          <w:u w:val="none"/>
          <w:lang w:eastAsia="zh-CN"/>
        </w:rPr>
        <w:t>ar</w:t>
      </w:r>
      <w:r>
        <w:rPr>
          <w:rFonts w:hint="default" w:ascii="Cambria" w:hAnsi="Cambria" w:cs="Cambria"/>
          <w:u w:val="none"/>
        </w:rPr>
        <w:t xml:space="preserve"> </w:t>
      </w:r>
      <w:r>
        <w:rPr>
          <w:rFonts w:hint="default" w:ascii="Cambria" w:hAnsi="Cambria" w:cs="Cambria"/>
        </w:rPr>
        <w:t>Disinfection</w:t>
      </w:r>
    </w:p>
    <w:p w14:paraId="6FEB4B15">
      <w:pPr>
        <w:numPr>
          <w:ilvl w:val="0"/>
          <w:numId w:val="0"/>
        </w:numPr>
        <w:rPr>
          <w:rFonts w:hint="default" w:ascii="Cambria" w:hAnsi="Cambria" w:cs="Cambria"/>
          <w:u w:val="none"/>
          <w:lang w:val="en-US" w:eastAsia="zh-CN"/>
        </w:rPr>
      </w:pPr>
      <w:r>
        <w:rPr>
          <w:rFonts w:hint="default" w:ascii="Cambria" w:hAnsi="Cambria" w:cs="Cambria"/>
          <w:u w:val="none"/>
        </w:rPr>
        <w:t xml:space="preserve">Table 10 Survey Results of </w:t>
      </w:r>
      <w:r>
        <w:rPr>
          <w:rFonts w:hint="default" w:ascii="Cambria" w:hAnsi="Cambria" w:cs="Cambria"/>
          <w:u w:val="none"/>
          <w:lang w:val="en-US" w:eastAsia="zh-CN"/>
        </w:rPr>
        <w:t>J</w:t>
      </w:r>
      <w:r>
        <w:rPr>
          <w:rFonts w:hint="default" w:ascii="Cambria" w:hAnsi="Cambria" w:cs="Cambria"/>
          <w:u w:val="none"/>
          <w:lang w:eastAsia="zh-CN"/>
        </w:rPr>
        <w:t>ar</w:t>
      </w:r>
      <w:r>
        <w:rPr>
          <w:rFonts w:hint="default" w:ascii="Cambria" w:hAnsi="Cambria" w:cs="Cambria"/>
          <w:u w:val="none"/>
        </w:rPr>
        <w:t xml:space="preserve"> Disinfection</w:t>
      </w:r>
      <w:r>
        <w:rPr>
          <w:rFonts w:hint="default" w:ascii="Cambria" w:hAnsi="Cambria" w:cs="Cambria"/>
          <w:u w:val="none"/>
          <w:lang w:val="en-US" w:eastAsia="zh-CN"/>
        </w:rPr>
        <w:tab/>
      </w:r>
    </w:p>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78"/>
        <w:gridCol w:w="933"/>
        <w:gridCol w:w="942"/>
        <w:gridCol w:w="483"/>
        <w:gridCol w:w="986"/>
      </w:tblGrid>
      <w:tr w14:paraId="786A718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bottom w:val="single" w:color="auto" w:sz="4" w:space="0"/>
            </w:tcBorders>
            <w:vAlign w:val="top"/>
          </w:tcPr>
          <w:p w14:paraId="4AF95A0F">
            <w:pPr>
              <w:numPr>
                <w:ilvl w:val="0"/>
                <w:numId w:val="0"/>
              </w:numPr>
              <w:rPr>
                <w:rFonts w:hint="default" w:ascii="Cambria" w:hAnsi="Cambria" w:cs="Cambria"/>
                <w:u w:val="none"/>
                <w:vertAlign w:val="baseline"/>
                <w:lang w:val="en-US" w:eastAsia="zh-CN"/>
              </w:rPr>
            </w:pPr>
            <w:r>
              <w:rPr>
                <w:rFonts w:hint="default" w:ascii="Cambria" w:hAnsi="Cambria" w:cs="Cambria"/>
                <w:u w:val="none"/>
              </w:rPr>
              <w:t>Option</w:t>
            </w:r>
          </w:p>
        </w:tc>
        <w:tc>
          <w:tcPr>
            <w:tcW w:w="933" w:type="dxa"/>
            <w:tcBorders>
              <w:bottom w:val="single" w:color="auto" w:sz="4" w:space="0"/>
            </w:tcBorders>
            <w:vAlign w:val="top"/>
          </w:tcPr>
          <w:p w14:paraId="1CA99423">
            <w:pPr>
              <w:numPr>
                <w:ilvl w:val="0"/>
                <w:numId w:val="0"/>
              </w:numPr>
              <w:rPr>
                <w:rFonts w:hint="default" w:ascii="Cambria" w:hAnsi="Cambria" w:cs="Cambria"/>
                <w:u w:val="none"/>
                <w:vertAlign w:val="baseline"/>
                <w:lang w:val="en-US" w:eastAsia="zh-CN"/>
              </w:rPr>
            </w:pPr>
            <w:r>
              <w:rPr>
                <w:rFonts w:hint="default" w:ascii="Cambria" w:hAnsi="Cambria" w:cs="Cambria"/>
                <w:u w:val="none"/>
                <w:lang w:val="en-US" w:eastAsia="zh-CN"/>
              </w:rPr>
              <w:t xml:space="preserve">X̅  </w:t>
            </w:r>
          </w:p>
        </w:tc>
        <w:tc>
          <w:tcPr>
            <w:tcW w:w="942" w:type="dxa"/>
            <w:tcBorders>
              <w:bottom w:val="single" w:color="auto" w:sz="4" w:space="0"/>
            </w:tcBorders>
            <w:vAlign w:val="top"/>
          </w:tcPr>
          <w:p w14:paraId="374DD77D">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R </w:t>
            </w:r>
          </w:p>
        </w:tc>
        <w:tc>
          <w:tcPr>
            <w:tcW w:w="483" w:type="dxa"/>
            <w:tcBorders>
              <w:bottom w:val="single" w:color="auto" w:sz="4" w:space="0"/>
            </w:tcBorders>
            <w:vAlign w:val="top"/>
          </w:tcPr>
          <w:p w14:paraId="6CFA8AFC">
            <w:pPr>
              <w:numPr>
                <w:ilvl w:val="0"/>
                <w:numId w:val="0"/>
              </w:numPr>
              <w:rPr>
                <w:rFonts w:hint="default" w:ascii="Cambria" w:hAnsi="Cambria" w:cs="Cambria"/>
                <w:u w:val="none"/>
                <w:vertAlign w:val="baseline"/>
                <w:lang w:val="en-US" w:eastAsia="zh-CN"/>
              </w:rPr>
            </w:pPr>
            <w:r>
              <w:rPr>
                <w:rFonts w:hint="default" w:ascii="Cambria" w:hAnsi="Cambria" w:cs="Cambria"/>
                <w:u w:val="none"/>
              </w:rPr>
              <w:t>S</w:t>
            </w:r>
          </w:p>
        </w:tc>
        <w:tc>
          <w:tcPr>
            <w:tcW w:w="986" w:type="dxa"/>
            <w:tcBorders>
              <w:bottom w:val="single" w:color="auto" w:sz="4" w:space="0"/>
            </w:tcBorders>
            <w:vAlign w:val="top"/>
          </w:tcPr>
          <w:p w14:paraId="252D6C38">
            <w:pPr>
              <w:numPr>
                <w:ilvl w:val="0"/>
                <w:numId w:val="0"/>
              </w:numPr>
              <w:rPr>
                <w:rFonts w:hint="default" w:ascii="Cambria" w:hAnsi="Cambria" w:cs="Cambria"/>
                <w:u w:val="none"/>
                <w:vertAlign w:val="baseline"/>
                <w:lang w:val="en-US" w:eastAsia="zh-CN"/>
              </w:rPr>
            </w:pPr>
            <w:r>
              <w:rPr>
                <w:rFonts w:hint="default" w:ascii="Cambria" w:hAnsi="Cambria" w:cs="Cambria"/>
                <w:u w:val="none"/>
              </w:rPr>
              <w:t>CV</w:t>
            </w:r>
          </w:p>
        </w:tc>
      </w:tr>
      <w:tr w14:paraId="411F0F5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top w:val="single" w:color="auto" w:sz="4" w:space="0"/>
              <w:tl2br w:val="nil"/>
              <w:tr2bl w:val="nil"/>
            </w:tcBorders>
            <w:vAlign w:val="top"/>
          </w:tcPr>
          <w:p w14:paraId="3687397C">
            <w:pPr>
              <w:numPr>
                <w:ilvl w:val="0"/>
                <w:numId w:val="0"/>
              </w:numPr>
              <w:rPr>
                <w:rFonts w:hint="default" w:ascii="Cambria" w:hAnsi="Cambria" w:cs="Cambria"/>
              </w:rPr>
            </w:pPr>
            <w:r>
              <w:rPr>
                <w:rFonts w:hint="default" w:ascii="Cambria" w:hAnsi="Cambria" w:cs="Cambria"/>
              </w:rPr>
              <w:t>A. Flushing: Place the instruments, appliances, and items under running water for flushing to initially remove contaminants. Washing: After flushing, soak them in a medical cleaning agent and then scrub. Rinsing: After washing, rinse or scrub with running water again. Final rinsing: Use water with a conductivity of ≤ 15μS/cm (25</w:t>
            </w:r>
            <w:r>
              <w:rPr>
                <w:rFonts w:hint="default" w:ascii="Cambria" w:hAnsi="Cambria" w:cs="Cambria"/>
                <w:lang w:eastAsia="zh-CN"/>
              </w:rPr>
              <w:t>°C</w:t>
            </w:r>
            <w:r>
              <w:rPr>
                <w:rFonts w:hint="default" w:ascii="Cambria" w:hAnsi="Cambria" w:cs="Cambria"/>
              </w:rPr>
              <w:t>) for rinsing. For manual cleaning, the water temperature shall be maintained between 15°C and 30°C.</w:t>
            </w:r>
            <w:r>
              <w:rPr>
                <w:rFonts w:hint="default" w:ascii="Cambria" w:hAnsi="Cambria" w:cs="Cambria"/>
                <w:lang w:val="en-US" w:eastAsia="zh-CN"/>
              </w:rPr>
              <w:t xml:space="preserve"> </w:t>
            </w:r>
            <w:r>
              <w:rPr>
                <w:rFonts w:hint="default" w:ascii="Cambria" w:hAnsi="Cambria" w:cs="Cambria"/>
              </w:rPr>
              <w:t>To remove dried stains, soak the cupping devices in medical detergent prior to scrubbing or wiping. Any rust spots shall be derusted completely.</w:t>
            </w:r>
            <w:r>
              <w:rPr>
                <w:rFonts w:hint="default" w:ascii="Cambria" w:hAnsi="Cambria" w:cs="Cambria"/>
                <w:lang w:val="en-US" w:eastAsia="zh-CN"/>
              </w:rPr>
              <w:t xml:space="preserve"> </w:t>
            </w:r>
            <w:r>
              <w:rPr>
                <w:rFonts w:hint="default" w:ascii="Cambria" w:hAnsi="Cambria" w:cs="Cambria"/>
              </w:rPr>
              <w:t>Scrubbing shall be carried out under water surface to avoid aerosol generation.</w:t>
            </w:r>
            <w:r>
              <w:rPr>
                <w:rFonts w:hint="default" w:ascii="Cambria" w:hAnsi="Cambria" w:cs="Cambria"/>
                <w:lang w:val="en-US" w:eastAsia="zh-CN"/>
              </w:rPr>
              <w:t xml:space="preserve"> </w:t>
            </w:r>
            <w:r>
              <w:rPr>
                <w:rFonts w:hint="default" w:ascii="Cambria" w:hAnsi="Cambria" w:cs="Cambria"/>
              </w:rPr>
              <w:t>All detachable components of the devices shall be disassembled before cleaning.</w:t>
            </w:r>
            <w:r>
              <w:rPr>
                <w:rFonts w:hint="default" w:ascii="Cambria" w:hAnsi="Cambria" w:cs="Cambria"/>
                <w:lang w:val="en-US" w:eastAsia="zh-CN"/>
              </w:rPr>
              <w:t xml:space="preserve"> </w:t>
            </w:r>
            <w:r>
              <w:rPr>
                <w:rFonts w:hint="default" w:ascii="Cambria" w:hAnsi="Cambria" w:cs="Cambria"/>
              </w:rPr>
              <w:t>For lumen-type instruments, clean the inner cavity with a suitable cleaning brush first, then rinse with a pressure water gun.</w:t>
            </w:r>
          </w:p>
          <w:p w14:paraId="16DA5395">
            <w:pPr>
              <w:numPr>
                <w:ilvl w:val="0"/>
                <w:numId w:val="0"/>
              </w:numPr>
              <w:rPr>
                <w:rFonts w:hint="default" w:ascii="Cambria" w:hAnsi="Cambria" w:cs="Cambria" w:eastAsiaTheme="minorEastAsia"/>
                <w:u w:val="none"/>
                <w:vertAlign w:val="baseline"/>
                <w:lang w:val="en-US" w:eastAsia="zh-CN"/>
              </w:rPr>
            </w:pPr>
            <w:r>
              <w:rPr>
                <w:rFonts w:hint="default" w:ascii="Cambria" w:hAnsi="Cambria" w:cs="Cambria"/>
              </w:rPr>
              <w:t xml:space="preserve">Abrasive cleaning materials and tools shall not be used for </w:t>
            </w:r>
            <w:r>
              <w:rPr>
                <w:rFonts w:hint="default" w:ascii="Cambria" w:hAnsi="Cambria" w:cs="Cambria"/>
                <w:u w:val="none"/>
                <w:lang w:val="en-US" w:eastAsia="zh-CN"/>
              </w:rPr>
              <w:t>d</w:t>
            </w:r>
            <w:r>
              <w:rPr>
                <w:rFonts w:hint="default" w:ascii="Cambria" w:hAnsi="Cambria" w:cs="Cambria"/>
                <w:u w:val="none"/>
              </w:rPr>
              <w:t>isinfection</w:t>
            </w:r>
            <w:r>
              <w:rPr>
                <w:rFonts w:hint="default" w:ascii="Cambria" w:hAnsi="Cambria" w:cs="Cambria"/>
              </w:rPr>
              <w:t>. Only scrubbing tools and supplies compatible with the material of the instruments shall be adopted. (Source: National Health Industry Standard of the People's Republic of China</w:t>
            </w:r>
            <w:r>
              <w:rPr>
                <w:rFonts w:hint="default" w:ascii="Cambria" w:hAnsi="Cambria" w:cs="Cambria"/>
                <w:lang w:val="en-US" w:eastAsia="zh-CN"/>
              </w:rPr>
              <w:t>---</w:t>
            </w:r>
            <w:r>
              <w:rPr>
                <w:rFonts w:hint="default" w:ascii="Cambria" w:hAnsi="Cambria" w:cs="Cambria"/>
                <w:lang w:eastAsia="zh-CN"/>
              </w:rPr>
              <w:t>WS 310.2-2016</w:t>
            </w:r>
            <w:r>
              <w:rPr>
                <w:rFonts w:hint="default" w:ascii="Cambria" w:hAnsi="Cambria" w:cs="Cambria"/>
                <w:lang w:val="en-US" w:eastAsia="zh-CN"/>
              </w:rPr>
              <w:t xml:space="preserve"> CSSD</w:t>
            </w:r>
            <w:r>
              <w:rPr>
                <w:rFonts w:hint="default" w:ascii="Cambria" w:hAnsi="Cambria" w:cs="Cambria"/>
                <w:lang w:eastAsia="zh-CN"/>
              </w:rPr>
              <w:t>–Part 2</w:t>
            </w:r>
            <w:r>
              <w:rPr>
                <w:rFonts w:hint="default" w:ascii="Cambria" w:hAnsi="Cambria" w:cs="Cambria"/>
                <w:lang w:val="en-US" w:eastAsia="zh-CN"/>
              </w:rPr>
              <w:t>)</w:t>
            </w:r>
          </w:p>
        </w:tc>
        <w:tc>
          <w:tcPr>
            <w:tcW w:w="933" w:type="dxa"/>
            <w:tcBorders>
              <w:top w:val="single" w:color="auto" w:sz="4" w:space="0"/>
              <w:tl2br w:val="nil"/>
              <w:tr2bl w:val="nil"/>
            </w:tcBorders>
            <w:vAlign w:val="top"/>
          </w:tcPr>
          <w:p w14:paraId="37882F37">
            <w:pPr>
              <w:numPr>
                <w:ilvl w:val="0"/>
                <w:numId w:val="0"/>
              </w:numPr>
              <w:rPr>
                <w:rFonts w:hint="default" w:ascii="Cambria" w:hAnsi="Cambria" w:cs="Cambria"/>
                <w:u w:val="none"/>
                <w:vertAlign w:val="baseline"/>
                <w:lang w:val="en-US" w:eastAsia="zh-CN"/>
              </w:rPr>
            </w:pPr>
            <w:r>
              <w:rPr>
                <w:rFonts w:hint="default" w:ascii="Cambria" w:hAnsi="Cambria" w:cs="Cambria"/>
              </w:rPr>
              <w:t xml:space="preserve">0.47 </w:t>
            </w:r>
          </w:p>
        </w:tc>
        <w:tc>
          <w:tcPr>
            <w:tcW w:w="942" w:type="dxa"/>
            <w:tcBorders>
              <w:top w:val="single" w:color="auto" w:sz="4" w:space="0"/>
              <w:tl2br w:val="nil"/>
              <w:tr2bl w:val="nil"/>
            </w:tcBorders>
            <w:vAlign w:val="top"/>
          </w:tcPr>
          <w:p w14:paraId="0E8B32E6">
            <w:pPr>
              <w:numPr>
                <w:ilvl w:val="0"/>
                <w:numId w:val="0"/>
              </w:numPr>
              <w:rPr>
                <w:rFonts w:hint="default" w:ascii="Cambria" w:hAnsi="Cambria" w:cs="Cambria"/>
                <w:u w:val="none"/>
                <w:vertAlign w:val="baseline"/>
                <w:lang w:val="en-US" w:eastAsia="zh-CN"/>
              </w:rPr>
            </w:pPr>
            <w:r>
              <w:rPr>
                <w:rFonts w:hint="default" w:ascii="Cambria" w:hAnsi="Cambria" w:cs="Cambria"/>
              </w:rPr>
              <w:t>53.00%</w:t>
            </w:r>
          </w:p>
        </w:tc>
        <w:tc>
          <w:tcPr>
            <w:tcW w:w="483" w:type="dxa"/>
            <w:tcBorders>
              <w:top w:val="single" w:color="auto" w:sz="4" w:space="0"/>
              <w:tl2br w:val="nil"/>
              <w:tr2bl w:val="nil"/>
            </w:tcBorders>
            <w:vAlign w:val="top"/>
          </w:tcPr>
          <w:p w14:paraId="1EF39C25">
            <w:pPr>
              <w:numPr>
                <w:ilvl w:val="0"/>
                <w:numId w:val="0"/>
              </w:numPr>
              <w:rPr>
                <w:rFonts w:hint="default" w:ascii="Cambria" w:hAnsi="Cambria" w:cs="Cambria"/>
                <w:u w:val="none"/>
                <w:vertAlign w:val="baseline"/>
                <w:lang w:val="en-US" w:eastAsia="zh-CN"/>
              </w:rPr>
            </w:pPr>
            <w:r>
              <w:rPr>
                <w:rFonts w:hint="default" w:ascii="Cambria" w:hAnsi="Cambria" w:cs="Cambria"/>
              </w:rPr>
              <w:t>14</w:t>
            </w:r>
          </w:p>
        </w:tc>
        <w:tc>
          <w:tcPr>
            <w:tcW w:w="986" w:type="dxa"/>
            <w:tcBorders>
              <w:top w:val="single" w:color="auto" w:sz="4" w:space="0"/>
              <w:tl2br w:val="nil"/>
              <w:tr2bl w:val="nil"/>
            </w:tcBorders>
            <w:vAlign w:val="top"/>
          </w:tcPr>
          <w:p w14:paraId="541904B5">
            <w:pPr>
              <w:numPr>
                <w:ilvl w:val="0"/>
                <w:numId w:val="0"/>
              </w:numPr>
              <w:rPr>
                <w:rFonts w:hint="default" w:ascii="Cambria" w:hAnsi="Cambria" w:cs="Cambria"/>
                <w:u w:val="none"/>
                <w:vertAlign w:val="baseline"/>
                <w:lang w:val="en-US" w:eastAsia="zh-CN"/>
              </w:rPr>
            </w:pPr>
            <w:r>
              <w:rPr>
                <w:rFonts w:hint="default" w:ascii="Cambria" w:hAnsi="Cambria" w:cs="Cambria"/>
              </w:rPr>
              <w:t>107.96%</w:t>
            </w:r>
          </w:p>
        </w:tc>
      </w:tr>
      <w:tr w14:paraId="07D8A7A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tl2br w:val="nil"/>
              <w:tr2bl w:val="nil"/>
            </w:tcBorders>
            <w:vAlign w:val="top"/>
          </w:tcPr>
          <w:p w14:paraId="15D55CE3">
            <w:pPr>
              <w:numPr>
                <w:ilvl w:val="0"/>
                <w:numId w:val="0"/>
              </w:numPr>
              <w:rPr>
                <w:rFonts w:hint="default" w:ascii="Cambria" w:hAnsi="Cambria" w:cs="Cambria"/>
                <w:u w:val="none"/>
                <w:vertAlign w:val="baseline"/>
                <w:lang w:val="en-US" w:eastAsia="zh-CN"/>
              </w:rPr>
            </w:pPr>
            <w:r>
              <w:rPr>
                <w:rFonts w:hint="default" w:ascii="Cambria" w:hAnsi="Cambria" w:cs="Cambria"/>
                <w:u w:val="none"/>
              </w:rPr>
              <w:t>B. Follow the original text of the national standard.</w:t>
            </w:r>
          </w:p>
        </w:tc>
        <w:tc>
          <w:tcPr>
            <w:tcW w:w="933" w:type="dxa"/>
            <w:tcBorders>
              <w:tl2br w:val="nil"/>
              <w:tr2bl w:val="nil"/>
            </w:tcBorders>
            <w:vAlign w:val="top"/>
          </w:tcPr>
          <w:p w14:paraId="75806AE5">
            <w:pPr>
              <w:numPr>
                <w:ilvl w:val="0"/>
                <w:numId w:val="0"/>
              </w:numPr>
              <w:rPr>
                <w:rFonts w:hint="default" w:ascii="Cambria" w:hAnsi="Cambria" w:cs="Cambria"/>
                <w:u w:val="none"/>
                <w:vertAlign w:val="baseline"/>
                <w:lang w:val="en-US" w:eastAsia="zh-CN"/>
              </w:rPr>
            </w:pPr>
            <w:r>
              <w:rPr>
                <w:rFonts w:hint="default" w:ascii="Cambria" w:hAnsi="Cambria" w:cs="Cambria"/>
                <w:u w:val="none"/>
              </w:rPr>
              <w:t>0.43</w:t>
            </w:r>
            <w:r>
              <w:rPr>
                <w:rFonts w:hint="default" w:ascii="Cambria" w:hAnsi="Cambria" w:cs="Cambria"/>
                <w:u w:val="none"/>
                <w:lang w:val="en-US" w:eastAsia="zh-CN"/>
              </w:rPr>
              <w:tab/>
            </w:r>
          </w:p>
        </w:tc>
        <w:tc>
          <w:tcPr>
            <w:tcW w:w="942" w:type="dxa"/>
            <w:tcBorders>
              <w:tl2br w:val="nil"/>
              <w:tr2bl w:val="nil"/>
            </w:tcBorders>
            <w:vAlign w:val="top"/>
          </w:tcPr>
          <w:p w14:paraId="712B8761">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57.00% </w:t>
            </w:r>
          </w:p>
        </w:tc>
        <w:tc>
          <w:tcPr>
            <w:tcW w:w="483" w:type="dxa"/>
            <w:tcBorders>
              <w:tl2br w:val="nil"/>
              <w:tr2bl w:val="nil"/>
            </w:tcBorders>
            <w:vAlign w:val="top"/>
          </w:tcPr>
          <w:p w14:paraId="281E9597">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13 </w:t>
            </w:r>
          </w:p>
        </w:tc>
        <w:tc>
          <w:tcPr>
            <w:tcW w:w="986" w:type="dxa"/>
            <w:tcBorders>
              <w:tl2br w:val="nil"/>
              <w:tr2bl w:val="nil"/>
            </w:tcBorders>
            <w:vAlign w:val="top"/>
          </w:tcPr>
          <w:p w14:paraId="17E846BC">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117.21% </w:t>
            </w:r>
          </w:p>
        </w:tc>
      </w:tr>
    </w:tbl>
    <w:p w14:paraId="64C25BE1">
      <w:pPr>
        <w:numPr>
          <w:ilvl w:val="0"/>
          <w:numId w:val="0"/>
        </w:numPr>
        <w:rPr>
          <w:rFonts w:hint="default" w:ascii="Cambria" w:hAnsi="Cambria" w:cs="Cambria"/>
          <w:u w:val="none"/>
          <w:lang w:val="en-US" w:eastAsia="zh-CN"/>
        </w:rPr>
      </w:pPr>
    </w:p>
    <w:p w14:paraId="459030C8">
      <w:pPr>
        <w:numPr>
          <w:ilvl w:val="0"/>
          <w:numId w:val="0"/>
        </w:numPr>
        <w:rPr>
          <w:rFonts w:hint="default" w:ascii="Cambria" w:hAnsi="Cambria" w:cs="Cambria" w:eastAsiaTheme="minorEastAsia"/>
          <w:lang w:eastAsia="zh-CN"/>
        </w:rPr>
      </w:pPr>
      <w:r>
        <w:rPr>
          <w:rFonts w:hint="default" w:ascii="Cambria" w:hAnsi="Cambria" w:cs="Cambria"/>
          <w:lang w:val="en-US" w:eastAsia="zh-CN"/>
        </w:rPr>
        <w:t xml:space="preserve">2.4 </w:t>
      </w:r>
      <w:r>
        <w:rPr>
          <w:rFonts w:hint="default" w:ascii="Cambria" w:hAnsi="Cambria" w:cs="Cambria"/>
        </w:rPr>
        <w:t>Survey Results of Practitioner Pre-operation Preparation</w:t>
      </w:r>
    </w:p>
    <w:p w14:paraId="4435E9FD">
      <w:pPr>
        <w:numPr>
          <w:ilvl w:val="0"/>
          <w:numId w:val="0"/>
        </w:numPr>
        <w:rPr>
          <w:rFonts w:hint="default" w:ascii="Cambria" w:hAnsi="Cambria" w:cs="Cambria"/>
          <w:u w:val="none"/>
          <w:lang w:val="en-US" w:eastAsia="zh-CN"/>
        </w:rPr>
      </w:pPr>
      <w:r>
        <w:rPr>
          <w:rFonts w:hint="default" w:ascii="Cambria" w:hAnsi="Cambria" w:cs="Cambria"/>
          <w:u w:val="none"/>
        </w:rPr>
        <w:t>Table 11 Survey Results of Practitioner Pre-operation Preparation</w:t>
      </w:r>
      <w:r>
        <w:rPr>
          <w:rFonts w:hint="default" w:ascii="Cambria" w:hAnsi="Cambria" w:cs="Cambria"/>
          <w:u w:val="none"/>
          <w:lang w:val="en-US" w:eastAsia="zh-CN"/>
        </w:rPr>
        <w:tab/>
      </w:r>
    </w:p>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78"/>
        <w:gridCol w:w="933"/>
        <w:gridCol w:w="942"/>
        <w:gridCol w:w="483"/>
        <w:gridCol w:w="986"/>
      </w:tblGrid>
      <w:tr w14:paraId="73C2C5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bottom w:val="single" w:color="auto" w:sz="4" w:space="0"/>
            </w:tcBorders>
            <w:vAlign w:val="top"/>
          </w:tcPr>
          <w:p w14:paraId="3E16DD4A">
            <w:pPr>
              <w:numPr>
                <w:ilvl w:val="0"/>
                <w:numId w:val="0"/>
              </w:numPr>
              <w:rPr>
                <w:rFonts w:hint="default" w:ascii="Cambria" w:hAnsi="Cambria" w:cs="Cambria"/>
                <w:u w:val="none"/>
                <w:vertAlign w:val="baseline"/>
                <w:lang w:val="en-US" w:eastAsia="zh-CN"/>
              </w:rPr>
            </w:pPr>
            <w:r>
              <w:rPr>
                <w:rFonts w:hint="default" w:ascii="Cambria" w:hAnsi="Cambria" w:cs="Cambria"/>
                <w:u w:val="none"/>
              </w:rPr>
              <w:t>Option</w:t>
            </w:r>
          </w:p>
        </w:tc>
        <w:tc>
          <w:tcPr>
            <w:tcW w:w="933" w:type="dxa"/>
            <w:tcBorders>
              <w:bottom w:val="single" w:color="auto" w:sz="4" w:space="0"/>
            </w:tcBorders>
            <w:vAlign w:val="top"/>
          </w:tcPr>
          <w:p w14:paraId="5490734A">
            <w:pPr>
              <w:numPr>
                <w:ilvl w:val="0"/>
                <w:numId w:val="0"/>
              </w:numPr>
              <w:rPr>
                <w:rFonts w:hint="default" w:ascii="Cambria" w:hAnsi="Cambria" w:cs="Cambria"/>
                <w:u w:val="none"/>
                <w:vertAlign w:val="baseline"/>
                <w:lang w:val="en-US" w:eastAsia="zh-CN"/>
              </w:rPr>
            </w:pPr>
            <w:r>
              <w:rPr>
                <w:rFonts w:hint="default" w:ascii="Cambria" w:hAnsi="Cambria" w:cs="Cambria"/>
                <w:u w:val="none"/>
                <w:lang w:val="en-US" w:eastAsia="zh-CN"/>
              </w:rPr>
              <w:t xml:space="preserve">X̅  </w:t>
            </w:r>
          </w:p>
        </w:tc>
        <w:tc>
          <w:tcPr>
            <w:tcW w:w="942" w:type="dxa"/>
            <w:tcBorders>
              <w:bottom w:val="single" w:color="auto" w:sz="4" w:space="0"/>
            </w:tcBorders>
            <w:vAlign w:val="top"/>
          </w:tcPr>
          <w:p w14:paraId="641729E4">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R </w:t>
            </w:r>
          </w:p>
        </w:tc>
        <w:tc>
          <w:tcPr>
            <w:tcW w:w="483" w:type="dxa"/>
            <w:tcBorders>
              <w:bottom w:val="single" w:color="auto" w:sz="4" w:space="0"/>
            </w:tcBorders>
            <w:vAlign w:val="top"/>
          </w:tcPr>
          <w:p w14:paraId="3ED720F9">
            <w:pPr>
              <w:numPr>
                <w:ilvl w:val="0"/>
                <w:numId w:val="0"/>
              </w:numPr>
              <w:rPr>
                <w:rFonts w:hint="default" w:ascii="Cambria" w:hAnsi="Cambria" w:cs="Cambria"/>
                <w:u w:val="none"/>
                <w:vertAlign w:val="baseline"/>
                <w:lang w:val="en-US" w:eastAsia="zh-CN"/>
              </w:rPr>
            </w:pPr>
            <w:r>
              <w:rPr>
                <w:rFonts w:hint="default" w:ascii="Cambria" w:hAnsi="Cambria" w:cs="Cambria"/>
                <w:u w:val="none"/>
              </w:rPr>
              <w:t>S</w:t>
            </w:r>
          </w:p>
        </w:tc>
        <w:tc>
          <w:tcPr>
            <w:tcW w:w="986" w:type="dxa"/>
            <w:tcBorders>
              <w:bottom w:val="single" w:color="auto" w:sz="4" w:space="0"/>
            </w:tcBorders>
            <w:vAlign w:val="top"/>
          </w:tcPr>
          <w:p w14:paraId="24991875">
            <w:pPr>
              <w:numPr>
                <w:ilvl w:val="0"/>
                <w:numId w:val="0"/>
              </w:numPr>
              <w:rPr>
                <w:rFonts w:hint="default" w:ascii="Cambria" w:hAnsi="Cambria" w:cs="Cambria"/>
                <w:u w:val="none"/>
                <w:vertAlign w:val="baseline"/>
                <w:lang w:val="en-US" w:eastAsia="zh-CN"/>
              </w:rPr>
            </w:pPr>
            <w:r>
              <w:rPr>
                <w:rFonts w:hint="default" w:ascii="Cambria" w:hAnsi="Cambria" w:cs="Cambria"/>
                <w:u w:val="none"/>
              </w:rPr>
              <w:t>CV</w:t>
            </w:r>
          </w:p>
        </w:tc>
      </w:tr>
      <w:tr w14:paraId="123B7B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top w:val="single" w:color="auto" w:sz="4" w:space="0"/>
              <w:tl2br w:val="nil"/>
              <w:tr2bl w:val="nil"/>
            </w:tcBorders>
            <w:vAlign w:val="top"/>
          </w:tcPr>
          <w:p w14:paraId="312487F6">
            <w:pPr>
              <w:rPr>
                <w:rFonts w:hint="default" w:ascii="Cambria" w:hAnsi="Cambria" w:cs="Cambria" w:eastAsiaTheme="minorEastAsia"/>
                <w:kern w:val="2"/>
                <w:sz w:val="21"/>
                <w:szCs w:val="24"/>
                <w:lang w:val="en-US" w:eastAsia="zh-CN" w:bidi="ar-SA"/>
              </w:rPr>
            </w:pPr>
            <w:r>
              <w:rPr>
                <w:rFonts w:hint="default" w:ascii="Cambria" w:hAnsi="Cambria" w:cs="Cambria"/>
              </w:rPr>
              <w:t>A. Wet both hands under running water. Take an appropriate amount of hand sanitizer (or soap) and apply it evenly over the entire palm, back of hands, fingers and finger webs.</w:t>
            </w:r>
            <w:r>
              <w:rPr>
                <w:rFonts w:hint="default" w:ascii="Cambria" w:hAnsi="Cambria" w:cs="Cambria"/>
                <w:lang w:val="en-US" w:eastAsia="zh-CN"/>
              </w:rPr>
              <w:t xml:space="preserve"> </w:t>
            </w:r>
            <w:r>
              <w:rPr>
                <w:rFonts w:hint="default" w:ascii="Cambria" w:hAnsi="Cambria" w:cs="Cambria"/>
              </w:rPr>
              <w:t>Rub hands thoroughly for at least 15 seconds, covering all skin surfaces of the hands including backs of fingers, fingertips and finger webs. Refer to WS/T 313</w:t>
            </w:r>
            <w:r>
              <w:rPr>
                <w:rFonts w:hint="default" w:ascii="Cambria" w:hAnsi="Cambria" w:cs="Cambria"/>
                <w:lang w:val="en-US" w:eastAsia="zh-CN"/>
              </w:rPr>
              <w:t>-</w:t>
            </w:r>
            <w:r>
              <w:rPr>
                <w:rFonts w:hint="default" w:ascii="Cambria" w:hAnsi="Cambria" w:cs="Cambria"/>
              </w:rPr>
              <w:t>2019</w:t>
            </w:r>
            <w:r>
              <w:rPr>
                <w:rFonts w:hint="default" w:ascii="Cambria" w:hAnsi="Cambria" w:cs="Cambria"/>
                <w:lang w:val="en-US" w:eastAsia="zh-CN"/>
              </w:rPr>
              <w:t xml:space="preserve"> </w:t>
            </w:r>
            <w:r>
              <w:rPr>
                <w:rFonts w:hint="default" w:ascii="Cambria" w:hAnsi="Cambria" w:cs="Cambria"/>
              </w:rPr>
              <w:t>Handwashing Procedures for Medical Staff</w:t>
            </w:r>
            <w:r>
              <w:rPr>
                <w:rFonts w:hint="default" w:ascii="Cambria" w:hAnsi="Cambria" w:cs="Cambria"/>
                <w:lang w:val="en-US" w:eastAsia="zh-CN"/>
              </w:rPr>
              <w:t xml:space="preserve"> </w:t>
            </w:r>
            <w:r>
              <w:rPr>
                <w:rFonts w:hint="default" w:ascii="Cambria" w:hAnsi="Cambria" w:cs="Cambria" w:eastAsiaTheme="minorEastAsia"/>
                <w:kern w:val="2"/>
                <w:sz w:val="21"/>
                <w:szCs w:val="24"/>
                <w:lang w:val="en-US" w:eastAsia="zh-CN" w:bidi="ar-SA"/>
              </w:rPr>
              <w:t>–</w:t>
            </w:r>
          </w:p>
          <w:p w14:paraId="7C59D340">
            <w:pPr>
              <w:numPr>
                <w:ilvl w:val="0"/>
                <w:numId w:val="0"/>
              </w:numPr>
              <w:rPr>
                <w:rFonts w:hint="default" w:ascii="Cambria" w:hAnsi="Cambria" w:cs="Cambria" w:eastAsiaTheme="minorEastAsia"/>
                <w:u w:val="none"/>
                <w:vertAlign w:val="baseline"/>
                <w:lang w:val="en-US" w:eastAsia="zh-CN"/>
              </w:rPr>
            </w:pPr>
            <w:r>
              <w:rPr>
                <w:rFonts w:hint="default" w:ascii="Cambria" w:hAnsi="Cambria" w:cs="Cambria"/>
                <w:lang w:val="en-US" w:eastAsia="zh-CN"/>
              </w:rPr>
              <w:t xml:space="preserve">Annex A, </w:t>
            </w:r>
            <w:r>
              <w:rPr>
                <w:rFonts w:hint="default" w:ascii="Cambria" w:hAnsi="Cambria" w:cs="Cambria"/>
              </w:rPr>
              <w:t>for detailed rubbing steps.</w:t>
            </w:r>
            <w:r>
              <w:rPr>
                <w:rFonts w:hint="default" w:ascii="Cambria" w:hAnsi="Cambria" w:cs="Cambria"/>
                <w:lang w:val="en-US" w:eastAsia="zh-CN"/>
              </w:rPr>
              <w:t xml:space="preserve"> </w:t>
            </w:r>
            <w:r>
              <w:rPr>
                <w:rFonts w:hint="default" w:ascii="Cambria" w:hAnsi="Cambria" w:cs="Cambria"/>
              </w:rPr>
              <w:t>Dispense an adequate quantity of hand disinfectant into the palm and spread it evenly across both hands. Perform hand rubbing following the procedures specified in Handwashing Procedures for Medical Staff until hands are completely dry.</w:t>
            </w:r>
            <w:r>
              <w:rPr>
                <w:rFonts w:hint="default" w:ascii="Cambria" w:hAnsi="Cambria" w:cs="Cambria"/>
                <w:lang w:val="en-US" w:eastAsia="zh-CN"/>
              </w:rPr>
              <w:t xml:space="preserve"> </w:t>
            </w:r>
            <w:r>
              <w:rPr>
                <w:rFonts w:hint="default" w:ascii="Cambria" w:hAnsi="Cambria" w:cs="Cambria"/>
              </w:rPr>
              <w:t xml:space="preserve">Quick-dry hand disinfectant is the first choice for hygienic hand disinfection. Alternative hand disinfectants may be used for sensitive individuals. In cases of infection caused by certain enteroviruses insensitive to ethanol, other effective hand disinfectants shall be adopted. (Source: </w:t>
            </w:r>
            <w:r>
              <w:rPr>
                <w:rFonts w:hint="default" w:ascii="Cambria" w:hAnsi="Cambria" w:cs="Cambria"/>
                <w:lang w:eastAsia="zh-CN"/>
              </w:rPr>
              <w:t>WS/T 313-2019, Specification of Hand Hygiene for Healthcare Workers, National Health Industry Standard of the People's Republic of China</w:t>
            </w:r>
            <w:r>
              <w:rPr>
                <w:rFonts w:hint="default" w:ascii="Cambria" w:hAnsi="Cambria" w:cs="Cambria"/>
                <w:lang w:val="en-US" w:eastAsia="zh-CN"/>
              </w:rPr>
              <w:t>)</w:t>
            </w:r>
            <w:r>
              <w:rPr>
                <w:rFonts w:hint="default" w:ascii="Cambria" w:hAnsi="Cambria" w:cs="Cambria"/>
              </w:rPr>
              <w:t xml:space="preserve"> </w:t>
            </w:r>
          </w:p>
        </w:tc>
        <w:tc>
          <w:tcPr>
            <w:tcW w:w="933" w:type="dxa"/>
            <w:tcBorders>
              <w:top w:val="single" w:color="auto" w:sz="4" w:space="0"/>
              <w:tl2br w:val="nil"/>
              <w:tr2bl w:val="nil"/>
            </w:tcBorders>
            <w:vAlign w:val="top"/>
          </w:tcPr>
          <w:p w14:paraId="0CEF90D2">
            <w:pPr>
              <w:numPr>
                <w:ilvl w:val="0"/>
                <w:numId w:val="0"/>
              </w:numPr>
              <w:rPr>
                <w:rFonts w:hint="default" w:ascii="Cambria" w:hAnsi="Cambria" w:cs="Cambria"/>
                <w:u w:val="none"/>
                <w:vertAlign w:val="baseline"/>
                <w:lang w:val="en-US" w:eastAsia="zh-CN"/>
              </w:rPr>
            </w:pPr>
            <w:r>
              <w:rPr>
                <w:rFonts w:hint="default" w:ascii="Cambria" w:hAnsi="Cambria" w:cs="Cambria"/>
              </w:rPr>
              <w:t>0.6</w:t>
            </w:r>
          </w:p>
        </w:tc>
        <w:tc>
          <w:tcPr>
            <w:tcW w:w="942" w:type="dxa"/>
            <w:tcBorders>
              <w:top w:val="single" w:color="auto" w:sz="4" w:space="0"/>
              <w:tl2br w:val="nil"/>
              <w:tr2bl w:val="nil"/>
            </w:tcBorders>
            <w:vAlign w:val="top"/>
          </w:tcPr>
          <w:p w14:paraId="48889269">
            <w:pPr>
              <w:numPr>
                <w:ilvl w:val="0"/>
                <w:numId w:val="0"/>
              </w:numPr>
              <w:rPr>
                <w:rFonts w:hint="default" w:ascii="Cambria" w:hAnsi="Cambria" w:cs="Cambria"/>
                <w:u w:val="none"/>
                <w:vertAlign w:val="baseline"/>
                <w:lang w:val="en-US" w:eastAsia="zh-CN"/>
              </w:rPr>
            </w:pPr>
            <w:r>
              <w:rPr>
                <w:rFonts w:hint="default" w:ascii="Cambria" w:hAnsi="Cambria" w:cs="Cambria"/>
              </w:rPr>
              <w:t xml:space="preserve">40.00% </w:t>
            </w:r>
          </w:p>
        </w:tc>
        <w:tc>
          <w:tcPr>
            <w:tcW w:w="483" w:type="dxa"/>
            <w:tcBorders>
              <w:top w:val="single" w:color="auto" w:sz="4" w:space="0"/>
              <w:tl2br w:val="nil"/>
              <w:tr2bl w:val="nil"/>
            </w:tcBorders>
            <w:vAlign w:val="top"/>
          </w:tcPr>
          <w:p w14:paraId="6D0AE359">
            <w:pPr>
              <w:numPr>
                <w:ilvl w:val="0"/>
                <w:numId w:val="0"/>
              </w:numPr>
              <w:rPr>
                <w:rFonts w:hint="default" w:ascii="Cambria" w:hAnsi="Cambria" w:cs="Cambria"/>
                <w:u w:val="none"/>
                <w:vertAlign w:val="baseline"/>
                <w:lang w:val="en-US" w:eastAsia="zh-CN"/>
              </w:rPr>
            </w:pPr>
            <w:r>
              <w:rPr>
                <w:rFonts w:hint="default" w:ascii="Cambria" w:hAnsi="Cambria" w:cs="Cambria"/>
              </w:rPr>
              <w:t>18</w:t>
            </w:r>
          </w:p>
        </w:tc>
        <w:tc>
          <w:tcPr>
            <w:tcW w:w="986" w:type="dxa"/>
            <w:tcBorders>
              <w:top w:val="single" w:color="auto" w:sz="4" w:space="0"/>
              <w:tl2br w:val="nil"/>
              <w:tr2bl w:val="nil"/>
            </w:tcBorders>
            <w:vAlign w:val="top"/>
          </w:tcPr>
          <w:p w14:paraId="73D5B7AA">
            <w:pPr>
              <w:numPr>
                <w:ilvl w:val="0"/>
                <w:numId w:val="0"/>
              </w:numPr>
              <w:rPr>
                <w:rFonts w:hint="default" w:ascii="Cambria" w:hAnsi="Cambria" w:cs="Cambria"/>
                <w:u w:val="none"/>
                <w:vertAlign w:val="baseline"/>
                <w:lang w:val="en-US" w:eastAsia="zh-CN"/>
              </w:rPr>
            </w:pPr>
            <w:r>
              <w:rPr>
                <w:rFonts w:hint="default" w:ascii="Cambria" w:hAnsi="Cambria" w:cs="Cambria"/>
              </w:rPr>
              <w:t>82.05%</w:t>
            </w:r>
          </w:p>
        </w:tc>
      </w:tr>
      <w:tr w14:paraId="304DEAD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tl2br w:val="nil"/>
              <w:tr2bl w:val="nil"/>
            </w:tcBorders>
            <w:vAlign w:val="top"/>
          </w:tcPr>
          <w:p w14:paraId="68A17F57">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B. Follow the original text of the national standard. </w:t>
            </w:r>
          </w:p>
        </w:tc>
        <w:tc>
          <w:tcPr>
            <w:tcW w:w="933" w:type="dxa"/>
            <w:tcBorders>
              <w:tl2br w:val="nil"/>
              <w:tr2bl w:val="nil"/>
            </w:tcBorders>
            <w:vAlign w:val="top"/>
          </w:tcPr>
          <w:p w14:paraId="77A34D85">
            <w:pPr>
              <w:numPr>
                <w:ilvl w:val="0"/>
                <w:numId w:val="0"/>
              </w:numPr>
              <w:rPr>
                <w:rFonts w:hint="default" w:ascii="Cambria" w:hAnsi="Cambria" w:cs="Cambria"/>
                <w:u w:val="none"/>
                <w:vertAlign w:val="baseline"/>
                <w:lang w:val="en-US" w:eastAsia="zh-CN"/>
              </w:rPr>
            </w:pPr>
            <w:r>
              <w:rPr>
                <w:rFonts w:hint="default" w:ascii="Cambria" w:hAnsi="Cambria" w:cs="Cambria"/>
                <w:u w:val="none"/>
              </w:rPr>
              <w:t>0.4</w:t>
            </w:r>
          </w:p>
        </w:tc>
        <w:tc>
          <w:tcPr>
            <w:tcW w:w="942" w:type="dxa"/>
            <w:tcBorders>
              <w:tl2br w:val="nil"/>
              <w:tr2bl w:val="nil"/>
            </w:tcBorders>
            <w:vAlign w:val="top"/>
          </w:tcPr>
          <w:p w14:paraId="3B35AD40">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60.00% </w:t>
            </w:r>
          </w:p>
        </w:tc>
        <w:tc>
          <w:tcPr>
            <w:tcW w:w="483" w:type="dxa"/>
            <w:tcBorders>
              <w:tl2br w:val="nil"/>
              <w:tr2bl w:val="nil"/>
            </w:tcBorders>
            <w:vAlign w:val="top"/>
          </w:tcPr>
          <w:p w14:paraId="1F235EA2">
            <w:pPr>
              <w:numPr>
                <w:ilvl w:val="0"/>
                <w:numId w:val="0"/>
              </w:numPr>
              <w:rPr>
                <w:rFonts w:hint="default" w:ascii="Cambria" w:hAnsi="Cambria" w:cs="Cambria"/>
                <w:u w:val="none"/>
                <w:vertAlign w:val="baseline"/>
                <w:lang w:val="en-US" w:eastAsia="zh-CN"/>
              </w:rPr>
            </w:pPr>
            <w:r>
              <w:rPr>
                <w:rFonts w:hint="default" w:ascii="Cambria" w:hAnsi="Cambria" w:cs="Cambria"/>
                <w:u w:val="none"/>
              </w:rPr>
              <w:t>12</w:t>
            </w:r>
          </w:p>
        </w:tc>
        <w:tc>
          <w:tcPr>
            <w:tcW w:w="986" w:type="dxa"/>
            <w:tcBorders>
              <w:tl2br w:val="nil"/>
              <w:tr2bl w:val="nil"/>
            </w:tcBorders>
            <w:vAlign w:val="top"/>
          </w:tcPr>
          <w:p w14:paraId="4FF88200">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124.57% </w:t>
            </w:r>
          </w:p>
        </w:tc>
      </w:tr>
    </w:tbl>
    <w:p w14:paraId="59759CA1">
      <w:pPr>
        <w:numPr>
          <w:ilvl w:val="0"/>
          <w:numId w:val="0"/>
        </w:numPr>
        <w:rPr>
          <w:rFonts w:hint="default" w:ascii="Cambria" w:hAnsi="Cambria" w:cs="Cambria"/>
          <w:lang w:val="en-US" w:eastAsia="zh-CN"/>
        </w:rPr>
      </w:pPr>
    </w:p>
    <w:p w14:paraId="69EDDD7D">
      <w:pPr>
        <w:numPr>
          <w:ilvl w:val="0"/>
          <w:numId w:val="0"/>
        </w:numPr>
        <w:rPr>
          <w:rFonts w:hint="default" w:ascii="Cambria" w:hAnsi="Cambria" w:cs="Cambria" w:eastAsiaTheme="minorEastAsia"/>
          <w:lang w:eastAsia="zh-CN"/>
        </w:rPr>
      </w:pPr>
      <w:r>
        <w:rPr>
          <w:rFonts w:hint="default" w:ascii="Cambria" w:hAnsi="Cambria" w:cs="Cambria"/>
          <w:lang w:val="en-US" w:eastAsia="zh-CN"/>
        </w:rPr>
        <w:t xml:space="preserve">2.5 </w:t>
      </w:r>
      <w:r>
        <w:rPr>
          <w:rFonts w:hint="default" w:ascii="Cambria" w:hAnsi="Cambria" w:cs="Cambria"/>
        </w:rPr>
        <w:t>Survey Results of the Cupping Site</w:t>
      </w:r>
    </w:p>
    <w:p w14:paraId="00E9869A">
      <w:pPr>
        <w:numPr>
          <w:ilvl w:val="0"/>
          <w:numId w:val="0"/>
        </w:numPr>
        <w:rPr>
          <w:rFonts w:hint="default" w:ascii="Cambria" w:hAnsi="Cambria" w:cs="Cambria"/>
          <w:u w:val="none"/>
          <w:lang w:val="en-US" w:eastAsia="zh-CN"/>
        </w:rPr>
      </w:pPr>
      <w:r>
        <w:rPr>
          <w:rFonts w:hint="default" w:ascii="Cambria" w:hAnsi="Cambria" w:cs="Cambria"/>
          <w:u w:val="none"/>
        </w:rPr>
        <w:t>Table 12 Survey Results of the Cupping Site</w:t>
      </w:r>
      <w:r>
        <w:rPr>
          <w:rFonts w:hint="default" w:ascii="Cambria" w:hAnsi="Cambria" w:cs="Cambria"/>
          <w:u w:val="none"/>
          <w:lang w:val="en-US" w:eastAsia="zh-CN"/>
        </w:rPr>
        <w:tab/>
      </w:r>
      <w:r>
        <w:rPr>
          <w:rFonts w:hint="default" w:ascii="Cambria" w:hAnsi="Cambria" w:cs="Cambria"/>
          <w:u w:val="none"/>
          <w:lang w:val="en-US" w:eastAsia="zh-CN"/>
        </w:rPr>
        <w:tab/>
      </w:r>
    </w:p>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78"/>
        <w:gridCol w:w="933"/>
        <w:gridCol w:w="942"/>
        <w:gridCol w:w="483"/>
        <w:gridCol w:w="986"/>
      </w:tblGrid>
      <w:tr w14:paraId="16BF977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bottom w:val="single" w:color="auto" w:sz="4" w:space="0"/>
            </w:tcBorders>
            <w:vAlign w:val="top"/>
          </w:tcPr>
          <w:p w14:paraId="6DCDF858">
            <w:pPr>
              <w:numPr>
                <w:ilvl w:val="0"/>
                <w:numId w:val="0"/>
              </w:numPr>
              <w:rPr>
                <w:rFonts w:hint="default" w:ascii="Cambria" w:hAnsi="Cambria" w:cs="Cambria"/>
                <w:u w:val="none"/>
                <w:vertAlign w:val="baseline"/>
                <w:lang w:val="en-US" w:eastAsia="zh-CN"/>
              </w:rPr>
            </w:pPr>
            <w:r>
              <w:rPr>
                <w:rFonts w:hint="default" w:ascii="Cambria" w:hAnsi="Cambria" w:cs="Cambria"/>
                <w:u w:val="none"/>
              </w:rPr>
              <w:t>Option</w:t>
            </w:r>
          </w:p>
        </w:tc>
        <w:tc>
          <w:tcPr>
            <w:tcW w:w="933" w:type="dxa"/>
            <w:tcBorders>
              <w:bottom w:val="single" w:color="auto" w:sz="4" w:space="0"/>
            </w:tcBorders>
            <w:vAlign w:val="top"/>
          </w:tcPr>
          <w:p w14:paraId="39A2384D">
            <w:pPr>
              <w:numPr>
                <w:ilvl w:val="0"/>
                <w:numId w:val="0"/>
              </w:numPr>
              <w:rPr>
                <w:rFonts w:hint="default" w:ascii="Cambria" w:hAnsi="Cambria" w:cs="Cambria"/>
                <w:u w:val="none"/>
                <w:vertAlign w:val="baseline"/>
                <w:lang w:val="en-US" w:eastAsia="zh-CN"/>
              </w:rPr>
            </w:pPr>
            <w:r>
              <w:rPr>
                <w:rFonts w:hint="default" w:ascii="Cambria" w:hAnsi="Cambria" w:cs="Cambria"/>
                <w:u w:val="none"/>
                <w:lang w:val="en-US" w:eastAsia="zh-CN"/>
              </w:rPr>
              <w:t xml:space="preserve">X̅  </w:t>
            </w:r>
          </w:p>
        </w:tc>
        <w:tc>
          <w:tcPr>
            <w:tcW w:w="942" w:type="dxa"/>
            <w:tcBorders>
              <w:bottom w:val="single" w:color="auto" w:sz="4" w:space="0"/>
            </w:tcBorders>
            <w:vAlign w:val="top"/>
          </w:tcPr>
          <w:p w14:paraId="0CA92010">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R </w:t>
            </w:r>
          </w:p>
        </w:tc>
        <w:tc>
          <w:tcPr>
            <w:tcW w:w="483" w:type="dxa"/>
            <w:tcBorders>
              <w:bottom w:val="single" w:color="auto" w:sz="4" w:space="0"/>
            </w:tcBorders>
            <w:vAlign w:val="top"/>
          </w:tcPr>
          <w:p w14:paraId="2B475915">
            <w:pPr>
              <w:numPr>
                <w:ilvl w:val="0"/>
                <w:numId w:val="0"/>
              </w:numPr>
              <w:rPr>
                <w:rFonts w:hint="default" w:ascii="Cambria" w:hAnsi="Cambria" w:cs="Cambria"/>
                <w:u w:val="none"/>
                <w:vertAlign w:val="baseline"/>
                <w:lang w:val="en-US" w:eastAsia="zh-CN"/>
              </w:rPr>
            </w:pPr>
            <w:r>
              <w:rPr>
                <w:rFonts w:hint="default" w:ascii="Cambria" w:hAnsi="Cambria" w:cs="Cambria"/>
                <w:u w:val="none"/>
              </w:rPr>
              <w:t>S</w:t>
            </w:r>
          </w:p>
        </w:tc>
        <w:tc>
          <w:tcPr>
            <w:tcW w:w="986" w:type="dxa"/>
            <w:tcBorders>
              <w:bottom w:val="single" w:color="auto" w:sz="4" w:space="0"/>
            </w:tcBorders>
            <w:vAlign w:val="top"/>
          </w:tcPr>
          <w:p w14:paraId="6BBC1E91">
            <w:pPr>
              <w:numPr>
                <w:ilvl w:val="0"/>
                <w:numId w:val="0"/>
              </w:numPr>
              <w:rPr>
                <w:rFonts w:hint="default" w:ascii="Cambria" w:hAnsi="Cambria" w:cs="Cambria"/>
                <w:u w:val="none"/>
                <w:vertAlign w:val="baseline"/>
                <w:lang w:val="en-US" w:eastAsia="zh-CN"/>
              </w:rPr>
            </w:pPr>
            <w:r>
              <w:rPr>
                <w:rFonts w:hint="default" w:ascii="Cambria" w:hAnsi="Cambria" w:cs="Cambria"/>
                <w:u w:val="none"/>
              </w:rPr>
              <w:t>CV</w:t>
            </w:r>
          </w:p>
        </w:tc>
      </w:tr>
      <w:tr w14:paraId="51125B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top w:val="single" w:color="auto" w:sz="4" w:space="0"/>
              <w:tl2br w:val="nil"/>
              <w:tr2bl w:val="nil"/>
            </w:tcBorders>
            <w:vAlign w:val="top"/>
          </w:tcPr>
          <w:p w14:paraId="165CB73B">
            <w:pPr>
              <w:numPr>
                <w:ilvl w:val="0"/>
                <w:numId w:val="0"/>
              </w:numPr>
              <w:rPr>
                <w:rFonts w:hint="default" w:ascii="Cambria" w:hAnsi="Cambria" w:cs="Cambria" w:eastAsiaTheme="minorEastAsia"/>
                <w:u w:val="none"/>
                <w:vertAlign w:val="baseline"/>
                <w:lang w:val="en-US" w:eastAsia="zh-CN"/>
              </w:rPr>
            </w:pPr>
            <w:r>
              <w:rPr>
                <w:rFonts w:hint="default" w:ascii="Cambria" w:hAnsi="Cambria" w:cs="Cambria"/>
              </w:rPr>
              <w:t>A. The cupping site generally does not require disinfection. Based on the skin condition of pediatric patients, white petrolatum or paraffin wax may be applied to the cupping area for children aged 1 to 5 years old. (Source: Cupping Therapy of TCM</w:t>
            </w:r>
            <w:r>
              <w:rPr>
                <w:rFonts w:hint="default" w:ascii="Cambria" w:hAnsi="Cambria" w:cs="Cambria"/>
                <w:lang w:val="en-US" w:eastAsia="zh-CN"/>
              </w:rPr>
              <w:t xml:space="preserve">, </w:t>
            </w:r>
            <w:r>
              <w:rPr>
                <w:rFonts w:hint="default" w:ascii="Cambria" w:hAnsi="Cambria" w:cs="Cambria"/>
              </w:rPr>
              <w:t>Innovative Textbook for Higher Education in the National TCM Industry during the 14th Five-Year Plan. Editor in Chief: Chen Zelin. China Press of TCM, 2023)</w:t>
            </w:r>
          </w:p>
        </w:tc>
        <w:tc>
          <w:tcPr>
            <w:tcW w:w="933" w:type="dxa"/>
            <w:tcBorders>
              <w:top w:val="single" w:color="auto" w:sz="4" w:space="0"/>
              <w:tl2br w:val="nil"/>
              <w:tr2bl w:val="nil"/>
            </w:tcBorders>
            <w:vAlign w:val="top"/>
          </w:tcPr>
          <w:p w14:paraId="48C89F0C">
            <w:pPr>
              <w:numPr>
                <w:ilvl w:val="0"/>
                <w:numId w:val="0"/>
              </w:numPr>
              <w:rPr>
                <w:rFonts w:hint="default" w:ascii="Cambria" w:hAnsi="Cambria" w:cs="Cambria"/>
                <w:u w:val="none"/>
                <w:vertAlign w:val="baseline"/>
                <w:lang w:val="en-US" w:eastAsia="zh-CN"/>
              </w:rPr>
            </w:pPr>
            <w:r>
              <w:rPr>
                <w:rFonts w:hint="default" w:ascii="Cambria" w:hAnsi="Cambria" w:cs="Cambria"/>
              </w:rPr>
              <w:t xml:space="preserve">0.53 </w:t>
            </w:r>
          </w:p>
        </w:tc>
        <w:tc>
          <w:tcPr>
            <w:tcW w:w="942" w:type="dxa"/>
            <w:tcBorders>
              <w:top w:val="single" w:color="auto" w:sz="4" w:space="0"/>
              <w:tl2br w:val="nil"/>
              <w:tr2bl w:val="nil"/>
            </w:tcBorders>
            <w:vAlign w:val="top"/>
          </w:tcPr>
          <w:p w14:paraId="7547F232">
            <w:pPr>
              <w:numPr>
                <w:ilvl w:val="0"/>
                <w:numId w:val="0"/>
              </w:numPr>
              <w:rPr>
                <w:rFonts w:hint="default" w:ascii="Cambria" w:hAnsi="Cambria" w:cs="Cambria"/>
                <w:u w:val="none"/>
                <w:vertAlign w:val="baseline"/>
                <w:lang w:val="en-US" w:eastAsia="zh-CN"/>
              </w:rPr>
            </w:pPr>
            <w:r>
              <w:rPr>
                <w:rFonts w:hint="default" w:ascii="Cambria" w:hAnsi="Cambria" w:cs="Cambria"/>
              </w:rPr>
              <w:t>47.00%</w:t>
            </w:r>
          </w:p>
        </w:tc>
        <w:tc>
          <w:tcPr>
            <w:tcW w:w="483" w:type="dxa"/>
            <w:tcBorders>
              <w:top w:val="single" w:color="auto" w:sz="4" w:space="0"/>
              <w:tl2br w:val="nil"/>
              <w:tr2bl w:val="nil"/>
            </w:tcBorders>
            <w:vAlign w:val="top"/>
          </w:tcPr>
          <w:p w14:paraId="0F644A89">
            <w:pPr>
              <w:numPr>
                <w:ilvl w:val="0"/>
                <w:numId w:val="0"/>
              </w:numPr>
              <w:rPr>
                <w:rFonts w:hint="default" w:ascii="Cambria" w:hAnsi="Cambria" w:cs="Cambria"/>
                <w:u w:val="none"/>
                <w:vertAlign w:val="baseline"/>
                <w:lang w:val="en-US" w:eastAsia="zh-CN"/>
              </w:rPr>
            </w:pPr>
            <w:r>
              <w:rPr>
                <w:rFonts w:hint="default" w:ascii="Cambria" w:hAnsi="Cambria" w:cs="Cambria"/>
              </w:rPr>
              <w:t xml:space="preserve">16 </w:t>
            </w:r>
          </w:p>
        </w:tc>
        <w:tc>
          <w:tcPr>
            <w:tcW w:w="986" w:type="dxa"/>
            <w:tcBorders>
              <w:top w:val="single" w:color="auto" w:sz="4" w:space="0"/>
              <w:tl2br w:val="nil"/>
              <w:tr2bl w:val="nil"/>
            </w:tcBorders>
            <w:vAlign w:val="top"/>
          </w:tcPr>
          <w:p w14:paraId="7411E9F5">
            <w:pPr>
              <w:numPr>
                <w:ilvl w:val="0"/>
                <w:numId w:val="0"/>
              </w:numPr>
              <w:rPr>
                <w:rFonts w:hint="default" w:ascii="Cambria" w:hAnsi="Cambria" w:cs="Cambria"/>
                <w:u w:val="none"/>
                <w:vertAlign w:val="baseline"/>
                <w:lang w:val="en-US" w:eastAsia="zh-CN"/>
              </w:rPr>
            </w:pPr>
            <w:r>
              <w:rPr>
                <w:rFonts w:hint="default" w:ascii="Cambria" w:hAnsi="Cambria" w:cs="Cambria"/>
              </w:rPr>
              <w:t>95.74%</w:t>
            </w:r>
          </w:p>
        </w:tc>
      </w:tr>
      <w:tr w14:paraId="24B8F1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tl2br w:val="nil"/>
              <w:tr2bl w:val="nil"/>
            </w:tcBorders>
            <w:vAlign w:val="top"/>
          </w:tcPr>
          <w:p w14:paraId="3D39C1DB">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B. Follow the original text of the national standard. </w:t>
            </w:r>
          </w:p>
        </w:tc>
        <w:tc>
          <w:tcPr>
            <w:tcW w:w="933" w:type="dxa"/>
            <w:tcBorders>
              <w:tl2br w:val="nil"/>
              <w:tr2bl w:val="nil"/>
            </w:tcBorders>
            <w:vAlign w:val="top"/>
          </w:tcPr>
          <w:p w14:paraId="6D4ED160">
            <w:pPr>
              <w:numPr>
                <w:ilvl w:val="0"/>
                <w:numId w:val="0"/>
              </w:numPr>
              <w:rPr>
                <w:rFonts w:hint="default" w:ascii="Cambria" w:hAnsi="Cambria" w:cs="Cambria"/>
                <w:u w:val="none"/>
                <w:vertAlign w:val="baseline"/>
                <w:lang w:val="en-US" w:eastAsia="zh-CN"/>
              </w:rPr>
            </w:pPr>
            <w:r>
              <w:rPr>
                <w:rFonts w:hint="default" w:ascii="Cambria" w:hAnsi="Cambria" w:cs="Cambria"/>
                <w:u w:val="none"/>
              </w:rPr>
              <w:t>0.4</w:t>
            </w:r>
          </w:p>
        </w:tc>
        <w:tc>
          <w:tcPr>
            <w:tcW w:w="942" w:type="dxa"/>
            <w:tcBorders>
              <w:tl2br w:val="nil"/>
              <w:tr2bl w:val="nil"/>
            </w:tcBorders>
            <w:vAlign w:val="top"/>
          </w:tcPr>
          <w:p w14:paraId="58C33FB3">
            <w:pPr>
              <w:numPr>
                <w:ilvl w:val="0"/>
                <w:numId w:val="0"/>
              </w:numPr>
              <w:rPr>
                <w:rFonts w:hint="default" w:ascii="Cambria" w:hAnsi="Cambria" w:cs="Cambria"/>
                <w:u w:val="none"/>
                <w:vertAlign w:val="baseline"/>
                <w:lang w:val="en-US" w:eastAsia="zh-CN"/>
              </w:rPr>
            </w:pPr>
            <w:r>
              <w:rPr>
                <w:rFonts w:hint="default" w:ascii="Cambria" w:hAnsi="Cambria" w:cs="Cambria"/>
                <w:u w:val="none"/>
              </w:rPr>
              <w:t>60.00%</w:t>
            </w:r>
          </w:p>
        </w:tc>
        <w:tc>
          <w:tcPr>
            <w:tcW w:w="483" w:type="dxa"/>
            <w:tcBorders>
              <w:tl2br w:val="nil"/>
              <w:tr2bl w:val="nil"/>
            </w:tcBorders>
            <w:vAlign w:val="top"/>
          </w:tcPr>
          <w:p w14:paraId="499B7C32">
            <w:pPr>
              <w:numPr>
                <w:ilvl w:val="0"/>
                <w:numId w:val="0"/>
              </w:numPr>
              <w:rPr>
                <w:rFonts w:hint="default" w:ascii="Cambria" w:hAnsi="Cambria" w:cs="Cambria"/>
                <w:u w:val="none"/>
                <w:vertAlign w:val="baseline"/>
                <w:lang w:val="en-US" w:eastAsia="zh-CN"/>
              </w:rPr>
            </w:pPr>
            <w:r>
              <w:rPr>
                <w:rFonts w:hint="default" w:ascii="Cambria" w:hAnsi="Cambria" w:cs="Cambria"/>
                <w:u w:val="none"/>
              </w:rPr>
              <w:t>12</w:t>
            </w:r>
          </w:p>
        </w:tc>
        <w:tc>
          <w:tcPr>
            <w:tcW w:w="986" w:type="dxa"/>
            <w:tcBorders>
              <w:tl2br w:val="nil"/>
              <w:tr2bl w:val="nil"/>
            </w:tcBorders>
            <w:vAlign w:val="top"/>
          </w:tcPr>
          <w:p w14:paraId="2C9436DE">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124.57% </w:t>
            </w:r>
          </w:p>
        </w:tc>
      </w:tr>
    </w:tbl>
    <w:p w14:paraId="29CB431A">
      <w:pPr>
        <w:numPr>
          <w:ilvl w:val="0"/>
          <w:numId w:val="0"/>
        </w:numPr>
        <w:ind w:firstLine="210" w:firstLineChars="100"/>
        <w:rPr>
          <w:rFonts w:hint="default" w:ascii="Cambria" w:hAnsi="Cambria" w:cs="Cambria"/>
        </w:rPr>
      </w:pPr>
    </w:p>
    <w:p w14:paraId="488450F2">
      <w:pPr>
        <w:numPr>
          <w:ilvl w:val="0"/>
          <w:numId w:val="0"/>
        </w:numPr>
        <w:rPr>
          <w:rFonts w:hint="default" w:ascii="Cambria" w:hAnsi="Cambria" w:cs="Cambria"/>
          <w:u w:val="none"/>
        </w:rPr>
      </w:pPr>
      <w:r>
        <w:rPr>
          <w:rFonts w:hint="default" w:ascii="Cambria" w:hAnsi="Cambria" w:cs="Cambria"/>
          <w:u w:val="none"/>
          <w:lang w:val="en-US" w:eastAsia="zh-CN"/>
        </w:rPr>
        <w:tab/>
      </w:r>
      <w:r>
        <w:rPr>
          <w:rFonts w:hint="default" w:ascii="Cambria" w:hAnsi="Cambria" w:cs="Cambria"/>
          <w:u w:val="none"/>
          <w:lang w:val="en-US" w:eastAsia="zh-CN"/>
        </w:rPr>
        <w:t xml:space="preserve"> </w:t>
      </w:r>
      <w:r>
        <w:rPr>
          <w:rFonts w:hint="default" w:ascii="Cambria" w:hAnsi="Cambria" w:cs="Cambria"/>
          <w:u w:val="none"/>
        </w:rPr>
        <w:t xml:space="preserve"> </w:t>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rPr>
        <w:t xml:space="preserve"> </w:t>
      </w:r>
      <w:r>
        <w:rPr>
          <w:rFonts w:hint="default" w:ascii="Cambria" w:hAnsi="Cambria" w:cs="Cambria"/>
          <w:u w:val="none"/>
          <w:lang w:val="en-US" w:eastAsia="zh-CN"/>
        </w:rPr>
        <w:tab/>
      </w:r>
      <w:r>
        <w:rPr>
          <w:rFonts w:hint="default" w:ascii="Cambria" w:hAnsi="Cambria" w:cs="Cambria"/>
          <w:u w:val="none"/>
        </w:rPr>
        <w:t xml:space="preserve"> </w:t>
      </w:r>
      <w:r>
        <w:rPr>
          <w:rFonts w:hint="default" w:ascii="Cambria" w:hAnsi="Cambria" w:cs="Cambria"/>
          <w:u w:val="none"/>
          <w:lang w:val="en-US" w:eastAsia="zh-CN"/>
        </w:rPr>
        <w:tab/>
      </w:r>
      <w:r>
        <w:rPr>
          <w:rFonts w:hint="default" w:ascii="Cambria" w:hAnsi="Cambria" w:cs="Cambria"/>
          <w:u w:val="none"/>
          <w:lang w:val="en-US" w:eastAsia="zh-CN"/>
        </w:rPr>
        <w:tab/>
      </w:r>
    </w:p>
    <w:p w14:paraId="574E304A">
      <w:pPr>
        <w:numPr>
          <w:ilvl w:val="0"/>
          <w:numId w:val="0"/>
        </w:numPr>
        <w:rPr>
          <w:rFonts w:hint="default" w:ascii="Cambria" w:hAnsi="Cambria" w:cs="Cambria" w:eastAsiaTheme="minorEastAsia"/>
          <w:lang w:eastAsia="zh-CN"/>
        </w:rPr>
      </w:pPr>
      <w:r>
        <w:rPr>
          <w:rFonts w:hint="default" w:ascii="Cambria" w:hAnsi="Cambria" w:cs="Cambria"/>
          <w:lang w:val="en-US" w:eastAsia="zh-CN"/>
        </w:rPr>
        <w:t xml:space="preserve">2.6 </w:t>
      </w:r>
      <w:r>
        <w:rPr>
          <w:rFonts w:hint="default" w:ascii="Cambria" w:hAnsi="Cambria" w:cs="Cambria"/>
        </w:rPr>
        <w:t>Survey Results of Cupping with Retained Needles</w:t>
      </w:r>
    </w:p>
    <w:p w14:paraId="60019888">
      <w:pPr>
        <w:numPr>
          <w:ilvl w:val="0"/>
          <w:numId w:val="0"/>
        </w:numPr>
        <w:rPr>
          <w:rFonts w:hint="default" w:ascii="Cambria" w:hAnsi="Cambria" w:cs="Cambria"/>
          <w:u w:val="none"/>
          <w:lang w:val="en-US" w:eastAsia="zh-CN"/>
        </w:rPr>
      </w:pPr>
      <w:r>
        <w:rPr>
          <w:rFonts w:hint="default" w:ascii="Cambria" w:hAnsi="Cambria" w:cs="Cambria"/>
          <w:u w:val="none"/>
        </w:rPr>
        <w:t>Table 13 Survey Results of Cupping with Retained Needles</w:t>
      </w:r>
      <w:r>
        <w:rPr>
          <w:rFonts w:hint="default" w:ascii="Cambria" w:hAnsi="Cambria" w:cs="Cambria"/>
          <w:u w:val="none"/>
          <w:lang w:val="en-US" w:eastAsia="zh-CN"/>
        </w:rPr>
        <w:tab/>
      </w:r>
    </w:p>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78"/>
        <w:gridCol w:w="933"/>
        <w:gridCol w:w="942"/>
        <w:gridCol w:w="483"/>
        <w:gridCol w:w="986"/>
      </w:tblGrid>
      <w:tr w14:paraId="31484A2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bottom w:val="single" w:color="auto" w:sz="4" w:space="0"/>
            </w:tcBorders>
            <w:vAlign w:val="top"/>
          </w:tcPr>
          <w:p w14:paraId="2160B59E">
            <w:pPr>
              <w:numPr>
                <w:ilvl w:val="0"/>
                <w:numId w:val="0"/>
              </w:numPr>
              <w:rPr>
                <w:rFonts w:hint="default" w:ascii="Cambria" w:hAnsi="Cambria" w:cs="Cambria"/>
                <w:u w:val="none"/>
                <w:vertAlign w:val="baseline"/>
                <w:lang w:val="en-US" w:eastAsia="zh-CN"/>
              </w:rPr>
            </w:pPr>
            <w:r>
              <w:rPr>
                <w:rFonts w:hint="default" w:ascii="Cambria" w:hAnsi="Cambria" w:cs="Cambria"/>
                <w:u w:val="none"/>
              </w:rPr>
              <w:t>Option</w:t>
            </w:r>
          </w:p>
        </w:tc>
        <w:tc>
          <w:tcPr>
            <w:tcW w:w="933" w:type="dxa"/>
            <w:tcBorders>
              <w:bottom w:val="single" w:color="auto" w:sz="4" w:space="0"/>
            </w:tcBorders>
            <w:vAlign w:val="top"/>
          </w:tcPr>
          <w:p w14:paraId="2E4BCAAA">
            <w:pPr>
              <w:numPr>
                <w:ilvl w:val="0"/>
                <w:numId w:val="0"/>
              </w:numPr>
              <w:rPr>
                <w:rFonts w:hint="default" w:ascii="Cambria" w:hAnsi="Cambria" w:cs="Cambria"/>
                <w:u w:val="none"/>
                <w:vertAlign w:val="baseline"/>
                <w:lang w:val="en-US" w:eastAsia="zh-CN"/>
              </w:rPr>
            </w:pPr>
            <w:r>
              <w:rPr>
                <w:rFonts w:hint="default" w:ascii="Cambria" w:hAnsi="Cambria" w:cs="Cambria"/>
                <w:u w:val="none"/>
                <w:lang w:val="en-US" w:eastAsia="zh-CN"/>
              </w:rPr>
              <w:t xml:space="preserve">X̅  </w:t>
            </w:r>
          </w:p>
        </w:tc>
        <w:tc>
          <w:tcPr>
            <w:tcW w:w="942" w:type="dxa"/>
            <w:tcBorders>
              <w:bottom w:val="single" w:color="auto" w:sz="4" w:space="0"/>
            </w:tcBorders>
            <w:vAlign w:val="top"/>
          </w:tcPr>
          <w:p w14:paraId="6AAA837A">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R </w:t>
            </w:r>
          </w:p>
        </w:tc>
        <w:tc>
          <w:tcPr>
            <w:tcW w:w="483" w:type="dxa"/>
            <w:tcBorders>
              <w:bottom w:val="single" w:color="auto" w:sz="4" w:space="0"/>
            </w:tcBorders>
            <w:vAlign w:val="top"/>
          </w:tcPr>
          <w:p w14:paraId="3D52783B">
            <w:pPr>
              <w:numPr>
                <w:ilvl w:val="0"/>
                <w:numId w:val="0"/>
              </w:numPr>
              <w:rPr>
                <w:rFonts w:hint="default" w:ascii="Cambria" w:hAnsi="Cambria" w:cs="Cambria"/>
                <w:u w:val="none"/>
                <w:vertAlign w:val="baseline"/>
                <w:lang w:val="en-US" w:eastAsia="zh-CN"/>
              </w:rPr>
            </w:pPr>
            <w:r>
              <w:rPr>
                <w:rFonts w:hint="default" w:ascii="Cambria" w:hAnsi="Cambria" w:cs="Cambria"/>
                <w:u w:val="none"/>
              </w:rPr>
              <w:t>S</w:t>
            </w:r>
          </w:p>
        </w:tc>
        <w:tc>
          <w:tcPr>
            <w:tcW w:w="986" w:type="dxa"/>
            <w:tcBorders>
              <w:bottom w:val="single" w:color="auto" w:sz="4" w:space="0"/>
            </w:tcBorders>
            <w:vAlign w:val="top"/>
          </w:tcPr>
          <w:p w14:paraId="2A1FF262">
            <w:pPr>
              <w:numPr>
                <w:ilvl w:val="0"/>
                <w:numId w:val="0"/>
              </w:numPr>
              <w:rPr>
                <w:rFonts w:hint="default" w:ascii="Cambria" w:hAnsi="Cambria" w:cs="Cambria"/>
                <w:u w:val="none"/>
                <w:vertAlign w:val="baseline"/>
                <w:lang w:val="en-US" w:eastAsia="zh-CN"/>
              </w:rPr>
            </w:pPr>
            <w:r>
              <w:rPr>
                <w:rFonts w:hint="default" w:ascii="Cambria" w:hAnsi="Cambria" w:cs="Cambria"/>
                <w:u w:val="none"/>
              </w:rPr>
              <w:t>CV</w:t>
            </w:r>
          </w:p>
        </w:tc>
      </w:tr>
      <w:tr w14:paraId="0F5BA2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top w:val="single" w:color="auto" w:sz="4" w:space="0"/>
              <w:tl2br w:val="nil"/>
              <w:tr2bl w:val="nil"/>
            </w:tcBorders>
            <w:vAlign w:val="top"/>
          </w:tcPr>
          <w:p w14:paraId="6C7CAF34">
            <w:pPr>
              <w:numPr>
                <w:ilvl w:val="0"/>
                <w:numId w:val="0"/>
              </w:numPr>
              <w:rPr>
                <w:rFonts w:hint="default" w:ascii="Cambria" w:hAnsi="Cambria" w:cs="Cambria"/>
                <w:u w:val="none"/>
                <w:vertAlign w:val="baseline"/>
                <w:lang w:val="en-US" w:eastAsia="zh-CN"/>
              </w:rPr>
            </w:pPr>
            <w:r>
              <w:rPr>
                <w:rFonts w:hint="default" w:ascii="Cambria" w:hAnsi="Cambria" w:cs="Cambria"/>
              </w:rPr>
              <w:t xml:space="preserve">A. Insert filiform needles into acupoints, then apply cupping around the needles while retaining them. Remove the </w:t>
            </w:r>
            <w:r>
              <w:rPr>
                <w:rFonts w:hint="default" w:ascii="Cambria" w:hAnsi="Cambria" w:cs="Cambria"/>
                <w:lang w:eastAsia="zh-CN"/>
              </w:rPr>
              <w:t>jars</w:t>
            </w:r>
            <w:r>
              <w:rPr>
                <w:rFonts w:hint="default" w:ascii="Cambria" w:hAnsi="Cambria" w:cs="Cambria"/>
              </w:rPr>
              <w:t xml:space="preserve"> followed by withdrawing the needles upon completion. The retention time shall comply with </w:t>
            </w:r>
            <w:r>
              <w:rPr>
                <w:rFonts w:hint="default" w:ascii="Cambria" w:hAnsi="Cambria" w:cs="Cambria"/>
                <w:lang w:eastAsia="zh-CN"/>
              </w:rPr>
              <w:t>Annex B</w:t>
            </w:r>
            <w:r>
              <w:rPr>
                <w:rFonts w:hint="default" w:ascii="Cambria" w:hAnsi="Cambria" w:cs="Cambria"/>
              </w:rPr>
              <w:t xml:space="preserve">. This therapy is not performed on preschool children due to poor cooperation. Sufficient communication with the child and their guardians shall be conducted prior to treatment. (Source: </w:t>
            </w:r>
            <w:r>
              <w:rPr>
                <w:rFonts w:hint="default" w:ascii="Cambria" w:hAnsi="Cambria" w:cs="Cambria"/>
                <w:lang w:val="en-US" w:eastAsia="zh-CN"/>
              </w:rPr>
              <w:t xml:space="preserve">GB/T 21709.20-2009 </w:t>
            </w:r>
            <w:r>
              <w:rPr>
                <w:rFonts w:hint="default" w:ascii="Cambria" w:hAnsi="Cambria" w:cs="Cambria"/>
                <w:lang w:eastAsia="zh-CN"/>
              </w:rPr>
              <w:t>Specifications for technical operations of acupuncture and moxibustion</w:t>
            </w:r>
            <w:r>
              <w:rPr>
                <w:rFonts w:hint="default" w:ascii="Cambria" w:hAnsi="Cambria" w:cs="Cambria"/>
                <w:lang w:val="en-US" w:eastAsia="zh-CN"/>
              </w:rPr>
              <w:t>–</w:t>
            </w:r>
            <w:r>
              <w:rPr>
                <w:rFonts w:hint="default" w:ascii="Cambria" w:hAnsi="Cambria" w:cs="Cambria"/>
                <w:lang w:eastAsia="zh-CN"/>
              </w:rPr>
              <w:t xml:space="preserve">Part 20: Basic </w:t>
            </w:r>
            <w:r>
              <w:rPr>
                <w:rFonts w:hint="default" w:ascii="Cambria" w:hAnsi="Cambria" w:cs="Cambria"/>
                <w:lang w:val="en-US" w:eastAsia="zh-CN"/>
              </w:rPr>
              <w:t>t</w:t>
            </w:r>
            <w:r>
              <w:rPr>
                <w:rFonts w:hint="default" w:ascii="Cambria" w:hAnsi="Cambria" w:cs="Cambria"/>
                <w:lang w:eastAsia="zh-CN"/>
              </w:rPr>
              <w:t xml:space="preserve">echniques of </w:t>
            </w:r>
            <w:r>
              <w:rPr>
                <w:rFonts w:hint="default" w:ascii="Cambria" w:hAnsi="Cambria" w:cs="Cambria"/>
                <w:lang w:val="en-US" w:eastAsia="zh-CN"/>
              </w:rPr>
              <w:t>f</w:t>
            </w:r>
            <w:r>
              <w:rPr>
                <w:rFonts w:hint="default" w:ascii="Cambria" w:hAnsi="Cambria" w:cs="Cambria"/>
                <w:lang w:eastAsia="zh-CN"/>
              </w:rPr>
              <w:t xml:space="preserve">iliform </w:t>
            </w:r>
            <w:r>
              <w:rPr>
                <w:rFonts w:hint="default" w:ascii="Cambria" w:hAnsi="Cambria" w:cs="Cambria"/>
                <w:lang w:val="en-US" w:eastAsia="zh-CN"/>
              </w:rPr>
              <w:t>n</w:t>
            </w:r>
            <w:r>
              <w:rPr>
                <w:rFonts w:hint="default" w:ascii="Cambria" w:hAnsi="Cambria" w:cs="Cambria"/>
                <w:lang w:eastAsia="zh-CN"/>
              </w:rPr>
              <w:t>eedle</w:t>
            </w:r>
            <w:r>
              <w:rPr>
                <w:rFonts w:hint="default" w:ascii="Cambria" w:hAnsi="Cambria" w:cs="Cambria"/>
                <w:lang w:val="en-US" w:eastAsia="zh-CN"/>
              </w:rPr>
              <w:t>)</w:t>
            </w:r>
          </w:p>
        </w:tc>
        <w:tc>
          <w:tcPr>
            <w:tcW w:w="933" w:type="dxa"/>
            <w:tcBorders>
              <w:top w:val="single" w:color="auto" w:sz="4" w:space="0"/>
              <w:tl2br w:val="nil"/>
              <w:tr2bl w:val="nil"/>
            </w:tcBorders>
            <w:vAlign w:val="top"/>
          </w:tcPr>
          <w:p w14:paraId="4C29AB09">
            <w:pPr>
              <w:numPr>
                <w:ilvl w:val="0"/>
                <w:numId w:val="0"/>
              </w:numPr>
              <w:rPr>
                <w:rFonts w:hint="default" w:ascii="Cambria" w:hAnsi="Cambria" w:cs="Cambria"/>
                <w:u w:val="none"/>
                <w:vertAlign w:val="baseline"/>
                <w:lang w:val="en-US" w:eastAsia="zh-CN"/>
              </w:rPr>
            </w:pPr>
            <w:r>
              <w:rPr>
                <w:rFonts w:hint="default" w:ascii="Cambria" w:hAnsi="Cambria" w:cs="Cambria"/>
                <w:lang w:val="en-US" w:eastAsia="zh-CN"/>
              </w:rPr>
              <w:t>0.8</w:t>
            </w:r>
          </w:p>
        </w:tc>
        <w:tc>
          <w:tcPr>
            <w:tcW w:w="942" w:type="dxa"/>
            <w:tcBorders>
              <w:top w:val="single" w:color="auto" w:sz="4" w:space="0"/>
              <w:tl2br w:val="nil"/>
              <w:tr2bl w:val="nil"/>
            </w:tcBorders>
            <w:vAlign w:val="top"/>
          </w:tcPr>
          <w:p w14:paraId="72D7A716">
            <w:pPr>
              <w:numPr>
                <w:ilvl w:val="0"/>
                <w:numId w:val="0"/>
              </w:numPr>
              <w:rPr>
                <w:rFonts w:hint="default" w:ascii="Cambria" w:hAnsi="Cambria" w:cs="Cambria"/>
                <w:u w:val="none"/>
                <w:vertAlign w:val="baseline"/>
                <w:lang w:val="en-US" w:eastAsia="zh-CN"/>
              </w:rPr>
            </w:pPr>
            <w:r>
              <w:rPr>
                <w:rFonts w:hint="default" w:ascii="Cambria" w:hAnsi="Cambria" w:cs="Cambria"/>
                <w:lang w:val="en-US" w:eastAsia="zh-CN"/>
              </w:rPr>
              <w:t>20.00%</w:t>
            </w:r>
          </w:p>
        </w:tc>
        <w:tc>
          <w:tcPr>
            <w:tcW w:w="483" w:type="dxa"/>
            <w:tcBorders>
              <w:top w:val="single" w:color="auto" w:sz="4" w:space="0"/>
              <w:tl2br w:val="nil"/>
              <w:tr2bl w:val="nil"/>
            </w:tcBorders>
            <w:vAlign w:val="top"/>
          </w:tcPr>
          <w:p w14:paraId="7FF8AEAD">
            <w:pPr>
              <w:numPr>
                <w:ilvl w:val="0"/>
                <w:numId w:val="0"/>
              </w:numPr>
              <w:rPr>
                <w:rFonts w:hint="default" w:ascii="Cambria" w:hAnsi="Cambria" w:cs="Cambria"/>
                <w:u w:val="none"/>
                <w:vertAlign w:val="baseline"/>
                <w:lang w:val="en-US" w:eastAsia="zh-CN"/>
              </w:rPr>
            </w:pPr>
            <w:r>
              <w:rPr>
                <w:rFonts w:hint="default" w:ascii="Cambria" w:hAnsi="Cambria" w:cs="Cambria"/>
                <w:lang w:val="en-US" w:eastAsia="zh-CN"/>
              </w:rPr>
              <w:t>24</w:t>
            </w:r>
          </w:p>
        </w:tc>
        <w:tc>
          <w:tcPr>
            <w:tcW w:w="986" w:type="dxa"/>
            <w:tcBorders>
              <w:top w:val="single" w:color="auto" w:sz="4" w:space="0"/>
              <w:tl2br w:val="nil"/>
              <w:tr2bl w:val="nil"/>
            </w:tcBorders>
            <w:vAlign w:val="top"/>
          </w:tcPr>
          <w:p w14:paraId="191274E4">
            <w:pPr>
              <w:numPr>
                <w:ilvl w:val="0"/>
                <w:numId w:val="0"/>
              </w:numPr>
              <w:rPr>
                <w:rFonts w:hint="default" w:ascii="Cambria" w:hAnsi="Cambria" w:cs="Cambria"/>
                <w:u w:val="none"/>
                <w:vertAlign w:val="baseline"/>
                <w:lang w:val="en-US" w:eastAsia="zh-CN"/>
              </w:rPr>
            </w:pPr>
            <w:r>
              <w:rPr>
                <w:rFonts w:hint="default" w:ascii="Cambria" w:hAnsi="Cambria" w:cs="Cambria"/>
                <w:lang w:val="en-US" w:eastAsia="zh-CN"/>
              </w:rPr>
              <w:t>50.85%</w:t>
            </w:r>
          </w:p>
        </w:tc>
      </w:tr>
      <w:tr w14:paraId="365F940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tl2br w:val="nil"/>
              <w:tr2bl w:val="nil"/>
            </w:tcBorders>
            <w:vAlign w:val="top"/>
          </w:tcPr>
          <w:p w14:paraId="6CCDAA4B">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B. Follow the original text of the national standard. </w:t>
            </w:r>
            <w:r>
              <w:rPr>
                <w:rFonts w:hint="default" w:ascii="Cambria" w:hAnsi="Cambria" w:cs="Cambria"/>
                <w:u w:val="none"/>
                <w:lang w:val="en-US" w:eastAsia="zh-CN"/>
              </w:rPr>
              <w:tab/>
            </w:r>
          </w:p>
        </w:tc>
        <w:tc>
          <w:tcPr>
            <w:tcW w:w="933" w:type="dxa"/>
            <w:tcBorders>
              <w:tl2br w:val="nil"/>
              <w:tr2bl w:val="nil"/>
            </w:tcBorders>
            <w:vAlign w:val="top"/>
          </w:tcPr>
          <w:p w14:paraId="78A4999A">
            <w:pPr>
              <w:numPr>
                <w:ilvl w:val="0"/>
                <w:numId w:val="0"/>
              </w:numPr>
              <w:rPr>
                <w:rFonts w:hint="default" w:ascii="Cambria" w:hAnsi="Cambria" w:cs="Cambria"/>
                <w:u w:val="none"/>
                <w:vertAlign w:val="baseline"/>
                <w:lang w:val="en-US" w:eastAsia="zh-CN"/>
              </w:rPr>
            </w:pPr>
            <w:r>
              <w:rPr>
                <w:rFonts w:hint="default" w:ascii="Cambria" w:hAnsi="Cambria" w:cs="Cambria"/>
                <w:u w:val="none"/>
              </w:rPr>
              <w:t>0.</w:t>
            </w:r>
            <w:r>
              <w:rPr>
                <w:rFonts w:hint="default" w:ascii="Cambria" w:hAnsi="Cambria" w:cs="Cambria"/>
                <w:u w:val="none"/>
                <w:lang w:val="en-US" w:eastAsia="zh-CN"/>
              </w:rPr>
              <w:t>13</w:t>
            </w:r>
          </w:p>
        </w:tc>
        <w:tc>
          <w:tcPr>
            <w:tcW w:w="942" w:type="dxa"/>
            <w:tcBorders>
              <w:tl2br w:val="nil"/>
              <w:tr2bl w:val="nil"/>
            </w:tcBorders>
            <w:vAlign w:val="top"/>
          </w:tcPr>
          <w:p w14:paraId="36B9A035">
            <w:pPr>
              <w:numPr>
                <w:ilvl w:val="0"/>
                <w:numId w:val="0"/>
              </w:numPr>
              <w:rPr>
                <w:rFonts w:hint="default" w:ascii="Cambria" w:hAnsi="Cambria" w:cs="Cambria"/>
                <w:u w:val="none"/>
                <w:vertAlign w:val="baseline"/>
                <w:lang w:val="en-US" w:eastAsia="zh-CN"/>
              </w:rPr>
            </w:pPr>
            <w:r>
              <w:rPr>
                <w:rFonts w:hint="default" w:ascii="Cambria" w:hAnsi="Cambria" w:cs="Cambria"/>
                <w:u w:val="none"/>
                <w:lang w:val="en-US" w:eastAsia="zh-CN"/>
              </w:rPr>
              <w:t>87</w:t>
            </w:r>
            <w:r>
              <w:rPr>
                <w:rFonts w:hint="default" w:ascii="Cambria" w:hAnsi="Cambria" w:cs="Cambria"/>
                <w:u w:val="none"/>
              </w:rPr>
              <w:t>.00%</w:t>
            </w:r>
          </w:p>
        </w:tc>
        <w:tc>
          <w:tcPr>
            <w:tcW w:w="483" w:type="dxa"/>
            <w:tcBorders>
              <w:tl2br w:val="nil"/>
              <w:tr2bl w:val="nil"/>
            </w:tcBorders>
            <w:vAlign w:val="top"/>
          </w:tcPr>
          <w:p w14:paraId="7F03C117">
            <w:pPr>
              <w:numPr>
                <w:ilvl w:val="0"/>
                <w:numId w:val="0"/>
              </w:numPr>
              <w:rPr>
                <w:rFonts w:hint="default" w:ascii="Cambria" w:hAnsi="Cambria" w:cs="Cambria"/>
                <w:u w:val="none"/>
                <w:vertAlign w:val="baseline"/>
                <w:lang w:val="en-US" w:eastAsia="zh-CN"/>
              </w:rPr>
            </w:pPr>
            <w:r>
              <w:rPr>
                <w:rFonts w:hint="default" w:ascii="Cambria" w:hAnsi="Cambria" w:cs="Cambria"/>
                <w:u w:val="none"/>
                <w:lang w:val="en-US" w:eastAsia="zh-CN"/>
              </w:rPr>
              <w:t>4</w:t>
            </w:r>
          </w:p>
        </w:tc>
        <w:tc>
          <w:tcPr>
            <w:tcW w:w="986" w:type="dxa"/>
            <w:tcBorders>
              <w:tl2br w:val="nil"/>
              <w:tr2bl w:val="nil"/>
            </w:tcBorders>
            <w:vAlign w:val="top"/>
          </w:tcPr>
          <w:p w14:paraId="5B230361">
            <w:pPr>
              <w:numPr>
                <w:ilvl w:val="0"/>
                <w:numId w:val="0"/>
              </w:numPr>
              <w:rPr>
                <w:rFonts w:hint="default" w:ascii="Cambria" w:hAnsi="Cambria" w:cs="Cambria"/>
                <w:u w:val="none"/>
                <w:vertAlign w:val="baseline"/>
                <w:lang w:val="en-US" w:eastAsia="zh-CN"/>
              </w:rPr>
            </w:pPr>
            <w:r>
              <w:rPr>
                <w:rFonts w:hint="default" w:ascii="Cambria" w:hAnsi="Cambria" w:cs="Cambria"/>
                <w:u w:val="none"/>
                <w:lang w:val="en-US" w:eastAsia="zh-CN"/>
              </w:rPr>
              <w:t>265.96</w:t>
            </w:r>
            <w:r>
              <w:rPr>
                <w:rFonts w:hint="default" w:ascii="Cambria" w:hAnsi="Cambria" w:cs="Cambria"/>
                <w:u w:val="none"/>
              </w:rPr>
              <w:t xml:space="preserve">% </w:t>
            </w:r>
          </w:p>
        </w:tc>
      </w:tr>
    </w:tbl>
    <w:p w14:paraId="02216133">
      <w:pPr>
        <w:numPr>
          <w:ilvl w:val="0"/>
          <w:numId w:val="0"/>
        </w:numPr>
        <w:rPr>
          <w:rFonts w:hint="default" w:ascii="Cambria" w:hAnsi="Cambria" w:cs="Cambria"/>
          <w:u w:val="none"/>
        </w:rPr>
      </w:pPr>
      <w:r>
        <w:rPr>
          <w:rFonts w:hint="default" w:ascii="Cambria" w:hAnsi="Cambria" w:cs="Cambria"/>
          <w:u w:val="none"/>
          <w:lang w:val="en-US" w:eastAsia="zh-CN"/>
        </w:rPr>
        <w:t xml:space="preserve"> </w:t>
      </w:r>
      <w:r>
        <w:rPr>
          <w:rFonts w:hint="default" w:ascii="Cambria" w:hAnsi="Cambria" w:cs="Cambria"/>
          <w:u w:val="none"/>
        </w:rPr>
        <w:t xml:space="preserve">  </w:t>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rPr>
        <w:t xml:space="preserve"> </w:t>
      </w:r>
      <w:r>
        <w:rPr>
          <w:rFonts w:hint="default" w:ascii="Cambria" w:hAnsi="Cambria" w:cs="Cambria"/>
          <w:u w:val="none"/>
          <w:lang w:val="en-US" w:eastAsia="zh-CN"/>
        </w:rPr>
        <w:tab/>
      </w:r>
      <w:r>
        <w:rPr>
          <w:rFonts w:hint="default" w:ascii="Cambria" w:hAnsi="Cambria" w:cs="Cambria"/>
          <w:u w:val="none"/>
        </w:rPr>
        <w:t xml:space="preserve"> </w:t>
      </w:r>
      <w:r>
        <w:rPr>
          <w:rFonts w:hint="default" w:ascii="Cambria" w:hAnsi="Cambria" w:cs="Cambria"/>
          <w:u w:val="none"/>
          <w:lang w:val="en-US" w:eastAsia="zh-CN"/>
        </w:rPr>
        <w:tab/>
      </w:r>
      <w:r>
        <w:rPr>
          <w:rFonts w:hint="default" w:ascii="Cambria" w:hAnsi="Cambria" w:cs="Cambria"/>
          <w:u w:val="none"/>
          <w:lang w:val="en-US" w:eastAsia="zh-CN"/>
        </w:rPr>
        <w:tab/>
      </w:r>
    </w:p>
    <w:p w14:paraId="2267A900">
      <w:pPr>
        <w:numPr>
          <w:ilvl w:val="0"/>
          <w:numId w:val="0"/>
        </w:numPr>
        <w:rPr>
          <w:rFonts w:hint="default" w:ascii="Cambria" w:hAnsi="Cambria" w:cs="Cambria" w:eastAsiaTheme="minorEastAsia"/>
          <w:lang w:eastAsia="zh-CN"/>
        </w:rPr>
      </w:pPr>
      <w:r>
        <w:rPr>
          <w:rFonts w:hint="default" w:ascii="Cambria" w:hAnsi="Cambria" w:cs="Cambria"/>
        </w:rPr>
        <w:t>2.7 Survey Results of the Definitions of "</w:t>
      </w:r>
      <w:r>
        <w:rPr>
          <w:rFonts w:hint="default" w:ascii="Cambria" w:hAnsi="Cambria" w:cs="Cambria"/>
          <w:lang w:eastAsia="zh-CN"/>
        </w:rPr>
        <w:t>horn jar</w:t>
      </w:r>
      <w:r>
        <w:rPr>
          <w:rFonts w:hint="default" w:ascii="Cambria" w:hAnsi="Cambria" w:cs="Cambria"/>
        </w:rPr>
        <w:t>", "</w:t>
      </w:r>
      <w:r>
        <w:rPr>
          <w:rFonts w:hint="default" w:ascii="Cambria" w:hAnsi="Cambria" w:cs="Cambria"/>
          <w:lang w:eastAsia="zh-CN"/>
        </w:rPr>
        <w:t>bamboo jar</w:t>
      </w:r>
      <w:r>
        <w:rPr>
          <w:rFonts w:hint="default" w:ascii="Cambria" w:hAnsi="Cambria" w:cs="Cambria"/>
        </w:rPr>
        <w:t>", "</w:t>
      </w:r>
      <w:r>
        <w:rPr>
          <w:rFonts w:hint="default" w:ascii="Cambria" w:hAnsi="Cambria" w:cs="Cambria"/>
          <w:lang w:eastAsia="zh-CN"/>
        </w:rPr>
        <w:t>ceramic jar</w:t>
      </w:r>
      <w:r>
        <w:rPr>
          <w:rFonts w:hint="default" w:ascii="Cambria" w:hAnsi="Cambria" w:cs="Cambria"/>
        </w:rPr>
        <w:t>", "</w:t>
      </w:r>
      <w:r>
        <w:rPr>
          <w:rFonts w:hint="default" w:ascii="Cambria" w:hAnsi="Cambria" w:cs="Cambria"/>
          <w:lang w:eastAsia="zh-CN"/>
        </w:rPr>
        <w:t>glass jar</w:t>
      </w:r>
      <w:r>
        <w:rPr>
          <w:rFonts w:hint="default" w:ascii="Cambria" w:hAnsi="Cambria" w:cs="Cambria"/>
        </w:rPr>
        <w:t>", "</w:t>
      </w:r>
      <w:r>
        <w:rPr>
          <w:rFonts w:hint="default" w:ascii="Cambria" w:hAnsi="Cambria" w:cs="Cambria"/>
          <w:lang w:eastAsia="zh-CN"/>
        </w:rPr>
        <w:t>metal jar</w:t>
      </w:r>
      <w:r>
        <w:rPr>
          <w:rFonts w:hint="default" w:ascii="Cambria" w:hAnsi="Cambria" w:cs="Cambria"/>
        </w:rPr>
        <w:t xml:space="preserve">", "Bio-ceramic </w:t>
      </w:r>
      <w:r>
        <w:rPr>
          <w:rFonts w:hint="default" w:ascii="Cambria" w:hAnsi="Cambria" w:cs="Cambria"/>
          <w:lang w:val="en-US" w:eastAsia="zh-CN"/>
        </w:rPr>
        <w:t>f</w:t>
      </w:r>
      <w:r>
        <w:rPr>
          <w:rFonts w:hint="default" w:ascii="Cambria" w:hAnsi="Cambria" w:cs="Cambria"/>
        </w:rPr>
        <w:t xml:space="preserve">ire </w:t>
      </w:r>
      <w:r>
        <w:rPr>
          <w:rFonts w:hint="default" w:ascii="Cambria" w:hAnsi="Cambria" w:cs="Cambria"/>
          <w:lang w:eastAsia="zh-CN"/>
        </w:rPr>
        <w:t>jar</w:t>
      </w:r>
      <w:r>
        <w:rPr>
          <w:rFonts w:hint="default" w:ascii="Cambria" w:hAnsi="Cambria" w:cs="Cambria"/>
        </w:rPr>
        <w:t>", "</w:t>
      </w:r>
      <w:r>
        <w:rPr>
          <w:rFonts w:hint="default" w:ascii="Cambria" w:hAnsi="Cambria" w:cs="Cambria"/>
          <w:lang w:eastAsia="zh-CN"/>
        </w:rPr>
        <w:t>plastic jar</w:t>
      </w:r>
      <w:r>
        <w:rPr>
          <w:rFonts w:hint="default" w:ascii="Cambria" w:hAnsi="Cambria" w:cs="Cambria"/>
        </w:rPr>
        <w:t xml:space="preserve">" in </w:t>
      </w:r>
      <w:r>
        <w:rPr>
          <w:rFonts w:hint="default" w:ascii="Cambria" w:hAnsi="Cambria" w:cs="Cambria"/>
          <w:lang w:eastAsia="zh-CN"/>
        </w:rPr>
        <w:t>Annex A</w:t>
      </w:r>
    </w:p>
    <w:p w14:paraId="61B58CD3">
      <w:pPr>
        <w:numPr>
          <w:ilvl w:val="0"/>
          <w:numId w:val="0"/>
        </w:numPr>
        <w:rPr>
          <w:rFonts w:hint="default" w:ascii="Cambria" w:hAnsi="Cambria" w:cs="Cambria"/>
        </w:rPr>
      </w:pPr>
      <w:r>
        <w:rPr>
          <w:rFonts w:hint="default" w:ascii="Cambria" w:hAnsi="Cambria" w:cs="Cambria"/>
        </w:rPr>
        <w:t>Table 14 Survey Results of the Definitions of "</w:t>
      </w:r>
      <w:r>
        <w:rPr>
          <w:rFonts w:hint="default" w:ascii="Cambria" w:hAnsi="Cambria" w:cs="Cambria"/>
          <w:lang w:eastAsia="zh-CN"/>
        </w:rPr>
        <w:t>horn jar</w:t>
      </w:r>
      <w:r>
        <w:rPr>
          <w:rFonts w:hint="default" w:ascii="Cambria" w:hAnsi="Cambria" w:cs="Cambria"/>
        </w:rPr>
        <w:t>", "</w:t>
      </w:r>
      <w:r>
        <w:rPr>
          <w:rFonts w:hint="default" w:ascii="Cambria" w:hAnsi="Cambria" w:cs="Cambria"/>
          <w:lang w:eastAsia="zh-CN"/>
        </w:rPr>
        <w:t>bamboo jar</w:t>
      </w:r>
      <w:r>
        <w:rPr>
          <w:rFonts w:hint="default" w:ascii="Cambria" w:hAnsi="Cambria" w:cs="Cambria"/>
        </w:rPr>
        <w:t>", "</w:t>
      </w:r>
      <w:r>
        <w:rPr>
          <w:rFonts w:hint="default" w:ascii="Cambria" w:hAnsi="Cambria" w:cs="Cambria"/>
          <w:lang w:eastAsia="zh-CN"/>
        </w:rPr>
        <w:t>ceramic jar</w:t>
      </w:r>
      <w:r>
        <w:rPr>
          <w:rFonts w:hint="default" w:ascii="Cambria" w:hAnsi="Cambria" w:cs="Cambria"/>
        </w:rPr>
        <w:t>", "</w:t>
      </w:r>
      <w:r>
        <w:rPr>
          <w:rFonts w:hint="default" w:ascii="Cambria" w:hAnsi="Cambria" w:cs="Cambria"/>
          <w:lang w:eastAsia="zh-CN"/>
        </w:rPr>
        <w:t>glass jar</w:t>
      </w:r>
      <w:r>
        <w:rPr>
          <w:rFonts w:hint="default" w:ascii="Cambria" w:hAnsi="Cambria" w:cs="Cambria"/>
        </w:rPr>
        <w:t>", "</w:t>
      </w:r>
      <w:r>
        <w:rPr>
          <w:rFonts w:hint="default" w:ascii="Cambria" w:hAnsi="Cambria" w:cs="Cambria"/>
          <w:lang w:eastAsia="zh-CN"/>
        </w:rPr>
        <w:t>metal jar</w:t>
      </w:r>
      <w:r>
        <w:rPr>
          <w:rFonts w:hint="default" w:ascii="Cambria" w:hAnsi="Cambria" w:cs="Cambria"/>
        </w:rPr>
        <w:t xml:space="preserve">", "Bio-ceramic </w:t>
      </w:r>
      <w:r>
        <w:rPr>
          <w:rFonts w:hint="default" w:ascii="Cambria" w:hAnsi="Cambria" w:cs="Cambria"/>
          <w:lang w:val="en-US" w:eastAsia="zh-CN"/>
        </w:rPr>
        <w:t>f</w:t>
      </w:r>
      <w:r>
        <w:rPr>
          <w:rFonts w:hint="default" w:ascii="Cambria" w:hAnsi="Cambria" w:cs="Cambria"/>
        </w:rPr>
        <w:t xml:space="preserve">ire </w:t>
      </w:r>
      <w:r>
        <w:rPr>
          <w:rFonts w:hint="default" w:ascii="Cambria" w:hAnsi="Cambria" w:cs="Cambria"/>
          <w:lang w:eastAsia="zh-CN"/>
        </w:rPr>
        <w:t>jar</w:t>
      </w:r>
      <w:r>
        <w:rPr>
          <w:rFonts w:hint="default" w:ascii="Cambria" w:hAnsi="Cambria" w:cs="Cambria"/>
        </w:rPr>
        <w:t>", "</w:t>
      </w:r>
      <w:r>
        <w:rPr>
          <w:rFonts w:hint="default" w:ascii="Cambria" w:hAnsi="Cambria" w:cs="Cambria"/>
          <w:lang w:eastAsia="zh-CN"/>
        </w:rPr>
        <w:t>plastic jar</w:t>
      </w:r>
      <w:r>
        <w:rPr>
          <w:rFonts w:hint="default" w:ascii="Cambria" w:hAnsi="Cambria" w:cs="Cambria"/>
        </w:rPr>
        <w:t>"</w:t>
      </w:r>
    </w:p>
    <w:tbl>
      <w:tblPr>
        <w:tblStyle w:val="6"/>
        <w:tblW w:w="5000" w:type="pct"/>
        <w:tblInd w:w="0" w:type="dxa"/>
        <w:tblBorders>
          <w:top w:val="single" w:color="000000" w:themeColor="text1" w:sz="6" w:space="0"/>
          <w:left w:val="single" w:color="CCCCCC" w:sz="6" w:space="0"/>
          <w:bottom w:val="single" w:color="000000" w:themeColor="text1" w:sz="6" w:space="0"/>
          <w:right w:val="single" w:color="CCCCCC" w:sz="6" w:space="0"/>
          <w:insideH w:val="single" w:color="CCCCCC" w:sz="6" w:space="0"/>
          <w:insideV w:val="single" w:color="CCCCCC" w:sz="6" w:space="0"/>
        </w:tblBorders>
        <w:shd w:val="clear" w:color="auto" w:fill="auto"/>
        <w:tblLayout w:type="autofit"/>
        <w:tblCellMar>
          <w:top w:w="15" w:type="dxa"/>
          <w:left w:w="15" w:type="dxa"/>
          <w:bottom w:w="15" w:type="dxa"/>
          <w:right w:w="15" w:type="dxa"/>
        </w:tblCellMar>
      </w:tblPr>
      <w:tblGrid>
        <w:gridCol w:w="6564"/>
        <w:gridCol w:w="632"/>
        <w:gridCol w:w="936"/>
        <w:gridCol w:w="473"/>
        <w:gridCol w:w="1052"/>
      </w:tblGrid>
      <w:tr w14:paraId="75E261D7">
        <w:tblPrEx>
          <w:tblBorders>
            <w:top w:val="single" w:color="000000" w:themeColor="text1" w:sz="6" w:space="0"/>
            <w:left w:val="single" w:color="CCCCCC" w:sz="6" w:space="0"/>
            <w:bottom w:val="single" w:color="000000" w:themeColor="text1" w:sz="6" w:space="0"/>
            <w:right w:val="single" w:color="CCCCCC" w:sz="6" w:space="0"/>
            <w:insideH w:val="single" w:color="CCCCCC" w:sz="6" w:space="0"/>
            <w:insideV w:val="single" w:color="CCCCCC" w:sz="6" w:space="0"/>
          </w:tblBorders>
          <w:tblCellMar>
            <w:top w:w="15" w:type="dxa"/>
            <w:left w:w="15" w:type="dxa"/>
            <w:bottom w:w="15" w:type="dxa"/>
            <w:right w:w="15" w:type="dxa"/>
          </w:tblCellMar>
        </w:tblPrEx>
        <w:trPr>
          <w:tblHeader/>
        </w:trPr>
        <w:tc>
          <w:tcPr>
            <w:tcW w:w="0" w:type="auto"/>
            <w:tcBorders>
              <w:bottom w:val="single" w:color="000000" w:themeColor="text1" w:sz="6" w:space="0"/>
            </w:tcBorders>
            <w:shd w:val="clear" w:color="auto" w:fill="auto"/>
            <w:tcMar>
              <w:top w:w="120" w:type="dxa"/>
              <w:left w:w="120" w:type="dxa"/>
              <w:bottom w:w="120" w:type="dxa"/>
              <w:right w:w="120" w:type="dxa"/>
            </w:tcMar>
            <w:vAlign w:val="center"/>
          </w:tcPr>
          <w:p w14:paraId="098D5943">
            <w:pPr>
              <w:numPr>
                <w:ilvl w:val="0"/>
                <w:numId w:val="0"/>
              </w:numPr>
              <w:rPr>
                <w:rFonts w:hint="default" w:ascii="Cambria" w:hAnsi="Cambria" w:cs="Cambria"/>
              </w:rPr>
            </w:pPr>
            <w:r>
              <w:rPr>
                <w:rFonts w:hint="default" w:ascii="Cambria" w:hAnsi="Cambria" w:cs="Cambria"/>
                <w:lang w:val="en-US" w:eastAsia="zh-CN"/>
              </w:rPr>
              <w:t>Option</w:t>
            </w:r>
          </w:p>
        </w:tc>
        <w:tc>
          <w:tcPr>
            <w:tcW w:w="0" w:type="auto"/>
            <w:tcBorders>
              <w:bottom w:val="single" w:color="000000" w:themeColor="text1" w:sz="6" w:space="0"/>
            </w:tcBorders>
            <w:shd w:val="clear" w:color="auto" w:fill="auto"/>
            <w:tcMar>
              <w:top w:w="120" w:type="dxa"/>
              <w:left w:w="120" w:type="dxa"/>
              <w:bottom w:w="120" w:type="dxa"/>
              <w:right w:w="120" w:type="dxa"/>
            </w:tcMar>
            <w:vAlign w:val="center"/>
          </w:tcPr>
          <w:p w14:paraId="26702BEC">
            <w:pPr>
              <w:numPr>
                <w:ilvl w:val="0"/>
                <w:numId w:val="0"/>
              </w:numPr>
              <w:rPr>
                <w:rFonts w:hint="default" w:ascii="Cambria" w:hAnsi="Cambria" w:cs="Cambria"/>
              </w:rPr>
            </w:pPr>
            <w:r>
              <w:rPr>
                <w:rFonts w:hint="default" w:ascii="Cambria" w:hAnsi="Cambria" w:cs="Cambria"/>
                <w:u w:val="single"/>
                <w:lang w:val="en-US" w:eastAsia="zh-CN"/>
              </w:rPr>
              <w:t>X̅</w:t>
            </w:r>
          </w:p>
        </w:tc>
        <w:tc>
          <w:tcPr>
            <w:tcW w:w="0" w:type="auto"/>
            <w:tcBorders>
              <w:bottom w:val="single" w:color="000000" w:themeColor="text1" w:sz="6" w:space="0"/>
            </w:tcBorders>
            <w:shd w:val="clear" w:color="auto" w:fill="auto"/>
            <w:tcMar>
              <w:top w:w="120" w:type="dxa"/>
              <w:left w:w="120" w:type="dxa"/>
              <w:bottom w:w="120" w:type="dxa"/>
              <w:right w:w="120" w:type="dxa"/>
            </w:tcMar>
            <w:vAlign w:val="center"/>
          </w:tcPr>
          <w:p w14:paraId="6AADE0EF">
            <w:pPr>
              <w:numPr>
                <w:ilvl w:val="0"/>
                <w:numId w:val="0"/>
              </w:numPr>
              <w:rPr>
                <w:rFonts w:hint="default" w:ascii="Cambria" w:hAnsi="Cambria" w:cs="Cambria"/>
              </w:rPr>
            </w:pPr>
            <w:r>
              <w:rPr>
                <w:rFonts w:hint="default" w:ascii="Cambria" w:hAnsi="Cambria" w:cs="Cambria"/>
                <w:lang w:val="en-US" w:eastAsia="zh-CN"/>
              </w:rPr>
              <w:t>R</w:t>
            </w:r>
          </w:p>
        </w:tc>
        <w:tc>
          <w:tcPr>
            <w:tcW w:w="0" w:type="auto"/>
            <w:tcBorders>
              <w:bottom w:val="single" w:color="000000" w:themeColor="text1" w:sz="6" w:space="0"/>
            </w:tcBorders>
            <w:shd w:val="clear" w:color="auto" w:fill="auto"/>
            <w:tcMar>
              <w:top w:w="120" w:type="dxa"/>
              <w:left w:w="120" w:type="dxa"/>
              <w:bottom w:w="120" w:type="dxa"/>
              <w:right w:w="120" w:type="dxa"/>
            </w:tcMar>
            <w:vAlign w:val="center"/>
          </w:tcPr>
          <w:p w14:paraId="7190D9E0">
            <w:pPr>
              <w:numPr>
                <w:ilvl w:val="0"/>
                <w:numId w:val="0"/>
              </w:numPr>
              <w:rPr>
                <w:rFonts w:hint="default" w:ascii="Cambria" w:hAnsi="Cambria" w:cs="Cambria"/>
              </w:rPr>
            </w:pPr>
            <w:r>
              <w:rPr>
                <w:rFonts w:hint="default" w:ascii="Cambria" w:hAnsi="Cambria" w:cs="Cambria"/>
                <w:lang w:val="en-US" w:eastAsia="zh-CN"/>
              </w:rPr>
              <w:t>S</w:t>
            </w:r>
          </w:p>
        </w:tc>
        <w:tc>
          <w:tcPr>
            <w:tcW w:w="0" w:type="auto"/>
            <w:tcBorders>
              <w:bottom w:val="single" w:color="000000" w:themeColor="text1" w:sz="6" w:space="0"/>
            </w:tcBorders>
            <w:shd w:val="clear" w:color="auto" w:fill="auto"/>
            <w:tcMar>
              <w:top w:w="120" w:type="dxa"/>
              <w:left w:w="120" w:type="dxa"/>
              <w:bottom w:w="120" w:type="dxa"/>
              <w:right w:w="120" w:type="dxa"/>
            </w:tcMar>
            <w:vAlign w:val="center"/>
          </w:tcPr>
          <w:p w14:paraId="0D0016AC">
            <w:pPr>
              <w:numPr>
                <w:ilvl w:val="0"/>
                <w:numId w:val="0"/>
              </w:numPr>
              <w:rPr>
                <w:rFonts w:hint="default" w:ascii="Cambria" w:hAnsi="Cambria" w:cs="Cambria"/>
              </w:rPr>
            </w:pPr>
            <w:r>
              <w:rPr>
                <w:rFonts w:hint="default" w:ascii="Cambria" w:hAnsi="Cambria" w:cs="Cambria"/>
                <w:lang w:val="en-US" w:eastAsia="zh-CN"/>
              </w:rPr>
              <w:t>CV</w:t>
            </w:r>
          </w:p>
        </w:tc>
      </w:tr>
      <w:tr w14:paraId="666077AE">
        <w:tblPrEx>
          <w:tblBorders>
            <w:top w:val="single" w:color="000000" w:themeColor="text1" w:sz="6" w:space="0"/>
            <w:left w:val="single" w:color="CCCCCC" w:sz="6" w:space="0"/>
            <w:bottom w:val="single" w:color="000000" w:themeColor="text1" w:sz="6" w:space="0"/>
            <w:right w:val="single" w:color="CCCCCC" w:sz="6" w:space="0"/>
            <w:insideH w:val="single" w:color="CCCCCC" w:sz="6" w:space="0"/>
            <w:insideV w:val="single" w:color="CCCCCC" w:sz="6" w:space="0"/>
          </w:tblBorders>
          <w:shd w:val="clear" w:color="auto" w:fill="auto"/>
          <w:tblCellMar>
            <w:top w:w="15" w:type="dxa"/>
            <w:left w:w="15" w:type="dxa"/>
            <w:bottom w:w="15" w:type="dxa"/>
            <w:right w:w="15" w:type="dxa"/>
          </w:tblCellMar>
        </w:tblPrEx>
        <w:tc>
          <w:tcPr>
            <w:tcW w:w="0" w:type="auto"/>
            <w:tcBorders>
              <w:top w:val="single" w:color="000000" w:themeColor="text1" w:sz="6" w:space="0"/>
              <w:tl2br w:val="nil"/>
              <w:tr2bl w:val="nil"/>
            </w:tcBorders>
            <w:shd w:val="clear" w:color="auto" w:fill="auto"/>
            <w:tcMar>
              <w:top w:w="120" w:type="dxa"/>
              <w:left w:w="120" w:type="dxa"/>
              <w:bottom w:w="120" w:type="dxa"/>
              <w:right w:w="120" w:type="dxa"/>
            </w:tcMar>
            <w:vAlign w:val="center"/>
          </w:tcPr>
          <w:p w14:paraId="65BF80C9">
            <w:pPr>
              <w:numPr>
                <w:ilvl w:val="0"/>
                <w:numId w:val="0"/>
              </w:numPr>
              <w:rPr>
                <w:rFonts w:hint="default" w:ascii="Cambria" w:hAnsi="Cambria" w:cs="Cambria"/>
                <w:lang w:val="en-US" w:eastAsia="zh-CN"/>
              </w:rPr>
            </w:pPr>
            <w:r>
              <w:rPr>
                <w:rFonts w:hint="default" w:ascii="Cambria" w:hAnsi="Cambria" w:cs="Cambria"/>
                <w:lang w:val="en-US" w:eastAsia="zh-CN"/>
              </w:rPr>
              <w:t xml:space="preserve">A. horn jar: A jar made of processed cattle horn or sheep horn. </w:t>
            </w:r>
          </w:p>
          <w:p w14:paraId="3C309AE9">
            <w:pPr>
              <w:numPr>
                <w:ilvl w:val="0"/>
                <w:numId w:val="0"/>
              </w:numPr>
              <w:rPr>
                <w:rFonts w:hint="default" w:ascii="Cambria" w:hAnsi="Cambria" w:cs="Cambria"/>
                <w:lang w:val="en-US" w:eastAsia="zh-CN"/>
              </w:rPr>
            </w:pPr>
            <w:r>
              <w:rPr>
                <w:rFonts w:hint="default" w:ascii="Cambria" w:hAnsi="Cambria" w:cs="Cambria"/>
                <w:lang w:val="en-US" w:eastAsia="zh-CN"/>
              </w:rPr>
              <w:t>bamboo jar: Made of mature bamboo. Its advantages are light weight, low cost, easy availability of materials, simple production, and heat-resistance. Disadvantages include easy bursting and air-leakage, and non-transparency, making it difficult to observe the changes in the skin inside the jar. Bamboo jars have a strong capacity to absorb medicine, thus they are frequently used in the method of decocting medicine with jars. Different herbs can be used to decoct the jars according to various diseases, so as to enhance the therapeutic effect.</w:t>
            </w:r>
          </w:p>
          <w:p w14:paraId="676987B8">
            <w:pPr>
              <w:numPr>
                <w:ilvl w:val="0"/>
                <w:numId w:val="0"/>
              </w:numPr>
              <w:rPr>
                <w:rFonts w:hint="default" w:ascii="Cambria" w:hAnsi="Cambria" w:cs="Cambria"/>
                <w:lang w:val="en-US" w:eastAsia="zh-CN"/>
              </w:rPr>
            </w:pPr>
            <w:r>
              <w:rPr>
                <w:rFonts w:hint="default" w:ascii="Cambria" w:hAnsi="Cambria" w:cs="Cambria"/>
                <w:lang w:val="en-US" w:eastAsia="zh-CN"/>
              </w:rPr>
              <w:t xml:space="preserve">ceramic jar: Made from fired clay, with a smooth jar mouth, shaped like a wooden body, slightly smaller at the bottom, a large cavity like a drum, and available in large, medium, small, and extra-small types. Its advantages are relatively strong suction, easy high-temperature disinfection, and suitability for cupping on all parts of the body. Disadvantages are that the ceramic jar is heavy, easy to break, and non-transparent. The relatively strong suction of the ceramic jar has a good curative effect on patients with strong constitutions or certain deep-seated diseases. </w:t>
            </w:r>
          </w:p>
          <w:p w14:paraId="6130F08C">
            <w:pPr>
              <w:numPr>
                <w:ilvl w:val="0"/>
                <w:numId w:val="0"/>
              </w:numPr>
              <w:rPr>
                <w:rFonts w:hint="default" w:ascii="Cambria" w:hAnsi="Cambria" w:cs="Cambria"/>
                <w:lang w:val="en-US" w:eastAsia="zh-CN"/>
              </w:rPr>
            </w:pPr>
            <w:r>
              <w:rPr>
                <w:rFonts w:hint="default" w:ascii="Cambria" w:hAnsi="Cambria" w:cs="Cambria"/>
                <w:lang w:val="en-US" w:eastAsia="zh-CN"/>
              </w:rPr>
              <w:t>glass jar: Made of heat-resistant, hard, and transparent glass, with a smooth jar mouth, flat mouth, large cavity, and round bottom, and the mouth edge is slightly thick and outward flared, smooth inside and outside. Its advantage is transparency, allowing for real-time observation of the degree of skin congestion inside the jar during use. Disadvantages are fast heat-transfer and easy breakage. Glass jars are widely used clinically for pricking-blood cupping and tuina cupping, and have a good curative effect on blood-stasis and cold-congealing diseases.</w:t>
            </w:r>
          </w:p>
          <w:p w14:paraId="3D90C41D">
            <w:pPr>
              <w:numPr>
                <w:ilvl w:val="0"/>
                <w:numId w:val="0"/>
              </w:numPr>
              <w:rPr>
                <w:rFonts w:hint="default" w:ascii="Cambria" w:hAnsi="Cambria" w:cs="Cambria"/>
                <w:lang w:val="en-US" w:eastAsia="zh-CN"/>
              </w:rPr>
            </w:pPr>
            <w:r>
              <w:rPr>
                <w:rFonts w:hint="default" w:ascii="Cambria" w:hAnsi="Cambria" w:cs="Cambria"/>
                <w:lang w:val="en-US" w:eastAsia="zh-CN"/>
              </w:rPr>
              <w:t xml:space="preserve">metal jar: Divided into copper jars and iron jars, made of steel or iron sheet. It has a shape similar to that of a glass jar, with different calibers. Copper jars are more commonly used. Metal jars are characterized by durability and fast heat-transfer. </w:t>
            </w:r>
          </w:p>
          <w:p w14:paraId="1196CAC1">
            <w:pPr>
              <w:numPr>
                <w:ilvl w:val="0"/>
                <w:numId w:val="0"/>
              </w:numPr>
              <w:rPr>
                <w:rFonts w:hint="default" w:ascii="Cambria" w:hAnsi="Cambria" w:cs="Cambria"/>
                <w:lang w:val="en-US" w:eastAsia="zh-CN"/>
              </w:rPr>
            </w:pPr>
            <w:r>
              <w:rPr>
                <w:rFonts w:hint="default" w:ascii="Cambria" w:hAnsi="Cambria" w:cs="Cambria"/>
                <w:lang w:val="en-US" w:eastAsia="zh-CN"/>
              </w:rPr>
              <w:t xml:space="preserve">Bi-ceramic fire jar: Made by selecting a variety of oxidized polymers and other auxiliary materials for firing. </w:t>
            </w:r>
          </w:p>
          <w:p w14:paraId="0F61BD3B">
            <w:pPr>
              <w:numPr>
                <w:ilvl w:val="0"/>
                <w:numId w:val="0"/>
              </w:numPr>
              <w:rPr>
                <w:rFonts w:hint="default" w:ascii="Cambria" w:hAnsi="Cambria" w:cs="Cambria"/>
                <w:lang w:val="en-US"/>
              </w:rPr>
            </w:pPr>
            <w:r>
              <w:rPr>
                <w:rFonts w:hint="default" w:ascii="Cambria" w:hAnsi="Cambria" w:cs="Cambria"/>
                <w:lang w:val="en-US" w:eastAsia="zh-CN"/>
              </w:rPr>
              <w:t>plastic jar: Made of plastic or plastic-based raw materials, inexpensive and not easy to break. Modern clinical suction jars are mostly made of plastic. (Source: , Innovative Textbook for Higher Education in the National TCM Industry during the 14th Five-Year Plan. Editor in Chief: Chen Zelin. China Press of TCM, 2023)</w:t>
            </w:r>
          </w:p>
        </w:tc>
        <w:tc>
          <w:tcPr>
            <w:tcW w:w="0" w:type="auto"/>
            <w:tcBorders>
              <w:top w:val="single" w:color="000000" w:themeColor="text1" w:sz="6" w:space="0"/>
              <w:tl2br w:val="nil"/>
              <w:tr2bl w:val="nil"/>
            </w:tcBorders>
            <w:shd w:val="clear" w:color="auto" w:fill="auto"/>
            <w:tcMar>
              <w:top w:w="120" w:type="dxa"/>
              <w:left w:w="120" w:type="dxa"/>
              <w:bottom w:w="120" w:type="dxa"/>
              <w:right w:w="120" w:type="dxa"/>
            </w:tcMar>
            <w:vAlign w:val="center"/>
          </w:tcPr>
          <w:p w14:paraId="6646DB62">
            <w:pPr>
              <w:numPr>
                <w:ilvl w:val="0"/>
                <w:numId w:val="0"/>
              </w:numPr>
              <w:rPr>
                <w:rFonts w:hint="default" w:ascii="Cambria" w:hAnsi="Cambria" w:cs="Cambria"/>
              </w:rPr>
            </w:pPr>
            <w:r>
              <w:rPr>
                <w:rFonts w:hint="default" w:ascii="Cambria" w:hAnsi="Cambria" w:cs="Cambria"/>
                <w:lang w:val="en-US" w:eastAsia="zh-CN"/>
              </w:rPr>
              <w:t>0.5</w:t>
            </w:r>
          </w:p>
        </w:tc>
        <w:tc>
          <w:tcPr>
            <w:tcW w:w="0" w:type="auto"/>
            <w:tcBorders>
              <w:top w:val="single" w:color="000000" w:themeColor="text1" w:sz="6" w:space="0"/>
              <w:tl2br w:val="nil"/>
              <w:tr2bl w:val="nil"/>
            </w:tcBorders>
            <w:shd w:val="clear" w:color="auto" w:fill="auto"/>
            <w:tcMar>
              <w:top w:w="120" w:type="dxa"/>
              <w:left w:w="120" w:type="dxa"/>
              <w:bottom w:w="120" w:type="dxa"/>
              <w:right w:w="120" w:type="dxa"/>
            </w:tcMar>
            <w:vAlign w:val="center"/>
          </w:tcPr>
          <w:p w14:paraId="5E3DDD74">
            <w:pPr>
              <w:numPr>
                <w:ilvl w:val="0"/>
                <w:numId w:val="0"/>
              </w:numPr>
              <w:rPr>
                <w:rFonts w:hint="default" w:ascii="Cambria" w:hAnsi="Cambria" w:cs="Cambria"/>
              </w:rPr>
            </w:pPr>
            <w:r>
              <w:rPr>
                <w:rFonts w:hint="default" w:ascii="Cambria" w:hAnsi="Cambria" w:cs="Cambria"/>
                <w:lang w:val="en-US" w:eastAsia="zh-CN"/>
              </w:rPr>
              <w:t>50.00%</w:t>
            </w:r>
          </w:p>
        </w:tc>
        <w:tc>
          <w:tcPr>
            <w:tcW w:w="0" w:type="auto"/>
            <w:tcBorders>
              <w:top w:val="single" w:color="000000" w:themeColor="text1" w:sz="6" w:space="0"/>
              <w:tl2br w:val="nil"/>
              <w:tr2bl w:val="nil"/>
            </w:tcBorders>
            <w:shd w:val="clear" w:color="auto" w:fill="auto"/>
            <w:tcMar>
              <w:top w:w="120" w:type="dxa"/>
              <w:left w:w="120" w:type="dxa"/>
              <w:bottom w:w="120" w:type="dxa"/>
              <w:right w:w="120" w:type="dxa"/>
            </w:tcMar>
            <w:vAlign w:val="center"/>
          </w:tcPr>
          <w:p w14:paraId="17524854">
            <w:pPr>
              <w:numPr>
                <w:ilvl w:val="0"/>
                <w:numId w:val="0"/>
              </w:numPr>
              <w:rPr>
                <w:rFonts w:hint="default" w:ascii="Cambria" w:hAnsi="Cambria" w:cs="Cambria"/>
              </w:rPr>
            </w:pPr>
            <w:r>
              <w:rPr>
                <w:rFonts w:hint="default" w:ascii="Cambria" w:hAnsi="Cambria" w:cs="Cambria"/>
                <w:lang w:val="en-US" w:eastAsia="zh-CN"/>
              </w:rPr>
              <w:t>15</w:t>
            </w:r>
          </w:p>
        </w:tc>
        <w:tc>
          <w:tcPr>
            <w:tcW w:w="0" w:type="auto"/>
            <w:tcBorders>
              <w:top w:val="single" w:color="000000" w:themeColor="text1" w:sz="6" w:space="0"/>
              <w:tl2br w:val="nil"/>
              <w:tr2bl w:val="nil"/>
            </w:tcBorders>
            <w:shd w:val="clear" w:color="auto" w:fill="auto"/>
            <w:tcMar>
              <w:top w:w="120" w:type="dxa"/>
              <w:left w:w="120" w:type="dxa"/>
              <w:bottom w:w="120" w:type="dxa"/>
              <w:right w:w="120" w:type="dxa"/>
            </w:tcMar>
            <w:vAlign w:val="center"/>
          </w:tcPr>
          <w:p w14:paraId="2EFC31AD">
            <w:pPr>
              <w:numPr>
                <w:ilvl w:val="0"/>
                <w:numId w:val="0"/>
              </w:numPr>
              <w:rPr>
                <w:rFonts w:hint="default" w:ascii="Cambria" w:hAnsi="Cambria" w:cs="Cambria"/>
              </w:rPr>
            </w:pPr>
            <w:r>
              <w:rPr>
                <w:rFonts w:hint="default" w:ascii="Cambria" w:hAnsi="Cambria" w:cs="Cambria"/>
                <w:lang w:val="en-US" w:eastAsia="zh-CN"/>
              </w:rPr>
              <w:t>101.71%</w:t>
            </w:r>
          </w:p>
        </w:tc>
      </w:tr>
      <w:tr w14:paraId="6023BC11">
        <w:tblPrEx>
          <w:tblBorders>
            <w:top w:val="single" w:color="000000" w:themeColor="text1" w:sz="6" w:space="0"/>
            <w:left w:val="single" w:color="CCCCCC" w:sz="6" w:space="0"/>
            <w:bottom w:val="single" w:color="000000" w:themeColor="text1" w:sz="6" w:space="0"/>
            <w:right w:val="single" w:color="CCCCCC" w:sz="6" w:space="0"/>
            <w:insideH w:val="single" w:color="CCCCCC" w:sz="6" w:space="0"/>
            <w:insideV w:val="single" w:color="CCCCCC" w:sz="6" w:space="0"/>
          </w:tblBorders>
          <w:shd w:val="clear" w:color="auto" w:fill="auto"/>
          <w:tblCellMar>
            <w:top w:w="15" w:type="dxa"/>
            <w:left w:w="15" w:type="dxa"/>
            <w:bottom w:w="15" w:type="dxa"/>
            <w:right w:w="15" w:type="dxa"/>
          </w:tblCellMar>
        </w:tblPrEx>
        <w:tc>
          <w:tcPr>
            <w:tcW w:w="0" w:type="auto"/>
            <w:tcBorders>
              <w:tl2br w:val="nil"/>
              <w:tr2bl w:val="nil"/>
            </w:tcBorders>
            <w:shd w:val="clear" w:color="auto" w:fill="auto"/>
            <w:tcMar>
              <w:top w:w="120" w:type="dxa"/>
              <w:left w:w="120" w:type="dxa"/>
              <w:bottom w:w="120" w:type="dxa"/>
              <w:right w:w="120" w:type="dxa"/>
            </w:tcMar>
            <w:vAlign w:val="center"/>
          </w:tcPr>
          <w:p w14:paraId="4737A467">
            <w:pPr>
              <w:numPr>
                <w:ilvl w:val="0"/>
                <w:numId w:val="0"/>
              </w:numPr>
              <w:rPr>
                <w:rFonts w:hint="default" w:ascii="Cambria" w:hAnsi="Cambria" w:cs="Cambria"/>
              </w:rPr>
            </w:pPr>
            <w:r>
              <w:rPr>
                <w:rFonts w:hint="default" w:ascii="Cambria" w:hAnsi="Cambria" w:cs="Cambria"/>
                <w:lang w:val="en-US" w:eastAsia="zh-CN"/>
              </w:rPr>
              <w:t>B. Follow the original text of the national standard.</w:t>
            </w:r>
          </w:p>
        </w:tc>
        <w:tc>
          <w:tcPr>
            <w:tcW w:w="0" w:type="auto"/>
            <w:tcBorders>
              <w:tl2br w:val="nil"/>
              <w:tr2bl w:val="nil"/>
            </w:tcBorders>
            <w:shd w:val="clear" w:color="auto" w:fill="auto"/>
            <w:tcMar>
              <w:top w:w="120" w:type="dxa"/>
              <w:left w:w="120" w:type="dxa"/>
              <w:bottom w:w="120" w:type="dxa"/>
              <w:right w:w="120" w:type="dxa"/>
            </w:tcMar>
            <w:vAlign w:val="center"/>
          </w:tcPr>
          <w:p w14:paraId="5934DA86">
            <w:pPr>
              <w:numPr>
                <w:ilvl w:val="0"/>
                <w:numId w:val="0"/>
              </w:numPr>
              <w:rPr>
                <w:rFonts w:hint="default" w:ascii="Cambria" w:hAnsi="Cambria" w:cs="Cambria"/>
              </w:rPr>
            </w:pPr>
            <w:r>
              <w:rPr>
                <w:rFonts w:hint="default" w:ascii="Cambria" w:hAnsi="Cambria" w:cs="Cambria"/>
                <w:lang w:val="en-US" w:eastAsia="zh-CN"/>
              </w:rPr>
              <w:t>0.37</w:t>
            </w:r>
          </w:p>
        </w:tc>
        <w:tc>
          <w:tcPr>
            <w:tcW w:w="0" w:type="auto"/>
            <w:tcBorders>
              <w:tl2br w:val="nil"/>
              <w:tr2bl w:val="nil"/>
            </w:tcBorders>
            <w:shd w:val="clear" w:color="auto" w:fill="auto"/>
            <w:tcMar>
              <w:top w:w="120" w:type="dxa"/>
              <w:left w:w="120" w:type="dxa"/>
              <w:bottom w:w="120" w:type="dxa"/>
              <w:right w:w="120" w:type="dxa"/>
            </w:tcMar>
            <w:vAlign w:val="center"/>
          </w:tcPr>
          <w:p w14:paraId="1B2C8950">
            <w:pPr>
              <w:numPr>
                <w:ilvl w:val="0"/>
                <w:numId w:val="0"/>
              </w:numPr>
              <w:rPr>
                <w:rFonts w:hint="default" w:ascii="Cambria" w:hAnsi="Cambria" w:cs="Cambria"/>
              </w:rPr>
            </w:pPr>
            <w:r>
              <w:rPr>
                <w:rFonts w:hint="default" w:ascii="Cambria" w:hAnsi="Cambria" w:cs="Cambria"/>
                <w:lang w:val="en-US" w:eastAsia="zh-CN"/>
              </w:rPr>
              <w:t>63.00%</w:t>
            </w:r>
          </w:p>
        </w:tc>
        <w:tc>
          <w:tcPr>
            <w:tcW w:w="0" w:type="auto"/>
            <w:tcBorders>
              <w:tl2br w:val="nil"/>
              <w:tr2bl w:val="nil"/>
            </w:tcBorders>
            <w:shd w:val="clear" w:color="auto" w:fill="auto"/>
            <w:tcMar>
              <w:top w:w="120" w:type="dxa"/>
              <w:left w:w="120" w:type="dxa"/>
              <w:bottom w:w="120" w:type="dxa"/>
              <w:right w:w="120" w:type="dxa"/>
            </w:tcMar>
            <w:vAlign w:val="center"/>
          </w:tcPr>
          <w:p w14:paraId="7E6BE2CA">
            <w:pPr>
              <w:numPr>
                <w:ilvl w:val="0"/>
                <w:numId w:val="0"/>
              </w:numPr>
              <w:rPr>
                <w:rFonts w:hint="default" w:ascii="Cambria" w:hAnsi="Cambria" w:cs="Cambria"/>
              </w:rPr>
            </w:pPr>
            <w:r>
              <w:rPr>
                <w:rFonts w:hint="default" w:ascii="Cambria" w:hAnsi="Cambria" w:cs="Cambria"/>
                <w:lang w:val="en-US" w:eastAsia="zh-CN"/>
              </w:rPr>
              <w:t>11</w:t>
            </w:r>
          </w:p>
        </w:tc>
        <w:tc>
          <w:tcPr>
            <w:tcW w:w="0" w:type="auto"/>
            <w:tcBorders>
              <w:tl2br w:val="nil"/>
              <w:tr2bl w:val="nil"/>
            </w:tcBorders>
            <w:shd w:val="clear" w:color="auto" w:fill="auto"/>
            <w:tcMar>
              <w:top w:w="120" w:type="dxa"/>
              <w:left w:w="120" w:type="dxa"/>
              <w:bottom w:w="120" w:type="dxa"/>
              <w:right w:w="120" w:type="dxa"/>
            </w:tcMar>
            <w:vAlign w:val="center"/>
          </w:tcPr>
          <w:p w14:paraId="62577F54">
            <w:pPr>
              <w:numPr>
                <w:ilvl w:val="0"/>
                <w:numId w:val="0"/>
              </w:numPr>
              <w:rPr>
                <w:rFonts w:hint="default" w:ascii="Cambria" w:hAnsi="Cambria" w:cs="Cambria"/>
              </w:rPr>
            </w:pPr>
            <w:r>
              <w:rPr>
                <w:rFonts w:hint="default" w:ascii="Cambria" w:hAnsi="Cambria" w:cs="Cambria"/>
                <w:lang w:val="en-US" w:eastAsia="zh-CN"/>
              </w:rPr>
              <w:t>132.47%</w:t>
            </w:r>
          </w:p>
        </w:tc>
      </w:tr>
    </w:tbl>
    <w:p w14:paraId="6AC08AE0">
      <w:pPr>
        <w:numPr>
          <w:ilvl w:val="0"/>
          <w:numId w:val="0"/>
        </w:numPr>
        <w:rPr>
          <w:rFonts w:hint="default" w:ascii="Cambria" w:hAnsi="Cambria" w:cs="Cambria"/>
        </w:rPr>
      </w:pPr>
    </w:p>
    <w:p w14:paraId="19025CB8">
      <w:pPr>
        <w:numPr>
          <w:ilvl w:val="0"/>
          <w:numId w:val="0"/>
        </w:numPr>
        <w:rPr>
          <w:rFonts w:hint="default" w:ascii="Cambria" w:hAnsi="Cambria" w:cs="Cambria" w:eastAsiaTheme="minorEastAsia"/>
          <w:u w:val="none"/>
          <w:lang w:val="en-US" w:eastAsia="zh-CN"/>
        </w:rPr>
      </w:pPr>
      <w:r>
        <w:rPr>
          <w:rFonts w:hint="default" w:ascii="Cambria" w:hAnsi="Cambria" w:cs="Cambria"/>
          <w:u w:val="none"/>
        </w:rPr>
        <w:t>2.8 Survey Results of Modifying "Scope"</w:t>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p>
    <w:p w14:paraId="62ABD87D">
      <w:pPr>
        <w:numPr>
          <w:ilvl w:val="0"/>
          <w:numId w:val="0"/>
        </w:numPr>
        <w:rPr>
          <w:rFonts w:hint="default" w:ascii="Cambria" w:hAnsi="Cambria" w:cs="Cambria"/>
          <w:u w:val="none"/>
          <w:lang w:val="en-US" w:eastAsia="zh-CN"/>
        </w:rPr>
      </w:pPr>
      <w:r>
        <w:rPr>
          <w:rFonts w:hint="default" w:ascii="Cambria" w:hAnsi="Cambria" w:cs="Cambria"/>
          <w:u w:val="none"/>
        </w:rPr>
        <w:t>Table 15 Survey Results of Modifying "Scope"</w:t>
      </w:r>
      <w:r>
        <w:rPr>
          <w:rFonts w:hint="default" w:ascii="Cambria" w:hAnsi="Cambria" w:cs="Cambria"/>
          <w:u w:val="none"/>
          <w:lang w:val="en-US" w:eastAsia="zh-CN"/>
        </w:rPr>
        <w:tab/>
      </w:r>
    </w:p>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78"/>
        <w:gridCol w:w="933"/>
        <w:gridCol w:w="942"/>
        <w:gridCol w:w="483"/>
        <w:gridCol w:w="986"/>
      </w:tblGrid>
      <w:tr w14:paraId="2D74DE6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bottom w:val="single" w:color="auto" w:sz="4" w:space="0"/>
            </w:tcBorders>
            <w:vAlign w:val="top"/>
          </w:tcPr>
          <w:p w14:paraId="74AA7544">
            <w:pPr>
              <w:numPr>
                <w:ilvl w:val="0"/>
                <w:numId w:val="0"/>
              </w:numPr>
              <w:rPr>
                <w:rFonts w:hint="default" w:ascii="Cambria" w:hAnsi="Cambria" w:cs="Cambria"/>
                <w:u w:val="none"/>
                <w:vertAlign w:val="baseline"/>
                <w:lang w:val="en-US" w:eastAsia="zh-CN"/>
              </w:rPr>
            </w:pPr>
            <w:r>
              <w:rPr>
                <w:rFonts w:hint="default" w:ascii="Cambria" w:hAnsi="Cambria" w:cs="Cambria"/>
                <w:u w:val="none"/>
              </w:rPr>
              <w:t>Option</w:t>
            </w:r>
          </w:p>
        </w:tc>
        <w:tc>
          <w:tcPr>
            <w:tcW w:w="933" w:type="dxa"/>
            <w:tcBorders>
              <w:bottom w:val="single" w:color="auto" w:sz="4" w:space="0"/>
            </w:tcBorders>
            <w:vAlign w:val="top"/>
          </w:tcPr>
          <w:p w14:paraId="4D48072B">
            <w:pPr>
              <w:numPr>
                <w:ilvl w:val="0"/>
                <w:numId w:val="0"/>
              </w:numPr>
              <w:rPr>
                <w:rFonts w:hint="default" w:ascii="Cambria" w:hAnsi="Cambria" w:cs="Cambria"/>
                <w:u w:val="none"/>
                <w:vertAlign w:val="baseline"/>
                <w:lang w:val="en-US" w:eastAsia="zh-CN"/>
              </w:rPr>
            </w:pPr>
            <w:r>
              <w:rPr>
                <w:rFonts w:hint="default" w:ascii="Cambria" w:hAnsi="Cambria" w:cs="Cambria"/>
                <w:u w:val="none"/>
                <w:lang w:val="en-US" w:eastAsia="zh-CN"/>
              </w:rPr>
              <w:t xml:space="preserve">X̅  </w:t>
            </w:r>
          </w:p>
        </w:tc>
        <w:tc>
          <w:tcPr>
            <w:tcW w:w="942" w:type="dxa"/>
            <w:tcBorders>
              <w:bottom w:val="single" w:color="auto" w:sz="4" w:space="0"/>
            </w:tcBorders>
            <w:vAlign w:val="top"/>
          </w:tcPr>
          <w:p w14:paraId="7DA0E867">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R </w:t>
            </w:r>
          </w:p>
        </w:tc>
        <w:tc>
          <w:tcPr>
            <w:tcW w:w="483" w:type="dxa"/>
            <w:tcBorders>
              <w:bottom w:val="single" w:color="auto" w:sz="4" w:space="0"/>
            </w:tcBorders>
            <w:vAlign w:val="top"/>
          </w:tcPr>
          <w:p w14:paraId="535DC2ED">
            <w:pPr>
              <w:numPr>
                <w:ilvl w:val="0"/>
                <w:numId w:val="0"/>
              </w:numPr>
              <w:rPr>
                <w:rFonts w:hint="default" w:ascii="Cambria" w:hAnsi="Cambria" w:cs="Cambria"/>
                <w:u w:val="none"/>
                <w:vertAlign w:val="baseline"/>
                <w:lang w:val="en-US" w:eastAsia="zh-CN"/>
              </w:rPr>
            </w:pPr>
            <w:r>
              <w:rPr>
                <w:rFonts w:hint="default" w:ascii="Cambria" w:hAnsi="Cambria" w:cs="Cambria"/>
                <w:u w:val="none"/>
              </w:rPr>
              <w:t>S</w:t>
            </w:r>
          </w:p>
        </w:tc>
        <w:tc>
          <w:tcPr>
            <w:tcW w:w="986" w:type="dxa"/>
            <w:tcBorders>
              <w:bottom w:val="single" w:color="auto" w:sz="4" w:space="0"/>
            </w:tcBorders>
            <w:vAlign w:val="top"/>
          </w:tcPr>
          <w:p w14:paraId="0F30C6D6">
            <w:pPr>
              <w:numPr>
                <w:ilvl w:val="0"/>
                <w:numId w:val="0"/>
              </w:numPr>
              <w:rPr>
                <w:rFonts w:hint="default" w:ascii="Cambria" w:hAnsi="Cambria" w:cs="Cambria"/>
                <w:u w:val="none"/>
                <w:vertAlign w:val="baseline"/>
                <w:lang w:val="en-US" w:eastAsia="zh-CN"/>
              </w:rPr>
            </w:pPr>
            <w:r>
              <w:rPr>
                <w:rFonts w:hint="default" w:ascii="Cambria" w:hAnsi="Cambria" w:cs="Cambria"/>
                <w:u w:val="none"/>
              </w:rPr>
              <w:t>CV</w:t>
            </w:r>
          </w:p>
        </w:tc>
      </w:tr>
      <w:tr w14:paraId="3679C22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top w:val="single" w:color="auto" w:sz="4" w:space="0"/>
              <w:tl2br w:val="nil"/>
              <w:tr2bl w:val="nil"/>
            </w:tcBorders>
            <w:vAlign w:val="top"/>
          </w:tcPr>
          <w:p w14:paraId="2E043C65">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A. Agree. </w:t>
            </w:r>
          </w:p>
        </w:tc>
        <w:tc>
          <w:tcPr>
            <w:tcW w:w="933" w:type="dxa"/>
            <w:tcBorders>
              <w:top w:val="single" w:color="auto" w:sz="4" w:space="0"/>
              <w:tl2br w:val="nil"/>
              <w:tr2bl w:val="nil"/>
            </w:tcBorders>
            <w:vAlign w:val="top"/>
          </w:tcPr>
          <w:p w14:paraId="24923CC8">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1 </w:t>
            </w:r>
          </w:p>
        </w:tc>
        <w:tc>
          <w:tcPr>
            <w:tcW w:w="942" w:type="dxa"/>
            <w:tcBorders>
              <w:top w:val="single" w:color="auto" w:sz="4" w:space="0"/>
              <w:tl2br w:val="nil"/>
              <w:tr2bl w:val="nil"/>
            </w:tcBorders>
            <w:vAlign w:val="top"/>
          </w:tcPr>
          <w:p w14:paraId="6A8B31A1">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0% </w:t>
            </w:r>
          </w:p>
        </w:tc>
        <w:tc>
          <w:tcPr>
            <w:tcW w:w="483" w:type="dxa"/>
            <w:tcBorders>
              <w:top w:val="single" w:color="auto" w:sz="4" w:space="0"/>
              <w:tl2br w:val="nil"/>
              <w:tr2bl w:val="nil"/>
            </w:tcBorders>
            <w:vAlign w:val="top"/>
          </w:tcPr>
          <w:p w14:paraId="0BE5B51A">
            <w:pPr>
              <w:numPr>
                <w:ilvl w:val="0"/>
                <w:numId w:val="0"/>
              </w:numPr>
              <w:rPr>
                <w:rFonts w:hint="default" w:ascii="Cambria" w:hAnsi="Cambria" w:cs="Cambria"/>
                <w:u w:val="none"/>
                <w:vertAlign w:val="baseline"/>
                <w:lang w:val="en-US" w:eastAsia="zh-CN"/>
              </w:rPr>
            </w:pPr>
            <w:r>
              <w:rPr>
                <w:rFonts w:hint="default" w:ascii="Cambria" w:hAnsi="Cambria" w:cs="Cambria"/>
                <w:u w:val="none"/>
              </w:rPr>
              <w:t>30</w:t>
            </w:r>
          </w:p>
        </w:tc>
        <w:tc>
          <w:tcPr>
            <w:tcW w:w="986" w:type="dxa"/>
            <w:tcBorders>
              <w:top w:val="single" w:color="auto" w:sz="4" w:space="0"/>
              <w:tl2br w:val="nil"/>
              <w:tr2bl w:val="nil"/>
            </w:tcBorders>
            <w:vAlign w:val="top"/>
          </w:tcPr>
          <w:p w14:paraId="5E282161">
            <w:pPr>
              <w:numPr>
                <w:ilvl w:val="0"/>
                <w:numId w:val="0"/>
              </w:numPr>
              <w:rPr>
                <w:rFonts w:hint="default" w:ascii="Cambria" w:hAnsi="Cambria" w:cs="Cambria"/>
                <w:u w:val="none"/>
                <w:vertAlign w:val="baseline"/>
                <w:lang w:val="en-US" w:eastAsia="zh-CN"/>
              </w:rPr>
            </w:pPr>
            <w:r>
              <w:rPr>
                <w:rFonts w:hint="default" w:ascii="Cambria" w:hAnsi="Cambria" w:cs="Cambria"/>
                <w:u w:val="none"/>
              </w:rPr>
              <w:t>0%</w:t>
            </w:r>
          </w:p>
        </w:tc>
      </w:tr>
      <w:tr w14:paraId="549C30E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tl2br w:val="nil"/>
              <w:tr2bl w:val="nil"/>
            </w:tcBorders>
            <w:vAlign w:val="top"/>
          </w:tcPr>
          <w:p w14:paraId="415D2AB7">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B. Disagree. </w:t>
            </w:r>
          </w:p>
        </w:tc>
        <w:tc>
          <w:tcPr>
            <w:tcW w:w="933" w:type="dxa"/>
            <w:tcBorders>
              <w:tl2br w:val="nil"/>
              <w:tr2bl w:val="nil"/>
            </w:tcBorders>
            <w:vAlign w:val="top"/>
          </w:tcPr>
          <w:p w14:paraId="48F8C311">
            <w:pPr>
              <w:numPr>
                <w:ilvl w:val="0"/>
                <w:numId w:val="0"/>
              </w:numPr>
              <w:rPr>
                <w:rFonts w:hint="default" w:ascii="Cambria" w:hAnsi="Cambria" w:cs="Cambria"/>
                <w:u w:val="none"/>
                <w:vertAlign w:val="baseline"/>
                <w:lang w:val="en-US" w:eastAsia="zh-CN"/>
              </w:rPr>
            </w:pPr>
            <w:r>
              <w:rPr>
                <w:rFonts w:hint="default" w:ascii="Cambria" w:hAnsi="Cambria" w:cs="Cambria"/>
                <w:u w:val="none"/>
              </w:rPr>
              <w:t>0</w:t>
            </w:r>
          </w:p>
        </w:tc>
        <w:tc>
          <w:tcPr>
            <w:tcW w:w="942" w:type="dxa"/>
            <w:tcBorders>
              <w:tl2br w:val="nil"/>
              <w:tr2bl w:val="nil"/>
            </w:tcBorders>
            <w:vAlign w:val="top"/>
          </w:tcPr>
          <w:p w14:paraId="3798D944">
            <w:pPr>
              <w:numPr>
                <w:ilvl w:val="0"/>
                <w:numId w:val="0"/>
              </w:numPr>
              <w:rPr>
                <w:rFonts w:hint="default" w:ascii="Cambria" w:hAnsi="Cambria" w:cs="Cambria"/>
                <w:u w:val="none"/>
                <w:vertAlign w:val="baseline"/>
                <w:lang w:val="en-US" w:eastAsia="zh-CN"/>
              </w:rPr>
            </w:pPr>
            <w:r>
              <w:rPr>
                <w:rFonts w:hint="default" w:ascii="Cambria" w:hAnsi="Cambria" w:cs="Cambria"/>
                <w:u w:val="none"/>
              </w:rPr>
              <w:t>100%</w:t>
            </w:r>
          </w:p>
        </w:tc>
        <w:tc>
          <w:tcPr>
            <w:tcW w:w="483" w:type="dxa"/>
            <w:tcBorders>
              <w:tl2br w:val="nil"/>
              <w:tr2bl w:val="nil"/>
            </w:tcBorders>
            <w:vAlign w:val="top"/>
          </w:tcPr>
          <w:p w14:paraId="1E1B603F">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0 </w:t>
            </w:r>
          </w:p>
        </w:tc>
        <w:tc>
          <w:tcPr>
            <w:tcW w:w="986" w:type="dxa"/>
            <w:tcBorders>
              <w:tl2br w:val="nil"/>
              <w:tr2bl w:val="nil"/>
            </w:tcBorders>
            <w:vAlign w:val="top"/>
          </w:tcPr>
          <w:p w14:paraId="6C30D04B">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0% </w:t>
            </w:r>
          </w:p>
        </w:tc>
      </w:tr>
    </w:tbl>
    <w:p w14:paraId="4D71F509">
      <w:pPr>
        <w:numPr>
          <w:ilvl w:val="0"/>
          <w:numId w:val="0"/>
        </w:numPr>
        <w:rPr>
          <w:rFonts w:hint="default" w:ascii="Cambria" w:hAnsi="Cambria" w:cs="Cambria"/>
        </w:rPr>
      </w:pPr>
    </w:p>
    <w:p w14:paraId="76887CA6">
      <w:pPr>
        <w:numPr>
          <w:ilvl w:val="0"/>
          <w:numId w:val="0"/>
        </w:numPr>
        <w:rPr>
          <w:rFonts w:hint="default" w:ascii="Cambria" w:hAnsi="Cambria" w:cs="Cambria"/>
          <w:u w:val="none"/>
        </w:rPr>
      </w:pPr>
      <w:r>
        <w:rPr>
          <w:rFonts w:hint="default" w:ascii="Cambria" w:hAnsi="Cambria" w:cs="Cambria"/>
          <w:u w:val="none"/>
        </w:rPr>
        <w:t>2.</w:t>
      </w:r>
      <w:r>
        <w:rPr>
          <w:rFonts w:hint="default" w:ascii="Cambria" w:hAnsi="Cambria" w:cs="Cambria"/>
          <w:u w:val="none"/>
          <w:lang w:val="en-US" w:eastAsia="zh-CN"/>
        </w:rPr>
        <w:t>9</w:t>
      </w:r>
      <w:r>
        <w:rPr>
          <w:rFonts w:hint="default" w:ascii="Cambria" w:hAnsi="Cambria" w:cs="Cambria"/>
          <w:u w:val="none"/>
        </w:rPr>
        <w:t xml:space="preserve"> Survey Results of Modifying "</w:t>
      </w:r>
      <w:r>
        <w:rPr>
          <w:rFonts w:hint="default" w:ascii="Cambria" w:hAnsi="Cambria" w:cs="Cambria"/>
          <w:u w:val="none"/>
          <w:lang w:eastAsia="zh-CN"/>
        </w:rPr>
        <w:t>Normative References</w:t>
      </w:r>
      <w:r>
        <w:rPr>
          <w:rFonts w:hint="default" w:ascii="Cambria" w:hAnsi="Cambria" w:cs="Cambria"/>
          <w:u w:val="none"/>
        </w:rPr>
        <w:t>"</w:t>
      </w:r>
      <w:r>
        <w:rPr>
          <w:rFonts w:hint="default" w:ascii="Cambria" w:hAnsi="Cambria" w:cs="Cambria"/>
          <w:u w:val="none"/>
          <w:lang w:val="en-US" w:eastAsia="zh-CN"/>
        </w:rPr>
        <w:tab/>
      </w:r>
    </w:p>
    <w:p w14:paraId="505C30AC">
      <w:pPr>
        <w:numPr>
          <w:ilvl w:val="0"/>
          <w:numId w:val="0"/>
        </w:numPr>
        <w:rPr>
          <w:rFonts w:hint="default" w:ascii="Cambria" w:hAnsi="Cambria" w:cs="Cambria"/>
          <w:u w:val="none"/>
        </w:rPr>
      </w:pPr>
      <w:r>
        <w:rPr>
          <w:rFonts w:hint="default" w:ascii="Cambria" w:hAnsi="Cambria" w:cs="Cambria"/>
          <w:u w:val="none"/>
        </w:rPr>
        <w:t>Table 16 Survey Results of Modifying "</w:t>
      </w:r>
      <w:r>
        <w:rPr>
          <w:rFonts w:hint="default" w:ascii="Cambria" w:hAnsi="Cambria" w:cs="Cambria"/>
          <w:u w:val="none"/>
          <w:lang w:eastAsia="zh-CN"/>
        </w:rPr>
        <w:t>Normative References</w:t>
      </w:r>
      <w:r>
        <w:rPr>
          <w:rFonts w:hint="default" w:ascii="Cambria" w:hAnsi="Cambria" w:cs="Cambria"/>
          <w:u w:val="none"/>
        </w:rPr>
        <w:t>"</w:t>
      </w:r>
    </w:p>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78"/>
        <w:gridCol w:w="933"/>
        <w:gridCol w:w="942"/>
        <w:gridCol w:w="483"/>
        <w:gridCol w:w="986"/>
      </w:tblGrid>
      <w:tr w14:paraId="1E7780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bottom w:val="single" w:color="auto" w:sz="4" w:space="0"/>
            </w:tcBorders>
            <w:vAlign w:val="top"/>
          </w:tcPr>
          <w:p w14:paraId="5FE05181">
            <w:pPr>
              <w:numPr>
                <w:ilvl w:val="0"/>
                <w:numId w:val="0"/>
              </w:numPr>
              <w:rPr>
                <w:rFonts w:hint="default" w:ascii="Cambria" w:hAnsi="Cambria" w:cs="Cambria"/>
                <w:u w:val="none"/>
                <w:vertAlign w:val="baseline"/>
                <w:lang w:val="en-US" w:eastAsia="zh-CN"/>
              </w:rPr>
            </w:pPr>
            <w:r>
              <w:rPr>
                <w:rFonts w:hint="default" w:ascii="Cambria" w:hAnsi="Cambria" w:cs="Cambria"/>
                <w:u w:val="none"/>
              </w:rPr>
              <w:t>Option</w:t>
            </w:r>
          </w:p>
        </w:tc>
        <w:tc>
          <w:tcPr>
            <w:tcW w:w="933" w:type="dxa"/>
            <w:tcBorders>
              <w:bottom w:val="single" w:color="auto" w:sz="4" w:space="0"/>
            </w:tcBorders>
            <w:vAlign w:val="top"/>
          </w:tcPr>
          <w:p w14:paraId="14C26327">
            <w:pPr>
              <w:numPr>
                <w:ilvl w:val="0"/>
                <w:numId w:val="0"/>
              </w:numPr>
              <w:rPr>
                <w:rFonts w:hint="default" w:ascii="Cambria" w:hAnsi="Cambria" w:cs="Cambria"/>
                <w:u w:val="none"/>
                <w:vertAlign w:val="baseline"/>
                <w:lang w:val="en-US" w:eastAsia="zh-CN"/>
              </w:rPr>
            </w:pPr>
            <w:r>
              <w:rPr>
                <w:rFonts w:hint="default" w:ascii="Cambria" w:hAnsi="Cambria" w:cs="Cambria"/>
                <w:u w:val="none"/>
                <w:lang w:val="en-US" w:eastAsia="zh-CN"/>
              </w:rPr>
              <w:t xml:space="preserve">X̅  </w:t>
            </w:r>
          </w:p>
        </w:tc>
        <w:tc>
          <w:tcPr>
            <w:tcW w:w="942" w:type="dxa"/>
            <w:tcBorders>
              <w:bottom w:val="single" w:color="auto" w:sz="4" w:space="0"/>
            </w:tcBorders>
            <w:vAlign w:val="top"/>
          </w:tcPr>
          <w:p w14:paraId="12B2D649">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R </w:t>
            </w:r>
          </w:p>
        </w:tc>
        <w:tc>
          <w:tcPr>
            <w:tcW w:w="483" w:type="dxa"/>
            <w:tcBorders>
              <w:bottom w:val="single" w:color="auto" w:sz="4" w:space="0"/>
            </w:tcBorders>
            <w:vAlign w:val="top"/>
          </w:tcPr>
          <w:p w14:paraId="5383976F">
            <w:pPr>
              <w:numPr>
                <w:ilvl w:val="0"/>
                <w:numId w:val="0"/>
              </w:numPr>
              <w:rPr>
                <w:rFonts w:hint="default" w:ascii="Cambria" w:hAnsi="Cambria" w:cs="Cambria"/>
                <w:u w:val="none"/>
                <w:vertAlign w:val="baseline"/>
                <w:lang w:val="en-US" w:eastAsia="zh-CN"/>
              </w:rPr>
            </w:pPr>
            <w:r>
              <w:rPr>
                <w:rFonts w:hint="default" w:ascii="Cambria" w:hAnsi="Cambria" w:cs="Cambria"/>
                <w:u w:val="none"/>
              </w:rPr>
              <w:t>S</w:t>
            </w:r>
          </w:p>
        </w:tc>
        <w:tc>
          <w:tcPr>
            <w:tcW w:w="986" w:type="dxa"/>
            <w:tcBorders>
              <w:bottom w:val="single" w:color="auto" w:sz="4" w:space="0"/>
            </w:tcBorders>
            <w:vAlign w:val="top"/>
          </w:tcPr>
          <w:p w14:paraId="77C39A65">
            <w:pPr>
              <w:numPr>
                <w:ilvl w:val="0"/>
                <w:numId w:val="0"/>
              </w:numPr>
              <w:rPr>
                <w:rFonts w:hint="default" w:ascii="Cambria" w:hAnsi="Cambria" w:cs="Cambria"/>
                <w:u w:val="none"/>
                <w:vertAlign w:val="baseline"/>
                <w:lang w:val="en-US" w:eastAsia="zh-CN"/>
              </w:rPr>
            </w:pPr>
            <w:r>
              <w:rPr>
                <w:rFonts w:hint="default" w:ascii="Cambria" w:hAnsi="Cambria" w:cs="Cambria"/>
                <w:u w:val="none"/>
              </w:rPr>
              <w:t>CV</w:t>
            </w:r>
          </w:p>
        </w:tc>
      </w:tr>
      <w:tr w14:paraId="0A96D2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top w:val="single" w:color="auto" w:sz="4" w:space="0"/>
              <w:tl2br w:val="nil"/>
              <w:tr2bl w:val="nil"/>
            </w:tcBorders>
            <w:vAlign w:val="top"/>
          </w:tcPr>
          <w:p w14:paraId="3447771A">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A. Agree. </w:t>
            </w:r>
          </w:p>
        </w:tc>
        <w:tc>
          <w:tcPr>
            <w:tcW w:w="933" w:type="dxa"/>
            <w:tcBorders>
              <w:top w:val="single" w:color="auto" w:sz="4" w:space="0"/>
              <w:tl2br w:val="nil"/>
              <w:tr2bl w:val="nil"/>
            </w:tcBorders>
            <w:vAlign w:val="top"/>
          </w:tcPr>
          <w:p w14:paraId="1752F880">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1 </w:t>
            </w:r>
          </w:p>
        </w:tc>
        <w:tc>
          <w:tcPr>
            <w:tcW w:w="942" w:type="dxa"/>
            <w:tcBorders>
              <w:top w:val="single" w:color="auto" w:sz="4" w:space="0"/>
              <w:tl2br w:val="nil"/>
              <w:tr2bl w:val="nil"/>
            </w:tcBorders>
            <w:vAlign w:val="top"/>
          </w:tcPr>
          <w:p w14:paraId="58E5CE02">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0% </w:t>
            </w:r>
            <w:r>
              <w:rPr>
                <w:rFonts w:hint="default" w:ascii="Cambria" w:hAnsi="Cambria" w:cs="Cambria"/>
                <w:u w:val="none"/>
                <w:lang w:val="en-US" w:eastAsia="zh-CN"/>
              </w:rPr>
              <w:tab/>
            </w:r>
          </w:p>
        </w:tc>
        <w:tc>
          <w:tcPr>
            <w:tcW w:w="483" w:type="dxa"/>
            <w:tcBorders>
              <w:top w:val="single" w:color="auto" w:sz="4" w:space="0"/>
              <w:tl2br w:val="nil"/>
              <w:tr2bl w:val="nil"/>
            </w:tcBorders>
            <w:vAlign w:val="top"/>
          </w:tcPr>
          <w:p w14:paraId="481239B2">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30 </w:t>
            </w:r>
          </w:p>
        </w:tc>
        <w:tc>
          <w:tcPr>
            <w:tcW w:w="986" w:type="dxa"/>
            <w:tcBorders>
              <w:top w:val="single" w:color="auto" w:sz="4" w:space="0"/>
              <w:tl2br w:val="nil"/>
              <w:tr2bl w:val="nil"/>
            </w:tcBorders>
            <w:vAlign w:val="top"/>
          </w:tcPr>
          <w:p w14:paraId="3E8BA3AF">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0% </w:t>
            </w:r>
          </w:p>
        </w:tc>
      </w:tr>
      <w:tr w14:paraId="787EE9E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tl2br w:val="nil"/>
              <w:tr2bl w:val="nil"/>
            </w:tcBorders>
            <w:vAlign w:val="top"/>
          </w:tcPr>
          <w:p w14:paraId="5CB50B30">
            <w:pPr>
              <w:numPr>
                <w:ilvl w:val="0"/>
                <w:numId w:val="0"/>
              </w:numPr>
              <w:rPr>
                <w:rFonts w:hint="default" w:ascii="Cambria" w:hAnsi="Cambria" w:cs="Cambria"/>
                <w:u w:val="none"/>
                <w:vertAlign w:val="baseline"/>
                <w:lang w:val="en-US" w:eastAsia="zh-CN"/>
              </w:rPr>
            </w:pPr>
            <w:r>
              <w:rPr>
                <w:rFonts w:hint="default" w:ascii="Cambria" w:hAnsi="Cambria" w:cs="Cambria"/>
                <w:u w:val="none"/>
              </w:rPr>
              <w:t>B. Disagree.</w:t>
            </w:r>
          </w:p>
        </w:tc>
        <w:tc>
          <w:tcPr>
            <w:tcW w:w="933" w:type="dxa"/>
            <w:tcBorders>
              <w:tl2br w:val="nil"/>
              <w:tr2bl w:val="nil"/>
            </w:tcBorders>
            <w:vAlign w:val="top"/>
          </w:tcPr>
          <w:p w14:paraId="09F1C167">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0 </w:t>
            </w:r>
          </w:p>
        </w:tc>
        <w:tc>
          <w:tcPr>
            <w:tcW w:w="942" w:type="dxa"/>
            <w:tcBorders>
              <w:tl2br w:val="nil"/>
              <w:tr2bl w:val="nil"/>
            </w:tcBorders>
            <w:vAlign w:val="top"/>
          </w:tcPr>
          <w:p w14:paraId="1B5717DC">
            <w:pPr>
              <w:numPr>
                <w:ilvl w:val="0"/>
                <w:numId w:val="0"/>
              </w:numPr>
              <w:rPr>
                <w:rFonts w:hint="default" w:ascii="Cambria" w:hAnsi="Cambria" w:cs="Cambria"/>
                <w:u w:val="none"/>
                <w:vertAlign w:val="baseline"/>
                <w:lang w:val="en-US" w:eastAsia="zh-CN"/>
              </w:rPr>
            </w:pPr>
            <w:r>
              <w:rPr>
                <w:rFonts w:hint="default" w:ascii="Cambria" w:hAnsi="Cambria" w:cs="Cambria"/>
                <w:u w:val="none"/>
              </w:rPr>
              <w:t>100%</w:t>
            </w:r>
          </w:p>
        </w:tc>
        <w:tc>
          <w:tcPr>
            <w:tcW w:w="483" w:type="dxa"/>
            <w:tcBorders>
              <w:tl2br w:val="nil"/>
              <w:tr2bl w:val="nil"/>
            </w:tcBorders>
            <w:vAlign w:val="top"/>
          </w:tcPr>
          <w:p w14:paraId="2710C1BD">
            <w:pPr>
              <w:numPr>
                <w:ilvl w:val="0"/>
                <w:numId w:val="0"/>
              </w:numPr>
              <w:rPr>
                <w:rFonts w:hint="default" w:ascii="Cambria" w:hAnsi="Cambria" w:cs="Cambria"/>
                <w:u w:val="none"/>
                <w:vertAlign w:val="baseline"/>
                <w:lang w:val="en-US" w:eastAsia="zh-CN"/>
              </w:rPr>
            </w:pPr>
            <w:r>
              <w:rPr>
                <w:rFonts w:hint="default" w:ascii="Cambria" w:hAnsi="Cambria" w:cs="Cambria"/>
                <w:u w:val="none"/>
              </w:rPr>
              <w:t>0</w:t>
            </w:r>
          </w:p>
        </w:tc>
        <w:tc>
          <w:tcPr>
            <w:tcW w:w="986" w:type="dxa"/>
            <w:tcBorders>
              <w:tl2br w:val="nil"/>
              <w:tr2bl w:val="nil"/>
            </w:tcBorders>
            <w:vAlign w:val="top"/>
          </w:tcPr>
          <w:p w14:paraId="66EDED4A">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0% </w:t>
            </w:r>
          </w:p>
        </w:tc>
      </w:tr>
    </w:tbl>
    <w:p w14:paraId="0A3702BD">
      <w:pPr>
        <w:numPr>
          <w:ilvl w:val="0"/>
          <w:numId w:val="0"/>
        </w:numPr>
        <w:rPr>
          <w:rFonts w:hint="default" w:ascii="Cambria" w:hAnsi="Cambria" w:cs="Cambria"/>
          <w:u w:val="none"/>
        </w:rPr>
      </w:pPr>
    </w:p>
    <w:p w14:paraId="60E6A055">
      <w:pPr>
        <w:numPr>
          <w:ilvl w:val="0"/>
          <w:numId w:val="0"/>
        </w:numPr>
        <w:rPr>
          <w:rFonts w:hint="default" w:ascii="Cambria" w:hAnsi="Cambria" w:cs="Cambria" w:eastAsiaTheme="minorEastAsia"/>
          <w:u w:val="none"/>
          <w:lang w:val="en-US" w:eastAsia="zh-CN"/>
        </w:rPr>
      </w:pPr>
      <w:r>
        <w:rPr>
          <w:rFonts w:hint="default" w:ascii="Cambria" w:hAnsi="Cambria" w:cs="Cambria"/>
          <w:u w:val="none"/>
        </w:rPr>
        <w:t>2.10 Survey Results of Modifying and Adding Items</w:t>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p>
    <w:p w14:paraId="19987E47">
      <w:pPr>
        <w:numPr>
          <w:ilvl w:val="0"/>
          <w:numId w:val="0"/>
        </w:numPr>
        <w:rPr>
          <w:rFonts w:hint="default" w:ascii="Cambria" w:hAnsi="Cambria" w:cs="Cambria"/>
          <w:u w:val="none"/>
          <w:lang w:val="en-US" w:eastAsia="zh-CN"/>
        </w:rPr>
      </w:pPr>
      <w:r>
        <w:rPr>
          <w:rFonts w:hint="default" w:ascii="Cambria" w:hAnsi="Cambria" w:cs="Cambria"/>
          <w:u w:val="none"/>
        </w:rPr>
        <w:t>Table 17 Survey Results of Modifying and Adding Items</w:t>
      </w:r>
      <w:r>
        <w:rPr>
          <w:rFonts w:hint="default" w:ascii="Cambria" w:hAnsi="Cambria" w:cs="Cambria"/>
          <w:u w:val="none"/>
          <w:lang w:val="en-US" w:eastAsia="zh-CN"/>
        </w:rPr>
        <w:tab/>
      </w:r>
    </w:p>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78"/>
        <w:gridCol w:w="933"/>
        <w:gridCol w:w="942"/>
        <w:gridCol w:w="483"/>
        <w:gridCol w:w="986"/>
      </w:tblGrid>
      <w:tr w14:paraId="7125D6B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bottom w:val="single" w:color="auto" w:sz="4" w:space="0"/>
            </w:tcBorders>
            <w:vAlign w:val="top"/>
          </w:tcPr>
          <w:p w14:paraId="53526FC8">
            <w:pPr>
              <w:numPr>
                <w:ilvl w:val="0"/>
                <w:numId w:val="0"/>
              </w:numPr>
              <w:rPr>
                <w:rFonts w:hint="default" w:ascii="Cambria" w:hAnsi="Cambria" w:cs="Cambria"/>
                <w:u w:val="none"/>
                <w:vertAlign w:val="baseline"/>
                <w:lang w:val="en-US" w:eastAsia="zh-CN"/>
              </w:rPr>
            </w:pPr>
            <w:r>
              <w:rPr>
                <w:rFonts w:hint="default" w:ascii="Cambria" w:hAnsi="Cambria" w:cs="Cambria"/>
                <w:u w:val="none"/>
              </w:rPr>
              <w:t>Option</w:t>
            </w:r>
          </w:p>
        </w:tc>
        <w:tc>
          <w:tcPr>
            <w:tcW w:w="933" w:type="dxa"/>
            <w:tcBorders>
              <w:bottom w:val="single" w:color="auto" w:sz="4" w:space="0"/>
            </w:tcBorders>
            <w:vAlign w:val="top"/>
          </w:tcPr>
          <w:p w14:paraId="1ED9291F">
            <w:pPr>
              <w:numPr>
                <w:ilvl w:val="0"/>
                <w:numId w:val="0"/>
              </w:numPr>
              <w:rPr>
                <w:rFonts w:hint="default" w:ascii="Cambria" w:hAnsi="Cambria" w:cs="Cambria"/>
                <w:u w:val="none"/>
                <w:vertAlign w:val="baseline"/>
                <w:lang w:val="en-US" w:eastAsia="zh-CN"/>
              </w:rPr>
            </w:pPr>
            <w:r>
              <w:rPr>
                <w:rFonts w:hint="default" w:ascii="Cambria" w:hAnsi="Cambria" w:cs="Cambria"/>
                <w:u w:val="none"/>
                <w:lang w:val="en-US" w:eastAsia="zh-CN"/>
              </w:rPr>
              <w:t xml:space="preserve">X̅  </w:t>
            </w:r>
          </w:p>
        </w:tc>
        <w:tc>
          <w:tcPr>
            <w:tcW w:w="942" w:type="dxa"/>
            <w:tcBorders>
              <w:bottom w:val="single" w:color="auto" w:sz="4" w:space="0"/>
            </w:tcBorders>
            <w:vAlign w:val="top"/>
          </w:tcPr>
          <w:p w14:paraId="4EAD5A2F">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R </w:t>
            </w:r>
          </w:p>
        </w:tc>
        <w:tc>
          <w:tcPr>
            <w:tcW w:w="483" w:type="dxa"/>
            <w:tcBorders>
              <w:bottom w:val="single" w:color="auto" w:sz="4" w:space="0"/>
            </w:tcBorders>
            <w:vAlign w:val="top"/>
          </w:tcPr>
          <w:p w14:paraId="75DCD836">
            <w:pPr>
              <w:numPr>
                <w:ilvl w:val="0"/>
                <w:numId w:val="0"/>
              </w:numPr>
              <w:rPr>
                <w:rFonts w:hint="default" w:ascii="Cambria" w:hAnsi="Cambria" w:cs="Cambria"/>
                <w:u w:val="none"/>
                <w:vertAlign w:val="baseline"/>
                <w:lang w:val="en-US" w:eastAsia="zh-CN"/>
              </w:rPr>
            </w:pPr>
            <w:r>
              <w:rPr>
                <w:rFonts w:hint="default" w:ascii="Cambria" w:hAnsi="Cambria" w:cs="Cambria"/>
                <w:u w:val="none"/>
              </w:rPr>
              <w:t>S</w:t>
            </w:r>
          </w:p>
        </w:tc>
        <w:tc>
          <w:tcPr>
            <w:tcW w:w="986" w:type="dxa"/>
            <w:tcBorders>
              <w:bottom w:val="single" w:color="auto" w:sz="4" w:space="0"/>
            </w:tcBorders>
            <w:vAlign w:val="top"/>
          </w:tcPr>
          <w:p w14:paraId="20827EA4">
            <w:pPr>
              <w:numPr>
                <w:ilvl w:val="0"/>
                <w:numId w:val="0"/>
              </w:numPr>
              <w:rPr>
                <w:rFonts w:hint="default" w:ascii="Cambria" w:hAnsi="Cambria" w:cs="Cambria"/>
                <w:u w:val="none"/>
                <w:vertAlign w:val="baseline"/>
                <w:lang w:val="en-US" w:eastAsia="zh-CN"/>
              </w:rPr>
            </w:pPr>
            <w:r>
              <w:rPr>
                <w:rFonts w:hint="default" w:ascii="Cambria" w:hAnsi="Cambria" w:cs="Cambria"/>
                <w:u w:val="none"/>
              </w:rPr>
              <w:t>CV</w:t>
            </w:r>
          </w:p>
        </w:tc>
      </w:tr>
      <w:tr w14:paraId="1B41690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top w:val="single" w:color="auto" w:sz="4" w:space="0"/>
              <w:tl2br w:val="nil"/>
              <w:tr2bl w:val="nil"/>
            </w:tcBorders>
            <w:vAlign w:val="top"/>
          </w:tcPr>
          <w:p w14:paraId="7E7A42E1">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A. Agree. </w:t>
            </w:r>
          </w:p>
        </w:tc>
        <w:tc>
          <w:tcPr>
            <w:tcW w:w="933" w:type="dxa"/>
            <w:tcBorders>
              <w:top w:val="single" w:color="auto" w:sz="4" w:space="0"/>
              <w:tl2br w:val="nil"/>
              <w:tr2bl w:val="nil"/>
            </w:tcBorders>
            <w:vAlign w:val="top"/>
          </w:tcPr>
          <w:p w14:paraId="03B931BD">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1 </w:t>
            </w:r>
          </w:p>
        </w:tc>
        <w:tc>
          <w:tcPr>
            <w:tcW w:w="942" w:type="dxa"/>
            <w:tcBorders>
              <w:top w:val="single" w:color="auto" w:sz="4" w:space="0"/>
              <w:tl2br w:val="nil"/>
              <w:tr2bl w:val="nil"/>
            </w:tcBorders>
            <w:vAlign w:val="top"/>
          </w:tcPr>
          <w:p w14:paraId="04903148">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0% </w:t>
            </w:r>
            <w:r>
              <w:rPr>
                <w:rFonts w:hint="default" w:ascii="Cambria" w:hAnsi="Cambria" w:cs="Cambria"/>
                <w:u w:val="none"/>
                <w:lang w:val="en-US" w:eastAsia="zh-CN"/>
              </w:rPr>
              <w:tab/>
            </w:r>
          </w:p>
        </w:tc>
        <w:tc>
          <w:tcPr>
            <w:tcW w:w="483" w:type="dxa"/>
            <w:tcBorders>
              <w:top w:val="single" w:color="auto" w:sz="4" w:space="0"/>
              <w:tl2br w:val="nil"/>
              <w:tr2bl w:val="nil"/>
            </w:tcBorders>
            <w:vAlign w:val="top"/>
          </w:tcPr>
          <w:p w14:paraId="24F11982">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30 </w:t>
            </w:r>
          </w:p>
        </w:tc>
        <w:tc>
          <w:tcPr>
            <w:tcW w:w="986" w:type="dxa"/>
            <w:tcBorders>
              <w:top w:val="single" w:color="auto" w:sz="4" w:space="0"/>
              <w:tl2br w:val="nil"/>
              <w:tr2bl w:val="nil"/>
            </w:tcBorders>
            <w:vAlign w:val="top"/>
          </w:tcPr>
          <w:p w14:paraId="286BDBD0">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0% </w:t>
            </w:r>
          </w:p>
        </w:tc>
      </w:tr>
      <w:tr w14:paraId="485DEBC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tl2br w:val="nil"/>
              <w:tr2bl w:val="nil"/>
            </w:tcBorders>
            <w:vAlign w:val="top"/>
          </w:tcPr>
          <w:p w14:paraId="745CA890">
            <w:pPr>
              <w:numPr>
                <w:ilvl w:val="0"/>
                <w:numId w:val="0"/>
              </w:numPr>
              <w:rPr>
                <w:rFonts w:hint="default" w:ascii="Cambria" w:hAnsi="Cambria" w:cs="Cambria"/>
                <w:u w:val="none"/>
                <w:vertAlign w:val="baseline"/>
                <w:lang w:val="en-US" w:eastAsia="zh-CN"/>
              </w:rPr>
            </w:pPr>
            <w:r>
              <w:rPr>
                <w:rFonts w:hint="default" w:ascii="Cambria" w:hAnsi="Cambria" w:cs="Cambria"/>
                <w:u w:val="none"/>
              </w:rPr>
              <w:t>B. Disagree.</w:t>
            </w:r>
          </w:p>
        </w:tc>
        <w:tc>
          <w:tcPr>
            <w:tcW w:w="933" w:type="dxa"/>
            <w:tcBorders>
              <w:tl2br w:val="nil"/>
              <w:tr2bl w:val="nil"/>
            </w:tcBorders>
            <w:vAlign w:val="top"/>
          </w:tcPr>
          <w:p w14:paraId="7A054D27">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0 </w:t>
            </w:r>
          </w:p>
        </w:tc>
        <w:tc>
          <w:tcPr>
            <w:tcW w:w="942" w:type="dxa"/>
            <w:tcBorders>
              <w:tl2br w:val="nil"/>
              <w:tr2bl w:val="nil"/>
            </w:tcBorders>
            <w:vAlign w:val="top"/>
          </w:tcPr>
          <w:p w14:paraId="3EE1C73C">
            <w:pPr>
              <w:numPr>
                <w:ilvl w:val="0"/>
                <w:numId w:val="0"/>
              </w:numPr>
              <w:rPr>
                <w:rFonts w:hint="default" w:ascii="Cambria" w:hAnsi="Cambria" w:cs="Cambria"/>
                <w:u w:val="none"/>
                <w:vertAlign w:val="baseline"/>
                <w:lang w:val="en-US" w:eastAsia="zh-CN"/>
              </w:rPr>
            </w:pPr>
            <w:r>
              <w:rPr>
                <w:rFonts w:hint="default" w:ascii="Cambria" w:hAnsi="Cambria" w:cs="Cambria"/>
                <w:u w:val="none"/>
              </w:rPr>
              <w:t>100%</w:t>
            </w:r>
          </w:p>
        </w:tc>
        <w:tc>
          <w:tcPr>
            <w:tcW w:w="483" w:type="dxa"/>
            <w:tcBorders>
              <w:tl2br w:val="nil"/>
              <w:tr2bl w:val="nil"/>
            </w:tcBorders>
            <w:vAlign w:val="top"/>
          </w:tcPr>
          <w:p w14:paraId="7DA40EAD">
            <w:pPr>
              <w:numPr>
                <w:ilvl w:val="0"/>
                <w:numId w:val="0"/>
              </w:numPr>
              <w:rPr>
                <w:rFonts w:hint="default" w:ascii="Cambria" w:hAnsi="Cambria" w:cs="Cambria"/>
                <w:u w:val="none"/>
                <w:vertAlign w:val="baseline"/>
                <w:lang w:val="en-US" w:eastAsia="zh-CN"/>
              </w:rPr>
            </w:pPr>
            <w:r>
              <w:rPr>
                <w:rFonts w:hint="default" w:ascii="Cambria" w:hAnsi="Cambria" w:cs="Cambria"/>
                <w:u w:val="none"/>
              </w:rPr>
              <w:t>0</w:t>
            </w:r>
          </w:p>
        </w:tc>
        <w:tc>
          <w:tcPr>
            <w:tcW w:w="986" w:type="dxa"/>
            <w:tcBorders>
              <w:tl2br w:val="nil"/>
              <w:tr2bl w:val="nil"/>
            </w:tcBorders>
            <w:vAlign w:val="top"/>
          </w:tcPr>
          <w:p w14:paraId="2A72AFD5">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0% </w:t>
            </w:r>
          </w:p>
        </w:tc>
      </w:tr>
    </w:tbl>
    <w:p w14:paraId="6EF01A1E">
      <w:pPr>
        <w:numPr>
          <w:ilvl w:val="0"/>
          <w:numId w:val="0"/>
        </w:numPr>
        <w:rPr>
          <w:rFonts w:hint="default" w:ascii="Cambria" w:hAnsi="Cambria" w:cs="Cambria" w:eastAsiaTheme="minorEastAsia"/>
          <w:u w:val="none"/>
          <w:lang w:val="en-US" w:eastAsia="zh-CN"/>
        </w:rPr>
      </w:pP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p>
    <w:p w14:paraId="21806E12">
      <w:pPr>
        <w:numPr>
          <w:ilvl w:val="0"/>
          <w:numId w:val="0"/>
        </w:numPr>
        <w:rPr>
          <w:rFonts w:hint="default" w:ascii="Cambria" w:hAnsi="Cambria" w:cs="Cambria" w:eastAsiaTheme="minorEastAsia"/>
          <w:u w:val="none"/>
          <w:lang w:val="en-US" w:eastAsia="zh-CN"/>
        </w:rPr>
      </w:pPr>
      <w:r>
        <w:rPr>
          <w:rFonts w:hint="default" w:ascii="Cambria" w:hAnsi="Cambria" w:cs="Cambria"/>
          <w:u w:val="none"/>
        </w:rPr>
        <w:t>2.1</w:t>
      </w:r>
      <w:r>
        <w:rPr>
          <w:rFonts w:hint="default" w:ascii="Cambria" w:hAnsi="Cambria" w:cs="Cambria"/>
          <w:u w:val="none"/>
          <w:lang w:val="en-US" w:eastAsia="zh-CN"/>
        </w:rPr>
        <w:t>1</w:t>
      </w:r>
      <w:r>
        <w:rPr>
          <w:rFonts w:hint="default" w:ascii="Cambria" w:hAnsi="Cambria" w:cs="Cambria"/>
          <w:u w:val="none"/>
        </w:rPr>
        <w:t xml:space="preserve"> Survey Results of Modifying References</w:t>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r>
        <w:rPr>
          <w:rFonts w:hint="default" w:ascii="Cambria" w:hAnsi="Cambria" w:cs="Cambria"/>
          <w:u w:val="none"/>
          <w:lang w:val="en-US" w:eastAsia="zh-CN"/>
        </w:rPr>
        <w:tab/>
      </w:r>
    </w:p>
    <w:p w14:paraId="3BA7959C">
      <w:pPr>
        <w:numPr>
          <w:ilvl w:val="0"/>
          <w:numId w:val="0"/>
        </w:numPr>
        <w:rPr>
          <w:rFonts w:hint="default" w:ascii="Cambria" w:hAnsi="Cambria" w:cs="Cambria"/>
          <w:u w:val="none"/>
          <w:lang w:val="en-US" w:eastAsia="zh-CN"/>
        </w:rPr>
      </w:pPr>
      <w:r>
        <w:rPr>
          <w:rFonts w:hint="default" w:ascii="Cambria" w:hAnsi="Cambria" w:cs="Cambria"/>
          <w:u w:val="none"/>
        </w:rPr>
        <w:t>Table 18 Survey Results of Modifying References</w:t>
      </w:r>
      <w:r>
        <w:rPr>
          <w:rFonts w:hint="default" w:ascii="Cambria" w:hAnsi="Cambria" w:cs="Cambria"/>
          <w:u w:val="none"/>
          <w:lang w:val="en-US" w:eastAsia="zh-CN"/>
        </w:rPr>
        <w:tab/>
      </w:r>
    </w:p>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78"/>
        <w:gridCol w:w="933"/>
        <w:gridCol w:w="942"/>
        <w:gridCol w:w="483"/>
        <w:gridCol w:w="986"/>
      </w:tblGrid>
      <w:tr w14:paraId="7EE1461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bottom w:val="single" w:color="auto" w:sz="4" w:space="0"/>
            </w:tcBorders>
            <w:vAlign w:val="top"/>
          </w:tcPr>
          <w:p w14:paraId="5BB166BC">
            <w:pPr>
              <w:numPr>
                <w:ilvl w:val="0"/>
                <w:numId w:val="0"/>
              </w:numPr>
              <w:rPr>
                <w:rFonts w:hint="default" w:ascii="Cambria" w:hAnsi="Cambria" w:cs="Cambria"/>
                <w:u w:val="none"/>
                <w:vertAlign w:val="baseline"/>
                <w:lang w:val="en-US" w:eastAsia="zh-CN"/>
              </w:rPr>
            </w:pPr>
            <w:r>
              <w:rPr>
                <w:rFonts w:hint="default" w:ascii="Cambria" w:hAnsi="Cambria" w:cs="Cambria"/>
                <w:u w:val="none"/>
              </w:rPr>
              <w:t>Option</w:t>
            </w:r>
          </w:p>
        </w:tc>
        <w:tc>
          <w:tcPr>
            <w:tcW w:w="933" w:type="dxa"/>
            <w:tcBorders>
              <w:bottom w:val="single" w:color="auto" w:sz="4" w:space="0"/>
            </w:tcBorders>
            <w:vAlign w:val="top"/>
          </w:tcPr>
          <w:p w14:paraId="164A6EC3">
            <w:pPr>
              <w:numPr>
                <w:ilvl w:val="0"/>
                <w:numId w:val="0"/>
              </w:numPr>
              <w:rPr>
                <w:rFonts w:hint="default" w:ascii="Cambria" w:hAnsi="Cambria" w:cs="Cambria"/>
                <w:u w:val="none"/>
                <w:vertAlign w:val="baseline"/>
                <w:lang w:val="en-US" w:eastAsia="zh-CN"/>
              </w:rPr>
            </w:pPr>
            <w:r>
              <w:rPr>
                <w:rFonts w:hint="default" w:ascii="Cambria" w:hAnsi="Cambria" w:cs="Cambria"/>
                <w:u w:val="none"/>
                <w:lang w:val="en-US" w:eastAsia="zh-CN"/>
              </w:rPr>
              <w:t xml:space="preserve">X̅  </w:t>
            </w:r>
          </w:p>
        </w:tc>
        <w:tc>
          <w:tcPr>
            <w:tcW w:w="942" w:type="dxa"/>
            <w:tcBorders>
              <w:bottom w:val="single" w:color="auto" w:sz="4" w:space="0"/>
            </w:tcBorders>
            <w:vAlign w:val="top"/>
          </w:tcPr>
          <w:p w14:paraId="0025F09E">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R </w:t>
            </w:r>
          </w:p>
        </w:tc>
        <w:tc>
          <w:tcPr>
            <w:tcW w:w="483" w:type="dxa"/>
            <w:tcBorders>
              <w:bottom w:val="single" w:color="auto" w:sz="4" w:space="0"/>
            </w:tcBorders>
            <w:vAlign w:val="top"/>
          </w:tcPr>
          <w:p w14:paraId="0C4B4E21">
            <w:pPr>
              <w:numPr>
                <w:ilvl w:val="0"/>
                <w:numId w:val="0"/>
              </w:numPr>
              <w:rPr>
                <w:rFonts w:hint="default" w:ascii="Cambria" w:hAnsi="Cambria" w:cs="Cambria"/>
                <w:u w:val="none"/>
                <w:vertAlign w:val="baseline"/>
                <w:lang w:val="en-US" w:eastAsia="zh-CN"/>
              </w:rPr>
            </w:pPr>
            <w:r>
              <w:rPr>
                <w:rFonts w:hint="default" w:ascii="Cambria" w:hAnsi="Cambria" w:cs="Cambria"/>
                <w:u w:val="none"/>
              </w:rPr>
              <w:t>S</w:t>
            </w:r>
          </w:p>
        </w:tc>
        <w:tc>
          <w:tcPr>
            <w:tcW w:w="986" w:type="dxa"/>
            <w:tcBorders>
              <w:bottom w:val="single" w:color="auto" w:sz="4" w:space="0"/>
            </w:tcBorders>
            <w:vAlign w:val="top"/>
          </w:tcPr>
          <w:p w14:paraId="6A2BC15D">
            <w:pPr>
              <w:numPr>
                <w:ilvl w:val="0"/>
                <w:numId w:val="0"/>
              </w:numPr>
              <w:rPr>
                <w:rFonts w:hint="default" w:ascii="Cambria" w:hAnsi="Cambria" w:cs="Cambria"/>
                <w:u w:val="none"/>
                <w:vertAlign w:val="baseline"/>
                <w:lang w:val="en-US" w:eastAsia="zh-CN"/>
              </w:rPr>
            </w:pPr>
            <w:r>
              <w:rPr>
                <w:rFonts w:hint="default" w:ascii="Cambria" w:hAnsi="Cambria" w:cs="Cambria"/>
                <w:u w:val="none"/>
              </w:rPr>
              <w:t>CV</w:t>
            </w:r>
          </w:p>
        </w:tc>
      </w:tr>
      <w:tr w14:paraId="3C9BB21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top w:val="single" w:color="auto" w:sz="4" w:space="0"/>
              <w:tl2br w:val="nil"/>
              <w:tr2bl w:val="nil"/>
            </w:tcBorders>
            <w:vAlign w:val="top"/>
          </w:tcPr>
          <w:p w14:paraId="3AD0E6E6">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A. Agree. </w:t>
            </w:r>
          </w:p>
        </w:tc>
        <w:tc>
          <w:tcPr>
            <w:tcW w:w="933" w:type="dxa"/>
            <w:tcBorders>
              <w:top w:val="single" w:color="auto" w:sz="4" w:space="0"/>
              <w:tl2br w:val="nil"/>
              <w:tr2bl w:val="nil"/>
            </w:tcBorders>
            <w:vAlign w:val="top"/>
          </w:tcPr>
          <w:p w14:paraId="554D5A39">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1 </w:t>
            </w:r>
          </w:p>
        </w:tc>
        <w:tc>
          <w:tcPr>
            <w:tcW w:w="942" w:type="dxa"/>
            <w:tcBorders>
              <w:top w:val="single" w:color="auto" w:sz="4" w:space="0"/>
              <w:tl2br w:val="nil"/>
              <w:tr2bl w:val="nil"/>
            </w:tcBorders>
            <w:vAlign w:val="top"/>
          </w:tcPr>
          <w:p w14:paraId="1C71C0C2">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0% </w:t>
            </w:r>
            <w:r>
              <w:rPr>
                <w:rFonts w:hint="default" w:ascii="Cambria" w:hAnsi="Cambria" w:cs="Cambria"/>
                <w:u w:val="none"/>
                <w:lang w:val="en-US" w:eastAsia="zh-CN"/>
              </w:rPr>
              <w:tab/>
            </w:r>
          </w:p>
        </w:tc>
        <w:tc>
          <w:tcPr>
            <w:tcW w:w="483" w:type="dxa"/>
            <w:tcBorders>
              <w:top w:val="single" w:color="auto" w:sz="4" w:space="0"/>
              <w:tl2br w:val="nil"/>
              <w:tr2bl w:val="nil"/>
            </w:tcBorders>
            <w:vAlign w:val="top"/>
          </w:tcPr>
          <w:p w14:paraId="2804DEA0">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30 </w:t>
            </w:r>
          </w:p>
        </w:tc>
        <w:tc>
          <w:tcPr>
            <w:tcW w:w="986" w:type="dxa"/>
            <w:tcBorders>
              <w:top w:val="single" w:color="auto" w:sz="4" w:space="0"/>
              <w:tl2br w:val="nil"/>
              <w:tr2bl w:val="nil"/>
            </w:tcBorders>
            <w:vAlign w:val="top"/>
          </w:tcPr>
          <w:p w14:paraId="099D92E9">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0% </w:t>
            </w:r>
          </w:p>
        </w:tc>
      </w:tr>
      <w:tr w14:paraId="0BCB21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178" w:type="dxa"/>
            <w:tcBorders>
              <w:tl2br w:val="nil"/>
              <w:tr2bl w:val="nil"/>
            </w:tcBorders>
            <w:vAlign w:val="top"/>
          </w:tcPr>
          <w:p w14:paraId="4063E6A8">
            <w:pPr>
              <w:numPr>
                <w:ilvl w:val="0"/>
                <w:numId w:val="0"/>
              </w:numPr>
              <w:rPr>
                <w:rFonts w:hint="default" w:ascii="Cambria" w:hAnsi="Cambria" w:cs="Cambria"/>
                <w:u w:val="none"/>
                <w:vertAlign w:val="baseline"/>
                <w:lang w:val="en-US" w:eastAsia="zh-CN"/>
              </w:rPr>
            </w:pPr>
            <w:r>
              <w:rPr>
                <w:rFonts w:hint="default" w:ascii="Cambria" w:hAnsi="Cambria" w:cs="Cambria"/>
                <w:u w:val="none"/>
              </w:rPr>
              <w:t>B. Disagree.</w:t>
            </w:r>
          </w:p>
        </w:tc>
        <w:tc>
          <w:tcPr>
            <w:tcW w:w="933" w:type="dxa"/>
            <w:tcBorders>
              <w:tl2br w:val="nil"/>
              <w:tr2bl w:val="nil"/>
            </w:tcBorders>
            <w:vAlign w:val="top"/>
          </w:tcPr>
          <w:p w14:paraId="72F57D7D">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0 </w:t>
            </w:r>
          </w:p>
        </w:tc>
        <w:tc>
          <w:tcPr>
            <w:tcW w:w="942" w:type="dxa"/>
            <w:tcBorders>
              <w:tl2br w:val="nil"/>
              <w:tr2bl w:val="nil"/>
            </w:tcBorders>
            <w:vAlign w:val="top"/>
          </w:tcPr>
          <w:p w14:paraId="23820320">
            <w:pPr>
              <w:numPr>
                <w:ilvl w:val="0"/>
                <w:numId w:val="0"/>
              </w:numPr>
              <w:rPr>
                <w:rFonts w:hint="default" w:ascii="Cambria" w:hAnsi="Cambria" w:cs="Cambria"/>
                <w:u w:val="none"/>
                <w:vertAlign w:val="baseline"/>
                <w:lang w:val="en-US" w:eastAsia="zh-CN"/>
              </w:rPr>
            </w:pPr>
            <w:r>
              <w:rPr>
                <w:rFonts w:hint="default" w:ascii="Cambria" w:hAnsi="Cambria" w:cs="Cambria"/>
                <w:u w:val="none"/>
              </w:rPr>
              <w:t>100%</w:t>
            </w:r>
          </w:p>
        </w:tc>
        <w:tc>
          <w:tcPr>
            <w:tcW w:w="483" w:type="dxa"/>
            <w:tcBorders>
              <w:tl2br w:val="nil"/>
              <w:tr2bl w:val="nil"/>
            </w:tcBorders>
            <w:vAlign w:val="top"/>
          </w:tcPr>
          <w:p w14:paraId="5465EBEB">
            <w:pPr>
              <w:numPr>
                <w:ilvl w:val="0"/>
                <w:numId w:val="0"/>
              </w:numPr>
              <w:rPr>
                <w:rFonts w:hint="default" w:ascii="Cambria" w:hAnsi="Cambria" w:cs="Cambria"/>
                <w:u w:val="none"/>
                <w:vertAlign w:val="baseline"/>
                <w:lang w:val="en-US" w:eastAsia="zh-CN"/>
              </w:rPr>
            </w:pPr>
            <w:r>
              <w:rPr>
                <w:rFonts w:hint="default" w:ascii="Cambria" w:hAnsi="Cambria" w:cs="Cambria"/>
                <w:u w:val="none"/>
              </w:rPr>
              <w:t>0</w:t>
            </w:r>
          </w:p>
        </w:tc>
        <w:tc>
          <w:tcPr>
            <w:tcW w:w="986" w:type="dxa"/>
            <w:tcBorders>
              <w:tl2br w:val="nil"/>
              <w:tr2bl w:val="nil"/>
            </w:tcBorders>
            <w:vAlign w:val="top"/>
          </w:tcPr>
          <w:p w14:paraId="5A0CD2DB">
            <w:pPr>
              <w:numPr>
                <w:ilvl w:val="0"/>
                <w:numId w:val="0"/>
              </w:numPr>
              <w:rPr>
                <w:rFonts w:hint="default" w:ascii="Cambria" w:hAnsi="Cambria" w:cs="Cambria"/>
                <w:u w:val="none"/>
                <w:vertAlign w:val="baseline"/>
                <w:lang w:val="en-US" w:eastAsia="zh-CN"/>
              </w:rPr>
            </w:pPr>
            <w:r>
              <w:rPr>
                <w:rFonts w:hint="default" w:ascii="Cambria" w:hAnsi="Cambria" w:cs="Cambria"/>
                <w:u w:val="none"/>
              </w:rPr>
              <w:t xml:space="preserve">0% </w:t>
            </w:r>
          </w:p>
        </w:tc>
      </w:tr>
    </w:tbl>
    <w:p w14:paraId="270A2A3A">
      <w:pPr>
        <w:numPr>
          <w:ilvl w:val="0"/>
          <w:numId w:val="0"/>
        </w:numPr>
        <w:rPr>
          <w:rFonts w:hint="default" w:ascii="Cambria" w:hAnsi="Cambria" w:cs="Cambria"/>
        </w:rPr>
      </w:pPr>
    </w:p>
    <w:p w14:paraId="688DF62E">
      <w:pPr>
        <w:numPr>
          <w:ilvl w:val="0"/>
          <w:numId w:val="0"/>
        </w:numPr>
        <w:rPr>
          <w:rFonts w:hint="default" w:ascii="Cambria" w:hAnsi="Cambria" w:cs="Cambria"/>
        </w:rPr>
      </w:pPr>
      <w:r>
        <w:rPr>
          <w:rFonts w:hint="default" w:ascii="Cambria" w:hAnsi="Cambria" w:cs="Cambria"/>
        </w:rPr>
        <w:t>3. Processing and Analysis of Questionnaire Results</w:t>
      </w:r>
    </w:p>
    <w:p w14:paraId="5E1E6F06">
      <w:pPr>
        <w:numPr>
          <w:ilvl w:val="0"/>
          <w:numId w:val="0"/>
        </w:numPr>
        <w:rPr>
          <w:rFonts w:hint="default" w:ascii="Cambria" w:hAnsi="Cambria" w:cs="Cambria" w:eastAsiaTheme="minorEastAsia"/>
          <w:lang w:val="en-US" w:eastAsia="zh-CN"/>
        </w:rPr>
      </w:pPr>
      <w:r>
        <w:rPr>
          <w:rFonts w:hint="default" w:ascii="Cambria" w:hAnsi="Cambria" w:cs="Cambria"/>
        </w:rPr>
        <w:t>3.1 Direct Acceptance of Modification Opinions</w:t>
      </w:r>
      <w:r>
        <w:rPr>
          <w:rFonts w:hint="default" w:ascii="Cambria" w:hAnsi="Cambria" w:cs="Cambria"/>
          <w:lang w:val="en-US" w:eastAsia="zh-CN"/>
        </w:rPr>
        <w:t xml:space="preserve"> </w:t>
      </w:r>
    </w:p>
    <w:p w14:paraId="7074B063">
      <w:pPr>
        <w:numPr>
          <w:ilvl w:val="0"/>
          <w:numId w:val="0"/>
        </w:numPr>
        <w:ind w:firstLine="420" w:firstLineChars="0"/>
        <w:rPr>
          <w:rFonts w:hint="default" w:ascii="Cambria" w:hAnsi="Cambria" w:cs="Cambria"/>
        </w:rPr>
      </w:pPr>
      <w:r>
        <w:rPr>
          <w:rFonts w:hint="default" w:ascii="Cambria" w:hAnsi="Cambria" w:cs="Cambria"/>
        </w:rPr>
        <w:t>Options supported by more than 50% of the experts, that is, those with a rank sum greater than half of the total number of questionnaires, are retained as items for directly accepting modification opinions. The list of item options for directly accepting modification opinions is summarized as follows:</w:t>
      </w:r>
    </w:p>
    <w:p w14:paraId="754A2CC2">
      <w:pPr>
        <w:numPr>
          <w:ilvl w:val="0"/>
          <w:numId w:val="0"/>
        </w:numPr>
        <w:rPr>
          <w:rFonts w:hint="default" w:ascii="Cambria" w:hAnsi="Cambria" w:cs="Cambria"/>
        </w:rPr>
      </w:pPr>
    </w:p>
    <w:p w14:paraId="01785DAA">
      <w:pPr>
        <w:numPr>
          <w:ilvl w:val="0"/>
          <w:numId w:val="0"/>
        </w:numPr>
        <w:rPr>
          <w:rFonts w:hint="default" w:ascii="Cambria" w:hAnsi="Cambria" w:cs="Cambria" w:eastAsiaTheme="minorEastAsia"/>
          <w:lang w:eastAsia="zh-CN"/>
        </w:rPr>
      </w:pPr>
      <w:r>
        <w:rPr>
          <w:rFonts w:hint="default" w:ascii="Cambria" w:hAnsi="Cambria" w:cs="Cambria"/>
        </w:rPr>
        <w:t>Table 19 Items for Directly Accepting Modification Opinions</w:t>
      </w:r>
    </w:p>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43"/>
        <w:gridCol w:w="1500"/>
        <w:gridCol w:w="3712"/>
        <w:gridCol w:w="1175"/>
        <w:gridCol w:w="1192"/>
      </w:tblGrid>
      <w:tr w14:paraId="1B5CF88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43" w:type="dxa"/>
            <w:tcBorders>
              <w:bottom w:val="single" w:color="auto" w:sz="4" w:space="0"/>
            </w:tcBorders>
            <w:vAlign w:val="center"/>
          </w:tcPr>
          <w:p w14:paraId="7DB06895">
            <w:pPr>
              <w:numPr>
                <w:ilvl w:val="0"/>
                <w:numId w:val="0"/>
              </w:numPr>
              <w:jc w:val="center"/>
              <w:rPr>
                <w:rFonts w:hint="default" w:ascii="Cambria" w:hAnsi="Cambria" w:cs="Cambria"/>
                <w:vertAlign w:val="baseline"/>
              </w:rPr>
            </w:pPr>
            <w:r>
              <w:rPr>
                <w:rFonts w:hint="default" w:ascii="Cambria" w:hAnsi="Cambria" w:cs="Cambria"/>
              </w:rPr>
              <w:t>Serial Number</w:t>
            </w:r>
          </w:p>
        </w:tc>
        <w:tc>
          <w:tcPr>
            <w:tcW w:w="1500" w:type="dxa"/>
            <w:tcBorders>
              <w:bottom w:val="single" w:color="auto" w:sz="4" w:space="0"/>
            </w:tcBorders>
            <w:vAlign w:val="center"/>
          </w:tcPr>
          <w:p w14:paraId="0C1674C6">
            <w:pPr>
              <w:numPr>
                <w:ilvl w:val="0"/>
                <w:numId w:val="0"/>
              </w:numPr>
              <w:jc w:val="center"/>
              <w:rPr>
                <w:rFonts w:hint="default" w:ascii="Cambria" w:hAnsi="Cambria" w:cs="Cambria"/>
                <w:vertAlign w:val="baseline"/>
              </w:rPr>
            </w:pPr>
            <w:r>
              <w:rPr>
                <w:rFonts w:hint="default" w:ascii="Cambria" w:hAnsi="Cambria" w:cs="Cambria"/>
              </w:rPr>
              <w:t>Item</w:t>
            </w:r>
          </w:p>
        </w:tc>
        <w:tc>
          <w:tcPr>
            <w:tcW w:w="3712" w:type="dxa"/>
            <w:tcBorders>
              <w:bottom w:val="single" w:color="auto" w:sz="4" w:space="0"/>
            </w:tcBorders>
            <w:vAlign w:val="center"/>
          </w:tcPr>
          <w:p w14:paraId="6D8BE714">
            <w:pPr>
              <w:numPr>
                <w:ilvl w:val="0"/>
                <w:numId w:val="0"/>
              </w:numPr>
              <w:jc w:val="center"/>
              <w:rPr>
                <w:rFonts w:hint="default" w:ascii="Cambria" w:hAnsi="Cambria" w:cs="Cambria"/>
                <w:vertAlign w:val="baseline"/>
              </w:rPr>
            </w:pPr>
            <w:r>
              <w:rPr>
                <w:rFonts w:hint="default" w:ascii="Cambria" w:hAnsi="Cambria" w:cs="Cambria"/>
              </w:rPr>
              <w:t>Option with the Highest Support</w:t>
            </w:r>
          </w:p>
        </w:tc>
        <w:tc>
          <w:tcPr>
            <w:tcW w:w="1175" w:type="dxa"/>
            <w:tcBorders>
              <w:bottom w:val="single" w:color="auto" w:sz="4" w:space="0"/>
            </w:tcBorders>
            <w:vAlign w:val="center"/>
          </w:tcPr>
          <w:p w14:paraId="72866F64">
            <w:pPr>
              <w:numPr>
                <w:ilvl w:val="0"/>
                <w:numId w:val="0"/>
              </w:numPr>
              <w:jc w:val="center"/>
              <w:rPr>
                <w:rFonts w:hint="default" w:ascii="Cambria" w:hAnsi="Cambria" w:cs="Cambria"/>
                <w:vertAlign w:val="baseline"/>
              </w:rPr>
            </w:pPr>
            <w:r>
              <w:rPr>
                <w:rFonts w:hint="default" w:ascii="Cambria" w:hAnsi="Cambria" w:cs="Cambria"/>
              </w:rPr>
              <w:t>Frequency</w:t>
            </w:r>
          </w:p>
        </w:tc>
        <w:tc>
          <w:tcPr>
            <w:tcW w:w="1192" w:type="dxa"/>
            <w:tcBorders>
              <w:bottom w:val="single" w:color="auto" w:sz="4" w:space="0"/>
            </w:tcBorders>
            <w:vAlign w:val="center"/>
          </w:tcPr>
          <w:p w14:paraId="40BAB70D">
            <w:pPr>
              <w:numPr>
                <w:ilvl w:val="0"/>
                <w:numId w:val="0"/>
              </w:numPr>
              <w:jc w:val="center"/>
              <w:rPr>
                <w:rFonts w:hint="default" w:ascii="Cambria" w:hAnsi="Cambria" w:cs="Cambria"/>
                <w:vertAlign w:val="baseline"/>
              </w:rPr>
            </w:pPr>
            <w:r>
              <w:rPr>
                <w:rFonts w:hint="default" w:ascii="Cambria" w:hAnsi="Cambria" w:cs="Cambria"/>
              </w:rPr>
              <w:t>Percentage</w:t>
            </w:r>
          </w:p>
        </w:tc>
      </w:tr>
      <w:tr w14:paraId="6D2B191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43" w:type="dxa"/>
            <w:tcBorders>
              <w:top w:val="single" w:color="auto" w:sz="4" w:space="0"/>
              <w:tl2br w:val="nil"/>
              <w:tr2bl w:val="nil"/>
            </w:tcBorders>
            <w:vAlign w:val="top"/>
          </w:tcPr>
          <w:p w14:paraId="23BC4D91">
            <w:pPr>
              <w:numPr>
                <w:ilvl w:val="0"/>
                <w:numId w:val="0"/>
              </w:numPr>
              <w:rPr>
                <w:rFonts w:hint="default" w:ascii="Cambria" w:hAnsi="Cambria" w:cs="Cambria" w:eastAsiaTheme="minorEastAsia"/>
                <w:vertAlign w:val="baseline"/>
                <w:lang w:val="en-US" w:eastAsia="zh-CN"/>
              </w:rPr>
            </w:pPr>
            <w:r>
              <w:rPr>
                <w:rFonts w:hint="default" w:ascii="Cambria" w:hAnsi="Cambria" w:cs="Cambria"/>
                <w:vertAlign w:val="baseline"/>
                <w:lang w:val="en-US" w:eastAsia="zh-CN"/>
              </w:rPr>
              <w:t>1</w:t>
            </w:r>
          </w:p>
        </w:tc>
        <w:tc>
          <w:tcPr>
            <w:tcW w:w="1500" w:type="dxa"/>
            <w:tcBorders>
              <w:top w:val="single" w:color="auto" w:sz="4" w:space="0"/>
              <w:tl2br w:val="nil"/>
              <w:tr2bl w:val="nil"/>
            </w:tcBorders>
            <w:vAlign w:val="top"/>
          </w:tcPr>
          <w:p w14:paraId="7FB5A46D">
            <w:pPr>
              <w:numPr>
                <w:ilvl w:val="0"/>
                <w:numId w:val="0"/>
              </w:numPr>
              <w:rPr>
                <w:rFonts w:hint="default" w:ascii="Cambria" w:hAnsi="Cambria" w:cs="Cambria"/>
                <w:vertAlign w:val="baseline"/>
              </w:rPr>
            </w:pPr>
            <w:r>
              <w:rPr>
                <w:rFonts w:hint="default" w:ascii="Cambria" w:hAnsi="Cambria" w:cs="Cambria"/>
              </w:rPr>
              <w:t>Definition of Fire Cupping</w:t>
            </w:r>
          </w:p>
        </w:tc>
        <w:tc>
          <w:tcPr>
            <w:tcW w:w="3712" w:type="dxa"/>
            <w:tcBorders>
              <w:top w:val="single" w:color="auto" w:sz="4" w:space="0"/>
              <w:tl2br w:val="nil"/>
              <w:tr2bl w:val="nil"/>
            </w:tcBorders>
            <w:vAlign w:val="top"/>
          </w:tcPr>
          <w:p w14:paraId="1E44B9C0">
            <w:pPr>
              <w:numPr>
                <w:ilvl w:val="0"/>
                <w:numId w:val="0"/>
              </w:numPr>
              <w:rPr>
                <w:rFonts w:hint="default" w:ascii="Cambria" w:hAnsi="Cambria" w:cs="Cambria"/>
                <w:vertAlign w:val="baseline"/>
              </w:rPr>
            </w:pPr>
            <w:r>
              <w:rPr>
                <w:rFonts w:hint="default" w:ascii="Cambria" w:hAnsi="Cambria" w:cs="Cambria"/>
              </w:rPr>
              <w:t xml:space="preserve"> B. Follow the original national standard.</w:t>
            </w:r>
          </w:p>
        </w:tc>
        <w:tc>
          <w:tcPr>
            <w:tcW w:w="1175" w:type="dxa"/>
            <w:tcBorders>
              <w:top w:val="single" w:color="auto" w:sz="4" w:space="0"/>
              <w:tl2br w:val="nil"/>
              <w:tr2bl w:val="nil"/>
            </w:tcBorders>
            <w:vAlign w:val="top"/>
          </w:tcPr>
          <w:p w14:paraId="5124AD4F">
            <w:pPr>
              <w:numPr>
                <w:ilvl w:val="0"/>
                <w:numId w:val="0"/>
              </w:numPr>
              <w:rPr>
                <w:rFonts w:hint="default" w:ascii="Cambria" w:hAnsi="Cambria" w:cs="Cambria"/>
                <w:vertAlign w:val="baseline"/>
              </w:rPr>
            </w:pPr>
            <w:r>
              <w:rPr>
                <w:rFonts w:hint="default" w:ascii="Cambria" w:hAnsi="Cambria" w:cs="Cambria"/>
              </w:rPr>
              <w:t>16</w:t>
            </w:r>
          </w:p>
        </w:tc>
        <w:tc>
          <w:tcPr>
            <w:tcW w:w="1192" w:type="dxa"/>
            <w:tcBorders>
              <w:top w:val="single" w:color="auto" w:sz="4" w:space="0"/>
              <w:tl2br w:val="nil"/>
              <w:tr2bl w:val="nil"/>
            </w:tcBorders>
            <w:vAlign w:val="top"/>
          </w:tcPr>
          <w:p w14:paraId="78AEBADE">
            <w:pPr>
              <w:numPr>
                <w:ilvl w:val="0"/>
                <w:numId w:val="0"/>
              </w:numPr>
              <w:rPr>
                <w:rFonts w:hint="default" w:ascii="Cambria" w:hAnsi="Cambria" w:cs="Cambria"/>
                <w:vertAlign w:val="baseline"/>
              </w:rPr>
            </w:pPr>
            <w:r>
              <w:rPr>
                <w:rFonts w:hint="default" w:ascii="Cambria" w:hAnsi="Cambria" w:cs="Cambria"/>
              </w:rPr>
              <w:t>53%</w:t>
            </w:r>
          </w:p>
        </w:tc>
      </w:tr>
      <w:tr w14:paraId="3C0613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43" w:type="dxa"/>
            <w:tcBorders>
              <w:tl2br w:val="nil"/>
              <w:tr2bl w:val="nil"/>
            </w:tcBorders>
            <w:vAlign w:val="top"/>
          </w:tcPr>
          <w:p w14:paraId="660B200B">
            <w:pPr>
              <w:numPr>
                <w:ilvl w:val="0"/>
                <w:numId w:val="0"/>
              </w:numPr>
              <w:rPr>
                <w:rFonts w:hint="default" w:ascii="Cambria" w:hAnsi="Cambria" w:cs="Cambria" w:eastAsiaTheme="minorEastAsia"/>
                <w:vertAlign w:val="baseline"/>
                <w:lang w:val="en-US" w:eastAsia="zh-CN"/>
              </w:rPr>
            </w:pPr>
            <w:r>
              <w:rPr>
                <w:rFonts w:hint="default" w:ascii="Cambria" w:hAnsi="Cambria" w:cs="Cambria"/>
                <w:vertAlign w:val="baseline"/>
                <w:lang w:val="en-US" w:eastAsia="zh-CN"/>
              </w:rPr>
              <w:t>2</w:t>
            </w:r>
          </w:p>
        </w:tc>
        <w:tc>
          <w:tcPr>
            <w:tcW w:w="1500" w:type="dxa"/>
            <w:tcBorders>
              <w:tl2br w:val="nil"/>
              <w:tr2bl w:val="nil"/>
            </w:tcBorders>
            <w:vAlign w:val="top"/>
          </w:tcPr>
          <w:p w14:paraId="4587D127">
            <w:pPr>
              <w:numPr>
                <w:ilvl w:val="0"/>
                <w:numId w:val="0"/>
              </w:numPr>
              <w:rPr>
                <w:rFonts w:hint="default" w:ascii="Cambria" w:hAnsi="Cambria" w:cs="Cambria"/>
                <w:vertAlign w:val="baseline"/>
              </w:rPr>
            </w:pPr>
            <w:r>
              <w:rPr>
                <w:rFonts w:hint="default" w:ascii="Cambria" w:hAnsi="Cambria" w:cs="Cambria"/>
              </w:rPr>
              <w:t xml:space="preserve">Selection of </w:t>
            </w:r>
            <w:r>
              <w:rPr>
                <w:rFonts w:hint="default" w:ascii="Cambria" w:hAnsi="Cambria" w:cs="Cambria"/>
                <w:lang w:val="en-US" w:eastAsia="zh-CN"/>
              </w:rPr>
              <w:t>J</w:t>
            </w:r>
            <w:r>
              <w:rPr>
                <w:rFonts w:hint="default" w:ascii="Cambria" w:hAnsi="Cambria" w:cs="Cambria"/>
                <w:lang w:eastAsia="zh-CN"/>
              </w:rPr>
              <w:t>ar</w:t>
            </w:r>
            <w:r>
              <w:rPr>
                <w:rFonts w:hint="default" w:ascii="Cambria" w:hAnsi="Cambria" w:cs="Cambria"/>
              </w:rPr>
              <w:t xml:space="preserve"> Models</w:t>
            </w:r>
          </w:p>
        </w:tc>
        <w:tc>
          <w:tcPr>
            <w:tcW w:w="3712" w:type="dxa"/>
            <w:tcBorders>
              <w:tl2br w:val="nil"/>
              <w:tr2bl w:val="nil"/>
            </w:tcBorders>
            <w:vAlign w:val="top"/>
          </w:tcPr>
          <w:p w14:paraId="78D5CF17">
            <w:pPr>
              <w:numPr>
                <w:ilvl w:val="0"/>
                <w:numId w:val="0"/>
              </w:numPr>
              <w:rPr>
                <w:rFonts w:hint="default" w:ascii="Cambria" w:hAnsi="Cambria" w:cs="Cambria" w:eastAsiaTheme="minorEastAsia"/>
                <w:vertAlign w:val="baseline"/>
                <w:lang w:val="en-US" w:eastAsia="zh-CN"/>
              </w:rPr>
            </w:pPr>
            <w:r>
              <w:rPr>
                <w:rFonts w:hint="default" w:ascii="Cambria" w:hAnsi="Cambria" w:cs="Cambria"/>
              </w:rPr>
              <w:t xml:space="preserve"> A. Cupping vessels shall be selected according to the child’s age, height and weight. Size 5 cups are primarily used for preschool children, while Size 4 cups are the main choice for children under 12 years old. The internal volume of a Size 5 cup is 95±4.8 mL, and that of a Size 4 cup is 130±6.5 mL. </w:t>
            </w:r>
            <w:r>
              <w:rPr>
                <w:rFonts w:hint="default" w:ascii="Cambria" w:hAnsi="Cambria" w:cs="Cambria"/>
                <w:lang w:val="en-US" w:eastAsia="zh-CN"/>
              </w:rPr>
              <w:t>(</w:t>
            </w:r>
            <w:r>
              <w:rPr>
                <w:rFonts w:hint="default" w:ascii="Cambria" w:hAnsi="Cambria" w:cs="Cambria"/>
              </w:rPr>
              <w:t xml:space="preserve">Source: </w:t>
            </w:r>
            <w:r>
              <w:rPr>
                <w:rFonts w:hint="default" w:ascii="Cambria" w:hAnsi="Cambria" w:cs="Cambria"/>
                <w:lang w:eastAsia="zh-CN"/>
              </w:rPr>
              <w:t>ISO 22213:2020</w:t>
            </w:r>
            <w:r>
              <w:rPr>
                <w:rFonts w:hint="default" w:ascii="Cambria" w:hAnsi="Cambria" w:cs="Cambria"/>
                <w:lang w:val="en-US" w:eastAsia="zh-CN"/>
              </w:rPr>
              <w:t xml:space="preserve"> </w:t>
            </w:r>
            <w:r>
              <w:rPr>
                <w:rFonts w:hint="default" w:ascii="Cambria" w:hAnsi="Cambria" w:cs="Cambria"/>
              </w:rPr>
              <w:t>(E)</w:t>
            </w:r>
            <w:r>
              <w:rPr>
                <w:rFonts w:hint="default" w:ascii="Cambria" w:hAnsi="Cambria" w:cs="Cambria"/>
                <w:lang w:val="en-US" w:eastAsia="zh-CN"/>
              </w:rPr>
              <w:t xml:space="preserve"> </w:t>
            </w:r>
            <w:r>
              <w:rPr>
                <w:rFonts w:hint="default" w:ascii="Cambria" w:hAnsi="Cambria" w:cs="Cambria"/>
                <w:lang w:eastAsia="zh-CN"/>
              </w:rPr>
              <w:t>TCM–Glass cupping device</w:t>
            </w:r>
            <w:r>
              <w:rPr>
                <w:rFonts w:hint="default" w:ascii="Cambria" w:hAnsi="Cambria" w:cs="Cambria"/>
                <w:lang w:val="en-US" w:eastAsia="zh-CN"/>
              </w:rPr>
              <w:t>s</w:t>
            </w:r>
            <w:r>
              <w:rPr>
                <w:rFonts w:hint="default" w:ascii="Cambria" w:hAnsi="Cambria" w:cs="Cambria"/>
              </w:rPr>
              <w:t xml:space="preserve"> and YY/T 1976</w:t>
            </w:r>
            <w:r>
              <w:rPr>
                <w:rFonts w:hint="default" w:ascii="Cambria" w:hAnsi="Cambria" w:cs="Cambria"/>
                <w:lang w:val="en-US" w:eastAsia="zh-CN"/>
              </w:rPr>
              <w:t>-</w:t>
            </w:r>
            <w:r>
              <w:rPr>
                <w:rFonts w:hint="default" w:ascii="Cambria" w:hAnsi="Cambria" w:cs="Cambria"/>
              </w:rPr>
              <w:t xml:space="preserve"> 2025</w:t>
            </w:r>
            <w:r>
              <w:rPr>
                <w:rFonts w:hint="default" w:ascii="Cambria" w:hAnsi="Cambria" w:cs="Cambria"/>
                <w:lang w:val="en-US" w:eastAsia="zh-CN"/>
              </w:rPr>
              <w:t xml:space="preserve"> </w:t>
            </w:r>
            <w:r>
              <w:rPr>
                <w:rFonts w:hint="default" w:ascii="Cambria" w:hAnsi="Cambria" w:cs="Cambria"/>
                <w:lang w:eastAsia="zh-CN"/>
              </w:rPr>
              <w:t>Traditional Chinese medical device–Glass cupping device</w:t>
            </w:r>
            <w:r>
              <w:rPr>
                <w:rFonts w:hint="default" w:ascii="Cambria" w:hAnsi="Cambria" w:cs="Cambria"/>
                <w:lang w:val="en-US" w:eastAsia="zh-CN"/>
              </w:rPr>
              <w:t>)</w:t>
            </w:r>
          </w:p>
        </w:tc>
        <w:tc>
          <w:tcPr>
            <w:tcW w:w="1175" w:type="dxa"/>
            <w:tcBorders>
              <w:tl2br w:val="nil"/>
              <w:tr2bl w:val="nil"/>
            </w:tcBorders>
            <w:vAlign w:val="top"/>
          </w:tcPr>
          <w:p w14:paraId="18849A54">
            <w:pPr>
              <w:numPr>
                <w:ilvl w:val="0"/>
                <w:numId w:val="0"/>
              </w:numPr>
              <w:rPr>
                <w:rFonts w:hint="default" w:ascii="Cambria" w:hAnsi="Cambria" w:cs="Cambria"/>
                <w:vertAlign w:val="baseline"/>
              </w:rPr>
            </w:pPr>
            <w:r>
              <w:rPr>
                <w:rFonts w:hint="default" w:ascii="Cambria" w:hAnsi="Cambria" w:cs="Cambria"/>
              </w:rPr>
              <w:t xml:space="preserve">23   </w:t>
            </w:r>
          </w:p>
        </w:tc>
        <w:tc>
          <w:tcPr>
            <w:tcW w:w="1192" w:type="dxa"/>
            <w:tcBorders>
              <w:tl2br w:val="nil"/>
              <w:tr2bl w:val="nil"/>
            </w:tcBorders>
            <w:vAlign w:val="top"/>
          </w:tcPr>
          <w:p w14:paraId="0B36224C">
            <w:pPr>
              <w:numPr>
                <w:ilvl w:val="0"/>
                <w:numId w:val="0"/>
              </w:numPr>
              <w:rPr>
                <w:rFonts w:hint="default" w:ascii="Cambria" w:hAnsi="Cambria" w:cs="Cambria"/>
                <w:vertAlign w:val="baseline"/>
              </w:rPr>
            </w:pPr>
            <w:r>
              <w:rPr>
                <w:rFonts w:hint="default" w:ascii="Cambria" w:hAnsi="Cambria" w:cs="Cambria"/>
              </w:rPr>
              <w:t>76.67%</w:t>
            </w:r>
          </w:p>
        </w:tc>
      </w:tr>
      <w:tr w14:paraId="3D28F3F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43" w:type="dxa"/>
            <w:tcBorders>
              <w:tl2br w:val="nil"/>
              <w:tr2bl w:val="nil"/>
            </w:tcBorders>
            <w:vAlign w:val="top"/>
          </w:tcPr>
          <w:p w14:paraId="409DFC8A">
            <w:pPr>
              <w:numPr>
                <w:ilvl w:val="0"/>
                <w:numId w:val="0"/>
              </w:numPr>
              <w:rPr>
                <w:rFonts w:hint="default" w:ascii="Cambria" w:hAnsi="Cambria" w:cs="Cambria" w:eastAsiaTheme="minorEastAsia"/>
                <w:vertAlign w:val="baseline"/>
                <w:lang w:val="en-US" w:eastAsia="zh-CN"/>
              </w:rPr>
            </w:pPr>
            <w:r>
              <w:rPr>
                <w:rFonts w:hint="default" w:ascii="Cambria" w:hAnsi="Cambria" w:cs="Cambria"/>
                <w:vertAlign w:val="baseline"/>
                <w:lang w:val="en-US" w:eastAsia="zh-CN"/>
              </w:rPr>
              <w:t>3</w:t>
            </w:r>
          </w:p>
        </w:tc>
        <w:tc>
          <w:tcPr>
            <w:tcW w:w="1500" w:type="dxa"/>
            <w:tcBorders>
              <w:tl2br w:val="nil"/>
              <w:tr2bl w:val="nil"/>
            </w:tcBorders>
            <w:vAlign w:val="top"/>
          </w:tcPr>
          <w:p w14:paraId="1A03CD4E">
            <w:pPr>
              <w:numPr>
                <w:ilvl w:val="0"/>
                <w:numId w:val="0"/>
              </w:numPr>
              <w:rPr>
                <w:rFonts w:hint="default" w:ascii="Cambria" w:hAnsi="Cambria" w:cs="Cambria"/>
                <w:vertAlign w:val="baseline"/>
              </w:rPr>
            </w:pPr>
            <w:r>
              <w:rPr>
                <w:rFonts w:hint="default" w:ascii="Cambria" w:hAnsi="Cambria" w:cs="Cambria"/>
                <w:u w:val="none"/>
              </w:rPr>
              <w:t>Practitioner Pre-operation Preparation</w:t>
            </w:r>
          </w:p>
        </w:tc>
        <w:tc>
          <w:tcPr>
            <w:tcW w:w="3712" w:type="dxa"/>
            <w:tcBorders>
              <w:tl2br w:val="nil"/>
              <w:tr2bl w:val="nil"/>
            </w:tcBorders>
            <w:vAlign w:val="top"/>
          </w:tcPr>
          <w:p w14:paraId="28942852">
            <w:pPr>
              <w:numPr>
                <w:ilvl w:val="0"/>
                <w:numId w:val="0"/>
              </w:numPr>
              <w:rPr>
                <w:rFonts w:hint="default" w:ascii="Cambria" w:hAnsi="Cambria" w:cs="Cambria" w:eastAsiaTheme="minorEastAsia"/>
                <w:vertAlign w:val="baseline"/>
                <w:lang w:val="en-US" w:eastAsia="zh-CN"/>
              </w:rPr>
            </w:pPr>
            <w:r>
              <w:rPr>
                <w:rFonts w:hint="default" w:ascii="Cambria" w:hAnsi="Cambria" w:cs="Cambria"/>
              </w:rPr>
              <w:t>A. All steps shall be performed as follows: First, thoroughly wet both hands under running tap water. Second, dispense a proper amount of hand sanitizer or soap and spread it evenly across the entire palms, dorsa of hands, fingers and interdigital clefts. Third, rub all hand surfaces vigorously for a minimum of 15 seconds, covering the dorsal sides of fingers, fingertips and all interdigital clefts; the detailed rubbing sequences shall be implemented in line with Handwashing Procedures for Medical Staff.</w:t>
            </w:r>
            <w:r>
              <w:rPr>
                <w:rFonts w:hint="default" w:ascii="Cambria" w:hAnsi="Cambria" w:cs="Cambria"/>
                <w:lang w:val="en-US" w:eastAsia="zh-CN"/>
              </w:rPr>
              <w:t xml:space="preserve"> Next, pour an adequate volume of hand disinfectant into one palm and coat both hands uniformly with the product. Rub the hands following the full rubbing procedures specified in Handwashing Procedures for Medical Staff until the skin of the hands dries completely. Instant alcohol hand rubs are the preferred product for hygienic hand disinfection. Individuals with disinfectant allergies may substitute with alternative hand disinfectants. For infections caused by certain ethanol-resistant enteroviruses, other validated effective hand disinfectants must be utilized.</w:t>
            </w:r>
            <w:r>
              <w:rPr>
                <w:rFonts w:hint="default" w:ascii="Cambria" w:hAnsi="Cambria" w:cs="Cambria"/>
              </w:rPr>
              <w:t xml:space="preserve"> (Source: </w:t>
            </w:r>
            <w:r>
              <w:rPr>
                <w:rFonts w:hint="default" w:ascii="Cambria" w:hAnsi="Cambria" w:cs="Cambria"/>
                <w:lang w:eastAsia="zh-CN"/>
              </w:rPr>
              <w:t xml:space="preserve">WS/T 313-2019, Specification of </w:t>
            </w:r>
            <w:r>
              <w:rPr>
                <w:rFonts w:hint="default" w:ascii="Cambria" w:hAnsi="Cambria" w:cs="Cambria"/>
                <w:lang w:val="en-US" w:eastAsia="zh-CN"/>
              </w:rPr>
              <w:t>h</w:t>
            </w:r>
            <w:r>
              <w:rPr>
                <w:rFonts w:hint="default" w:ascii="Cambria" w:hAnsi="Cambria" w:cs="Cambria"/>
                <w:lang w:eastAsia="zh-CN"/>
              </w:rPr>
              <w:t xml:space="preserve">and </w:t>
            </w:r>
            <w:r>
              <w:rPr>
                <w:rFonts w:hint="default" w:ascii="Cambria" w:hAnsi="Cambria" w:cs="Cambria"/>
                <w:lang w:val="en-US" w:eastAsia="zh-CN"/>
              </w:rPr>
              <w:t>h</w:t>
            </w:r>
            <w:r>
              <w:rPr>
                <w:rFonts w:hint="default" w:ascii="Cambria" w:hAnsi="Cambria" w:cs="Cambria"/>
                <w:lang w:eastAsia="zh-CN"/>
              </w:rPr>
              <w:t xml:space="preserve">ygiene for </w:t>
            </w:r>
            <w:r>
              <w:rPr>
                <w:rFonts w:hint="default" w:ascii="Cambria" w:hAnsi="Cambria" w:cs="Cambria"/>
                <w:lang w:val="en-US" w:eastAsia="zh-CN"/>
              </w:rPr>
              <w:t>h</w:t>
            </w:r>
            <w:r>
              <w:rPr>
                <w:rFonts w:hint="default" w:ascii="Cambria" w:hAnsi="Cambria" w:cs="Cambria"/>
                <w:lang w:eastAsia="zh-CN"/>
              </w:rPr>
              <w:t xml:space="preserve">ealthcare </w:t>
            </w:r>
            <w:r>
              <w:rPr>
                <w:rFonts w:hint="default" w:ascii="Cambria" w:hAnsi="Cambria" w:cs="Cambria"/>
                <w:lang w:val="en-US" w:eastAsia="zh-CN"/>
              </w:rPr>
              <w:t>w</w:t>
            </w:r>
            <w:r>
              <w:rPr>
                <w:rFonts w:hint="default" w:ascii="Cambria" w:hAnsi="Cambria" w:cs="Cambria"/>
                <w:lang w:eastAsia="zh-CN"/>
              </w:rPr>
              <w:t>orkers, National Health Industry Standard of the People's Republic of China</w:t>
            </w:r>
            <w:r>
              <w:rPr>
                <w:rFonts w:hint="default" w:ascii="Cambria" w:hAnsi="Cambria" w:cs="Cambria"/>
                <w:lang w:val="en-US" w:eastAsia="zh-CN"/>
              </w:rPr>
              <w:t>)</w:t>
            </w:r>
          </w:p>
        </w:tc>
        <w:tc>
          <w:tcPr>
            <w:tcW w:w="1175" w:type="dxa"/>
            <w:tcBorders>
              <w:tl2br w:val="nil"/>
              <w:tr2bl w:val="nil"/>
            </w:tcBorders>
            <w:vAlign w:val="top"/>
          </w:tcPr>
          <w:p w14:paraId="4AA77768">
            <w:pPr>
              <w:numPr>
                <w:ilvl w:val="0"/>
                <w:numId w:val="0"/>
              </w:numPr>
              <w:rPr>
                <w:rFonts w:hint="default" w:ascii="Cambria" w:hAnsi="Cambria" w:cs="Cambria"/>
                <w:vertAlign w:val="baseline"/>
              </w:rPr>
            </w:pPr>
            <w:r>
              <w:rPr>
                <w:rFonts w:hint="default" w:ascii="Cambria" w:hAnsi="Cambria" w:cs="Cambria"/>
              </w:rPr>
              <w:t xml:space="preserve"> 18 </w:t>
            </w:r>
          </w:p>
        </w:tc>
        <w:tc>
          <w:tcPr>
            <w:tcW w:w="1192" w:type="dxa"/>
            <w:tcBorders>
              <w:tl2br w:val="nil"/>
              <w:tr2bl w:val="nil"/>
            </w:tcBorders>
            <w:vAlign w:val="top"/>
          </w:tcPr>
          <w:p w14:paraId="1E4AEC34">
            <w:pPr>
              <w:numPr>
                <w:ilvl w:val="0"/>
                <w:numId w:val="0"/>
              </w:numPr>
              <w:rPr>
                <w:rFonts w:hint="default" w:ascii="Cambria" w:hAnsi="Cambria" w:cs="Cambria"/>
                <w:vertAlign w:val="baseline"/>
              </w:rPr>
            </w:pPr>
            <w:r>
              <w:rPr>
                <w:rFonts w:hint="default" w:ascii="Cambria" w:hAnsi="Cambria" w:cs="Cambria"/>
              </w:rPr>
              <w:t>60%</w:t>
            </w:r>
          </w:p>
        </w:tc>
      </w:tr>
      <w:tr w14:paraId="63C3484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43" w:type="dxa"/>
            <w:tcBorders>
              <w:tl2br w:val="nil"/>
              <w:tr2bl w:val="nil"/>
            </w:tcBorders>
            <w:vAlign w:val="top"/>
          </w:tcPr>
          <w:p w14:paraId="3EE6B329">
            <w:pPr>
              <w:numPr>
                <w:ilvl w:val="0"/>
                <w:numId w:val="0"/>
              </w:numPr>
              <w:rPr>
                <w:rFonts w:hint="default" w:ascii="Cambria" w:hAnsi="Cambria" w:cs="Cambria" w:eastAsiaTheme="minorEastAsia"/>
                <w:highlight w:val="none"/>
                <w:vertAlign w:val="baseline"/>
                <w:lang w:val="en-US" w:eastAsia="zh-CN"/>
              </w:rPr>
            </w:pPr>
            <w:r>
              <w:rPr>
                <w:rFonts w:hint="default" w:ascii="Cambria" w:hAnsi="Cambria" w:cs="Cambria"/>
                <w:highlight w:val="none"/>
                <w:vertAlign w:val="baseline"/>
                <w:lang w:val="en-US" w:eastAsia="zh-CN"/>
              </w:rPr>
              <w:t>4</w:t>
            </w:r>
          </w:p>
        </w:tc>
        <w:tc>
          <w:tcPr>
            <w:tcW w:w="1500" w:type="dxa"/>
            <w:tcBorders>
              <w:tl2br w:val="nil"/>
              <w:tr2bl w:val="nil"/>
            </w:tcBorders>
            <w:vAlign w:val="top"/>
          </w:tcPr>
          <w:p w14:paraId="148ACD4E">
            <w:pPr>
              <w:numPr>
                <w:ilvl w:val="0"/>
                <w:numId w:val="0"/>
              </w:numPr>
              <w:rPr>
                <w:rFonts w:hint="default" w:ascii="Cambria" w:hAnsi="Cambria" w:cs="Cambria"/>
                <w:highlight w:val="none"/>
                <w:vertAlign w:val="baseline"/>
              </w:rPr>
            </w:pPr>
            <w:r>
              <w:rPr>
                <w:rFonts w:hint="default" w:ascii="Cambria" w:hAnsi="Cambria" w:cs="Cambria"/>
                <w:highlight w:val="none"/>
              </w:rPr>
              <w:t>Cupping Site</w:t>
            </w:r>
          </w:p>
        </w:tc>
        <w:tc>
          <w:tcPr>
            <w:tcW w:w="3712" w:type="dxa"/>
            <w:tcBorders>
              <w:tl2br w:val="nil"/>
              <w:tr2bl w:val="nil"/>
            </w:tcBorders>
            <w:vAlign w:val="top"/>
          </w:tcPr>
          <w:p w14:paraId="23C3A4B5">
            <w:pPr>
              <w:numPr>
                <w:ilvl w:val="0"/>
                <w:numId w:val="0"/>
              </w:numPr>
              <w:rPr>
                <w:rFonts w:hint="default" w:ascii="Cambria" w:hAnsi="Cambria" w:cs="Cambria"/>
                <w:highlight w:val="none"/>
                <w:vertAlign w:val="baseline"/>
              </w:rPr>
            </w:pPr>
            <w:r>
              <w:rPr>
                <w:rFonts w:hint="default" w:ascii="Cambria" w:hAnsi="Cambria" w:cs="Cambria"/>
                <w:highlight w:val="none"/>
              </w:rPr>
              <w:t xml:space="preserve">A. Generally, disinfection is not required for cupping sites. Depending on the skin condition of pediatric patients, white petrolatum or paraffin wax may be applied to cupping areas of children aged 1 to 5 years old. (Source: Cupping Therapy of TCM，Innovative Textbook for Higher Education in the National TCM Industry during the 14th Five-Year Plan. Editor in Chief: Chen Zelin. China Press of TCM, 2023) </w:t>
            </w:r>
          </w:p>
        </w:tc>
        <w:tc>
          <w:tcPr>
            <w:tcW w:w="1175" w:type="dxa"/>
            <w:tcBorders>
              <w:tl2br w:val="nil"/>
              <w:tr2bl w:val="nil"/>
            </w:tcBorders>
            <w:vAlign w:val="top"/>
          </w:tcPr>
          <w:p w14:paraId="6244A83F">
            <w:pPr>
              <w:numPr>
                <w:ilvl w:val="0"/>
                <w:numId w:val="0"/>
              </w:numPr>
              <w:rPr>
                <w:rFonts w:hint="default" w:ascii="Cambria" w:hAnsi="Cambria" w:cs="Cambria"/>
                <w:highlight w:val="none"/>
                <w:vertAlign w:val="baseline"/>
              </w:rPr>
            </w:pPr>
            <w:r>
              <w:rPr>
                <w:rFonts w:hint="default" w:ascii="Cambria" w:hAnsi="Cambria" w:cs="Cambria"/>
                <w:highlight w:val="none"/>
              </w:rPr>
              <w:t xml:space="preserve">16 </w:t>
            </w:r>
          </w:p>
        </w:tc>
        <w:tc>
          <w:tcPr>
            <w:tcW w:w="1192" w:type="dxa"/>
            <w:tcBorders>
              <w:tl2br w:val="nil"/>
              <w:tr2bl w:val="nil"/>
            </w:tcBorders>
            <w:vAlign w:val="top"/>
          </w:tcPr>
          <w:p w14:paraId="703FFD85">
            <w:pPr>
              <w:numPr>
                <w:ilvl w:val="0"/>
                <w:numId w:val="0"/>
              </w:numPr>
              <w:rPr>
                <w:rFonts w:hint="default" w:ascii="Cambria" w:hAnsi="Cambria" w:cs="Cambria"/>
                <w:highlight w:val="none"/>
                <w:vertAlign w:val="baseline"/>
              </w:rPr>
            </w:pPr>
            <w:r>
              <w:rPr>
                <w:rFonts w:hint="default" w:ascii="Cambria" w:hAnsi="Cambria" w:cs="Cambria"/>
                <w:highlight w:val="none"/>
              </w:rPr>
              <w:t>53.00%</w:t>
            </w:r>
          </w:p>
        </w:tc>
      </w:tr>
      <w:tr w14:paraId="02B2D32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43" w:type="dxa"/>
            <w:tcBorders>
              <w:tl2br w:val="nil"/>
              <w:tr2bl w:val="nil"/>
            </w:tcBorders>
            <w:vAlign w:val="top"/>
          </w:tcPr>
          <w:p w14:paraId="5F88EE8B">
            <w:pPr>
              <w:numPr>
                <w:ilvl w:val="0"/>
                <w:numId w:val="0"/>
              </w:numPr>
              <w:rPr>
                <w:rFonts w:hint="default" w:ascii="Cambria" w:hAnsi="Cambria" w:cs="Cambria" w:eastAsiaTheme="minorEastAsia"/>
                <w:vertAlign w:val="baseline"/>
                <w:lang w:val="en-US" w:eastAsia="zh-CN"/>
              </w:rPr>
            </w:pPr>
            <w:r>
              <w:rPr>
                <w:rFonts w:hint="default" w:ascii="Cambria" w:hAnsi="Cambria" w:cs="Cambria"/>
                <w:vertAlign w:val="baseline"/>
                <w:lang w:val="en-US" w:eastAsia="zh-CN"/>
              </w:rPr>
              <w:t>5</w:t>
            </w:r>
          </w:p>
        </w:tc>
        <w:tc>
          <w:tcPr>
            <w:tcW w:w="1500" w:type="dxa"/>
            <w:tcBorders>
              <w:tl2br w:val="nil"/>
              <w:tr2bl w:val="nil"/>
            </w:tcBorders>
            <w:vAlign w:val="top"/>
          </w:tcPr>
          <w:p w14:paraId="60DC7664">
            <w:pPr>
              <w:numPr>
                <w:ilvl w:val="0"/>
                <w:numId w:val="0"/>
              </w:numPr>
              <w:rPr>
                <w:rFonts w:hint="default" w:ascii="Cambria" w:hAnsi="Cambria" w:cs="Cambria"/>
                <w:vertAlign w:val="baseline"/>
              </w:rPr>
            </w:pPr>
            <w:r>
              <w:rPr>
                <w:rFonts w:hint="default" w:ascii="Cambria" w:hAnsi="Cambria" w:cs="Cambria"/>
              </w:rPr>
              <w:t>Cupping with Retained Needles</w:t>
            </w:r>
          </w:p>
        </w:tc>
        <w:tc>
          <w:tcPr>
            <w:tcW w:w="3712" w:type="dxa"/>
            <w:tcBorders>
              <w:tl2br w:val="nil"/>
              <w:tr2bl w:val="nil"/>
            </w:tcBorders>
            <w:vAlign w:val="top"/>
          </w:tcPr>
          <w:p w14:paraId="370A5D0A">
            <w:pPr>
              <w:numPr>
                <w:ilvl w:val="0"/>
                <w:numId w:val="4"/>
              </w:numPr>
              <w:rPr>
                <w:rFonts w:hint="default" w:ascii="Cambria" w:hAnsi="Cambria" w:cs="Cambria"/>
              </w:rPr>
            </w:pPr>
            <w:r>
              <w:rPr>
                <w:rFonts w:hint="default" w:ascii="Cambria" w:hAnsi="Cambria" w:cs="Cambria"/>
              </w:rPr>
              <w:t xml:space="preserve">Fine filiform needles are used to puncture acupoints. Cupping is performed centering on the needles while retaining them in place. Remove the cups followed by withdrawing the needles upon completion of retention. The retention time is specified in </w:t>
            </w:r>
            <w:r>
              <w:rPr>
                <w:rFonts w:hint="default" w:ascii="Cambria" w:hAnsi="Cambria" w:cs="Cambria"/>
                <w:lang w:val="en-US" w:eastAsia="zh-CN"/>
              </w:rPr>
              <w:t xml:space="preserve">Annex </w:t>
            </w:r>
            <w:r>
              <w:rPr>
                <w:rFonts w:hint="default" w:ascii="Cambria" w:hAnsi="Cambria" w:cs="Cambria"/>
              </w:rPr>
              <w:t>B.</w:t>
            </w:r>
          </w:p>
          <w:p w14:paraId="24DB23CE">
            <w:pPr>
              <w:numPr>
                <w:ilvl w:val="0"/>
                <w:numId w:val="0"/>
              </w:numPr>
              <w:rPr>
                <w:rFonts w:hint="default" w:ascii="Cambria" w:hAnsi="Cambria" w:cs="Cambria" w:eastAsiaTheme="minorEastAsia"/>
                <w:vertAlign w:val="baseline"/>
                <w:lang w:val="en-US" w:eastAsia="zh-CN"/>
              </w:rPr>
            </w:pPr>
            <w:r>
              <w:rPr>
                <w:rFonts w:hint="default" w:ascii="Cambria" w:hAnsi="Cambria" w:cs="Cambria"/>
              </w:rPr>
              <w:t>This combined therapy shall not be administered to preschool children, as young children tend to be uncooperative. Full communication shall be conducted with pediatric patients and their guardians prior to treatment. (Source: GB/T</w:t>
            </w:r>
            <w:r>
              <w:rPr>
                <w:rFonts w:hint="default" w:ascii="Cambria" w:hAnsi="Cambria" w:cs="Cambria"/>
                <w:lang w:val="en-US" w:eastAsia="zh-CN"/>
              </w:rPr>
              <w:t xml:space="preserve"> </w:t>
            </w:r>
            <w:r>
              <w:rPr>
                <w:rFonts w:hint="default" w:ascii="Cambria" w:hAnsi="Cambria" w:cs="Cambria"/>
              </w:rPr>
              <w:t>21709.20</w:t>
            </w:r>
            <w:r>
              <w:rPr>
                <w:rFonts w:hint="default" w:ascii="Cambria" w:hAnsi="Cambria" w:cs="Cambria"/>
                <w:lang w:val="en-US" w:eastAsia="zh-CN"/>
              </w:rPr>
              <w:t>-</w:t>
            </w:r>
            <w:r>
              <w:rPr>
                <w:rFonts w:hint="default" w:ascii="Cambria" w:hAnsi="Cambria" w:cs="Cambria"/>
              </w:rPr>
              <w:t>2009</w:t>
            </w:r>
            <w:r>
              <w:rPr>
                <w:rFonts w:hint="default" w:ascii="Cambria" w:hAnsi="Cambria" w:cs="Cambria"/>
                <w:lang w:val="en-US" w:eastAsia="zh-CN"/>
              </w:rPr>
              <w:t xml:space="preserve"> </w:t>
            </w:r>
            <w:r>
              <w:rPr>
                <w:rFonts w:hint="default" w:ascii="Cambria" w:hAnsi="Cambria" w:cs="Cambria"/>
                <w:lang w:eastAsia="zh-CN"/>
              </w:rPr>
              <w:t xml:space="preserve">Specifications for </w:t>
            </w:r>
            <w:r>
              <w:rPr>
                <w:rFonts w:hint="default" w:ascii="Cambria" w:hAnsi="Cambria" w:cs="Cambria"/>
                <w:lang w:val="en-US" w:eastAsia="zh-CN"/>
              </w:rPr>
              <w:t>t</w:t>
            </w:r>
            <w:r>
              <w:rPr>
                <w:rFonts w:hint="default" w:ascii="Cambria" w:hAnsi="Cambria" w:cs="Cambria"/>
                <w:lang w:eastAsia="zh-CN"/>
              </w:rPr>
              <w:t xml:space="preserve">echnical </w:t>
            </w:r>
            <w:r>
              <w:rPr>
                <w:rFonts w:hint="default" w:ascii="Cambria" w:hAnsi="Cambria" w:cs="Cambria"/>
                <w:lang w:val="en-US" w:eastAsia="zh-CN"/>
              </w:rPr>
              <w:t>o</w:t>
            </w:r>
            <w:r>
              <w:rPr>
                <w:rFonts w:hint="default" w:ascii="Cambria" w:hAnsi="Cambria" w:cs="Cambria"/>
                <w:lang w:eastAsia="zh-CN"/>
              </w:rPr>
              <w:t xml:space="preserve">perations of </w:t>
            </w:r>
            <w:r>
              <w:rPr>
                <w:rFonts w:hint="default" w:ascii="Cambria" w:hAnsi="Cambria" w:cs="Cambria"/>
                <w:lang w:val="en-US" w:eastAsia="zh-CN"/>
              </w:rPr>
              <w:t>a</w:t>
            </w:r>
            <w:r>
              <w:rPr>
                <w:rFonts w:hint="default" w:ascii="Cambria" w:hAnsi="Cambria" w:cs="Cambria"/>
                <w:lang w:eastAsia="zh-CN"/>
              </w:rPr>
              <w:t xml:space="preserve">cupuncture and </w:t>
            </w:r>
            <w:r>
              <w:rPr>
                <w:rFonts w:hint="default" w:ascii="Cambria" w:hAnsi="Cambria" w:cs="Cambria"/>
                <w:lang w:val="en-US" w:eastAsia="zh-CN"/>
              </w:rPr>
              <w:t>m</w:t>
            </w:r>
            <w:r>
              <w:rPr>
                <w:rFonts w:hint="default" w:ascii="Cambria" w:hAnsi="Cambria" w:cs="Cambria"/>
                <w:lang w:eastAsia="zh-CN"/>
              </w:rPr>
              <w:t>oxibustion</w:t>
            </w:r>
            <w:r>
              <w:rPr>
                <w:rFonts w:hint="default" w:ascii="Cambria" w:hAnsi="Cambria" w:cs="Cambria"/>
                <w:lang w:val="en-US" w:eastAsia="zh-CN"/>
              </w:rPr>
              <w:t>–</w:t>
            </w:r>
            <w:r>
              <w:rPr>
                <w:rFonts w:hint="default" w:ascii="Cambria" w:hAnsi="Cambria" w:cs="Cambria"/>
              </w:rPr>
              <w:t xml:space="preserve">Part 20: </w:t>
            </w:r>
            <w:r>
              <w:rPr>
                <w:rFonts w:hint="default" w:ascii="Cambria" w:hAnsi="Cambria" w:cs="Cambria"/>
                <w:lang w:eastAsia="zh-CN"/>
              </w:rPr>
              <w:t xml:space="preserve">Basic </w:t>
            </w:r>
            <w:r>
              <w:rPr>
                <w:rFonts w:hint="default" w:ascii="Cambria" w:hAnsi="Cambria" w:cs="Cambria"/>
                <w:lang w:val="en-US" w:eastAsia="zh-CN"/>
              </w:rPr>
              <w:t>t</w:t>
            </w:r>
            <w:r>
              <w:rPr>
                <w:rFonts w:hint="default" w:ascii="Cambria" w:hAnsi="Cambria" w:cs="Cambria"/>
                <w:lang w:eastAsia="zh-CN"/>
              </w:rPr>
              <w:t xml:space="preserve">echniques of </w:t>
            </w:r>
            <w:r>
              <w:rPr>
                <w:rFonts w:hint="default" w:ascii="Cambria" w:hAnsi="Cambria" w:cs="Cambria"/>
                <w:lang w:val="en-US" w:eastAsia="zh-CN"/>
              </w:rPr>
              <w:t>f</w:t>
            </w:r>
            <w:r>
              <w:rPr>
                <w:rFonts w:hint="default" w:ascii="Cambria" w:hAnsi="Cambria" w:cs="Cambria"/>
                <w:lang w:eastAsia="zh-CN"/>
              </w:rPr>
              <w:t xml:space="preserve">iliform </w:t>
            </w:r>
            <w:r>
              <w:rPr>
                <w:rFonts w:hint="default" w:ascii="Cambria" w:hAnsi="Cambria" w:cs="Cambria"/>
                <w:lang w:val="en-US" w:eastAsia="zh-CN"/>
              </w:rPr>
              <w:t>n</w:t>
            </w:r>
            <w:r>
              <w:rPr>
                <w:rFonts w:hint="default" w:ascii="Cambria" w:hAnsi="Cambria" w:cs="Cambria"/>
                <w:lang w:eastAsia="zh-CN"/>
              </w:rPr>
              <w:t>eedle</w:t>
            </w:r>
            <w:r>
              <w:rPr>
                <w:rFonts w:hint="default" w:ascii="Cambria" w:hAnsi="Cambria" w:cs="Cambria"/>
                <w:lang w:val="en-US" w:eastAsia="zh-CN"/>
              </w:rPr>
              <w:t>)</w:t>
            </w:r>
          </w:p>
        </w:tc>
        <w:tc>
          <w:tcPr>
            <w:tcW w:w="1175" w:type="dxa"/>
            <w:tcBorders>
              <w:tl2br w:val="nil"/>
              <w:tr2bl w:val="nil"/>
            </w:tcBorders>
            <w:vAlign w:val="top"/>
          </w:tcPr>
          <w:p w14:paraId="2BF123BA">
            <w:pPr>
              <w:numPr>
                <w:ilvl w:val="0"/>
                <w:numId w:val="0"/>
              </w:numPr>
              <w:rPr>
                <w:rFonts w:hint="default" w:ascii="Cambria" w:hAnsi="Cambria" w:cs="Cambria"/>
                <w:vertAlign w:val="baseline"/>
              </w:rPr>
            </w:pPr>
            <w:r>
              <w:rPr>
                <w:rFonts w:hint="default" w:ascii="Cambria" w:hAnsi="Cambria" w:cs="Cambria"/>
              </w:rPr>
              <w:t xml:space="preserve"> 24 </w:t>
            </w:r>
          </w:p>
        </w:tc>
        <w:tc>
          <w:tcPr>
            <w:tcW w:w="1192" w:type="dxa"/>
            <w:tcBorders>
              <w:tl2br w:val="nil"/>
              <w:tr2bl w:val="nil"/>
            </w:tcBorders>
            <w:vAlign w:val="top"/>
          </w:tcPr>
          <w:p w14:paraId="2CF91BCD">
            <w:pPr>
              <w:numPr>
                <w:ilvl w:val="0"/>
                <w:numId w:val="0"/>
              </w:numPr>
              <w:rPr>
                <w:rFonts w:hint="default" w:ascii="Cambria" w:hAnsi="Cambria" w:cs="Cambria"/>
                <w:vertAlign w:val="baseline"/>
              </w:rPr>
            </w:pPr>
            <w:r>
              <w:rPr>
                <w:rFonts w:hint="default" w:ascii="Cambria" w:hAnsi="Cambria" w:cs="Cambria"/>
              </w:rPr>
              <w:t>80%</w:t>
            </w:r>
          </w:p>
        </w:tc>
      </w:tr>
      <w:tr w14:paraId="053BCE2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43" w:type="dxa"/>
            <w:tcBorders>
              <w:tl2br w:val="nil"/>
              <w:tr2bl w:val="nil"/>
            </w:tcBorders>
            <w:vAlign w:val="top"/>
          </w:tcPr>
          <w:p w14:paraId="15BFBDD9">
            <w:pPr>
              <w:numPr>
                <w:ilvl w:val="0"/>
                <w:numId w:val="0"/>
              </w:numPr>
              <w:rPr>
                <w:rFonts w:hint="default" w:ascii="Cambria" w:hAnsi="Cambria" w:cs="Cambria" w:eastAsiaTheme="minorEastAsia"/>
                <w:vertAlign w:val="baseline"/>
                <w:lang w:val="en-US" w:eastAsia="zh-CN"/>
              </w:rPr>
            </w:pPr>
            <w:r>
              <w:rPr>
                <w:rFonts w:hint="default" w:ascii="Cambria" w:hAnsi="Cambria" w:cs="Cambria"/>
                <w:vertAlign w:val="baseline"/>
                <w:lang w:val="en-US" w:eastAsia="zh-CN"/>
              </w:rPr>
              <w:t>6</w:t>
            </w:r>
          </w:p>
        </w:tc>
        <w:tc>
          <w:tcPr>
            <w:tcW w:w="1500" w:type="dxa"/>
            <w:tcBorders>
              <w:tl2br w:val="nil"/>
              <w:tr2bl w:val="nil"/>
            </w:tcBorders>
            <w:vAlign w:val="top"/>
          </w:tcPr>
          <w:p w14:paraId="60660F4F">
            <w:pPr>
              <w:numPr>
                <w:ilvl w:val="0"/>
                <w:numId w:val="0"/>
              </w:numPr>
              <w:rPr>
                <w:rFonts w:hint="default" w:ascii="Cambria" w:hAnsi="Cambria" w:cs="Cambria"/>
                <w:vertAlign w:val="baseline"/>
              </w:rPr>
            </w:pPr>
            <w:r>
              <w:rPr>
                <w:rFonts w:hint="default" w:ascii="Cambria" w:hAnsi="Cambria" w:cs="Cambria"/>
              </w:rPr>
              <w:t>Modify "Scope"</w:t>
            </w:r>
          </w:p>
        </w:tc>
        <w:tc>
          <w:tcPr>
            <w:tcW w:w="3712" w:type="dxa"/>
            <w:tcBorders>
              <w:tl2br w:val="nil"/>
              <w:tr2bl w:val="nil"/>
            </w:tcBorders>
            <w:vAlign w:val="top"/>
          </w:tcPr>
          <w:p w14:paraId="2EB4E7A3">
            <w:pPr>
              <w:numPr>
                <w:ilvl w:val="0"/>
                <w:numId w:val="0"/>
              </w:numPr>
              <w:rPr>
                <w:rFonts w:hint="default" w:ascii="Cambria" w:hAnsi="Cambria" w:cs="Cambria"/>
                <w:vertAlign w:val="baseline"/>
              </w:rPr>
            </w:pPr>
            <w:r>
              <w:rPr>
                <w:rFonts w:hint="default" w:ascii="Cambria" w:hAnsi="Cambria" w:cs="Cambria"/>
              </w:rPr>
              <w:t>A. Agree.</w:t>
            </w:r>
          </w:p>
        </w:tc>
        <w:tc>
          <w:tcPr>
            <w:tcW w:w="1175" w:type="dxa"/>
            <w:tcBorders>
              <w:tl2br w:val="nil"/>
              <w:tr2bl w:val="nil"/>
            </w:tcBorders>
            <w:vAlign w:val="top"/>
          </w:tcPr>
          <w:p w14:paraId="6BAA8296">
            <w:pPr>
              <w:numPr>
                <w:ilvl w:val="0"/>
                <w:numId w:val="0"/>
              </w:numPr>
              <w:rPr>
                <w:rFonts w:hint="default" w:ascii="Cambria" w:hAnsi="Cambria" w:cs="Cambria"/>
                <w:vertAlign w:val="baseline"/>
              </w:rPr>
            </w:pPr>
            <w:r>
              <w:rPr>
                <w:rFonts w:hint="default" w:ascii="Cambria" w:hAnsi="Cambria" w:cs="Cambria"/>
              </w:rPr>
              <w:t>30</w:t>
            </w:r>
          </w:p>
        </w:tc>
        <w:tc>
          <w:tcPr>
            <w:tcW w:w="1192" w:type="dxa"/>
            <w:tcBorders>
              <w:tl2br w:val="nil"/>
              <w:tr2bl w:val="nil"/>
            </w:tcBorders>
            <w:vAlign w:val="top"/>
          </w:tcPr>
          <w:p w14:paraId="4B421BF9">
            <w:pPr>
              <w:numPr>
                <w:ilvl w:val="0"/>
                <w:numId w:val="0"/>
              </w:numPr>
              <w:rPr>
                <w:rFonts w:hint="default" w:ascii="Cambria" w:hAnsi="Cambria" w:cs="Cambria"/>
                <w:vertAlign w:val="baseline"/>
              </w:rPr>
            </w:pPr>
            <w:r>
              <w:rPr>
                <w:rFonts w:hint="default" w:ascii="Cambria" w:hAnsi="Cambria" w:cs="Cambria"/>
              </w:rPr>
              <w:t xml:space="preserve">100% </w:t>
            </w:r>
          </w:p>
        </w:tc>
      </w:tr>
      <w:tr w14:paraId="4104D3B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43" w:type="dxa"/>
            <w:tcBorders>
              <w:tl2br w:val="nil"/>
              <w:tr2bl w:val="nil"/>
            </w:tcBorders>
            <w:vAlign w:val="top"/>
          </w:tcPr>
          <w:p w14:paraId="008CE5E3">
            <w:pPr>
              <w:numPr>
                <w:ilvl w:val="0"/>
                <w:numId w:val="0"/>
              </w:numPr>
              <w:rPr>
                <w:rFonts w:hint="default" w:ascii="Cambria" w:hAnsi="Cambria" w:cs="Cambria" w:eastAsiaTheme="minorEastAsia"/>
                <w:vertAlign w:val="baseline"/>
                <w:lang w:val="en-US" w:eastAsia="zh-CN"/>
              </w:rPr>
            </w:pPr>
            <w:r>
              <w:rPr>
                <w:rFonts w:hint="default" w:ascii="Cambria" w:hAnsi="Cambria" w:cs="Cambria"/>
                <w:vertAlign w:val="baseline"/>
                <w:lang w:val="en-US" w:eastAsia="zh-CN"/>
              </w:rPr>
              <w:t>7</w:t>
            </w:r>
          </w:p>
        </w:tc>
        <w:tc>
          <w:tcPr>
            <w:tcW w:w="1500" w:type="dxa"/>
            <w:tcBorders>
              <w:tl2br w:val="nil"/>
              <w:tr2bl w:val="nil"/>
            </w:tcBorders>
            <w:vAlign w:val="top"/>
          </w:tcPr>
          <w:p w14:paraId="78EFB4C1">
            <w:pPr>
              <w:numPr>
                <w:ilvl w:val="0"/>
                <w:numId w:val="0"/>
              </w:numPr>
              <w:rPr>
                <w:rFonts w:hint="default" w:ascii="Cambria" w:hAnsi="Cambria" w:cs="Cambria"/>
                <w:vertAlign w:val="baseline"/>
              </w:rPr>
            </w:pPr>
            <w:r>
              <w:rPr>
                <w:rFonts w:hint="default" w:ascii="Cambria" w:hAnsi="Cambria" w:cs="Cambria"/>
              </w:rPr>
              <w:t>Modify "</w:t>
            </w:r>
            <w:r>
              <w:rPr>
                <w:rFonts w:hint="default" w:ascii="Cambria" w:hAnsi="Cambria" w:cs="Cambria"/>
                <w:lang w:eastAsia="zh-CN"/>
              </w:rPr>
              <w:t>Normative References</w:t>
            </w:r>
            <w:r>
              <w:rPr>
                <w:rFonts w:hint="default" w:ascii="Cambria" w:hAnsi="Cambria" w:cs="Cambria"/>
              </w:rPr>
              <w:t>"</w:t>
            </w:r>
          </w:p>
        </w:tc>
        <w:tc>
          <w:tcPr>
            <w:tcW w:w="3712" w:type="dxa"/>
            <w:tcBorders>
              <w:tl2br w:val="nil"/>
              <w:tr2bl w:val="nil"/>
            </w:tcBorders>
            <w:shd w:val="clear" w:color="auto" w:fill="auto"/>
            <w:vAlign w:val="top"/>
          </w:tcPr>
          <w:p w14:paraId="202424EC">
            <w:pPr>
              <w:numPr>
                <w:ilvl w:val="0"/>
                <w:numId w:val="0"/>
              </w:numPr>
              <w:ind w:left="0" w:leftChars="0" w:firstLine="0" w:firstLineChars="0"/>
              <w:rPr>
                <w:rFonts w:hint="default" w:ascii="Cambria" w:hAnsi="Cambria" w:cs="Cambria" w:eastAsiaTheme="minorEastAsia"/>
                <w:kern w:val="2"/>
                <w:sz w:val="21"/>
                <w:szCs w:val="24"/>
                <w:vertAlign w:val="baseline"/>
                <w:lang w:val="en-US" w:eastAsia="zh-CN" w:bidi="ar-SA"/>
              </w:rPr>
            </w:pPr>
            <w:r>
              <w:rPr>
                <w:rFonts w:hint="default" w:ascii="Cambria" w:hAnsi="Cambria" w:cs="Cambria"/>
              </w:rPr>
              <w:t>A. Agree.</w:t>
            </w:r>
          </w:p>
        </w:tc>
        <w:tc>
          <w:tcPr>
            <w:tcW w:w="1175" w:type="dxa"/>
            <w:tcBorders>
              <w:tl2br w:val="nil"/>
              <w:tr2bl w:val="nil"/>
            </w:tcBorders>
            <w:shd w:val="clear" w:color="auto" w:fill="auto"/>
            <w:vAlign w:val="top"/>
          </w:tcPr>
          <w:p w14:paraId="62793A9C">
            <w:pPr>
              <w:numPr>
                <w:ilvl w:val="0"/>
                <w:numId w:val="0"/>
              </w:numPr>
              <w:ind w:left="0" w:leftChars="0" w:firstLine="0" w:firstLineChars="0"/>
              <w:rPr>
                <w:rFonts w:hint="default" w:ascii="Cambria" w:hAnsi="Cambria" w:cs="Cambria" w:eastAsiaTheme="minorEastAsia"/>
                <w:kern w:val="2"/>
                <w:sz w:val="21"/>
                <w:szCs w:val="24"/>
                <w:vertAlign w:val="baseline"/>
                <w:lang w:val="en-US" w:eastAsia="zh-CN" w:bidi="ar-SA"/>
              </w:rPr>
            </w:pPr>
            <w:r>
              <w:rPr>
                <w:rFonts w:hint="default" w:ascii="Cambria" w:hAnsi="Cambria" w:cs="Cambria"/>
              </w:rPr>
              <w:t>30</w:t>
            </w:r>
          </w:p>
        </w:tc>
        <w:tc>
          <w:tcPr>
            <w:tcW w:w="1192" w:type="dxa"/>
            <w:tcBorders>
              <w:tl2br w:val="nil"/>
              <w:tr2bl w:val="nil"/>
            </w:tcBorders>
            <w:shd w:val="clear" w:color="auto" w:fill="auto"/>
            <w:vAlign w:val="top"/>
          </w:tcPr>
          <w:p w14:paraId="24065116">
            <w:pPr>
              <w:numPr>
                <w:ilvl w:val="0"/>
                <w:numId w:val="0"/>
              </w:numPr>
              <w:ind w:left="0" w:leftChars="0" w:firstLine="0" w:firstLineChars="0"/>
              <w:rPr>
                <w:rFonts w:hint="default" w:ascii="Cambria" w:hAnsi="Cambria" w:cs="Cambria" w:eastAsiaTheme="minorEastAsia"/>
                <w:kern w:val="2"/>
                <w:sz w:val="21"/>
                <w:szCs w:val="24"/>
                <w:vertAlign w:val="baseline"/>
                <w:lang w:val="en-US" w:eastAsia="zh-CN" w:bidi="ar-SA"/>
              </w:rPr>
            </w:pPr>
            <w:r>
              <w:rPr>
                <w:rFonts w:hint="default" w:ascii="Cambria" w:hAnsi="Cambria" w:cs="Cambria"/>
              </w:rPr>
              <w:t xml:space="preserve">100% </w:t>
            </w:r>
          </w:p>
        </w:tc>
      </w:tr>
      <w:tr w14:paraId="24211BF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43" w:type="dxa"/>
            <w:tcBorders>
              <w:tl2br w:val="nil"/>
              <w:tr2bl w:val="nil"/>
            </w:tcBorders>
            <w:vAlign w:val="top"/>
          </w:tcPr>
          <w:p w14:paraId="3D2C583B">
            <w:pPr>
              <w:numPr>
                <w:ilvl w:val="0"/>
                <w:numId w:val="0"/>
              </w:numPr>
              <w:rPr>
                <w:rFonts w:hint="default" w:ascii="Cambria" w:hAnsi="Cambria" w:cs="Cambria" w:eastAsiaTheme="minorEastAsia"/>
                <w:vertAlign w:val="baseline"/>
                <w:lang w:val="en-US" w:eastAsia="zh-CN"/>
              </w:rPr>
            </w:pPr>
            <w:r>
              <w:rPr>
                <w:rFonts w:hint="default" w:ascii="Cambria" w:hAnsi="Cambria" w:cs="Cambria"/>
                <w:vertAlign w:val="baseline"/>
                <w:lang w:val="en-US" w:eastAsia="zh-CN"/>
              </w:rPr>
              <w:t>8</w:t>
            </w:r>
          </w:p>
        </w:tc>
        <w:tc>
          <w:tcPr>
            <w:tcW w:w="1500" w:type="dxa"/>
            <w:tcBorders>
              <w:tl2br w:val="nil"/>
              <w:tr2bl w:val="nil"/>
            </w:tcBorders>
            <w:vAlign w:val="top"/>
          </w:tcPr>
          <w:p w14:paraId="3F44655F">
            <w:pPr>
              <w:numPr>
                <w:ilvl w:val="0"/>
                <w:numId w:val="0"/>
              </w:numPr>
              <w:rPr>
                <w:rFonts w:hint="default" w:ascii="Cambria" w:hAnsi="Cambria" w:cs="Cambria"/>
                <w:vertAlign w:val="baseline"/>
              </w:rPr>
            </w:pPr>
            <w:r>
              <w:rPr>
                <w:rFonts w:hint="default" w:ascii="Cambria" w:hAnsi="Cambria" w:cs="Cambria"/>
              </w:rPr>
              <w:t xml:space="preserve">Modify and Add Items </w:t>
            </w:r>
          </w:p>
        </w:tc>
        <w:tc>
          <w:tcPr>
            <w:tcW w:w="3712" w:type="dxa"/>
            <w:tcBorders>
              <w:tl2br w:val="nil"/>
              <w:tr2bl w:val="nil"/>
            </w:tcBorders>
            <w:shd w:val="clear" w:color="auto" w:fill="auto"/>
            <w:vAlign w:val="top"/>
          </w:tcPr>
          <w:p w14:paraId="5EB5D9AB">
            <w:pPr>
              <w:numPr>
                <w:ilvl w:val="0"/>
                <w:numId w:val="0"/>
              </w:numPr>
              <w:ind w:left="0" w:leftChars="0" w:firstLine="0" w:firstLineChars="0"/>
              <w:rPr>
                <w:rFonts w:hint="default" w:ascii="Cambria" w:hAnsi="Cambria" w:cs="Cambria" w:eastAsiaTheme="minorEastAsia"/>
                <w:kern w:val="2"/>
                <w:sz w:val="21"/>
                <w:szCs w:val="24"/>
                <w:vertAlign w:val="baseline"/>
                <w:lang w:val="en-US" w:eastAsia="zh-CN" w:bidi="ar-SA"/>
              </w:rPr>
            </w:pPr>
            <w:r>
              <w:rPr>
                <w:rFonts w:hint="default" w:ascii="Cambria" w:hAnsi="Cambria" w:cs="Cambria"/>
              </w:rPr>
              <w:t>A. Agree.</w:t>
            </w:r>
          </w:p>
        </w:tc>
        <w:tc>
          <w:tcPr>
            <w:tcW w:w="1175" w:type="dxa"/>
            <w:tcBorders>
              <w:tl2br w:val="nil"/>
              <w:tr2bl w:val="nil"/>
            </w:tcBorders>
            <w:shd w:val="clear" w:color="auto" w:fill="auto"/>
            <w:vAlign w:val="top"/>
          </w:tcPr>
          <w:p w14:paraId="0D4BC8E2">
            <w:pPr>
              <w:numPr>
                <w:ilvl w:val="0"/>
                <w:numId w:val="0"/>
              </w:numPr>
              <w:ind w:left="0" w:leftChars="0" w:firstLine="0" w:firstLineChars="0"/>
              <w:rPr>
                <w:rFonts w:hint="default" w:ascii="Cambria" w:hAnsi="Cambria" w:cs="Cambria" w:eastAsiaTheme="minorEastAsia"/>
                <w:kern w:val="2"/>
                <w:sz w:val="21"/>
                <w:szCs w:val="24"/>
                <w:vertAlign w:val="baseline"/>
                <w:lang w:val="en-US" w:eastAsia="zh-CN" w:bidi="ar-SA"/>
              </w:rPr>
            </w:pPr>
            <w:r>
              <w:rPr>
                <w:rFonts w:hint="default" w:ascii="Cambria" w:hAnsi="Cambria" w:cs="Cambria"/>
              </w:rPr>
              <w:t>30</w:t>
            </w:r>
          </w:p>
        </w:tc>
        <w:tc>
          <w:tcPr>
            <w:tcW w:w="1192" w:type="dxa"/>
            <w:tcBorders>
              <w:tl2br w:val="nil"/>
              <w:tr2bl w:val="nil"/>
            </w:tcBorders>
            <w:shd w:val="clear" w:color="auto" w:fill="auto"/>
            <w:vAlign w:val="top"/>
          </w:tcPr>
          <w:p w14:paraId="4A70E71A">
            <w:pPr>
              <w:numPr>
                <w:ilvl w:val="0"/>
                <w:numId w:val="0"/>
              </w:numPr>
              <w:ind w:left="0" w:leftChars="0" w:firstLine="0" w:firstLineChars="0"/>
              <w:rPr>
                <w:rFonts w:hint="default" w:ascii="Cambria" w:hAnsi="Cambria" w:cs="Cambria" w:eastAsiaTheme="minorEastAsia"/>
                <w:kern w:val="2"/>
                <w:sz w:val="21"/>
                <w:szCs w:val="24"/>
                <w:vertAlign w:val="baseline"/>
                <w:lang w:val="en-US" w:eastAsia="zh-CN" w:bidi="ar-SA"/>
              </w:rPr>
            </w:pPr>
            <w:r>
              <w:rPr>
                <w:rFonts w:hint="default" w:ascii="Cambria" w:hAnsi="Cambria" w:cs="Cambria"/>
              </w:rPr>
              <w:t xml:space="preserve">100% </w:t>
            </w:r>
          </w:p>
        </w:tc>
      </w:tr>
      <w:tr w14:paraId="56B2A42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43" w:type="dxa"/>
            <w:tcBorders>
              <w:tl2br w:val="nil"/>
              <w:tr2bl w:val="nil"/>
            </w:tcBorders>
            <w:vAlign w:val="top"/>
          </w:tcPr>
          <w:p w14:paraId="1E40146C">
            <w:pPr>
              <w:numPr>
                <w:ilvl w:val="0"/>
                <w:numId w:val="0"/>
              </w:numPr>
              <w:rPr>
                <w:rFonts w:hint="default" w:ascii="Cambria" w:hAnsi="Cambria" w:cs="Cambria" w:eastAsiaTheme="minorEastAsia"/>
                <w:vertAlign w:val="baseline"/>
                <w:lang w:val="en-US" w:eastAsia="zh-CN"/>
              </w:rPr>
            </w:pPr>
            <w:r>
              <w:rPr>
                <w:rFonts w:hint="default" w:ascii="Cambria" w:hAnsi="Cambria" w:cs="Cambria"/>
                <w:vertAlign w:val="baseline"/>
                <w:lang w:val="en-US" w:eastAsia="zh-CN"/>
              </w:rPr>
              <w:t>9</w:t>
            </w:r>
          </w:p>
        </w:tc>
        <w:tc>
          <w:tcPr>
            <w:tcW w:w="1500" w:type="dxa"/>
            <w:tcBorders>
              <w:tl2br w:val="nil"/>
              <w:tr2bl w:val="nil"/>
            </w:tcBorders>
            <w:vAlign w:val="top"/>
          </w:tcPr>
          <w:p w14:paraId="057E3767">
            <w:pPr>
              <w:numPr>
                <w:ilvl w:val="0"/>
                <w:numId w:val="0"/>
              </w:numPr>
              <w:rPr>
                <w:rFonts w:hint="default" w:ascii="Cambria" w:hAnsi="Cambria" w:cs="Cambria"/>
                <w:vertAlign w:val="baseline"/>
              </w:rPr>
            </w:pPr>
            <w:r>
              <w:rPr>
                <w:rFonts w:hint="default" w:ascii="Cambria" w:hAnsi="Cambria" w:cs="Cambria"/>
              </w:rPr>
              <w:t>Modify References</w:t>
            </w:r>
          </w:p>
        </w:tc>
        <w:tc>
          <w:tcPr>
            <w:tcW w:w="3712" w:type="dxa"/>
            <w:tcBorders>
              <w:tl2br w:val="nil"/>
              <w:tr2bl w:val="nil"/>
            </w:tcBorders>
            <w:shd w:val="clear" w:color="auto" w:fill="auto"/>
            <w:vAlign w:val="top"/>
          </w:tcPr>
          <w:p w14:paraId="04F88268">
            <w:pPr>
              <w:numPr>
                <w:ilvl w:val="0"/>
                <w:numId w:val="0"/>
              </w:numPr>
              <w:ind w:left="0" w:leftChars="0" w:firstLine="0" w:firstLineChars="0"/>
              <w:rPr>
                <w:rFonts w:hint="default" w:ascii="Cambria" w:hAnsi="Cambria" w:cs="Cambria" w:eastAsiaTheme="minorEastAsia"/>
                <w:kern w:val="2"/>
                <w:sz w:val="21"/>
                <w:szCs w:val="24"/>
                <w:vertAlign w:val="baseline"/>
                <w:lang w:val="en-US" w:eastAsia="zh-CN" w:bidi="ar-SA"/>
              </w:rPr>
            </w:pPr>
            <w:r>
              <w:rPr>
                <w:rFonts w:hint="default" w:ascii="Cambria" w:hAnsi="Cambria" w:cs="Cambria"/>
              </w:rPr>
              <w:t>A. Agree.</w:t>
            </w:r>
          </w:p>
        </w:tc>
        <w:tc>
          <w:tcPr>
            <w:tcW w:w="1175" w:type="dxa"/>
            <w:tcBorders>
              <w:tl2br w:val="nil"/>
              <w:tr2bl w:val="nil"/>
            </w:tcBorders>
            <w:shd w:val="clear" w:color="auto" w:fill="auto"/>
            <w:vAlign w:val="top"/>
          </w:tcPr>
          <w:p w14:paraId="101F3F7D">
            <w:pPr>
              <w:numPr>
                <w:ilvl w:val="0"/>
                <w:numId w:val="0"/>
              </w:numPr>
              <w:ind w:left="0" w:leftChars="0" w:firstLine="0" w:firstLineChars="0"/>
              <w:rPr>
                <w:rFonts w:hint="default" w:ascii="Cambria" w:hAnsi="Cambria" w:cs="Cambria" w:eastAsiaTheme="minorEastAsia"/>
                <w:kern w:val="2"/>
                <w:sz w:val="21"/>
                <w:szCs w:val="24"/>
                <w:vertAlign w:val="baseline"/>
                <w:lang w:val="en-US" w:eastAsia="zh-CN" w:bidi="ar-SA"/>
              </w:rPr>
            </w:pPr>
            <w:r>
              <w:rPr>
                <w:rFonts w:hint="default" w:ascii="Cambria" w:hAnsi="Cambria" w:cs="Cambria"/>
              </w:rPr>
              <w:t>30</w:t>
            </w:r>
          </w:p>
        </w:tc>
        <w:tc>
          <w:tcPr>
            <w:tcW w:w="1192" w:type="dxa"/>
            <w:tcBorders>
              <w:tl2br w:val="nil"/>
              <w:tr2bl w:val="nil"/>
            </w:tcBorders>
            <w:shd w:val="clear" w:color="auto" w:fill="auto"/>
            <w:vAlign w:val="top"/>
          </w:tcPr>
          <w:p w14:paraId="32F78FEF">
            <w:pPr>
              <w:numPr>
                <w:ilvl w:val="0"/>
                <w:numId w:val="0"/>
              </w:numPr>
              <w:ind w:left="0" w:leftChars="0" w:firstLine="0" w:firstLineChars="0"/>
              <w:rPr>
                <w:rFonts w:hint="default" w:ascii="Cambria" w:hAnsi="Cambria" w:cs="Cambria" w:eastAsiaTheme="minorEastAsia"/>
                <w:kern w:val="2"/>
                <w:sz w:val="21"/>
                <w:szCs w:val="24"/>
                <w:vertAlign w:val="baseline"/>
                <w:lang w:val="en-US" w:eastAsia="zh-CN" w:bidi="ar-SA"/>
              </w:rPr>
            </w:pPr>
            <w:r>
              <w:rPr>
                <w:rFonts w:hint="default" w:ascii="Cambria" w:hAnsi="Cambria" w:cs="Cambria"/>
              </w:rPr>
              <w:t xml:space="preserve">100% </w:t>
            </w:r>
          </w:p>
        </w:tc>
      </w:tr>
    </w:tbl>
    <w:p w14:paraId="0CCE6513">
      <w:pPr>
        <w:numPr>
          <w:ilvl w:val="0"/>
          <w:numId w:val="0"/>
        </w:numPr>
        <w:rPr>
          <w:rFonts w:hint="default" w:ascii="Cambria" w:hAnsi="Cambria" w:cs="Cambria"/>
        </w:rPr>
      </w:pPr>
    </w:p>
    <w:p w14:paraId="6241D0D8">
      <w:pPr>
        <w:numPr>
          <w:ilvl w:val="0"/>
          <w:numId w:val="0"/>
        </w:numPr>
        <w:rPr>
          <w:rFonts w:hint="default" w:ascii="Cambria" w:hAnsi="Cambria" w:cs="Cambria"/>
        </w:rPr>
      </w:pPr>
    </w:p>
    <w:p w14:paraId="75B98843">
      <w:pPr>
        <w:numPr>
          <w:ilvl w:val="0"/>
          <w:numId w:val="0"/>
        </w:numPr>
        <w:ind w:firstLine="420" w:firstLineChars="0"/>
        <w:rPr>
          <w:rFonts w:hint="default" w:ascii="Cambria" w:hAnsi="Cambria" w:cs="Cambria"/>
        </w:rPr>
      </w:pPr>
      <w:r>
        <w:rPr>
          <w:rFonts w:hint="default" w:ascii="Cambria" w:hAnsi="Cambria" w:cs="Cambria"/>
        </w:rPr>
        <w:t xml:space="preserve">According to the statistical results, a total of 9 items were supported by more than 50% of the experts. According to "1.2 </w:t>
      </w:r>
      <w:r>
        <w:rPr>
          <w:rFonts w:hint="default" w:ascii="Cambria" w:hAnsi="Cambria" w:cs="Cambria"/>
          <w:lang w:eastAsia="zh-CN"/>
        </w:rPr>
        <w:t>Procedures for Processing Statistical Results</w:t>
      </w:r>
      <w:r>
        <w:rPr>
          <w:rFonts w:hint="default" w:ascii="Cambria" w:hAnsi="Cambria" w:cs="Cambria"/>
        </w:rPr>
        <w:t xml:space="preserve">", the 9 items in the above table are listed as "direct modification opinion" items. These items mainly focus on term definitions, some </w:t>
      </w:r>
      <w:r>
        <w:rPr>
          <w:rFonts w:hint="default" w:ascii="Cambria" w:hAnsi="Cambria" w:cs="Cambria"/>
          <w:lang w:eastAsia="zh-CN"/>
        </w:rPr>
        <w:t>operational procedures</w:t>
      </w:r>
      <w:r>
        <w:rPr>
          <w:rFonts w:hint="default" w:ascii="Cambria" w:hAnsi="Cambria" w:cs="Cambria"/>
        </w:rPr>
        <w:t xml:space="preserve">, new or modified items, indicating that experts have a strong consensus on the </w:t>
      </w:r>
      <w:r>
        <w:rPr>
          <w:rFonts w:hint="default" w:ascii="Cambria" w:hAnsi="Cambria" w:cs="Cambria"/>
          <w:lang w:eastAsia="zh-CN"/>
        </w:rPr>
        <w:t>above-mentioned</w:t>
      </w:r>
      <w:r>
        <w:rPr>
          <w:rFonts w:hint="default" w:ascii="Cambria" w:hAnsi="Cambria" w:cs="Cambria"/>
        </w:rPr>
        <w:t xml:space="preserve"> content. The original items are modified according to the option with the highest support, and expert opinions on some items are summarized.</w:t>
      </w:r>
    </w:p>
    <w:p w14:paraId="1899FE6E">
      <w:pPr>
        <w:numPr>
          <w:ilvl w:val="0"/>
          <w:numId w:val="0"/>
        </w:numPr>
        <w:rPr>
          <w:rFonts w:hint="default" w:ascii="Cambria" w:hAnsi="Cambria" w:cs="Cambria"/>
        </w:rPr>
      </w:pPr>
    </w:p>
    <w:p w14:paraId="1C616679">
      <w:pPr>
        <w:numPr>
          <w:ilvl w:val="0"/>
          <w:numId w:val="0"/>
        </w:numPr>
        <w:ind w:firstLine="420" w:firstLineChars="0"/>
        <w:rPr>
          <w:rFonts w:hint="default" w:ascii="Cambria" w:hAnsi="Cambria" w:cs="Cambria"/>
        </w:rPr>
      </w:pPr>
      <w:r>
        <w:rPr>
          <w:rFonts w:hint="default" w:ascii="Cambria" w:hAnsi="Cambria" w:cs="Cambria"/>
        </w:rPr>
        <w:t xml:space="preserve">The summary of expert opinions is as follows: (1) Regarding the selection of </w:t>
      </w:r>
      <w:r>
        <w:rPr>
          <w:rFonts w:hint="default" w:ascii="Cambria" w:hAnsi="Cambria" w:cs="Cambria"/>
          <w:lang w:eastAsia="zh-CN"/>
        </w:rPr>
        <w:t>jar</w:t>
      </w:r>
      <w:r>
        <w:rPr>
          <w:rFonts w:hint="default" w:ascii="Cambria" w:hAnsi="Cambria" w:cs="Cambria"/>
        </w:rPr>
        <w:t xml:space="preserve"> models, some experts suggested indicating "</w:t>
      </w:r>
      <w:r>
        <w:rPr>
          <w:rFonts w:hint="default" w:ascii="Cambria" w:hAnsi="Cambria" w:cs="Cambria"/>
          <w:lang w:eastAsia="zh-CN"/>
        </w:rPr>
        <w:t>glass jar</w:t>
      </w:r>
      <w:r>
        <w:rPr>
          <w:rFonts w:hint="default" w:ascii="Cambria" w:hAnsi="Cambria" w:cs="Cambria"/>
        </w:rPr>
        <w:t xml:space="preserve">s" because there are no standard models for other </w:t>
      </w:r>
      <w:r>
        <w:rPr>
          <w:rFonts w:hint="default" w:ascii="Cambria" w:hAnsi="Cambria" w:cs="Cambria"/>
          <w:lang w:eastAsia="zh-CN"/>
        </w:rPr>
        <w:t>jar</w:t>
      </w:r>
      <w:r>
        <w:rPr>
          <w:rFonts w:hint="default" w:ascii="Cambria" w:hAnsi="Cambria" w:cs="Cambria"/>
        </w:rPr>
        <w:t xml:space="preserve">s. One expert suggested marking "size by inner diameter, with </w:t>
      </w:r>
      <w:r>
        <w:rPr>
          <w:rFonts w:hint="default" w:ascii="Cambria" w:hAnsi="Cambria" w:cs="Cambria"/>
          <w:lang w:eastAsia="zh-CN"/>
        </w:rPr>
        <w:t>Size</w:t>
      </w:r>
      <w:r>
        <w:rPr>
          <w:rFonts w:hint="default" w:ascii="Cambria" w:hAnsi="Cambria" w:cs="Cambria"/>
        </w:rPr>
        <w:t xml:space="preserve"> 1 5 </w:t>
      </w:r>
      <w:r>
        <w:rPr>
          <w:rFonts w:hint="default" w:ascii="Cambria" w:hAnsi="Cambria" w:cs="Cambria"/>
          <w:lang w:eastAsia="zh-CN"/>
        </w:rPr>
        <w:t>jar</w:t>
      </w:r>
      <w:r>
        <w:rPr>
          <w:rFonts w:hint="default" w:ascii="Cambria" w:hAnsi="Cambria" w:cs="Cambria"/>
        </w:rPr>
        <w:t xml:space="preserve">s. The inner diameter of </w:t>
      </w:r>
      <w:r>
        <w:rPr>
          <w:rFonts w:hint="default" w:ascii="Cambria" w:hAnsi="Cambria" w:cs="Cambria"/>
          <w:lang w:eastAsia="zh-CN"/>
        </w:rPr>
        <w:t>Size</w:t>
      </w:r>
      <w:r>
        <w:rPr>
          <w:rFonts w:hint="default" w:ascii="Cambria" w:hAnsi="Cambria" w:cs="Cambria"/>
        </w:rPr>
        <w:t xml:space="preserve"> 2 </w:t>
      </w:r>
      <w:r>
        <w:rPr>
          <w:rFonts w:hint="default" w:ascii="Cambria" w:hAnsi="Cambria" w:cs="Cambria"/>
          <w:lang w:eastAsia="zh-CN"/>
        </w:rPr>
        <w:t>jar</w:t>
      </w:r>
      <w:r>
        <w:rPr>
          <w:rFonts w:hint="default" w:ascii="Cambria" w:hAnsi="Cambria" w:cs="Cambria"/>
        </w:rPr>
        <w:t xml:space="preserve"> is 4 cm, </w:t>
      </w:r>
      <w:r>
        <w:rPr>
          <w:rFonts w:hint="default" w:ascii="Cambria" w:hAnsi="Cambria" w:cs="Cambria"/>
          <w:lang w:eastAsia="zh-CN"/>
        </w:rPr>
        <w:t>Size</w:t>
      </w:r>
      <w:r>
        <w:rPr>
          <w:rFonts w:hint="default" w:ascii="Cambria" w:hAnsi="Cambria" w:cs="Cambria"/>
        </w:rPr>
        <w:t xml:space="preserve"> 3 is 4.5 cm, and </w:t>
      </w:r>
      <w:r>
        <w:rPr>
          <w:rFonts w:hint="default" w:ascii="Cambria" w:hAnsi="Cambria" w:cs="Cambria"/>
          <w:lang w:eastAsia="zh-CN"/>
        </w:rPr>
        <w:t>Size</w:t>
      </w:r>
      <w:r>
        <w:rPr>
          <w:rFonts w:hint="default" w:ascii="Cambria" w:hAnsi="Cambria" w:cs="Cambria"/>
        </w:rPr>
        <w:t xml:space="preserve"> 4 is 5 cm. For </w:t>
      </w:r>
      <w:r>
        <w:rPr>
          <w:rFonts w:hint="default" w:ascii="Cambria" w:hAnsi="Cambria" w:cs="Cambria"/>
          <w:lang w:eastAsia="zh-CN"/>
        </w:rPr>
        <w:t>preschool-aged children</w:t>
      </w:r>
      <w:r>
        <w:rPr>
          <w:rFonts w:hint="default" w:ascii="Cambria" w:hAnsi="Cambria" w:cs="Cambria"/>
        </w:rPr>
        <w:t xml:space="preserve">, </w:t>
      </w:r>
      <w:r>
        <w:rPr>
          <w:rFonts w:hint="default" w:ascii="Cambria" w:hAnsi="Cambria" w:cs="Cambria"/>
          <w:lang w:eastAsia="zh-CN"/>
        </w:rPr>
        <w:t>Size</w:t>
      </w:r>
      <w:r>
        <w:rPr>
          <w:rFonts w:hint="default" w:ascii="Cambria" w:hAnsi="Cambria" w:cs="Cambria"/>
        </w:rPr>
        <w:t xml:space="preserve"> 2 and 3 </w:t>
      </w:r>
      <w:r>
        <w:rPr>
          <w:rFonts w:hint="default" w:ascii="Cambria" w:hAnsi="Cambria" w:cs="Cambria"/>
          <w:lang w:eastAsia="zh-CN"/>
        </w:rPr>
        <w:t>jar</w:t>
      </w:r>
      <w:r>
        <w:rPr>
          <w:rFonts w:hint="default" w:ascii="Cambria" w:hAnsi="Cambria" w:cs="Cambria"/>
        </w:rPr>
        <w:t xml:space="preserve">s are mainly used, and for children before the age of 12, </w:t>
      </w:r>
      <w:r>
        <w:rPr>
          <w:rFonts w:hint="default" w:ascii="Cambria" w:hAnsi="Cambria" w:cs="Cambria"/>
          <w:lang w:eastAsia="zh-CN"/>
        </w:rPr>
        <w:t>Size</w:t>
      </w:r>
      <w:r>
        <w:rPr>
          <w:rFonts w:hint="default" w:ascii="Cambria" w:hAnsi="Cambria" w:cs="Cambria"/>
        </w:rPr>
        <w:t xml:space="preserve"> 3 and 4 </w:t>
      </w:r>
      <w:r>
        <w:rPr>
          <w:rFonts w:hint="default" w:ascii="Cambria" w:hAnsi="Cambria" w:cs="Cambria"/>
          <w:lang w:eastAsia="zh-CN"/>
        </w:rPr>
        <w:t>jar</w:t>
      </w:r>
      <w:r>
        <w:rPr>
          <w:rFonts w:hint="default" w:ascii="Cambria" w:hAnsi="Cambria" w:cs="Cambria"/>
        </w:rPr>
        <w:t>s are mainly used." Two experts suggested "select</w:t>
      </w:r>
      <w:r>
        <w:rPr>
          <w:rFonts w:hint="default" w:ascii="Cambria" w:hAnsi="Cambria" w:cs="Cambria"/>
          <w:lang w:val="en-US" w:eastAsia="zh-CN"/>
        </w:rPr>
        <w:t>ing</w:t>
      </w:r>
      <w:r>
        <w:rPr>
          <w:rFonts w:hint="default" w:ascii="Cambria" w:hAnsi="Cambria" w:cs="Cambria"/>
        </w:rPr>
        <w:t xml:space="preserve"> </w:t>
      </w:r>
      <w:r>
        <w:rPr>
          <w:rFonts w:hint="default" w:ascii="Cambria" w:hAnsi="Cambria" w:cs="Cambria"/>
          <w:lang w:eastAsia="zh-CN"/>
        </w:rPr>
        <w:t>jar</w:t>
      </w:r>
      <w:r>
        <w:rPr>
          <w:rFonts w:hint="default" w:ascii="Cambria" w:hAnsi="Cambria" w:cs="Cambria"/>
        </w:rPr>
        <w:t xml:space="preserve">s with a suitable mouth size and easy to adsorb according to the muscle fullness and area of the treatment part of the child." (2) For </w:t>
      </w:r>
      <w:r>
        <w:rPr>
          <w:rFonts w:hint="default" w:ascii="Cambria" w:hAnsi="Cambria" w:cs="Cambria"/>
          <w:lang w:eastAsia="zh-CN"/>
        </w:rPr>
        <w:t>jar</w:t>
      </w:r>
      <w:r>
        <w:rPr>
          <w:rFonts w:hint="default" w:ascii="Cambria" w:hAnsi="Cambria" w:cs="Cambria"/>
        </w:rPr>
        <w:t xml:space="preserve"> disinfection, experts suggested deleting "remove rust if there is rust". Some experts suggested looking for updated national standards. (3) Regarding the disinfection of the cupping part, some experts suggested "adopting a hierarchical disinfection principle on the basis of the original national standard, for example, using 75% medical alcohol for normal intact skin; using povidone iodine around damaged skin and mucous membranes." Some experts also suggested "the cupping </w:t>
      </w:r>
      <w:r>
        <w:rPr>
          <w:rFonts w:hint="default" w:ascii="Cambria" w:hAnsi="Cambria" w:cs="Cambria"/>
          <w:lang w:val="en-US" w:eastAsia="zh-CN"/>
        </w:rPr>
        <w:t xml:space="preserve">area </w:t>
      </w:r>
      <w:r>
        <w:rPr>
          <w:rFonts w:hint="default" w:ascii="Cambria" w:hAnsi="Cambria" w:cs="Cambria"/>
        </w:rPr>
        <w:t xml:space="preserve">generally does not need disinfection. If the skin at the cupping </w:t>
      </w:r>
      <w:r>
        <w:rPr>
          <w:rFonts w:hint="default" w:ascii="Cambria" w:hAnsi="Cambria" w:cs="Cambria"/>
          <w:lang w:val="en-US" w:eastAsia="zh-CN"/>
        </w:rPr>
        <w:t xml:space="preserve">area </w:t>
      </w:r>
      <w:r>
        <w:rPr>
          <w:rFonts w:hint="default" w:ascii="Cambria" w:hAnsi="Cambria" w:cs="Cambria"/>
        </w:rPr>
        <w:t xml:space="preserve">is dry, a proper amount of white petrolatum or paraffin can be applied. For needle cupping method, 75% ethanol or 0.5% 1% povidone iodine cotton balls should be used to disinfect the acupuncture </w:t>
      </w:r>
      <w:r>
        <w:rPr>
          <w:rFonts w:hint="default" w:ascii="Cambria" w:hAnsi="Cambria" w:cs="Cambria"/>
          <w:lang w:val="en-US" w:eastAsia="zh-CN"/>
        </w:rPr>
        <w:t>area</w:t>
      </w:r>
      <w:r>
        <w:rPr>
          <w:rFonts w:hint="default" w:ascii="Cambria" w:hAnsi="Cambria" w:cs="Cambria"/>
        </w:rPr>
        <w:t xml:space="preserve">." Some experts suggested combining </w:t>
      </w:r>
      <w:r>
        <w:rPr>
          <w:rFonts w:hint="default" w:ascii="Cambria" w:hAnsi="Cambria" w:cs="Cambria"/>
          <w:lang w:val="en-US" w:eastAsia="zh-CN"/>
        </w:rPr>
        <w:t xml:space="preserve">both </w:t>
      </w:r>
      <w:r>
        <w:rPr>
          <w:rFonts w:hint="default" w:ascii="Cambria" w:hAnsi="Cambria" w:cs="Cambria"/>
        </w:rPr>
        <w:t>options. (4) Regarding cupping with retained needles, some experts suggested adding "since children are not easy to cooperate, generally no needles are retained." (5) It is necessary to add the "</w:t>
      </w:r>
      <w:r>
        <w:rPr>
          <w:rFonts w:hint="default" w:ascii="Cambria" w:hAnsi="Cambria" w:cs="Cambria"/>
          <w:lang w:eastAsia="zh-CN"/>
        </w:rPr>
        <w:t>Normative References</w:t>
      </w:r>
      <w:r>
        <w:rPr>
          <w:rFonts w:hint="default" w:ascii="Cambria" w:hAnsi="Cambria" w:cs="Cambria"/>
        </w:rPr>
        <w:t xml:space="preserve">" cited in this standard, such as </w:t>
      </w:r>
      <w:r>
        <w:rPr>
          <w:rFonts w:hint="default" w:ascii="Cambria" w:hAnsi="Cambria" w:cs="Cambria"/>
          <w:lang w:eastAsia="zh-CN"/>
        </w:rPr>
        <w:t xml:space="preserve">ISO 22213:2020 (E) TCM–Glass cupping device </w:t>
      </w:r>
      <w:r>
        <w:rPr>
          <w:rFonts w:hint="default" w:ascii="Cambria" w:hAnsi="Cambria" w:cs="Cambria"/>
        </w:rPr>
        <w:t xml:space="preserve">and </w:t>
      </w:r>
      <w:r>
        <w:rPr>
          <w:rFonts w:hint="default" w:ascii="Cambria" w:hAnsi="Cambria" w:cs="Cambria"/>
          <w:lang w:eastAsia="zh-CN"/>
        </w:rPr>
        <w:t>YY/T 1976-2025 Traditional Chinese medical device–Glass cupping device</w:t>
      </w:r>
      <w:r>
        <w:rPr>
          <w:rFonts w:hint="default" w:ascii="Cambria" w:hAnsi="Cambria" w:cs="Cambria"/>
        </w:rPr>
        <w:t>.</w:t>
      </w:r>
    </w:p>
    <w:p w14:paraId="5883679B">
      <w:pPr>
        <w:numPr>
          <w:ilvl w:val="0"/>
          <w:numId w:val="0"/>
        </w:numPr>
        <w:rPr>
          <w:rFonts w:hint="default" w:ascii="Cambria" w:hAnsi="Cambria" w:cs="Cambria"/>
        </w:rPr>
      </w:pPr>
    </w:p>
    <w:p w14:paraId="1B2CDA6A">
      <w:pPr>
        <w:numPr>
          <w:ilvl w:val="0"/>
          <w:numId w:val="0"/>
        </w:numPr>
        <w:rPr>
          <w:rFonts w:hint="default" w:ascii="Cambria" w:hAnsi="Cambria" w:cs="Cambria"/>
        </w:rPr>
      </w:pPr>
      <w:r>
        <w:rPr>
          <w:rFonts w:hint="default" w:ascii="Cambria" w:hAnsi="Cambria" w:cs="Cambria"/>
        </w:rPr>
        <w:t>3.2 Analysis of Controversial Items</w:t>
      </w:r>
    </w:p>
    <w:p w14:paraId="73B6667E">
      <w:pPr>
        <w:numPr>
          <w:ilvl w:val="0"/>
          <w:numId w:val="0"/>
        </w:numPr>
        <w:ind w:firstLine="420" w:firstLineChars="0"/>
        <w:rPr>
          <w:rFonts w:hint="default" w:ascii="Cambria" w:hAnsi="Cambria" w:cs="Cambria"/>
        </w:rPr>
      </w:pPr>
      <w:r>
        <w:rPr>
          <w:rFonts w:hint="default" w:ascii="Cambria" w:hAnsi="Cambria" w:cs="Cambria"/>
        </w:rPr>
        <w:t xml:space="preserve">According to "1.2 </w:t>
      </w:r>
      <w:r>
        <w:rPr>
          <w:rFonts w:hint="default" w:ascii="Cambria" w:hAnsi="Cambria" w:cs="Cambria"/>
          <w:lang w:eastAsia="zh-CN"/>
        </w:rPr>
        <w:t>Procedures for Processing Statistical Results</w:t>
      </w:r>
      <w:r>
        <w:rPr>
          <w:rFonts w:hint="default" w:ascii="Cambria" w:hAnsi="Cambria" w:cs="Cambria"/>
        </w:rPr>
        <w:t xml:space="preserve">", there are still 2 items with no option exceeding 50%, which are </w:t>
      </w:r>
      <w:r>
        <w:rPr>
          <w:rFonts w:hint="default" w:ascii="Cambria" w:hAnsi="Cambria" w:cs="Cambria"/>
          <w:lang w:eastAsia="zh-CN"/>
        </w:rPr>
        <w:t>jar</w:t>
      </w:r>
      <w:r>
        <w:rPr>
          <w:rFonts w:hint="default" w:ascii="Cambria" w:hAnsi="Cambria" w:cs="Cambria"/>
        </w:rPr>
        <w:t xml:space="preserve"> disinfection and the definitions of "</w:t>
      </w:r>
      <w:r>
        <w:rPr>
          <w:rFonts w:hint="default" w:ascii="Cambria" w:hAnsi="Cambria" w:cs="Cambria"/>
          <w:lang w:eastAsia="zh-CN"/>
        </w:rPr>
        <w:t>horn jar</w:t>
      </w:r>
      <w:r>
        <w:rPr>
          <w:rFonts w:hint="default" w:ascii="Cambria" w:hAnsi="Cambria" w:cs="Cambria"/>
        </w:rPr>
        <w:t>", "</w:t>
      </w:r>
      <w:r>
        <w:rPr>
          <w:rFonts w:hint="default" w:ascii="Cambria" w:hAnsi="Cambria" w:cs="Cambria"/>
          <w:lang w:eastAsia="zh-CN"/>
        </w:rPr>
        <w:t>bamboo jar</w:t>
      </w:r>
      <w:r>
        <w:rPr>
          <w:rFonts w:hint="default" w:ascii="Cambria" w:hAnsi="Cambria" w:cs="Cambria"/>
        </w:rPr>
        <w:t>", "</w:t>
      </w:r>
      <w:r>
        <w:rPr>
          <w:rFonts w:hint="default" w:ascii="Cambria" w:hAnsi="Cambria" w:cs="Cambria"/>
          <w:lang w:eastAsia="zh-CN"/>
        </w:rPr>
        <w:t>ceramic jar</w:t>
      </w:r>
      <w:r>
        <w:rPr>
          <w:rFonts w:hint="default" w:ascii="Cambria" w:hAnsi="Cambria" w:cs="Cambria"/>
        </w:rPr>
        <w:t>", "</w:t>
      </w:r>
      <w:r>
        <w:rPr>
          <w:rFonts w:hint="default" w:ascii="Cambria" w:hAnsi="Cambria" w:cs="Cambria"/>
          <w:lang w:eastAsia="zh-CN"/>
        </w:rPr>
        <w:t>glass jar</w:t>
      </w:r>
      <w:r>
        <w:rPr>
          <w:rFonts w:hint="default" w:ascii="Cambria" w:hAnsi="Cambria" w:cs="Cambria"/>
        </w:rPr>
        <w:t>", "</w:t>
      </w:r>
      <w:r>
        <w:rPr>
          <w:rFonts w:hint="default" w:ascii="Cambria" w:hAnsi="Cambria" w:cs="Cambria"/>
          <w:lang w:eastAsia="zh-CN"/>
        </w:rPr>
        <w:t>metal jar</w:t>
      </w:r>
      <w:r>
        <w:rPr>
          <w:rFonts w:hint="default" w:ascii="Cambria" w:hAnsi="Cambria" w:cs="Cambria"/>
        </w:rPr>
        <w:t>", "bio</w:t>
      </w:r>
      <w:r>
        <w:rPr>
          <w:rFonts w:hint="default" w:ascii="Cambria" w:hAnsi="Cambria" w:cs="Cambria"/>
          <w:lang w:val="en-US" w:eastAsia="zh-CN"/>
        </w:rPr>
        <w:t>-</w:t>
      </w:r>
      <w:r>
        <w:rPr>
          <w:rFonts w:hint="default" w:ascii="Cambria" w:hAnsi="Cambria" w:cs="Cambria"/>
        </w:rPr>
        <w:t xml:space="preserve">ceramic fire </w:t>
      </w:r>
      <w:r>
        <w:rPr>
          <w:rFonts w:hint="default" w:ascii="Cambria" w:hAnsi="Cambria" w:cs="Cambria"/>
          <w:lang w:eastAsia="zh-CN"/>
        </w:rPr>
        <w:t>jar</w:t>
      </w:r>
      <w:r>
        <w:rPr>
          <w:rFonts w:hint="default" w:ascii="Cambria" w:hAnsi="Cambria" w:cs="Cambria"/>
        </w:rPr>
        <w:t>", "</w:t>
      </w:r>
      <w:r>
        <w:rPr>
          <w:rFonts w:hint="default" w:ascii="Cambria" w:hAnsi="Cambria" w:cs="Cambria"/>
          <w:lang w:eastAsia="zh-CN"/>
        </w:rPr>
        <w:t>plastic jar</w:t>
      </w:r>
      <w:r>
        <w:rPr>
          <w:rFonts w:hint="default" w:ascii="Cambria" w:hAnsi="Cambria" w:cs="Cambria"/>
        </w:rPr>
        <w:t>".</w:t>
      </w:r>
    </w:p>
    <w:p w14:paraId="50596B55">
      <w:pPr>
        <w:numPr>
          <w:ilvl w:val="0"/>
          <w:numId w:val="0"/>
        </w:numPr>
        <w:rPr>
          <w:rFonts w:hint="default" w:ascii="Cambria" w:hAnsi="Cambria" w:cs="Cambria"/>
        </w:rPr>
      </w:pPr>
    </w:p>
    <w:p w14:paraId="27B2C05F">
      <w:pPr>
        <w:numPr>
          <w:ilvl w:val="0"/>
          <w:numId w:val="0"/>
        </w:numPr>
        <w:ind w:firstLine="420" w:firstLineChars="0"/>
        <w:rPr>
          <w:rFonts w:hint="default" w:ascii="Cambria" w:hAnsi="Cambria" w:cs="Cambria"/>
        </w:rPr>
      </w:pPr>
      <w:r>
        <w:rPr>
          <w:rFonts w:hint="default" w:ascii="Cambria" w:hAnsi="Cambria" w:cs="Cambria"/>
        </w:rPr>
        <w:t>The national standard content, specific option results, and expert opinions of the controversial items are as follows:</w:t>
      </w:r>
    </w:p>
    <w:p w14:paraId="37B0BBFE">
      <w:pPr>
        <w:numPr>
          <w:ilvl w:val="0"/>
          <w:numId w:val="0"/>
        </w:numPr>
        <w:rPr>
          <w:rFonts w:hint="default" w:ascii="Cambria" w:hAnsi="Cambria" w:cs="Cambria"/>
        </w:rPr>
      </w:pPr>
    </w:p>
    <w:p w14:paraId="44A27C7D">
      <w:pPr>
        <w:numPr>
          <w:ilvl w:val="0"/>
          <w:numId w:val="0"/>
        </w:numPr>
        <w:rPr>
          <w:rFonts w:hint="default" w:ascii="Cambria" w:hAnsi="Cambria" w:cs="Cambria" w:eastAsiaTheme="minorEastAsia"/>
          <w:lang w:eastAsia="zh-CN"/>
        </w:rPr>
      </w:pPr>
      <w:r>
        <w:rPr>
          <w:rFonts w:hint="default" w:ascii="Cambria" w:hAnsi="Cambria" w:cs="Cambria"/>
        </w:rPr>
        <w:t>Table 20 Summary of Controversial Items and Options with the Highest Support</w:t>
      </w:r>
    </w:p>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43"/>
        <w:gridCol w:w="1437"/>
        <w:gridCol w:w="3675"/>
        <w:gridCol w:w="1288"/>
        <w:gridCol w:w="1179"/>
      </w:tblGrid>
      <w:tr w14:paraId="3CCB84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43" w:type="dxa"/>
            <w:tcBorders>
              <w:bottom w:val="single" w:color="auto" w:sz="4" w:space="0"/>
            </w:tcBorders>
            <w:vAlign w:val="center"/>
          </w:tcPr>
          <w:p w14:paraId="57B361C4">
            <w:pPr>
              <w:numPr>
                <w:ilvl w:val="0"/>
                <w:numId w:val="0"/>
              </w:numPr>
              <w:jc w:val="center"/>
              <w:rPr>
                <w:rFonts w:hint="default" w:ascii="Cambria" w:hAnsi="Cambria" w:cs="Cambria"/>
                <w:vertAlign w:val="baseline"/>
              </w:rPr>
            </w:pPr>
            <w:r>
              <w:rPr>
                <w:rFonts w:hint="default" w:ascii="Cambria" w:hAnsi="Cambria" w:cs="Cambria"/>
              </w:rPr>
              <w:t>Serial Number</w:t>
            </w:r>
          </w:p>
        </w:tc>
        <w:tc>
          <w:tcPr>
            <w:tcW w:w="1437" w:type="dxa"/>
            <w:tcBorders>
              <w:bottom w:val="single" w:color="auto" w:sz="4" w:space="0"/>
            </w:tcBorders>
            <w:vAlign w:val="center"/>
          </w:tcPr>
          <w:p w14:paraId="095F16B4">
            <w:pPr>
              <w:numPr>
                <w:ilvl w:val="0"/>
                <w:numId w:val="0"/>
              </w:numPr>
              <w:jc w:val="center"/>
              <w:rPr>
                <w:rFonts w:hint="default" w:ascii="Cambria" w:hAnsi="Cambria" w:cs="Cambria"/>
                <w:vertAlign w:val="baseline"/>
              </w:rPr>
            </w:pPr>
            <w:r>
              <w:rPr>
                <w:rFonts w:hint="default" w:ascii="Cambria" w:hAnsi="Cambria" w:cs="Cambria"/>
              </w:rPr>
              <w:t>Item</w:t>
            </w:r>
          </w:p>
        </w:tc>
        <w:tc>
          <w:tcPr>
            <w:tcW w:w="3675" w:type="dxa"/>
            <w:tcBorders>
              <w:bottom w:val="single" w:color="auto" w:sz="4" w:space="0"/>
            </w:tcBorders>
            <w:vAlign w:val="center"/>
          </w:tcPr>
          <w:p w14:paraId="0D89229E">
            <w:pPr>
              <w:numPr>
                <w:ilvl w:val="0"/>
                <w:numId w:val="0"/>
              </w:numPr>
              <w:jc w:val="center"/>
              <w:rPr>
                <w:rFonts w:hint="default" w:ascii="Cambria" w:hAnsi="Cambria" w:cs="Cambria"/>
                <w:vertAlign w:val="baseline"/>
              </w:rPr>
            </w:pPr>
            <w:r>
              <w:rPr>
                <w:rFonts w:hint="default" w:ascii="Cambria" w:hAnsi="Cambria" w:cs="Cambria"/>
              </w:rPr>
              <w:t>Option with the Highest Support</w:t>
            </w:r>
          </w:p>
        </w:tc>
        <w:tc>
          <w:tcPr>
            <w:tcW w:w="1288" w:type="dxa"/>
            <w:tcBorders>
              <w:bottom w:val="single" w:color="auto" w:sz="4" w:space="0"/>
            </w:tcBorders>
            <w:vAlign w:val="center"/>
          </w:tcPr>
          <w:p w14:paraId="10F46573">
            <w:pPr>
              <w:numPr>
                <w:ilvl w:val="0"/>
                <w:numId w:val="0"/>
              </w:numPr>
              <w:jc w:val="center"/>
              <w:rPr>
                <w:rFonts w:hint="default" w:ascii="Cambria" w:hAnsi="Cambria" w:cs="Cambria"/>
                <w:vertAlign w:val="baseline"/>
              </w:rPr>
            </w:pPr>
            <w:r>
              <w:rPr>
                <w:rFonts w:hint="default" w:ascii="Cambria" w:hAnsi="Cambria" w:cs="Cambria"/>
              </w:rPr>
              <w:t>Frequency</w:t>
            </w:r>
          </w:p>
        </w:tc>
        <w:tc>
          <w:tcPr>
            <w:tcW w:w="1179" w:type="dxa"/>
            <w:tcBorders>
              <w:bottom w:val="single" w:color="auto" w:sz="4" w:space="0"/>
            </w:tcBorders>
            <w:vAlign w:val="center"/>
          </w:tcPr>
          <w:p w14:paraId="0000AB0E">
            <w:pPr>
              <w:numPr>
                <w:ilvl w:val="0"/>
                <w:numId w:val="0"/>
              </w:numPr>
              <w:jc w:val="center"/>
              <w:rPr>
                <w:rFonts w:hint="default" w:ascii="Cambria" w:hAnsi="Cambria" w:cs="Cambria"/>
                <w:vertAlign w:val="baseline"/>
              </w:rPr>
            </w:pPr>
            <w:r>
              <w:rPr>
                <w:rFonts w:hint="default" w:ascii="Cambria" w:hAnsi="Cambria" w:cs="Cambria"/>
              </w:rPr>
              <w:t>Percentage</w:t>
            </w:r>
          </w:p>
        </w:tc>
      </w:tr>
      <w:tr w14:paraId="14C372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43" w:type="dxa"/>
            <w:tcBorders>
              <w:top w:val="single" w:color="auto" w:sz="4" w:space="0"/>
              <w:tl2br w:val="nil"/>
              <w:tr2bl w:val="nil"/>
            </w:tcBorders>
            <w:vAlign w:val="top"/>
          </w:tcPr>
          <w:p w14:paraId="17DBD554">
            <w:pPr>
              <w:numPr>
                <w:ilvl w:val="0"/>
                <w:numId w:val="0"/>
              </w:numPr>
              <w:rPr>
                <w:rFonts w:hint="default" w:ascii="Cambria" w:hAnsi="Cambria" w:cs="Cambria" w:eastAsiaTheme="minorEastAsia"/>
                <w:vertAlign w:val="baseline"/>
                <w:lang w:val="en-US" w:eastAsia="zh-CN"/>
              </w:rPr>
            </w:pPr>
            <w:r>
              <w:rPr>
                <w:rFonts w:hint="default" w:ascii="Cambria" w:hAnsi="Cambria" w:cs="Cambria"/>
                <w:vertAlign w:val="baseline"/>
                <w:lang w:val="en-US" w:eastAsia="zh-CN"/>
              </w:rPr>
              <w:t>1</w:t>
            </w:r>
          </w:p>
        </w:tc>
        <w:tc>
          <w:tcPr>
            <w:tcW w:w="1437" w:type="dxa"/>
            <w:tcBorders>
              <w:top w:val="single" w:color="auto" w:sz="4" w:space="0"/>
              <w:tl2br w:val="nil"/>
              <w:tr2bl w:val="nil"/>
            </w:tcBorders>
            <w:vAlign w:val="top"/>
          </w:tcPr>
          <w:p w14:paraId="649EEA86">
            <w:pPr>
              <w:numPr>
                <w:ilvl w:val="0"/>
                <w:numId w:val="0"/>
              </w:numPr>
              <w:rPr>
                <w:rFonts w:hint="default" w:ascii="Cambria" w:hAnsi="Cambria" w:cs="Cambria"/>
                <w:vertAlign w:val="baseline"/>
              </w:rPr>
            </w:pPr>
            <w:r>
              <w:rPr>
                <w:rFonts w:hint="default" w:ascii="Cambria" w:hAnsi="Cambria" w:cs="Cambria"/>
                <w:lang w:val="en-US" w:eastAsia="zh-CN"/>
              </w:rPr>
              <w:t>J</w:t>
            </w:r>
            <w:r>
              <w:rPr>
                <w:rFonts w:hint="default" w:ascii="Cambria" w:hAnsi="Cambria" w:cs="Cambria"/>
                <w:lang w:eastAsia="zh-CN"/>
              </w:rPr>
              <w:t>ar</w:t>
            </w:r>
            <w:r>
              <w:rPr>
                <w:rFonts w:hint="default" w:ascii="Cambria" w:hAnsi="Cambria" w:cs="Cambria"/>
              </w:rPr>
              <w:t xml:space="preserve"> Disinfection</w:t>
            </w:r>
          </w:p>
        </w:tc>
        <w:tc>
          <w:tcPr>
            <w:tcW w:w="3675" w:type="dxa"/>
            <w:tcBorders>
              <w:top w:val="single" w:color="auto" w:sz="4" w:space="0"/>
              <w:tl2br w:val="nil"/>
              <w:tr2bl w:val="nil"/>
            </w:tcBorders>
            <w:vAlign w:val="top"/>
          </w:tcPr>
          <w:p w14:paraId="7E08FB53">
            <w:pPr>
              <w:numPr>
                <w:ilvl w:val="0"/>
                <w:numId w:val="0"/>
              </w:numPr>
              <w:rPr>
                <w:rFonts w:hint="default" w:ascii="Cambria" w:hAnsi="Cambria" w:cs="Cambria"/>
              </w:rPr>
            </w:pPr>
            <w:r>
              <w:rPr>
                <w:rFonts w:hint="default" w:ascii="Cambria" w:hAnsi="Cambria" w:cs="Cambria"/>
              </w:rPr>
              <w:t>Flushing: Place the instruments, appliances, and items under running water for flushing to initially remove contaminants.  Washing: After flushing, soak them in a medical cleaning agent and then scrub.  Rinsing: After washing, rinse or scrub with running water again.  Final rinsing: Use water with a conductivity of ≤15μS/cm (25°C) for rinsing.  Precautions: The water temperature for manual cleaning should preferably be maintained between 15°C and 30°C.</w:t>
            </w:r>
          </w:p>
          <w:p w14:paraId="6A73E475">
            <w:pPr>
              <w:numPr>
                <w:ilvl w:val="0"/>
                <w:numId w:val="0"/>
              </w:numPr>
              <w:rPr>
                <w:rFonts w:hint="default" w:ascii="Cambria" w:hAnsi="Cambria" w:cs="Cambria" w:eastAsiaTheme="minorEastAsia"/>
                <w:vertAlign w:val="baseline"/>
                <w:lang w:val="en-US" w:eastAsia="zh-CN"/>
              </w:rPr>
            </w:pPr>
            <w:r>
              <w:rPr>
                <w:rFonts w:hint="default" w:ascii="Cambria" w:hAnsi="Cambria" w:cs="Cambria"/>
              </w:rPr>
              <w:t>To remove dried stains, soak the items in medical detergent prior to brushing or scrubbing. Any rust deposits shall be removed via derusting treatment.</w:t>
            </w:r>
            <w:r>
              <w:rPr>
                <w:rFonts w:hint="default" w:ascii="Cambria" w:hAnsi="Cambria" w:cs="Cambria"/>
                <w:lang w:val="en-US" w:eastAsia="zh-CN"/>
              </w:rPr>
              <w:t xml:space="preserve"> </w:t>
            </w:r>
            <w:r>
              <w:rPr>
                <w:rFonts w:hint="default" w:ascii="Cambria" w:hAnsi="Cambria" w:cs="Cambria"/>
              </w:rPr>
              <w:t>All brushing operations shall be performed below the water surface to avoid aerosol generation.</w:t>
            </w:r>
            <w:r>
              <w:rPr>
                <w:rFonts w:hint="default" w:ascii="Cambria" w:hAnsi="Cambria" w:cs="Cambria"/>
                <w:lang w:val="en-US" w:eastAsia="zh-CN"/>
              </w:rPr>
              <w:t xml:space="preserve"> </w:t>
            </w:r>
            <w:r>
              <w:rPr>
                <w:rFonts w:hint="default" w:ascii="Cambria" w:hAnsi="Cambria" w:cs="Cambria"/>
              </w:rPr>
              <w:t>All detachable components of instruments shall be disassembled before cleaning.</w:t>
            </w:r>
            <w:r>
              <w:rPr>
                <w:rFonts w:hint="default" w:ascii="Cambria" w:hAnsi="Cambria" w:cs="Cambria"/>
                <w:lang w:val="en-US" w:eastAsia="zh-CN"/>
              </w:rPr>
              <w:t xml:space="preserve"> </w:t>
            </w:r>
            <w:r>
              <w:rPr>
                <w:rFonts w:hint="default" w:ascii="Cambria" w:hAnsi="Cambria" w:cs="Cambria"/>
              </w:rPr>
              <w:t>For lumen instruments, clean the inner cavity with a suitable cleaning brush first, then flush with a pressure water gun.</w:t>
            </w:r>
            <w:r>
              <w:rPr>
                <w:rFonts w:hint="default" w:ascii="Cambria" w:hAnsi="Cambria" w:cs="Cambria"/>
                <w:lang w:val="en-US" w:eastAsia="zh-CN"/>
              </w:rPr>
              <w:t xml:space="preserve"> </w:t>
            </w:r>
            <w:r>
              <w:rPr>
                <w:rFonts w:hint="default" w:ascii="Cambria" w:hAnsi="Cambria" w:cs="Cambria"/>
              </w:rPr>
              <w:t xml:space="preserve">Abrasive cleaning materials and tools shall not be used for instrument processing; brushing tools and supplies compatible with the instrument material shall be selected instead. (Source: </w:t>
            </w:r>
            <w:r>
              <w:rPr>
                <w:rFonts w:hint="default" w:ascii="Cambria" w:hAnsi="Cambria" w:cs="Cambria"/>
                <w:lang w:eastAsia="zh-CN"/>
              </w:rPr>
              <w:t>WS 310.2-2016</w:t>
            </w:r>
            <w:r>
              <w:rPr>
                <w:rFonts w:hint="default" w:ascii="Cambria" w:hAnsi="Cambria" w:cs="Cambria"/>
                <w:lang w:val="en-US" w:eastAsia="zh-CN"/>
              </w:rPr>
              <w:t xml:space="preserve"> CSSD</w:t>
            </w:r>
            <w:r>
              <w:rPr>
                <w:rFonts w:hint="default" w:ascii="Cambria" w:hAnsi="Cambria" w:cs="Cambria"/>
                <w:lang w:eastAsia="zh-CN"/>
              </w:rPr>
              <w:t>–Part 2</w:t>
            </w:r>
            <w:r>
              <w:rPr>
                <w:rFonts w:hint="default" w:ascii="Cambria" w:hAnsi="Cambria" w:cs="Cambria"/>
                <w:lang w:val="en-US" w:eastAsia="zh-CN"/>
              </w:rPr>
              <w:t xml:space="preserve">, </w:t>
            </w:r>
            <w:r>
              <w:rPr>
                <w:rFonts w:hint="default" w:ascii="Cambria" w:hAnsi="Cambria" w:cs="Cambria"/>
              </w:rPr>
              <w:t>National Health Industry Standard of the People's Republic of China</w:t>
            </w:r>
            <w:r>
              <w:rPr>
                <w:rFonts w:hint="default" w:ascii="Cambria" w:hAnsi="Cambria" w:cs="Cambria"/>
                <w:lang w:val="en-US" w:eastAsia="zh-CN"/>
              </w:rPr>
              <w:t>)</w:t>
            </w:r>
          </w:p>
        </w:tc>
        <w:tc>
          <w:tcPr>
            <w:tcW w:w="1288" w:type="dxa"/>
            <w:tcBorders>
              <w:top w:val="single" w:color="auto" w:sz="4" w:space="0"/>
              <w:tl2br w:val="nil"/>
              <w:tr2bl w:val="nil"/>
            </w:tcBorders>
            <w:vAlign w:val="top"/>
          </w:tcPr>
          <w:p w14:paraId="0994F82C">
            <w:pPr>
              <w:numPr>
                <w:ilvl w:val="0"/>
                <w:numId w:val="0"/>
              </w:numPr>
              <w:rPr>
                <w:rFonts w:hint="default" w:ascii="Cambria" w:hAnsi="Cambria" w:cs="Cambria"/>
                <w:vertAlign w:val="baseline"/>
              </w:rPr>
            </w:pPr>
            <w:r>
              <w:rPr>
                <w:rFonts w:hint="default" w:ascii="Cambria" w:hAnsi="Cambria" w:cs="Cambria"/>
              </w:rPr>
              <w:t xml:space="preserve"> 14  </w:t>
            </w:r>
          </w:p>
        </w:tc>
        <w:tc>
          <w:tcPr>
            <w:tcW w:w="1179" w:type="dxa"/>
            <w:tcBorders>
              <w:top w:val="single" w:color="auto" w:sz="4" w:space="0"/>
              <w:tl2br w:val="nil"/>
              <w:tr2bl w:val="nil"/>
            </w:tcBorders>
            <w:vAlign w:val="top"/>
          </w:tcPr>
          <w:p w14:paraId="3AAFD4B7">
            <w:pPr>
              <w:numPr>
                <w:ilvl w:val="0"/>
                <w:numId w:val="0"/>
              </w:numPr>
              <w:rPr>
                <w:rFonts w:hint="default" w:ascii="Cambria" w:hAnsi="Cambria" w:cs="Cambria"/>
                <w:vertAlign w:val="baseline"/>
              </w:rPr>
            </w:pPr>
            <w:r>
              <w:rPr>
                <w:rFonts w:hint="default" w:ascii="Cambria" w:hAnsi="Cambria" w:cs="Cambria"/>
              </w:rPr>
              <w:t>47.00%</w:t>
            </w:r>
          </w:p>
        </w:tc>
      </w:tr>
      <w:tr w14:paraId="5E242C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943" w:type="dxa"/>
            <w:tcBorders>
              <w:tl2br w:val="nil"/>
              <w:tr2bl w:val="nil"/>
            </w:tcBorders>
            <w:vAlign w:val="top"/>
          </w:tcPr>
          <w:p w14:paraId="733D679D">
            <w:pPr>
              <w:numPr>
                <w:ilvl w:val="0"/>
                <w:numId w:val="0"/>
              </w:numPr>
              <w:rPr>
                <w:rFonts w:hint="default" w:ascii="Cambria" w:hAnsi="Cambria" w:cs="Cambria" w:eastAsiaTheme="minorEastAsia"/>
                <w:vertAlign w:val="baseline"/>
                <w:lang w:val="en-US" w:eastAsia="zh-CN"/>
              </w:rPr>
            </w:pPr>
            <w:r>
              <w:rPr>
                <w:rFonts w:hint="default" w:ascii="Cambria" w:hAnsi="Cambria" w:cs="Cambria"/>
                <w:vertAlign w:val="baseline"/>
                <w:lang w:val="en-US" w:eastAsia="zh-CN"/>
              </w:rPr>
              <w:t>2</w:t>
            </w:r>
          </w:p>
        </w:tc>
        <w:tc>
          <w:tcPr>
            <w:tcW w:w="1437" w:type="dxa"/>
            <w:tcBorders>
              <w:tl2br w:val="nil"/>
              <w:tr2bl w:val="nil"/>
            </w:tcBorders>
            <w:vAlign w:val="top"/>
          </w:tcPr>
          <w:p w14:paraId="6E1B2A85">
            <w:pPr>
              <w:numPr>
                <w:ilvl w:val="0"/>
                <w:numId w:val="0"/>
              </w:numPr>
              <w:rPr>
                <w:rFonts w:hint="default" w:ascii="Cambria" w:hAnsi="Cambria" w:cs="Cambria"/>
              </w:rPr>
            </w:pPr>
            <w:r>
              <w:rPr>
                <w:rFonts w:hint="default" w:ascii="Cambria" w:hAnsi="Cambria" w:cs="Cambria"/>
              </w:rPr>
              <w:t>Definitions of "</w:t>
            </w:r>
            <w:r>
              <w:rPr>
                <w:rFonts w:hint="default" w:ascii="Cambria" w:hAnsi="Cambria" w:cs="Cambria"/>
                <w:lang w:eastAsia="zh-CN"/>
              </w:rPr>
              <w:t>horn jar</w:t>
            </w:r>
            <w:r>
              <w:rPr>
                <w:rFonts w:hint="default" w:ascii="Cambria" w:hAnsi="Cambria" w:cs="Cambria"/>
              </w:rPr>
              <w:t xml:space="preserve">", </w:t>
            </w:r>
          </w:p>
          <w:p w14:paraId="6EC4635B">
            <w:pPr>
              <w:numPr>
                <w:ilvl w:val="0"/>
                <w:numId w:val="0"/>
              </w:numPr>
              <w:rPr>
                <w:rFonts w:hint="default" w:ascii="Cambria" w:hAnsi="Cambria" w:cs="Cambria"/>
              </w:rPr>
            </w:pPr>
          </w:p>
          <w:p w14:paraId="42885425">
            <w:pPr>
              <w:numPr>
                <w:ilvl w:val="0"/>
                <w:numId w:val="0"/>
              </w:numPr>
              <w:rPr>
                <w:rFonts w:hint="default" w:ascii="Cambria" w:hAnsi="Cambria" w:cs="Cambria"/>
              </w:rPr>
            </w:pPr>
            <w:r>
              <w:rPr>
                <w:rFonts w:hint="default" w:ascii="Cambria" w:hAnsi="Cambria" w:cs="Cambria"/>
              </w:rPr>
              <w:t>"</w:t>
            </w:r>
            <w:r>
              <w:rPr>
                <w:rFonts w:hint="default" w:ascii="Cambria" w:hAnsi="Cambria" w:cs="Cambria"/>
                <w:lang w:eastAsia="zh-CN"/>
              </w:rPr>
              <w:t>bamboo jar</w:t>
            </w:r>
            <w:r>
              <w:rPr>
                <w:rFonts w:hint="default" w:ascii="Cambria" w:hAnsi="Cambria" w:cs="Cambria"/>
              </w:rPr>
              <w:t xml:space="preserve">", </w:t>
            </w:r>
          </w:p>
          <w:p w14:paraId="3C013DA0">
            <w:pPr>
              <w:numPr>
                <w:ilvl w:val="0"/>
                <w:numId w:val="0"/>
              </w:numPr>
              <w:rPr>
                <w:rFonts w:hint="default" w:ascii="Cambria" w:hAnsi="Cambria" w:cs="Cambria"/>
              </w:rPr>
            </w:pPr>
          </w:p>
          <w:p w14:paraId="2A9D2B9C">
            <w:pPr>
              <w:numPr>
                <w:ilvl w:val="0"/>
                <w:numId w:val="0"/>
              </w:numPr>
              <w:rPr>
                <w:rFonts w:hint="default" w:ascii="Cambria" w:hAnsi="Cambria" w:cs="Cambria"/>
              </w:rPr>
            </w:pPr>
          </w:p>
          <w:p w14:paraId="63EA25E3">
            <w:pPr>
              <w:numPr>
                <w:ilvl w:val="0"/>
                <w:numId w:val="0"/>
              </w:numPr>
              <w:rPr>
                <w:rFonts w:hint="default" w:ascii="Cambria" w:hAnsi="Cambria" w:cs="Cambria"/>
              </w:rPr>
            </w:pPr>
          </w:p>
          <w:p w14:paraId="1B09646F">
            <w:pPr>
              <w:numPr>
                <w:ilvl w:val="0"/>
                <w:numId w:val="0"/>
              </w:numPr>
              <w:rPr>
                <w:rFonts w:hint="default" w:ascii="Cambria" w:hAnsi="Cambria" w:cs="Cambria"/>
              </w:rPr>
            </w:pPr>
          </w:p>
          <w:p w14:paraId="11B6EDFC">
            <w:pPr>
              <w:numPr>
                <w:ilvl w:val="0"/>
                <w:numId w:val="0"/>
              </w:numPr>
              <w:rPr>
                <w:rFonts w:hint="default" w:ascii="Cambria" w:hAnsi="Cambria" w:cs="Cambria"/>
              </w:rPr>
            </w:pPr>
          </w:p>
          <w:p w14:paraId="4EEA5504">
            <w:pPr>
              <w:numPr>
                <w:ilvl w:val="0"/>
                <w:numId w:val="0"/>
              </w:numPr>
              <w:rPr>
                <w:rFonts w:hint="default" w:ascii="Cambria" w:hAnsi="Cambria" w:cs="Cambria"/>
              </w:rPr>
            </w:pPr>
          </w:p>
          <w:p w14:paraId="5813E9C2">
            <w:pPr>
              <w:numPr>
                <w:ilvl w:val="0"/>
                <w:numId w:val="0"/>
              </w:numPr>
              <w:rPr>
                <w:rFonts w:hint="default" w:ascii="Cambria" w:hAnsi="Cambria" w:cs="Cambria"/>
              </w:rPr>
            </w:pPr>
          </w:p>
          <w:p w14:paraId="42ED1876">
            <w:pPr>
              <w:numPr>
                <w:ilvl w:val="0"/>
                <w:numId w:val="0"/>
              </w:numPr>
              <w:rPr>
                <w:rFonts w:hint="default" w:ascii="Cambria" w:hAnsi="Cambria" w:cs="Cambria"/>
              </w:rPr>
            </w:pPr>
          </w:p>
          <w:p w14:paraId="47496E76">
            <w:pPr>
              <w:numPr>
                <w:ilvl w:val="0"/>
                <w:numId w:val="0"/>
              </w:numPr>
              <w:rPr>
                <w:rFonts w:hint="default" w:ascii="Cambria" w:hAnsi="Cambria" w:cs="Cambria"/>
              </w:rPr>
            </w:pPr>
          </w:p>
          <w:p w14:paraId="2C0D82FE">
            <w:pPr>
              <w:numPr>
                <w:ilvl w:val="0"/>
                <w:numId w:val="0"/>
              </w:numPr>
              <w:rPr>
                <w:rFonts w:hint="default" w:ascii="Cambria" w:hAnsi="Cambria" w:cs="Cambria"/>
              </w:rPr>
            </w:pPr>
          </w:p>
          <w:p w14:paraId="0F6CEA93">
            <w:pPr>
              <w:numPr>
                <w:ilvl w:val="0"/>
                <w:numId w:val="0"/>
              </w:numPr>
              <w:rPr>
                <w:rFonts w:hint="default" w:ascii="Cambria" w:hAnsi="Cambria" w:cs="Cambria"/>
              </w:rPr>
            </w:pPr>
          </w:p>
          <w:p w14:paraId="124EA3B7">
            <w:pPr>
              <w:numPr>
                <w:ilvl w:val="0"/>
                <w:numId w:val="0"/>
              </w:numPr>
              <w:rPr>
                <w:rFonts w:hint="default" w:ascii="Cambria" w:hAnsi="Cambria" w:cs="Cambria"/>
              </w:rPr>
            </w:pPr>
          </w:p>
          <w:p w14:paraId="3BFB2671">
            <w:pPr>
              <w:numPr>
                <w:ilvl w:val="0"/>
                <w:numId w:val="0"/>
              </w:numPr>
              <w:rPr>
                <w:rFonts w:hint="default" w:ascii="Cambria" w:hAnsi="Cambria" w:cs="Cambria"/>
              </w:rPr>
            </w:pPr>
          </w:p>
          <w:p w14:paraId="506AAF7C">
            <w:pPr>
              <w:numPr>
                <w:ilvl w:val="0"/>
                <w:numId w:val="0"/>
              </w:numPr>
              <w:rPr>
                <w:rFonts w:hint="default" w:ascii="Cambria" w:hAnsi="Cambria" w:cs="Cambria"/>
              </w:rPr>
            </w:pPr>
            <w:r>
              <w:rPr>
                <w:rFonts w:hint="default" w:ascii="Cambria" w:hAnsi="Cambria" w:cs="Cambria"/>
              </w:rPr>
              <w:t>"</w:t>
            </w:r>
            <w:r>
              <w:rPr>
                <w:rFonts w:hint="default" w:ascii="Cambria" w:hAnsi="Cambria" w:cs="Cambria"/>
                <w:lang w:eastAsia="zh-CN"/>
              </w:rPr>
              <w:t>ceramic jar</w:t>
            </w:r>
            <w:r>
              <w:rPr>
                <w:rFonts w:hint="default" w:ascii="Cambria" w:hAnsi="Cambria" w:cs="Cambria"/>
              </w:rPr>
              <w:t xml:space="preserve">", </w:t>
            </w:r>
          </w:p>
          <w:p w14:paraId="64EE2C60">
            <w:pPr>
              <w:numPr>
                <w:ilvl w:val="0"/>
                <w:numId w:val="0"/>
              </w:numPr>
              <w:rPr>
                <w:rFonts w:hint="default" w:ascii="Cambria" w:hAnsi="Cambria" w:cs="Cambria"/>
              </w:rPr>
            </w:pPr>
          </w:p>
          <w:p w14:paraId="16665963">
            <w:pPr>
              <w:numPr>
                <w:ilvl w:val="0"/>
                <w:numId w:val="0"/>
              </w:numPr>
              <w:rPr>
                <w:rFonts w:hint="default" w:ascii="Cambria" w:hAnsi="Cambria" w:cs="Cambria"/>
              </w:rPr>
            </w:pPr>
          </w:p>
          <w:p w14:paraId="689AC7CD">
            <w:pPr>
              <w:numPr>
                <w:ilvl w:val="0"/>
                <w:numId w:val="0"/>
              </w:numPr>
              <w:rPr>
                <w:rFonts w:hint="default" w:ascii="Cambria" w:hAnsi="Cambria" w:cs="Cambria"/>
              </w:rPr>
            </w:pPr>
          </w:p>
          <w:p w14:paraId="7853EBA3">
            <w:pPr>
              <w:numPr>
                <w:ilvl w:val="0"/>
                <w:numId w:val="0"/>
              </w:numPr>
              <w:rPr>
                <w:rFonts w:hint="default" w:ascii="Cambria" w:hAnsi="Cambria" w:cs="Cambria"/>
              </w:rPr>
            </w:pPr>
          </w:p>
          <w:p w14:paraId="5CF83C46">
            <w:pPr>
              <w:numPr>
                <w:ilvl w:val="0"/>
                <w:numId w:val="0"/>
              </w:numPr>
              <w:rPr>
                <w:rFonts w:hint="default" w:ascii="Cambria" w:hAnsi="Cambria" w:cs="Cambria"/>
              </w:rPr>
            </w:pPr>
          </w:p>
          <w:p w14:paraId="4CBBA8E0">
            <w:pPr>
              <w:numPr>
                <w:ilvl w:val="0"/>
                <w:numId w:val="0"/>
              </w:numPr>
              <w:rPr>
                <w:rFonts w:hint="default" w:ascii="Cambria" w:hAnsi="Cambria" w:cs="Cambria"/>
              </w:rPr>
            </w:pPr>
          </w:p>
          <w:p w14:paraId="0D4A5D4F">
            <w:pPr>
              <w:numPr>
                <w:ilvl w:val="0"/>
                <w:numId w:val="0"/>
              </w:numPr>
              <w:rPr>
                <w:rFonts w:hint="default" w:ascii="Cambria" w:hAnsi="Cambria" w:cs="Cambria"/>
              </w:rPr>
            </w:pPr>
          </w:p>
          <w:p w14:paraId="06EEB5ED">
            <w:pPr>
              <w:numPr>
                <w:ilvl w:val="0"/>
                <w:numId w:val="0"/>
              </w:numPr>
              <w:rPr>
                <w:rFonts w:hint="default" w:ascii="Cambria" w:hAnsi="Cambria" w:cs="Cambria"/>
              </w:rPr>
            </w:pPr>
          </w:p>
          <w:p w14:paraId="1C610EAC">
            <w:pPr>
              <w:numPr>
                <w:ilvl w:val="0"/>
                <w:numId w:val="0"/>
              </w:numPr>
              <w:rPr>
                <w:rFonts w:hint="default" w:ascii="Cambria" w:hAnsi="Cambria" w:cs="Cambria"/>
              </w:rPr>
            </w:pPr>
          </w:p>
          <w:p w14:paraId="77ED2BD7">
            <w:pPr>
              <w:numPr>
                <w:ilvl w:val="0"/>
                <w:numId w:val="0"/>
              </w:numPr>
              <w:rPr>
                <w:rFonts w:hint="default" w:ascii="Cambria" w:hAnsi="Cambria" w:cs="Cambria"/>
              </w:rPr>
            </w:pPr>
          </w:p>
          <w:p w14:paraId="5CE9B0DB">
            <w:pPr>
              <w:numPr>
                <w:ilvl w:val="0"/>
                <w:numId w:val="0"/>
              </w:numPr>
              <w:rPr>
                <w:rFonts w:hint="default" w:ascii="Cambria" w:hAnsi="Cambria" w:cs="Cambria"/>
              </w:rPr>
            </w:pPr>
          </w:p>
          <w:p w14:paraId="2437286F">
            <w:pPr>
              <w:numPr>
                <w:ilvl w:val="0"/>
                <w:numId w:val="0"/>
              </w:numPr>
              <w:rPr>
                <w:rFonts w:hint="default" w:ascii="Cambria" w:hAnsi="Cambria" w:cs="Cambria"/>
              </w:rPr>
            </w:pPr>
          </w:p>
          <w:p w14:paraId="7EE4220E">
            <w:pPr>
              <w:numPr>
                <w:ilvl w:val="0"/>
                <w:numId w:val="0"/>
              </w:numPr>
              <w:rPr>
                <w:rFonts w:hint="default" w:ascii="Cambria" w:hAnsi="Cambria" w:cs="Cambria"/>
              </w:rPr>
            </w:pPr>
          </w:p>
          <w:p w14:paraId="2EADDB00">
            <w:pPr>
              <w:numPr>
                <w:ilvl w:val="0"/>
                <w:numId w:val="0"/>
              </w:numPr>
              <w:rPr>
                <w:rFonts w:hint="default" w:ascii="Cambria" w:hAnsi="Cambria" w:cs="Cambria"/>
              </w:rPr>
            </w:pPr>
          </w:p>
          <w:p w14:paraId="59FE1E3E">
            <w:pPr>
              <w:numPr>
                <w:ilvl w:val="0"/>
                <w:numId w:val="0"/>
              </w:numPr>
              <w:rPr>
                <w:rFonts w:hint="default" w:ascii="Cambria" w:hAnsi="Cambria" w:cs="Cambria"/>
              </w:rPr>
            </w:pPr>
          </w:p>
          <w:p w14:paraId="5540EAC2">
            <w:pPr>
              <w:numPr>
                <w:ilvl w:val="0"/>
                <w:numId w:val="0"/>
              </w:numPr>
              <w:rPr>
                <w:rFonts w:hint="default" w:ascii="Cambria" w:hAnsi="Cambria" w:cs="Cambria"/>
              </w:rPr>
            </w:pPr>
            <w:r>
              <w:rPr>
                <w:rFonts w:hint="default" w:ascii="Cambria" w:hAnsi="Cambria" w:cs="Cambria"/>
              </w:rPr>
              <w:t>"</w:t>
            </w:r>
            <w:r>
              <w:rPr>
                <w:rFonts w:hint="default" w:ascii="Cambria" w:hAnsi="Cambria" w:cs="Cambria"/>
                <w:lang w:eastAsia="zh-CN"/>
              </w:rPr>
              <w:t>glass jar</w:t>
            </w:r>
            <w:r>
              <w:rPr>
                <w:rFonts w:hint="default" w:ascii="Cambria" w:hAnsi="Cambria" w:cs="Cambria"/>
              </w:rPr>
              <w:t xml:space="preserve">", </w:t>
            </w:r>
          </w:p>
          <w:p w14:paraId="5D477CEF">
            <w:pPr>
              <w:numPr>
                <w:ilvl w:val="0"/>
                <w:numId w:val="0"/>
              </w:numPr>
              <w:rPr>
                <w:rFonts w:hint="default" w:ascii="Cambria" w:hAnsi="Cambria" w:cs="Cambria"/>
              </w:rPr>
            </w:pPr>
          </w:p>
          <w:p w14:paraId="2172F3CB">
            <w:pPr>
              <w:numPr>
                <w:ilvl w:val="0"/>
                <w:numId w:val="0"/>
              </w:numPr>
              <w:rPr>
                <w:rFonts w:hint="default" w:ascii="Cambria" w:hAnsi="Cambria" w:cs="Cambria"/>
              </w:rPr>
            </w:pPr>
          </w:p>
          <w:p w14:paraId="0984990E">
            <w:pPr>
              <w:numPr>
                <w:ilvl w:val="0"/>
                <w:numId w:val="0"/>
              </w:numPr>
              <w:rPr>
                <w:rFonts w:hint="default" w:ascii="Cambria" w:hAnsi="Cambria" w:cs="Cambria"/>
              </w:rPr>
            </w:pPr>
          </w:p>
          <w:p w14:paraId="575BB917">
            <w:pPr>
              <w:numPr>
                <w:ilvl w:val="0"/>
                <w:numId w:val="0"/>
              </w:numPr>
              <w:rPr>
                <w:rFonts w:hint="default" w:ascii="Cambria" w:hAnsi="Cambria" w:cs="Cambria"/>
              </w:rPr>
            </w:pPr>
          </w:p>
          <w:p w14:paraId="5AF0320C">
            <w:pPr>
              <w:numPr>
                <w:ilvl w:val="0"/>
                <w:numId w:val="0"/>
              </w:numPr>
              <w:rPr>
                <w:rFonts w:hint="default" w:ascii="Cambria" w:hAnsi="Cambria" w:cs="Cambria"/>
              </w:rPr>
            </w:pPr>
          </w:p>
          <w:p w14:paraId="6F69F382">
            <w:pPr>
              <w:numPr>
                <w:ilvl w:val="0"/>
                <w:numId w:val="0"/>
              </w:numPr>
              <w:rPr>
                <w:rFonts w:hint="default" w:ascii="Cambria" w:hAnsi="Cambria" w:cs="Cambria"/>
              </w:rPr>
            </w:pPr>
          </w:p>
          <w:p w14:paraId="792E0C89">
            <w:pPr>
              <w:numPr>
                <w:ilvl w:val="0"/>
                <w:numId w:val="0"/>
              </w:numPr>
              <w:rPr>
                <w:rFonts w:hint="default" w:ascii="Cambria" w:hAnsi="Cambria" w:cs="Cambria"/>
              </w:rPr>
            </w:pPr>
          </w:p>
          <w:p w14:paraId="357E87AB">
            <w:pPr>
              <w:numPr>
                <w:ilvl w:val="0"/>
                <w:numId w:val="0"/>
              </w:numPr>
              <w:rPr>
                <w:rFonts w:hint="default" w:ascii="Cambria" w:hAnsi="Cambria" w:cs="Cambria"/>
              </w:rPr>
            </w:pPr>
          </w:p>
          <w:p w14:paraId="00A73A87">
            <w:pPr>
              <w:numPr>
                <w:ilvl w:val="0"/>
                <w:numId w:val="0"/>
              </w:numPr>
              <w:rPr>
                <w:rFonts w:hint="default" w:ascii="Cambria" w:hAnsi="Cambria" w:cs="Cambria"/>
              </w:rPr>
            </w:pPr>
          </w:p>
          <w:p w14:paraId="628ACADD">
            <w:pPr>
              <w:numPr>
                <w:ilvl w:val="0"/>
                <w:numId w:val="0"/>
              </w:numPr>
              <w:rPr>
                <w:rFonts w:hint="default" w:ascii="Cambria" w:hAnsi="Cambria" w:cs="Cambria"/>
              </w:rPr>
            </w:pPr>
          </w:p>
          <w:p w14:paraId="7A40FEC8">
            <w:pPr>
              <w:numPr>
                <w:ilvl w:val="0"/>
                <w:numId w:val="0"/>
              </w:numPr>
              <w:rPr>
                <w:rFonts w:hint="default" w:ascii="Cambria" w:hAnsi="Cambria" w:cs="Cambria"/>
              </w:rPr>
            </w:pPr>
          </w:p>
          <w:p w14:paraId="5F4A47E8">
            <w:pPr>
              <w:numPr>
                <w:ilvl w:val="0"/>
                <w:numId w:val="0"/>
              </w:numPr>
              <w:rPr>
                <w:rFonts w:hint="default" w:ascii="Cambria" w:hAnsi="Cambria" w:cs="Cambria"/>
              </w:rPr>
            </w:pPr>
          </w:p>
          <w:p w14:paraId="70EB92D1">
            <w:pPr>
              <w:numPr>
                <w:ilvl w:val="0"/>
                <w:numId w:val="0"/>
              </w:numPr>
              <w:rPr>
                <w:rFonts w:hint="default" w:ascii="Cambria" w:hAnsi="Cambria" w:cs="Cambria"/>
              </w:rPr>
            </w:pPr>
          </w:p>
          <w:p w14:paraId="54DBD334">
            <w:pPr>
              <w:numPr>
                <w:ilvl w:val="0"/>
                <w:numId w:val="0"/>
              </w:numPr>
              <w:rPr>
                <w:rFonts w:hint="default" w:ascii="Cambria" w:hAnsi="Cambria" w:cs="Cambria"/>
              </w:rPr>
            </w:pPr>
            <w:r>
              <w:rPr>
                <w:rFonts w:hint="default" w:ascii="Cambria" w:hAnsi="Cambria" w:cs="Cambria"/>
              </w:rPr>
              <w:t>"</w:t>
            </w:r>
            <w:r>
              <w:rPr>
                <w:rFonts w:hint="default" w:ascii="Cambria" w:hAnsi="Cambria" w:cs="Cambria"/>
                <w:lang w:eastAsia="zh-CN"/>
              </w:rPr>
              <w:t>metal jar</w:t>
            </w:r>
            <w:r>
              <w:rPr>
                <w:rFonts w:hint="default" w:ascii="Cambria" w:hAnsi="Cambria" w:cs="Cambria"/>
              </w:rPr>
              <w:t xml:space="preserve">", </w:t>
            </w:r>
          </w:p>
          <w:p w14:paraId="5C852EDB">
            <w:pPr>
              <w:numPr>
                <w:ilvl w:val="0"/>
                <w:numId w:val="0"/>
              </w:numPr>
              <w:rPr>
                <w:rFonts w:hint="default" w:ascii="Cambria" w:hAnsi="Cambria" w:cs="Cambria"/>
              </w:rPr>
            </w:pPr>
          </w:p>
          <w:p w14:paraId="1218A85C">
            <w:pPr>
              <w:numPr>
                <w:ilvl w:val="0"/>
                <w:numId w:val="0"/>
              </w:numPr>
              <w:rPr>
                <w:rFonts w:hint="default" w:ascii="Cambria" w:hAnsi="Cambria" w:cs="Cambria"/>
              </w:rPr>
            </w:pPr>
          </w:p>
          <w:p w14:paraId="13D2CFBE">
            <w:pPr>
              <w:numPr>
                <w:ilvl w:val="0"/>
                <w:numId w:val="0"/>
              </w:numPr>
              <w:rPr>
                <w:rFonts w:hint="default" w:ascii="Cambria" w:hAnsi="Cambria" w:cs="Cambria"/>
              </w:rPr>
            </w:pPr>
          </w:p>
          <w:p w14:paraId="0ADB7A73">
            <w:pPr>
              <w:numPr>
                <w:ilvl w:val="0"/>
                <w:numId w:val="0"/>
              </w:numPr>
              <w:rPr>
                <w:rFonts w:hint="default" w:ascii="Cambria" w:hAnsi="Cambria" w:cs="Cambria"/>
              </w:rPr>
            </w:pPr>
          </w:p>
          <w:p w14:paraId="2B9F17B5">
            <w:pPr>
              <w:numPr>
                <w:ilvl w:val="0"/>
                <w:numId w:val="0"/>
              </w:numPr>
              <w:rPr>
                <w:rFonts w:hint="default" w:ascii="Cambria" w:hAnsi="Cambria" w:cs="Cambria"/>
              </w:rPr>
            </w:pPr>
          </w:p>
          <w:p w14:paraId="5432933D">
            <w:pPr>
              <w:numPr>
                <w:ilvl w:val="0"/>
                <w:numId w:val="0"/>
              </w:numPr>
              <w:rPr>
                <w:rFonts w:hint="default" w:ascii="Cambria" w:hAnsi="Cambria" w:cs="Cambria"/>
              </w:rPr>
            </w:pPr>
            <w:r>
              <w:rPr>
                <w:rFonts w:hint="default" w:ascii="Cambria" w:hAnsi="Cambria" w:cs="Cambria"/>
              </w:rPr>
              <w:t>"</w:t>
            </w:r>
            <w:r>
              <w:rPr>
                <w:rFonts w:hint="default" w:ascii="Cambria" w:hAnsi="Cambria" w:cs="Cambria"/>
                <w:lang w:val="en-US" w:eastAsia="zh-CN"/>
              </w:rPr>
              <w:t>b</w:t>
            </w:r>
            <w:r>
              <w:rPr>
                <w:rFonts w:hint="default" w:ascii="Cambria" w:hAnsi="Cambria" w:cs="Cambria"/>
              </w:rPr>
              <w:t xml:space="preserve">ioceramic Fire </w:t>
            </w:r>
            <w:r>
              <w:rPr>
                <w:rFonts w:hint="default" w:ascii="Cambria" w:hAnsi="Cambria" w:cs="Cambria"/>
                <w:lang w:eastAsia="zh-CN"/>
              </w:rPr>
              <w:t>jar</w:t>
            </w:r>
            <w:r>
              <w:rPr>
                <w:rFonts w:hint="default" w:ascii="Cambria" w:hAnsi="Cambria" w:cs="Cambria"/>
              </w:rPr>
              <w:t xml:space="preserve">", </w:t>
            </w:r>
          </w:p>
          <w:p w14:paraId="40EA566D">
            <w:pPr>
              <w:numPr>
                <w:ilvl w:val="0"/>
                <w:numId w:val="0"/>
              </w:numPr>
              <w:rPr>
                <w:rFonts w:hint="default" w:ascii="Cambria" w:hAnsi="Cambria" w:cs="Cambria"/>
              </w:rPr>
            </w:pPr>
          </w:p>
          <w:p w14:paraId="45DA13DE">
            <w:pPr>
              <w:numPr>
                <w:ilvl w:val="0"/>
                <w:numId w:val="0"/>
              </w:numPr>
              <w:rPr>
                <w:rFonts w:hint="default" w:ascii="Cambria" w:hAnsi="Cambria" w:cs="Cambria"/>
              </w:rPr>
            </w:pPr>
          </w:p>
          <w:p w14:paraId="0BF3936C">
            <w:pPr>
              <w:numPr>
                <w:ilvl w:val="0"/>
                <w:numId w:val="0"/>
              </w:numPr>
              <w:rPr>
                <w:rFonts w:hint="default" w:ascii="Cambria" w:hAnsi="Cambria" w:cs="Cambria"/>
                <w:vertAlign w:val="baseline"/>
              </w:rPr>
            </w:pPr>
            <w:r>
              <w:rPr>
                <w:rFonts w:hint="default" w:ascii="Cambria" w:hAnsi="Cambria" w:cs="Cambria"/>
              </w:rPr>
              <w:t>"</w:t>
            </w:r>
            <w:r>
              <w:rPr>
                <w:rFonts w:hint="default" w:ascii="Cambria" w:hAnsi="Cambria" w:cs="Cambria"/>
                <w:lang w:eastAsia="zh-CN"/>
              </w:rPr>
              <w:t>plastic jar</w:t>
            </w:r>
            <w:r>
              <w:rPr>
                <w:rFonts w:hint="default" w:ascii="Cambria" w:hAnsi="Cambria" w:cs="Cambria"/>
              </w:rPr>
              <w:t>"</w:t>
            </w:r>
          </w:p>
        </w:tc>
        <w:tc>
          <w:tcPr>
            <w:tcW w:w="3675" w:type="dxa"/>
            <w:tcBorders>
              <w:tl2br w:val="nil"/>
              <w:tr2bl w:val="nil"/>
            </w:tcBorders>
            <w:vAlign w:val="top"/>
          </w:tcPr>
          <w:p w14:paraId="4BE6206E">
            <w:pPr>
              <w:numPr>
                <w:ilvl w:val="0"/>
                <w:numId w:val="5"/>
              </w:numPr>
              <w:rPr>
                <w:rFonts w:hint="default" w:ascii="Cambria" w:hAnsi="Cambria" w:cs="Cambria"/>
              </w:rPr>
            </w:pPr>
            <w:r>
              <w:rPr>
                <w:rFonts w:hint="default" w:ascii="Cambria" w:hAnsi="Cambria" w:cs="Cambria"/>
                <w:lang w:eastAsia="zh-CN"/>
              </w:rPr>
              <w:t>horn jar</w:t>
            </w:r>
            <w:r>
              <w:rPr>
                <w:rFonts w:hint="default" w:ascii="Cambria" w:hAnsi="Cambria" w:cs="Cambria"/>
              </w:rPr>
              <w:t xml:space="preserve">: A </w:t>
            </w:r>
            <w:r>
              <w:rPr>
                <w:rFonts w:hint="default" w:ascii="Cambria" w:hAnsi="Cambria" w:cs="Cambria"/>
                <w:lang w:eastAsia="zh-CN"/>
              </w:rPr>
              <w:t>jar</w:t>
            </w:r>
            <w:r>
              <w:rPr>
                <w:rFonts w:hint="default" w:ascii="Cambria" w:hAnsi="Cambria" w:cs="Cambria"/>
              </w:rPr>
              <w:t xml:space="preserve"> made of processed cattle horn or sheep horn.  </w:t>
            </w:r>
          </w:p>
          <w:p w14:paraId="6B4FE5FC">
            <w:pPr>
              <w:numPr>
                <w:ilvl w:val="0"/>
                <w:numId w:val="0"/>
              </w:numPr>
              <w:rPr>
                <w:rFonts w:hint="default" w:ascii="Cambria" w:hAnsi="Cambria" w:cs="Cambria"/>
              </w:rPr>
            </w:pPr>
            <w:r>
              <w:rPr>
                <w:rFonts w:hint="default" w:ascii="Cambria" w:hAnsi="Cambria" w:cs="Cambria"/>
                <w:lang w:eastAsia="zh-CN"/>
              </w:rPr>
              <w:t>bamboo jar</w:t>
            </w:r>
            <w:r>
              <w:rPr>
                <w:rFonts w:hint="default" w:ascii="Cambria" w:hAnsi="Cambria" w:cs="Cambria"/>
              </w:rPr>
              <w:t xml:space="preserve">: Made from mature bamboo. Its advantages are light weight, low cost, easy availability of materials, simple production, and heat resistance. Disadvantages include easy bursting and air leakage, and </w:t>
            </w:r>
            <w:r>
              <w:rPr>
                <w:rFonts w:hint="default" w:ascii="Cambria" w:hAnsi="Cambria" w:cs="Cambria"/>
                <w:lang w:eastAsia="zh-CN"/>
              </w:rPr>
              <w:t>non-transparency</w:t>
            </w:r>
            <w:r>
              <w:rPr>
                <w:rFonts w:hint="default" w:ascii="Cambria" w:hAnsi="Cambria" w:cs="Cambria"/>
              </w:rPr>
              <w:t xml:space="preserve">, making it difficult to observe the changes in the skin inside the </w:t>
            </w:r>
            <w:r>
              <w:rPr>
                <w:rFonts w:hint="default" w:ascii="Cambria" w:hAnsi="Cambria" w:cs="Cambria"/>
                <w:lang w:eastAsia="zh-CN"/>
              </w:rPr>
              <w:t>jar</w:t>
            </w:r>
            <w:r>
              <w:rPr>
                <w:rFonts w:hint="default" w:ascii="Cambria" w:hAnsi="Cambria" w:cs="Cambria"/>
              </w:rPr>
              <w:t xml:space="preserve">. </w:t>
            </w:r>
            <w:r>
              <w:rPr>
                <w:rFonts w:hint="default" w:ascii="Cambria" w:hAnsi="Cambria" w:cs="Cambria"/>
                <w:lang w:eastAsia="zh-CN"/>
              </w:rPr>
              <w:t>bamboo jars</w:t>
            </w:r>
            <w:r>
              <w:rPr>
                <w:rFonts w:hint="default" w:ascii="Cambria" w:hAnsi="Cambria" w:cs="Cambria"/>
              </w:rPr>
              <w:t xml:space="preserve"> are easy to adsorb </w:t>
            </w:r>
            <w:r>
              <w:rPr>
                <w:rFonts w:hint="default" w:ascii="Cambria" w:hAnsi="Cambria" w:cs="Cambria"/>
                <w:lang w:val="en-US" w:eastAsia="zh-CN"/>
              </w:rPr>
              <w:t xml:space="preserve">medicine </w:t>
            </w:r>
            <w:r>
              <w:rPr>
                <w:rFonts w:hint="default" w:ascii="Cambria" w:hAnsi="Cambria" w:cs="Cambria"/>
              </w:rPr>
              <w:t xml:space="preserve">and are commonly used in the medicinal decoction cupping method. Different </w:t>
            </w:r>
            <w:r>
              <w:rPr>
                <w:rFonts w:hint="default" w:ascii="Cambria" w:hAnsi="Cambria" w:cs="Cambria"/>
                <w:lang w:val="en-US" w:eastAsia="zh-CN"/>
              </w:rPr>
              <w:t xml:space="preserve">herbs </w:t>
            </w:r>
            <w:r>
              <w:rPr>
                <w:rFonts w:hint="default" w:ascii="Cambria" w:hAnsi="Cambria" w:cs="Cambria"/>
              </w:rPr>
              <w:t xml:space="preserve">can be used to decoct the </w:t>
            </w:r>
            <w:r>
              <w:rPr>
                <w:rFonts w:hint="default" w:ascii="Cambria" w:hAnsi="Cambria" w:cs="Cambria"/>
                <w:lang w:val="en-US" w:eastAsia="zh-CN"/>
              </w:rPr>
              <w:t xml:space="preserve">jars </w:t>
            </w:r>
            <w:r>
              <w:rPr>
                <w:rFonts w:hint="default" w:ascii="Cambria" w:hAnsi="Cambria" w:cs="Cambria"/>
              </w:rPr>
              <w:t xml:space="preserve">according to different diseases to improve the curative effect.  </w:t>
            </w:r>
          </w:p>
          <w:p w14:paraId="596AB03F">
            <w:pPr>
              <w:numPr>
                <w:ilvl w:val="0"/>
                <w:numId w:val="0"/>
              </w:numPr>
              <w:rPr>
                <w:rFonts w:hint="default" w:ascii="Cambria" w:hAnsi="Cambria" w:cs="Cambria"/>
              </w:rPr>
            </w:pPr>
            <w:r>
              <w:rPr>
                <w:rFonts w:hint="default" w:ascii="Cambria" w:hAnsi="Cambria" w:cs="Cambria"/>
                <w:lang w:eastAsia="zh-CN"/>
              </w:rPr>
              <w:t>ceramic jar</w:t>
            </w:r>
            <w:r>
              <w:rPr>
                <w:rFonts w:hint="default" w:ascii="Cambria" w:hAnsi="Cambria" w:cs="Cambria"/>
              </w:rPr>
              <w:t xml:space="preserve">: Made of fired clay, with a smooth </w:t>
            </w:r>
            <w:r>
              <w:rPr>
                <w:rFonts w:hint="default" w:ascii="Cambria" w:hAnsi="Cambria" w:cs="Cambria"/>
                <w:lang w:eastAsia="zh-CN"/>
              </w:rPr>
              <w:t>jar</w:t>
            </w:r>
            <w:r>
              <w:rPr>
                <w:rFonts w:hint="default" w:ascii="Cambria" w:hAnsi="Cambria" w:cs="Cambria"/>
              </w:rPr>
              <w:t xml:space="preserve"> mouth, shaped like a wooden body, slightly smaller at the bottom, </w:t>
            </w:r>
            <w:r>
              <w:rPr>
                <w:rFonts w:hint="default" w:ascii="Cambria" w:hAnsi="Cambria" w:cs="Cambria"/>
                <w:lang w:eastAsia="zh-CN"/>
              </w:rPr>
              <w:t>a large cavity like a drum</w:t>
            </w:r>
            <w:r>
              <w:rPr>
                <w:rFonts w:hint="default" w:ascii="Cambria" w:hAnsi="Cambria" w:cs="Cambria"/>
              </w:rPr>
              <w:t xml:space="preserve">, and available in large, medium, small, and </w:t>
            </w:r>
            <w:r>
              <w:rPr>
                <w:rFonts w:hint="default" w:ascii="Cambria" w:hAnsi="Cambria" w:cs="Cambria"/>
                <w:lang w:eastAsia="zh-CN"/>
              </w:rPr>
              <w:t>extra-small</w:t>
            </w:r>
            <w:r>
              <w:rPr>
                <w:rFonts w:hint="default" w:ascii="Cambria" w:hAnsi="Cambria" w:cs="Cambria"/>
              </w:rPr>
              <w:t xml:space="preserve"> </w:t>
            </w:r>
            <w:r>
              <w:rPr>
                <w:rFonts w:hint="default" w:ascii="Cambria" w:hAnsi="Cambria" w:cs="Cambria"/>
                <w:lang w:eastAsia="zh-CN"/>
              </w:rPr>
              <w:t>sizes</w:t>
            </w:r>
            <w:r>
              <w:rPr>
                <w:rFonts w:hint="default" w:ascii="Cambria" w:hAnsi="Cambria" w:cs="Cambria"/>
              </w:rPr>
              <w:t xml:space="preserve">. Its advantages are relatively strong suction, easy </w:t>
            </w:r>
            <w:r>
              <w:rPr>
                <w:rFonts w:hint="default" w:ascii="Cambria" w:hAnsi="Cambria" w:cs="Cambria"/>
                <w:lang w:eastAsia="zh-CN"/>
              </w:rPr>
              <w:t>high-temperature</w:t>
            </w:r>
            <w:r>
              <w:rPr>
                <w:rFonts w:hint="default" w:ascii="Cambria" w:hAnsi="Cambria" w:cs="Cambria"/>
              </w:rPr>
              <w:t xml:space="preserve"> disinfection, and suitability for cupping on all parts of the body. Disadvantages are that the ceramic </w:t>
            </w:r>
            <w:r>
              <w:rPr>
                <w:rFonts w:hint="default" w:ascii="Cambria" w:hAnsi="Cambria" w:cs="Cambria"/>
                <w:lang w:eastAsia="zh-CN"/>
              </w:rPr>
              <w:t>jar</w:t>
            </w:r>
            <w:r>
              <w:rPr>
                <w:rFonts w:hint="default" w:ascii="Cambria" w:hAnsi="Cambria" w:cs="Cambria"/>
              </w:rPr>
              <w:t xml:space="preserve"> is heavy, easy to break, and </w:t>
            </w:r>
            <w:r>
              <w:rPr>
                <w:rFonts w:hint="default" w:ascii="Cambria" w:hAnsi="Cambria" w:cs="Cambria"/>
                <w:lang w:eastAsia="zh-CN"/>
              </w:rPr>
              <w:t>non-transparent</w:t>
            </w:r>
            <w:r>
              <w:rPr>
                <w:rFonts w:hint="default" w:ascii="Cambria" w:hAnsi="Cambria" w:cs="Cambria"/>
              </w:rPr>
              <w:t xml:space="preserve">. The relatively strong suction of the ceramic </w:t>
            </w:r>
            <w:r>
              <w:rPr>
                <w:rFonts w:hint="default" w:ascii="Cambria" w:hAnsi="Cambria" w:cs="Cambria"/>
                <w:lang w:eastAsia="zh-CN"/>
              </w:rPr>
              <w:t>jar</w:t>
            </w:r>
            <w:r>
              <w:rPr>
                <w:rFonts w:hint="default" w:ascii="Cambria" w:hAnsi="Cambria" w:cs="Cambria"/>
              </w:rPr>
              <w:t xml:space="preserve"> has a good curative effect on patients with strong constitutions or certain </w:t>
            </w:r>
            <w:r>
              <w:rPr>
                <w:rFonts w:hint="default" w:ascii="Cambria" w:hAnsi="Cambria" w:cs="Cambria"/>
                <w:lang w:eastAsia="zh-CN"/>
              </w:rPr>
              <w:t>deep-seated</w:t>
            </w:r>
            <w:r>
              <w:rPr>
                <w:rFonts w:hint="default" w:ascii="Cambria" w:hAnsi="Cambria" w:cs="Cambria"/>
              </w:rPr>
              <w:t xml:space="preserve"> diseases.  </w:t>
            </w:r>
          </w:p>
          <w:p w14:paraId="4F13A2A0">
            <w:pPr>
              <w:numPr>
                <w:ilvl w:val="0"/>
                <w:numId w:val="0"/>
              </w:numPr>
              <w:rPr>
                <w:rFonts w:hint="default" w:ascii="Cambria" w:hAnsi="Cambria" w:cs="Cambria"/>
              </w:rPr>
            </w:pPr>
            <w:r>
              <w:rPr>
                <w:rFonts w:hint="default" w:ascii="Cambria" w:hAnsi="Cambria" w:cs="Cambria"/>
                <w:lang w:eastAsia="zh-CN"/>
              </w:rPr>
              <w:t>glass jar</w:t>
            </w:r>
            <w:r>
              <w:rPr>
                <w:rFonts w:hint="default" w:ascii="Cambria" w:hAnsi="Cambria" w:cs="Cambria"/>
              </w:rPr>
              <w:t xml:space="preserve">: Made of </w:t>
            </w:r>
            <w:r>
              <w:rPr>
                <w:rFonts w:hint="default" w:ascii="Cambria" w:hAnsi="Cambria" w:cs="Cambria"/>
                <w:lang w:eastAsia="zh-CN"/>
              </w:rPr>
              <w:t>heat-resistant</w:t>
            </w:r>
            <w:r>
              <w:rPr>
                <w:rFonts w:hint="default" w:ascii="Cambria" w:hAnsi="Cambria" w:cs="Cambria"/>
              </w:rPr>
              <w:t xml:space="preserve">, hard, and transparent glass, with a smooth </w:t>
            </w:r>
            <w:r>
              <w:rPr>
                <w:rFonts w:hint="default" w:ascii="Cambria" w:hAnsi="Cambria" w:cs="Cambria"/>
                <w:lang w:eastAsia="zh-CN"/>
              </w:rPr>
              <w:t>jar</w:t>
            </w:r>
            <w:r>
              <w:rPr>
                <w:rFonts w:hint="default" w:ascii="Cambria" w:hAnsi="Cambria" w:cs="Cambria"/>
              </w:rPr>
              <w:t xml:space="preserve"> mouth, flat mouth, large cavity, and round bottom, and the mouth edge is slightly thick and</w:t>
            </w:r>
            <w:r>
              <w:rPr>
                <w:rFonts w:hint="default" w:ascii="Cambria" w:hAnsi="Cambria" w:cs="Cambria"/>
                <w:lang w:val="en-US" w:eastAsia="zh-CN"/>
              </w:rPr>
              <w:t xml:space="preserve"> outward flared</w:t>
            </w:r>
            <w:r>
              <w:rPr>
                <w:rFonts w:hint="default" w:ascii="Cambria" w:hAnsi="Cambria" w:cs="Cambria"/>
              </w:rPr>
              <w:t xml:space="preserve">, smooth inside and outside. Its advantage is transparency, allowing for </w:t>
            </w:r>
            <w:r>
              <w:rPr>
                <w:rFonts w:hint="default" w:ascii="Cambria" w:hAnsi="Cambria" w:cs="Cambria"/>
                <w:lang w:eastAsia="zh-CN"/>
              </w:rPr>
              <w:t>real-time</w:t>
            </w:r>
            <w:r>
              <w:rPr>
                <w:rFonts w:hint="default" w:ascii="Cambria" w:hAnsi="Cambria" w:cs="Cambria"/>
              </w:rPr>
              <w:t xml:space="preserve"> observation of the degree of skin congestion inside the </w:t>
            </w:r>
            <w:r>
              <w:rPr>
                <w:rFonts w:hint="default" w:ascii="Cambria" w:hAnsi="Cambria" w:cs="Cambria"/>
                <w:lang w:eastAsia="zh-CN"/>
              </w:rPr>
              <w:t>jar</w:t>
            </w:r>
            <w:r>
              <w:rPr>
                <w:rFonts w:hint="default" w:ascii="Cambria" w:hAnsi="Cambria" w:cs="Cambria"/>
              </w:rPr>
              <w:t xml:space="preserve"> during use. Disadvantages are fast heat transfer and easy breakage. </w:t>
            </w:r>
            <w:r>
              <w:rPr>
                <w:rFonts w:hint="default" w:ascii="Cambria" w:hAnsi="Cambria" w:cs="Cambria"/>
                <w:lang w:val="en-US" w:eastAsia="zh-CN"/>
              </w:rPr>
              <w:t>G</w:t>
            </w:r>
            <w:r>
              <w:rPr>
                <w:rFonts w:hint="default" w:ascii="Cambria" w:hAnsi="Cambria" w:cs="Cambria"/>
                <w:lang w:eastAsia="zh-CN"/>
              </w:rPr>
              <w:t>lass jar</w:t>
            </w:r>
            <w:r>
              <w:rPr>
                <w:rFonts w:hint="default" w:ascii="Cambria" w:hAnsi="Cambria" w:cs="Cambria"/>
              </w:rPr>
              <w:t xml:space="preserve">s are widely used clinically for </w:t>
            </w:r>
            <w:r>
              <w:rPr>
                <w:rFonts w:hint="default" w:ascii="Cambria" w:hAnsi="Cambria" w:cs="Cambria"/>
                <w:lang w:eastAsia="zh-CN"/>
              </w:rPr>
              <w:t>blood-letting puncture cupping</w:t>
            </w:r>
            <w:r>
              <w:rPr>
                <w:rFonts w:hint="default" w:ascii="Cambria" w:hAnsi="Cambria" w:cs="Cambria"/>
              </w:rPr>
              <w:t xml:space="preserve"> and tuina cupping, and have a good curative effect on blood stasis and cold congealing diseases.  </w:t>
            </w:r>
          </w:p>
          <w:p w14:paraId="04E9B46E">
            <w:pPr>
              <w:numPr>
                <w:ilvl w:val="0"/>
                <w:numId w:val="0"/>
              </w:numPr>
              <w:rPr>
                <w:rFonts w:hint="default" w:ascii="Cambria" w:hAnsi="Cambria" w:cs="Cambria"/>
              </w:rPr>
            </w:pPr>
            <w:r>
              <w:rPr>
                <w:rFonts w:hint="default" w:ascii="Cambria" w:hAnsi="Cambria" w:cs="Cambria"/>
                <w:lang w:eastAsia="zh-CN"/>
              </w:rPr>
              <w:t>metal jar</w:t>
            </w:r>
            <w:r>
              <w:rPr>
                <w:rFonts w:hint="default" w:ascii="Cambria" w:hAnsi="Cambria" w:cs="Cambria"/>
              </w:rPr>
              <w:t xml:space="preserve">: Divided into </w:t>
            </w:r>
            <w:r>
              <w:rPr>
                <w:rFonts w:hint="default" w:ascii="Cambria" w:hAnsi="Cambria" w:cs="Cambria"/>
                <w:lang w:eastAsia="zh-CN"/>
              </w:rPr>
              <w:t>copper jars</w:t>
            </w:r>
            <w:r>
              <w:rPr>
                <w:rFonts w:hint="default" w:ascii="Cambria" w:hAnsi="Cambria" w:cs="Cambria"/>
              </w:rPr>
              <w:t xml:space="preserve"> and </w:t>
            </w:r>
            <w:r>
              <w:rPr>
                <w:rFonts w:hint="default" w:ascii="Cambria" w:hAnsi="Cambria" w:cs="Cambria"/>
                <w:lang w:eastAsia="zh-CN"/>
              </w:rPr>
              <w:t>iron jars</w:t>
            </w:r>
            <w:r>
              <w:rPr>
                <w:rFonts w:hint="default" w:ascii="Cambria" w:hAnsi="Cambria" w:cs="Cambria"/>
              </w:rPr>
              <w:t xml:space="preserve">, made of steel or iron sheet. It has a shape similar to that of a glass </w:t>
            </w:r>
            <w:r>
              <w:rPr>
                <w:rFonts w:hint="default" w:ascii="Cambria" w:hAnsi="Cambria" w:cs="Cambria"/>
                <w:lang w:eastAsia="zh-CN"/>
              </w:rPr>
              <w:t>jar</w:t>
            </w:r>
            <w:r>
              <w:rPr>
                <w:rFonts w:hint="default" w:ascii="Cambria" w:hAnsi="Cambria" w:cs="Cambria"/>
              </w:rPr>
              <w:t xml:space="preserve">, with different calibers. </w:t>
            </w:r>
            <w:r>
              <w:rPr>
                <w:rFonts w:hint="default" w:ascii="Cambria" w:hAnsi="Cambria" w:cs="Cambria"/>
                <w:lang w:eastAsia="zh-CN"/>
              </w:rPr>
              <w:t>Copper jars</w:t>
            </w:r>
            <w:r>
              <w:rPr>
                <w:rFonts w:hint="default" w:ascii="Cambria" w:hAnsi="Cambria" w:cs="Cambria"/>
              </w:rPr>
              <w:t xml:space="preserve"> are more commonly used. </w:t>
            </w:r>
            <w:r>
              <w:rPr>
                <w:rFonts w:hint="default" w:ascii="Cambria" w:hAnsi="Cambria" w:cs="Cambria"/>
                <w:lang w:eastAsia="zh-CN"/>
              </w:rPr>
              <w:t>Metal jar</w:t>
            </w:r>
            <w:r>
              <w:rPr>
                <w:rFonts w:hint="default" w:ascii="Cambria" w:hAnsi="Cambria" w:cs="Cambria"/>
              </w:rPr>
              <w:t xml:space="preserve">s are characterized by durability and fast heat transfer.  </w:t>
            </w:r>
          </w:p>
          <w:p w14:paraId="747C5379">
            <w:pPr>
              <w:numPr>
                <w:ilvl w:val="0"/>
                <w:numId w:val="0"/>
              </w:numPr>
              <w:rPr>
                <w:rFonts w:hint="default" w:ascii="Cambria" w:hAnsi="Cambria" w:cs="Cambria"/>
              </w:rPr>
            </w:pPr>
            <w:r>
              <w:rPr>
                <w:rFonts w:hint="default" w:ascii="Cambria" w:hAnsi="Cambria" w:cs="Cambria"/>
                <w:lang w:eastAsia="zh-CN"/>
              </w:rPr>
              <w:t>bio-ceramic fire jar</w:t>
            </w:r>
            <w:r>
              <w:rPr>
                <w:rFonts w:hint="default" w:ascii="Cambria" w:hAnsi="Cambria" w:cs="Cambria"/>
              </w:rPr>
              <w:t xml:space="preserve">: Made by selecting a variety of oxidized polymers and other auxiliary materials for firing.  </w:t>
            </w:r>
          </w:p>
          <w:p w14:paraId="464BF15B">
            <w:pPr>
              <w:numPr>
                <w:ilvl w:val="0"/>
                <w:numId w:val="0"/>
              </w:numPr>
              <w:rPr>
                <w:rFonts w:hint="default" w:ascii="Cambria" w:hAnsi="Cambria" w:cs="Cambria"/>
                <w:vertAlign w:val="baseline"/>
              </w:rPr>
            </w:pPr>
            <w:r>
              <w:rPr>
                <w:rFonts w:hint="default" w:ascii="Cambria" w:hAnsi="Cambria" w:cs="Cambria"/>
                <w:lang w:eastAsia="zh-CN"/>
              </w:rPr>
              <w:t>plastic jar</w:t>
            </w:r>
            <w:r>
              <w:rPr>
                <w:rFonts w:hint="default" w:ascii="Cambria" w:hAnsi="Cambria" w:cs="Cambria"/>
              </w:rPr>
              <w:t xml:space="preserve">: Made of plastic or plastic based raw materials, inexpensive and not easy to break. Modern clinical suction </w:t>
            </w:r>
            <w:r>
              <w:rPr>
                <w:rFonts w:hint="default" w:ascii="Cambria" w:hAnsi="Cambria" w:cs="Cambria"/>
                <w:lang w:eastAsia="zh-CN"/>
              </w:rPr>
              <w:t>jars</w:t>
            </w:r>
            <w:r>
              <w:rPr>
                <w:rFonts w:hint="default" w:ascii="Cambria" w:hAnsi="Cambria" w:cs="Cambria"/>
              </w:rPr>
              <w:t xml:space="preserve"> are mostly made of plastic. (Source: </w:t>
            </w:r>
            <w:r>
              <w:rPr>
                <w:rFonts w:hint="default" w:ascii="Cambria" w:hAnsi="Cambria" w:cs="Cambria"/>
                <w:highlight w:val="none"/>
              </w:rPr>
              <w:t>Cupping Therapy of TCM</w:t>
            </w:r>
            <w:r>
              <w:rPr>
                <w:rFonts w:hint="default" w:ascii="Cambria" w:hAnsi="Cambria" w:cs="Cambria"/>
                <w:highlight w:val="none"/>
                <w:lang w:val="en-US" w:eastAsia="zh-CN"/>
              </w:rPr>
              <w:t xml:space="preserve">, </w:t>
            </w:r>
            <w:r>
              <w:rPr>
                <w:rFonts w:hint="default" w:ascii="Cambria" w:hAnsi="Cambria" w:cs="Cambria"/>
                <w:highlight w:val="none"/>
              </w:rPr>
              <w:t>Innovative Textbook for Higher Education in the National TCM Industry during the 14th Five-Year Plan. Editor in Chief: Chen Zelin. China Press of TCM, 2023</w:t>
            </w:r>
            <w:r>
              <w:rPr>
                <w:rFonts w:hint="default" w:ascii="Cambria" w:hAnsi="Cambria" w:cs="Cambria"/>
              </w:rPr>
              <w:t xml:space="preserve"> ) </w:t>
            </w:r>
          </w:p>
        </w:tc>
        <w:tc>
          <w:tcPr>
            <w:tcW w:w="1288" w:type="dxa"/>
            <w:tcBorders>
              <w:tl2br w:val="nil"/>
              <w:tr2bl w:val="nil"/>
            </w:tcBorders>
            <w:vAlign w:val="top"/>
          </w:tcPr>
          <w:p w14:paraId="7A9631B8">
            <w:pPr>
              <w:numPr>
                <w:ilvl w:val="0"/>
                <w:numId w:val="0"/>
              </w:numPr>
              <w:rPr>
                <w:rFonts w:hint="default" w:ascii="Cambria" w:hAnsi="Cambria" w:cs="Cambria"/>
                <w:vertAlign w:val="baseline"/>
              </w:rPr>
            </w:pPr>
            <w:r>
              <w:rPr>
                <w:rFonts w:hint="default" w:ascii="Cambria" w:hAnsi="Cambria" w:cs="Cambria"/>
              </w:rPr>
              <w:t xml:space="preserve">15   </w:t>
            </w:r>
          </w:p>
        </w:tc>
        <w:tc>
          <w:tcPr>
            <w:tcW w:w="1179" w:type="dxa"/>
            <w:tcBorders>
              <w:tl2br w:val="nil"/>
              <w:tr2bl w:val="nil"/>
            </w:tcBorders>
            <w:vAlign w:val="top"/>
          </w:tcPr>
          <w:p w14:paraId="3AE1C40E">
            <w:pPr>
              <w:numPr>
                <w:ilvl w:val="0"/>
                <w:numId w:val="0"/>
              </w:numPr>
              <w:rPr>
                <w:rFonts w:hint="default" w:ascii="Cambria" w:hAnsi="Cambria" w:cs="Cambria"/>
                <w:vertAlign w:val="baseline"/>
              </w:rPr>
            </w:pPr>
            <w:r>
              <w:rPr>
                <w:rFonts w:hint="default" w:ascii="Cambria" w:hAnsi="Cambria" w:cs="Cambria"/>
              </w:rPr>
              <w:t>50.00%</w:t>
            </w:r>
          </w:p>
        </w:tc>
      </w:tr>
    </w:tbl>
    <w:p w14:paraId="6086D489">
      <w:pPr>
        <w:numPr>
          <w:ilvl w:val="0"/>
          <w:numId w:val="0"/>
        </w:numPr>
        <w:rPr>
          <w:rFonts w:hint="default" w:ascii="Cambria" w:hAnsi="Cambria" w:cs="Cambria"/>
        </w:rPr>
      </w:pPr>
    </w:p>
    <w:p w14:paraId="6329A138">
      <w:pPr>
        <w:numPr>
          <w:ilvl w:val="0"/>
          <w:numId w:val="0"/>
        </w:numPr>
        <w:rPr>
          <w:rFonts w:hint="default" w:ascii="Cambria" w:hAnsi="Cambria" w:cs="Cambria"/>
        </w:rPr>
      </w:pPr>
    </w:p>
    <w:p w14:paraId="76F7C9AE">
      <w:pPr>
        <w:numPr>
          <w:ilvl w:val="0"/>
          <w:numId w:val="0"/>
        </w:numPr>
        <w:ind w:firstLine="420" w:firstLineChars="0"/>
        <w:rPr>
          <w:rFonts w:hint="default" w:ascii="Cambria" w:hAnsi="Cambria" w:cs="Cambria"/>
        </w:rPr>
      </w:pPr>
      <w:r>
        <w:rPr>
          <w:rFonts w:hint="default" w:ascii="Cambria" w:hAnsi="Cambria" w:cs="Cambria"/>
        </w:rPr>
        <w:t>The national standard content, specific option results, and expert opinions of the controversial items are as follows:</w:t>
      </w:r>
    </w:p>
    <w:p w14:paraId="4DB064BA">
      <w:pPr>
        <w:numPr>
          <w:ilvl w:val="0"/>
          <w:numId w:val="0"/>
        </w:numPr>
        <w:rPr>
          <w:rFonts w:hint="default" w:ascii="Cambria" w:hAnsi="Cambria" w:cs="Cambria"/>
        </w:rPr>
      </w:pPr>
    </w:p>
    <w:p w14:paraId="2E6FC708">
      <w:pPr>
        <w:numPr>
          <w:ilvl w:val="0"/>
          <w:numId w:val="0"/>
        </w:numPr>
        <w:rPr>
          <w:rFonts w:hint="default" w:ascii="Cambria" w:hAnsi="Cambria" w:cs="Cambria"/>
        </w:rPr>
      </w:pPr>
      <w:r>
        <w:rPr>
          <w:rFonts w:hint="default" w:ascii="Cambria" w:hAnsi="Cambria" w:cs="Cambria"/>
        </w:rPr>
        <w:t xml:space="preserve">(1) </w:t>
      </w:r>
      <w:r>
        <w:rPr>
          <w:rFonts w:hint="default" w:ascii="Cambria" w:hAnsi="Cambria" w:cs="Cambria"/>
          <w:lang w:val="en-US" w:eastAsia="zh-CN"/>
        </w:rPr>
        <w:t>J</w:t>
      </w:r>
      <w:r>
        <w:rPr>
          <w:rFonts w:hint="default" w:ascii="Cambria" w:hAnsi="Cambria" w:cs="Cambria"/>
          <w:lang w:eastAsia="zh-CN"/>
        </w:rPr>
        <w:t>ar</w:t>
      </w:r>
      <w:r>
        <w:rPr>
          <w:rFonts w:hint="default" w:ascii="Cambria" w:hAnsi="Cambria" w:cs="Cambria"/>
        </w:rPr>
        <w:t xml:space="preserve"> Disinfection</w:t>
      </w:r>
    </w:p>
    <w:p w14:paraId="445445DB">
      <w:pPr>
        <w:numPr>
          <w:ilvl w:val="0"/>
          <w:numId w:val="0"/>
        </w:numPr>
        <w:rPr>
          <w:rFonts w:hint="default" w:ascii="Cambria" w:hAnsi="Cambria" w:cs="Cambria" w:eastAsiaTheme="minorEastAsia"/>
          <w:lang w:eastAsia="zh-CN"/>
        </w:rPr>
      </w:pPr>
      <w:r>
        <w:rPr>
          <w:rFonts w:hint="default" w:ascii="Cambria" w:hAnsi="Cambria" w:cs="Cambria"/>
        </w:rPr>
        <w:t xml:space="preserve">Table 21 Survey Results of </w:t>
      </w:r>
      <w:r>
        <w:rPr>
          <w:rFonts w:hint="default" w:ascii="Cambria" w:hAnsi="Cambria" w:cs="Cambria"/>
          <w:lang w:val="en-US" w:eastAsia="zh-CN"/>
        </w:rPr>
        <w:t>J</w:t>
      </w:r>
      <w:r>
        <w:rPr>
          <w:rFonts w:hint="default" w:ascii="Cambria" w:hAnsi="Cambria" w:cs="Cambria"/>
          <w:lang w:eastAsia="zh-CN"/>
        </w:rPr>
        <w:t>ar</w:t>
      </w:r>
      <w:r>
        <w:rPr>
          <w:rFonts w:hint="default" w:ascii="Cambria" w:hAnsi="Cambria" w:cs="Cambria"/>
        </w:rPr>
        <w:t xml:space="preserve"> Disinfection</w:t>
      </w:r>
    </w:p>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68"/>
        <w:gridCol w:w="712"/>
        <w:gridCol w:w="950"/>
        <w:gridCol w:w="540"/>
        <w:gridCol w:w="952"/>
      </w:tblGrid>
      <w:tr w14:paraId="2A52D64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368" w:type="dxa"/>
            <w:tcBorders>
              <w:bottom w:val="single" w:color="auto" w:sz="4" w:space="0"/>
            </w:tcBorders>
            <w:vAlign w:val="top"/>
          </w:tcPr>
          <w:p w14:paraId="6750C48C">
            <w:pPr>
              <w:numPr>
                <w:ilvl w:val="0"/>
                <w:numId w:val="0"/>
              </w:numPr>
              <w:rPr>
                <w:rFonts w:hint="default" w:ascii="Cambria" w:hAnsi="Cambria" w:cs="Cambria"/>
                <w:vertAlign w:val="baseline"/>
              </w:rPr>
            </w:pPr>
            <w:r>
              <w:rPr>
                <w:rFonts w:hint="default" w:ascii="Cambria" w:hAnsi="Cambria" w:cs="Cambria"/>
              </w:rPr>
              <w:t xml:space="preserve">Option </w:t>
            </w:r>
          </w:p>
        </w:tc>
        <w:tc>
          <w:tcPr>
            <w:tcW w:w="712" w:type="dxa"/>
            <w:tcBorders>
              <w:bottom w:val="single" w:color="auto" w:sz="4" w:space="0"/>
            </w:tcBorders>
            <w:vAlign w:val="top"/>
          </w:tcPr>
          <w:p w14:paraId="4C1BC4CA">
            <w:pPr>
              <w:numPr>
                <w:ilvl w:val="0"/>
                <w:numId w:val="0"/>
              </w:numPr>
              <w:rPr>
                <w:rFonts w:hint="default" w:ascii="Cambria" w:hAnsi="Cambria" w:cs="Cambria"/>
                <w:vertAlign w:val="baseline"/>
              </w:rPr>
            </w:pPr>
            <w:r>
              <w:rPr>
                <w:rFonts w:hint="default" w:ascii="Cambria" w:hAnsi="Cambria" w:cs="Cambria"/>
              </w:rPr>
              <w:t>X̅</w:t>
            </w:r>
          </w:p>
        </w:tc>
        <w:tc>
          <w:tcPr>
            <w:tcW w:w="950" w:type="dxa"/>
            <w:tcBorders>
              <w:bottom w:val="single" w:color="auto" w:sz="4" w:space="0"/>
            </w:tcBorders>
            <w:vAlign w:val="top"/>
          </w:tcPr>
          <w:p w14:paraId="5D7A3030">
            <w:pPr>
              <w:numPr>
                <w:ilvl w:val="0"/>
                <w:numId w:val="0"/>
              </w:numPr>
              <w:rPr>
                <w:rFonts w:hint="default" w:ascii="Cambria" w:hAnsi="Cambria" w:cs="Cambria"/>
                <w:vertAlign w:val="baseline"/>
              </w:rPr>
            </w:pPr>
            <w:r>
              <w:rPr>
                <w:rFonts w:hint="default" w:ascii="Cambria" w:hAnsi="Cambria" w:cs="Cambria"/>
              </w:rPr>
              <w:t>R</w:t>
            </w:r>
          </w:p>
        </w:tc>
        <w:tc>
          <w:tcPr>
            <w:tcW w:w="540" w:type="dxa"/>
            <w:tcBorders>
              <w:bottom w:val="single" w:color="auto" w:sz="4" w:space="0"/>
            </w:tcBorders>
            <w:vAlign w:val="top"/>
          </w:tcPr>
          <w:p w14:paraId="08F035DB">
            <w:pPr>
              <w:numPr>
                <w:ilvl w:val="0"/>
                <w:numId w:val="0"/>
              </w:numPr>
              <w:rPr>
                <w:rFonts w:hint="default" w:ascii="Cambria" w:hAnsi="Cambria" w:cs="Cambria"/>
                <w:vertAlign w:val="baseline"/>
              </w:rPr>
            </w:pPr>
            <w:r>
              <w:rPr>
                <w:rFonts w:hint="default" w:ascii="Cambria" w:hAnsi="Cambria" w:cs="Cambria"/>
              </w:rPr>
              <w:t>S</w:t>
            </w:r>
          </w:p>
        </w:tc>
        <w:tc>
          <w:tcPr>
            <w:tcW w:w="952" w:type="dxa"/>
            <w:tcBorders>
              <w:bottom w:val="single" w:color="auto" w:sz="4" w:space="0"/>
            </w:tcBorders>
            <w:vAlign w:val="top"/>
          </w:tcPr>
          <w:p w14:paraId="50F6C51C">
            <w:pPr>
              <w:numPr>
                <w:ilvl w:val="0"/>
                <w:numId w:val="0"/>
              </w:numPr>
              <w:rPr>
                <w:rFonts w:hint="default" w:ascii="Cambria" w:hAnsi="Cambria" w:cs="Cambria"/>
                <w:vertAlign w:val="baseline"/>
              </w:rPr>
            </w:pPr>
            <w:r>
              <w:rPr>
                <w:rFonts w:hint="default" w:ascii="Cambria" w:hAnsi="Cambria" w:cs="Cambria"/>
              </w:rPr>
              <w:t>CV</w:t>
            </w:r>
          </w:p>
        </w:tc>
      </w:tr>
      <w:tr w14:paraId="35CE6A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368" w:type="dxa"/>
            <w:tcBorders>
              <w:top w:val="single" w:color="auto" w:sz="4" w:space="0"/>
              <w:tl2br w:val="nil"/>
              <w:tr2bl w:val="nil"/>
            </w:tcBorders>
            <w:vAlign w:val="top"/>
          </w:tcPr>
          <w:p w14:paraId="7B96A86E">
            <w:pPr>
              <w:numPr>
                <w:ilvl w:val="0"/>
                <w:numId w:val="0"/>
              </w:numPr>
              <w:rPr>
                <w:rFonts w:hint="default" w:ascii="Cambria" w:hAnsi="Cambria" w:cs="Cambria" w:eastAsiaTheme="minorEastAsia"/>
                <w:vertAlign w:val="baseline"/>
                <w:lang w:val="en-US" w:eastAsia="zh-CN"/>
              </w:rPr>
            </w:pPr>
            <w:r>
              <w:rPr>
                <w:rFonts w:hint="default" w:ascii="Cambria" w:hAnsi="Cambria" w:cs="Cambria"/>
              </w:rPr>
              <w:t xml:space="preserve"> A. Flushing: Place the instruments, appliances, and items under running water for flushing to initially remove contaminants.  Washing: After flushing, soak them in a medical cleaning agent and then scrub.  Rinsing: After washing, rinse or scrub with running water again.  Final rinsing: Use water with a conductivity of ≤ 15 μS/cm (25</w:t>
            </w:r>
            <w:r>
              <w:rPr>
                <w:rFonts w:hint="default" w:ascii="Cambria" w:hAnsi="Cambria" w:cs="Cambria"/>
                <w:lang w:eastAsia="zh-CN"/>
              </w:rPr>
              <w:t>°C</w:t>
            </w:r>
            <w:r>
              <w:rPr>
                <w:rFonts w:hint="default" w:ascii="Cambria" w:hAnsi="Cambria" w:cs="Cambria"/>
              </w:rPr>
              <w:t xml:space="preserve">) for rinsing.  Precautions: </w:t>
            </w:r>
            <w:r>
              <w:rPr>
                <w:rFonts w:hint="default" w:ascii="Cambria" w:hAnsi="Cambria" w:cs="Cambria"/>
                <w:lang w:eastAsia="zh-CN"/>
              </w:rPr>
              <w:t>The water temperature for manual cleaning should be maintained at 15°C to 30°C.</w:t>
            </w:r>
            <w:r>
              <w:rPr>
                <w:rFonts w:hint="default" w:ascii="Cambria" w:hAnsi="Cambria" w:cs="Cambria"/>
              </w:rPr>
              <w:t xml:space="preserve"> To remove </w:t>
            </w:r>
            <w:r>
              <w:rPr>
                <w:rFonts w:hint="default" w:ascii="Cambria" w:hAnsi="Cambria" w:cs="Cambria"/>
                <w:lang w:eastAsia="zh-CN"/>
              </w:rPr>
              <w:t>dried-up</w:t>
            </w:r>
            <w:r>
              <w:rPr>
                <w:rFonts w:hint="default" w:ascii="Cambria" w:hAnsi="Cambria" w:cs="Cambria"/>
              </w:rPr>
              <w:t xml:space="preserve"> stains, first soak them in a medical cleaning agent and then scrub. If there is rust, remove the rust. The scrubbing operation should be carried out under the water surface to prevent the generation of aerosols. The detachable parts of the instruments should be disassembled for cleaning. For lumen type instruments, first select a suitable cleaning brush to clean the inner cavity, and then rinse with a pressure water gun. Do not use abrasive cleaning materials and utensils for </w:t>
            </w:r>
            <w:r>
              <w:rPr>
                <w:rFonts w:hint="default" w:ascii="Cambria" w:hAnsi="Cambria" w:cs="Cambria"/>
                <w:lang w:val="en-US" w:eastAsia="zh-CN"/>
              </w:rPr>
              <w:t>d</w:t>
            </w:r>
            <w:r>
              <w:rPr>
                <w:rFonts w:hint="default" w:ascii="Cambria" w:hAnsi="Cambria" w:cs="Cambria"/>
              </w:rPr>
              <w:t xml:space="preserve">isinfection, and select scrubbing utensils and supplies that match the material of the instrument. (Source: </w:t>
            </w:r>
            <w:r>
              <w:rPr>
                <w:rFonts w:hint="default" w:ascii="Cambria" w:hAnsi="Cambria" w:cs="Cambria"/>
                <w:lang w:eastAsia="zh-CN"/>
              </w:rPr>
              <w:t>WS 310.2-2016</w:t>
            </w:r>
            <w:r>
              <w:rPr>
                <w:rFonts w:hint="default" w:ascii="Cambria" w:hAnsi="Cambria" w:cs="Cambria"/>
                <w:lang w:val="en-US" w:eastAsia="zh-CN"/>
              </w:rPr>
              <w:t xml:space="preserve"> CSSD</w:t>
            </w:r>
            <w:r>
              <w:rPr>
                <w:rFonts w:hint="default" w:ascii="Cambria" w:hAnsi="Cambria" w:cs="Cambria"/>
                <w:lang w:eastAsia="zh-CN"/>
              </w:rPr>
              <w:t>–Part 2</w:t>
            </w:r>
            <w:r>
              <w:rPr>
                <w:rFonts w:hint="default" w:ascii="Cambria" w:hAnsi="Cambria" w:cs="Cambria"/>
                <w:lang w:val="en-US" w:eastAsia="zh-CN"/>
              </w:rPr>
              <w:t>)</w:t>
            </w:r>
          </w:p>
        </w:tc>
        <w:tc>
          <w:tcPr>
            <w:tcW w:w="712" w:type="dxa"/>
            <w:tcBorders>
              <w:top w:val="single" w:color="auto" w:sz="4" w:space="0"/>
              <w:tl2br w:val="nil"/>
              <w:tr2bl w:val="nil"/>
            </w:tcBorders>
            <w:vAlign w:val="top"/>
          </w:tcPr>
          <w:p w14:paraId="3FBD9E31">
            <w:pPr>
              <w:numPr>
                <w:ilvl w:val="0"/>
                <w:numId w:val="0"/>
              </w:numPr>
              <w:rPr>
                <w:rFonts w:hint="default" w:ascii="Cambria" w:hAnsi="Cambria" w:cs="Cambria"/>
                <w:vertAlign w:val="baseline"/>
              </w:rPr>
            </w:pPr>
            <w:r>
              <w:rPr>
                <w:rFonts w:hint="default" w:ascii="Cambria" w:hAnsi="Cambria" w:cs="Cambria"/>
              </w:rPr>
              <w:t xml:space="preserve"> 0.47</w:t>
            </w:r>
          </w:p>
        </w:tc>
        <w:tc>
          <w:tcPr>
            <w:tcW w:w="950" w:type="dxa"/>
            <w:tcBorders>
              <w:top w:val="single" w:color="auto" w:sz="4" w:space="0"/>
              <w:tl2br w:val="nil"/>
              <w:tr2bl w:val="nil"/>
            </w:tcBorders>
            <w:vAlign w:val="top"/>
          </w:tcPr>
          <w:p w14:paraId="53311E74">
            <w:pPr>
              <w:numPr>
                <w:ilvl w:val="0"/>
                <w:numId w:val="0"/>
              </w:numPr>
              <w:rPr>
                <w:rFonts w:hint="default" w:ascii="Cambria" w:hAnsi="Cambria" w:cs="Cambria"/>
                <w:vertAlign w:val="baseline"/>
              </w:rPr>
            </w:pPr>
            <w:r>
              <w:rPr>
                <w:rFonts w:hint="default" w:ascii="Cambria" w:hAnsi="Cambria" w:cs="Cambria"/>
              </w:rPr>
              <w:t>53.00%</w:t>
            </w:r>
          </w:p>
        </w:tc>
        <w:tc>
          <w:tcPr>
            <w:tcW w:w="540" w:type="dxa"/>
            <w:tcBorders>
              <w:top w:val="single" w:color="auto" w:sz="4" w:space="0"/>
              <w:tl2br w:val="nil"/>
              <w:tr2bl w:val="nil"/>
            </w:tcBorders>
            <w:vAlign w:val="top"/>
          </w:tcPr>
          <w:p w14:paraId="748FB01F">
            <w:pPr>
              <w:numPr>
                <w:ilvl w:val="0"/>
                <w:numId w:val="0"/>
              </w:numPr>
              <w:rPr>
                <w:rFonts w:hint="default" w:ascii="Cambria" w:hAnsi="Cambria" w:cs="Cambria"/>
                <w:vertAlign w:val="baseline"/>
              </w:rPr>
            </w:pPr>
            <w:r>
              <w:rPr>
                <w:rFonts w:hint="default" w:ascii="Cambria" w:hAnsi="Cambria" w:cs="Cambria"/>
              </w:rPr>
              <w:t>14</w:t>
            </w:r>
          </w:p>
        </w:tc>
        <w:tc>
          <w:tcPr>
            <w:tcW w:w="952" w:type="dxa"/>
            <w:tcBorders>
              <w:top w:val="single" w:color="auto" w:sz="4" w:space="0"/>
              <w:tl2br w:val="nil"/>
              <w:tr2bl w:val="nil"/>
            </w:tcBorders>
            <w:vAlign w:val="top"/>
          </w:tcPr>
          <w:p w14:paraId="7BE9E01D">
            <w:pPr>
              <w:numPr>
                <w:ilvl w:val="0"/>
                <w:numId w:val="0"/>
              </w:numPr>
              <w:rPr>
                <w:rFonts w:hint="default" w:ascii="Cambria" w:hAnsi="Cambria" w:cs="Cambria"/>
                <w:vertAlign w:val="baseline"/>
              </w:rPr>
            </w:pPr>
            <w:r>
              <w:rPr>
                <w:rFonts w:hint="default" w:ascii="Cambria" w:hAnsi="Cambria" w:cs="Cambria"/>
              </w:rPr>
              <w:t>107.96%</w:t>
            </w:r>
          </w:p>
        </w:tc>
      </w:tr>
      <w:tr w14:paraId="6B8E0BE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368" w:type="dxa"/>
            <w:tcBorders>
              <w:tl2br w:val="nil"/>
              <w:tr2bl w:val="nil"/>
            </w:tcBorders>
            <w:vAlign w:val="top"/>
          </w:tcPr>
          <w:p w14:paraId="20D5EE0B">
            <w:pPr>
              <w:numPr>
                <w:ilvl w:val="0"/>
                <w:numId w:val="0"/>
              </w:numPr>
              <w:rPr>
                <w:rFonts w:hint="default" w:ascii="Cambria" w:hAnsi="Cambria" w:cs="Cambria"/>
                <w:vertAlign w:val="baseline"/>
              </w:rPr>
            </w:pPr>
            <w:r>
              <w:rPr>
                <w:rFonts w:hint="default" w:ascii="Cambria" w:hAnsi="Cambria" w:cs="Cambria"/>
              </w:rPr>
              <w:t xml:space="preserve">B. Follow the original text of the national standard. </w:t>
            </w:r>
          </w:p>
        </w:tc>
        <w:tc>
          <w:tcPr>
            <w:tcW w:w="712" w:type="dxa"/>
            <w:tcBorders>
              <w:tl2br w:val="nil"/>
              <w:tr2bl w:val="nil"/>
            </w:tcBorders>
            <w:vAlign w:val="top"/>
          </w:tcPr>
          <w:p w14:paraId="42B06EEF">
            <w:pPr>
              <w:numPr>
                <w:ilvl w:val="0"/>
                <w:numId w:val="0"/>
              </w:numPr>
              <w:rPr>
                <w:rFonts w:hint="default" w:ascii="Cambria" w:hAnsi="Cambria" w:cs="Cambria"/>
                <w:vertAlign w:val="baseline"/>
              </w:rPr>
            </w:pPr>
            <w:r>
              <w:rPr>
                <w:rFonts w:hint="default" w:ascii="Cambria" w:hAnsi="Cambria" w:cs="Cambria"/>
              </w:rPr>
              <w:t>0.43</w:t>
            </w:r>
          </w:p>
        </w:tc>
        <w:tc>
          <w:tcPr>
            <w:tcW w:w="950" w:type="dxa"/>
            <w:tcBorders>
              <w:tl2br w:val="nil"/>
              <w:tr2bl w:val="nil"/>
            </w:tcBorders>
            <w:vAlign w:val="top"/>
          </w:tcPr>
          <w:p w14:paraId="0B0F5D88">
            <w:pPr>
              <w:numPr>
                <w:ilvl w:val="0"/>
                <w:numId w:val="0"/>
              </w:numPr>
              <w:rPr>
                <w:rFonts w:hint="default" w:ascii="Cambria" w:hAnsi="Cambria" w:cs="Cambria"/>
                <w:vertAlign w:val="baseline"/>
              </w:rPr>
            </w:pPr>
            <w:r>
              <w:rPr>
                <w:rFonts w:hint="default" w:ascii="Cambria" w:hAnsi="Cambria" w:cs="Cambria"/>
              </w:rPr>
              <w:t xml:space="preserve">57.00% </w:t>
            </w:r>
          </w:p>
        </w:tc>
        <w:tc>
          <w:tcPr>
            <w:tcW w:w="540" w:type="dxa"/>
            <w:tcBorders>
              <w:tl2br w:val="nil"/>
              <w:tr2bl w:val="nil"/>
            </w:tcBorders>
            <w:vAlign w:val="top"/>
          </w:tcPr>
          <w:p w14:paraId="0F6ADE41">
            <w:pPr>
              <w:numPr>
                <w:ilvl w:val="0"/>
                <w:numId w:val="0"/>
              </w:numPr>
              <w:rPr>
                <w:rFonts w:hint="default" w:ascii="Cambria" w:hAnsi="Cambria" w:cs="Cambria"/>
                <w:vertAlign w:val="baseline"/>
              </w:rPr>
            </w:pPr>
            <w:r>
              <w:rPr>
                <w:rFonts w:hint="default" w:ascii="Cambria" w:hAnsi="Cambria" w:cs="Cambria"/>
              </w:rPr>
              <w:t xml:space="preserve">13 </w:t>
            </w:r>
          </w:p>
        </w:tc>
        <w:tc>
          <w:tcPr>
            <w:tcW w:w="952" w:type="dxa"/>
            <w:tcBorders>
              <w:tl2br w:val="nil"/>
              <w:tr2bl w:val="nil"/>
            </w:tcBorders>
            <w:vAlign w:val="top"/>
          </w:tcPr>
          <w:p w14:paraId="29159EFF">
            <w:pPr>
              <w:numPr>
                <w:ilvl w:val="0"/>
                <w:numId w:val="0"/>
              </w:numPr>
              <w:rPr>
                <w:rFonts w:hint="default" w:ascii="Cambria" w:hAnsi="Cambria" w:cs="Cambria"/>
                <w:vertAlign w:val="baseline"/>
              </w:rPr>
            </w:pPr>
            <w:r>
              <w:rPr>
                <w:rFonts w:hint="default" w:ascii="Cambria" w:hAnsi="Cambria" w:cs="Cambria"/>
              </w:rPr>
              <w:t>117.21%</w:t>
            </w:r>
          </w:p>
        </w:tc>
      </w:tr>
    </w:tbl>
    <w:p w14:paraId="59FC709D">
      <w:pPr>
        <w:numPr>
          <w:ilvl w:val="0"/>
          <w:numId w:val="0"/>
        </w:numPr>
        <w:rPr>
          <w:rFonts w:hint="default" w:ascii="Cambria" w:hAnsi="Cambria" w:cs="Cambria"/>
        </w:rPr>
      </w:pPr>
    </w:p>
    <w:p w14:paraId="58FCDE2D">
      <w:pPr>
        <w:numPr>
          <w:ilvl w:val="0"/>
          <w:numId w:val="0"/>
        </w:numPr>
        <w:ind w:firstLine="420" w:firstLineChars="0"/>
        <w:rPr>
          <w:rFonts w:hint="default" w:ascii="Cambria" w:hAnsi="Cambria" w:cs="Cambria"/>
        </w:rPr>
      </w:pPr>
      <w:r>
        <w:rPr>
          <w:rFonts w:hint="default" w:ascii="Cambria" w:hAnsi="Cambria" w:cs="Cambria"/>
        </w:rPr>
        <w:t xml:space="preserve">Regarding </w:t>
      </w:r>
      <w:r>
        <w:rPr>
          <w:rFonts w:hint="default" w:ascii="Cambria" w:hAnsi="Cambria" w:cs="Cambria"/>
          <w:lang w:eastAsia="zh-CN"/>
        </w:rPr>
        <w:t>jar</w:t>
      </w:r>
      <w:r>
        <w:rPr>
          <w:rFonts w:hint="default" w:ascii="Cambria" w:hAnsi="Cambria" w:cs="Cambria"/>
        </w:rPr>
        <w:t xml:space="preserve"> disinfection, experts suggested combining </w:t>
      </w:r>
      <w:r>
        <w:rPr>
          <w:rFonts w:hint="default" w:ascii="Cambria" w:hAnsi="Cambria" w:cs="Cambria"/>
          <w:lang w:val="en-US" w:eastAsia="zh-CN"/>
        </w:rPr>
        <w:t xml:space="preserve">both </w:t>
      </w:r>
      <w:r>
        <w:rPr>
          <w:rFonts w:hint="default" w:ascii="Cambria" w:hAnsi="Cambria" w:cs="Cambria"/>
        </w:rPr>
        <w:t xml:space="preserve">options, and some also suggested rewriting this item. The reasons are as follows: (1) The original national standard text has two problems. First, </w:t>
      </w:r>
      <w:r>
        <w:rPr>
          <w:rFonts w:hint="default" w:ascii="Cambria" w:hAnsi="Cambria" w:cs="Cambria"/>
          <w:lang w:val="en-US" w:eastAsia="zh-CN"/>
        </w:rPr>
        <w:t xml:space="preserve">the </w:t>
      </w:r>
      <w:r>
        <w:rPr>
          <w:rFonts w:hint="default" w:ascii="Cambria" w:hAnsi="Cambria" w:cs="Cambria"/>
        </w:rPr>
        <w:t>84</w:t>
      </w:r>
      <w:r>
        <w:rPr>
          <w:rFonts w:hint="default" w:ascii="Cambria" w:hAnsi="Cambria" w:cs="Cambria"/>
          <w:lang w:val="en-US" w:eastAsia="zh-CN"/>
        </w:rPr>
        <w:t>-brand</w:t>
      </w:r>
      <w:r>
        <w:rPr>
          <w:rFonts w:hint="default" w:ascii="Cambria" w:hAnsi="Cambria" w:cs="Cambria"/>
        </w:rPr>
        <w:t xml:space="preserve"> disinfectant is a domestic commodity name. By component, it should be </w:t>
      </w:r>
      <w:r>
        <w:rPr>
          <w:rFonts w:hint="default" w:ascii="Cambria" w:hAnsi="Cambria" w:cs="Cambria"/>
          <w:lang w:eastAsia="zh-CN"/>
        </w:rPr>
        <w:t>5.5%–6.5</w:t>
      </w:r>
      <w:r>
        <w:rPr>
          <w:rFonts w:hint="default" w:ascii="Cambria" w:hAnsi="Cambria" w:cs="Cambria"/>
        </w:rPr>
        <w:t xml:space="preserve">% sodium hypochlorite solution. For an international standard, it is unknown whether it is commonly used abroad. According to AI, it is said that the EU has not approved it as a chemical. There are also a series of operations for using </w:t>
      </w:r>
      <w:r>
        <w:rPr>
          <w:rFonts w:hint="default" w:ascii="Cambria" w:hAnsi="Cambria" w:cs="Cambria"/>
          <w:lang w:eastAsia="zh-CN"/>
        </w:rPr>
        <w:t>the 84</w:t>
      </w:r>
      <w:r>
        <w:rPr>
          <w:rFonts w:hint="default" w:ascii="Cambria" w:hAnsi="Cambria" w:cs="Cambria"/>
        </w:rPr>
        <w:t xml:space="preserve"> disinfectant, such as rinsing with clean water after use, and the current description is too simple. Second, 'Repeated wiping with 75% ethanol cotton balls' may be too simple. (2) </w:t>
      </w:r>
      <w:r>
        <w:rPr>
          <w:rFonts w:hint="default" w:ascii="Cambria" w:hAnsi="Cambria" w:cs="Cambria"/>
          <w:lang w:val="en-US" w:eastAsia="zh-CN"/>
        </w:rPr>
        <w:t>CSSD–</w:t>
      </w:r>
      <w:r>
        <w:rPr>
          <w:rFonts w:hint="default" w:ascii="Cambria" w:hAnsi="Cambria" w:cs="Cambria"/>
        </w:rPr>
        <w:t>Part 2</w:t>
      </w:r>
      <w:r>
        <w:rPr>
          <w:rFonts w:hint="default" w:ascii="Cambria" w:hAnsi="Cambria" w:cs="Cambria"/>
          <w:lang w:val="en-US" w:eastAsia="zh-CN"/>
        </w:rPr>
        <w:t xml:space="preserve"> </w:t>
      </w:r>
      <w:r>
        <w:rPr>
          <w:rFonts w:hint="default" w:ascii="Cambria" w:hAnsi="Cambria" w:cs="Cambria"/>
        </w:rPr>
        <w:t xml:space="preserve">is too cumbersome and not specifically for </w:t>
      </w:r>
      <w:r>
        <w:rPr>
          <w:rFonts w:hint="default" w:ascii="Cambria" w:hAnsi="Cambria" w:cs="Cambria"/>
          <w:lang w:eastAsia="zh-CN"/>
        </w:rPr>
        <w:t>jar</w:t>
      </w:r>
      <w:r>
        <w:rPr>
          <w:rFonts w:hint="default" w:ascii="Cambria" w:hAnsi="Cambria" w:cs="Cambria"/>
        </w:rPr>
        <w:t xml:space="preserve"> disinfection. There is a new draft for soliciting opinions on </w:t>
      </w:r>
      <w:r>
        <w:rPr>
          <w:rFonts w:hint="default" w:ascii="Cambria" w:hAnsi="Cambria" w:cs="Cambria"/>
          <w:lang w:val="en-US" w:eastAsia="zh-CN"/>
        </w:rPr>
        <w:t>that</w:t>
      </w:r>
      <w:r>
        <w:rPr>
          <w:rFonts w:hint="default" w:ascii="Cambria" w:hAnsi="Cambria" w:cs="Cambria"/>
        </w:rPr>
        <w:t xml:space="preserve"> on the Internet, and the content may change (see the WeChat official account 'Zhejiang Disinfection', June 2, 2023, Soliciting Opinions on Three Health Standards includ</w:t>
      </w:r>
      <w:r>
        <w:rPr>
          <w:rFonts w:hint="default" w:ascii="Cambria" w:hAnsi="Cambria" w:cs="Cambria"/>
          <w:lang w:val="en-US" w:eastAsia="zh-CN"/>
        </w:rPr>
        <w:t>ed in</w:t>
      </w:r>
      <w:r>
        <w:rPr>
          <w:rFonts w:hint="default" w:ascii="Cambria" w:hAnsi="Cambria" w:cs="Cambria"/>
        </w:rPr>
        <w:t xml:space="preserve"> "</w:t>
      </w:r>
      <w:r>
        <w:rPr>
          <w:rFonts w:hint="default" w:ascii="Cambria" w:hAnsi="Cambria" w:cs="Cambria"/>
          <w:lang w:val="en-US" w:eastAsia="zh-CN"/>
        </w:rPr>
        <w:t>CSSD–</w:t>
      </w:r>
      <w:r>
        <w:rPr>
          <w:rFonts w:hint="default" w:ascii="Cambria" w:hAnsi="Cambria" w:cs="Cambria"/>
        </w:rPr>
        <w:t>Part 1</w:t>
      </w:r>
      <w:r>
        <w:rPr>
          <w:rFonts w:hint="default" w:ascii="Cambria" w:hAnsi="Cambria" w:cs="Cambria"/>
          <w:lang w:val="en-US" w:eastAsia="zh-CN"/>
        </w:rPr>
        <w:t xml:space="preserve">: </w:t>
      </w:r>
      <w:r>
        <w:rPr>
          <w:rFonts w:hint="default" w:ascii="Cambria" w:hAnsi="Cambria" w:cs="Cambria"/>
        </w:rPr>
        <w:t>Management Specifications.")</w:t>
      </w:r>
    </w:p>
    <w:p w14:paraId="2BDED9F6">
      <w:pPr>
        <w:numPr>
          <w:ilvl w:val="0"/>
          <w:numId w:val="0"/>
        </w:numPr>
        <w:rPr>
          <w:rFonts w:hint="default" w:ascii="Cambria" w:hAnsi="Cambria" w:cs="Cambria"/>
        </w:rPr>
      </w:pPr>
    </w:p>
    <w:p w14:paraId="09907F1C">
      <w:pPr>
        <w:numPr>
          <w:ilvl w:val="0"/>
          <w:numId w:val="0"/>
        </w:numPr>
        <w:rPr>
          <w:rFonts w:hint="default" w:ascii="Cambria" w:hAnsi="Cambria" w:cs="Cambria"/>
        </w:rPr>
      </w:pPr>
      <w:r>
        <w:rPr>
          <w:rFonts w:hint="default" w:ascii="Cambria" w:hAnsi="Cambria" w:cs="Cambria"/>
        </w:rPr>
        <w:t>(2) Definitions of "</w:t>
      </w:r>
      <w:r>
        <w:rPr>
          <w:rFonts w:hint="default" w:ascii="Cambria" w:hAnsi="Cambria" w:cs="Cambria"/>
          <w:lang w:eastAsia="zh-CN"/>
        </w:rPr>
        <w:t>horn jar</w:t>
      </w:r>
      <w:r>
        <w:rPr>
          <w:rFonts w:hint="default" w:ascii="Cambria" w:hAnsi="Cambria" w:cs="Cambria"/>
        </w:rPr>
        <w:t>", "</w:t>
      </w:r>
      <w:r>
        <w:rPr>
          <w:rFonts w:hint="default" w:ascii="Cambria" w:hAnsi="Cambria" w:cs="Cambria"/>
          <w:lang w:eastAsia="zh-CN"/>
        </w:rPr>
        <w:t>bamboo jar</w:t>
      </w:r>
      <w:r>
        <w:rPr>
          <w:rFonts w:hint="default" w:ascii="Cambria" w:hAnsi="Cambria" w:cs="Cambria"/>
        </w:rPr>
        <w:t>", "</w:t>
      </w:r>
      <w:r>
        <w:rPr>
          <w:rFonts w:hint="default" w:ascii="Cambria" w:hAnsi="Cambria" w:cs="Cambria"/>
          <w:lang w:eastAsia="zh-CN"/>
        </w:rPr>
        <w:t>ceramic jar</w:t>
      </w:r>
      <w:r>
        <w:rPr>
          <w:rFonts w:hint="default" w:ascii="Cambria" w:hAnsi="Cambria" w:cs="Cambria"/>
        </w:rPr>
        <w:t>", "</w:t>
      </w:r>
      <w:r>
        <w:rPr>
          <w:rFonts w:hint="default" w:ascii="Cambria" w:hAnsi="Cambria" w:cs="Cambria"/>
          <w:lang w:eastAsia="zh-CN"/>
        </w:rPr>
        <w:t>glass jar</w:t>
      </w:r>
      <w:r>
        <w:rPr>
          <w:rFonts w:hint="default" w:ascii="Cambria" w:hAnsi="Cambria" w:cs="Cambria"/>
        </w:rPr>
        <w:t>", "</w:t>
      </w:r>
      <w:r>
        <w:rPr>
          <w:rFonts w:hint="default" w:ascii="Cambria" w:hAnsi="Cambria" w:cs="Cambria"/>
          <w:lang w:eastAsia="zh-CN"/>
        </w:rPr>
        <w:t>metal jar</w:t>
      </w:r>
      <w:r>
        <w:rPr>
          <w:rFonts w:hint="default" w:ascii="Cambria" w:hAnsi="Cambria" w:cs="Cambria"/>
        </w:rPr>
        <w:t>", "</w:t>
      </w:r>
      <w:r>
        <w:rPr>
          <w:rFonts w:hint="default" w:ascii="Cambria" w:hAnsi="Cambria" w:cs="Cambria"/>
          <w:lang w:eastAsia="zh-CN"/>
        </w:rPr>
        <w:t>bio-ceramic fire jar</w:t>
      </w:r>
      <w:r>
        <w:rPr>
          <w:rFonts w:hint="default" w:ascii="Cambria" w:hAnsi="Cambria" w:cs="Cambria"/>
        </w:rPr>
        <w:t>", "</w:t>
      </w:r>
      <w:r>
        <w:rPr>
          <w:rFonts w:hint="default" w:ascii="Cambria" w:hAnsi="Cambria" w:cs="Cambria"/>
          <w:lang w:eastAsia="zh-CN"/>
        </w:rPr>
        <w:t>plastic jar</w:t>
      </w:r>
      <w:r>
        <w:rPr>
          <w:rFonts w:hint="default" w:ascii="Cambria" w:hAnsi="Cambria" w:cs="Cambria"/>
        </w:rPr>
        <w:t>"</w:t>
      </w:r>
    </w:p>
    <w:p w14:paraId="48E2301C">
      <w:pPr>
        <w:numPr>
          <w:ilvl w:val="0"/>
          <w:numId w:val="0"/>
        </w:numPr>
        <w:rPr>
          <w:rFonts w:hint="default" w:ascii="Cambria" w:hAnsi="Cambria" w:cs="Cambria"/>
        </w:rPr>
      </w:pPr>
      <w:r>
        <w:rPr>
          <w:rFonts w:hint="default" w:ascii="Cambria" w:hAnsi="Cambria" w:cs="Cambria"/>
        </w:rPr>
        <w:t>Table 22 Survey Results of the Definitions of "</w:t>
      </w:r>
      <w:r>
        <w:rPr>
          <w:rFonts w:hint="default" w:ascii="Cambria" w:hAnsi="Cambria" w:cs="Cambria"/>
          <w:lang w:eastAsia="zh-CN"/>
        </w:rPr>
        <w:t>horn jar</w:t>
      </w:r>
      <w:r>
        <w:rPr>
          <w:rFonts w:hint="default" w:ascii="Cambria" w:hAnsi="Cambria" w:cs="Cambria"/>
        </w:rPr>
        <w:t>", "</w:t>
      </w:r>
      <w:r>
        <w:rPr>
          <w:rFonts w:hint="default" w:ascii="Cambria" w:hAnsi="Cambria" w:cs="Cambria"/>
          <w:lang w:eastAsia="zh-CN"/>
        </w:rPr>
        <w:t>bamboo jar</w:t>
      </w:r>
      <w:r>
        <w:rPr>
          <w:rFonts w:hint="default" w:ascii="Cambria" w:hAnsi="Cambria" w:cs="Cambria"/>
        </w:rPr>
        <w:t>", "</w:t>
      </w:r>
      <w:r>
        <w:rPr>
          <w:rFonts w:hint="default" w:ascii="Cambria" w:hAnsi="Cambria" w:cs="Cambria"/>
          <w:lang w:eastAsia="zh-CN"/>
        </w:rPr>
        <w:t>ceramic jar</w:t>
      </w:r>
      <w:r>
        <w:rPr>
          <w:rFonts w:hint="default" w:ascii="Cambria" w:hAnsi="Cambria" w:cs="Cambria"/>
        </w:rPr>
        <w:t>", "</w:t>
      </w:r>
      <w:r>
        <w:rPr>
          <w:rFonts w:hint="default" w:ascii="Cambria" w:hAnsi="Cambria" w:cs="Cambria"/>
          <w:lang w:eastAsia="zh-CN"/>
        </w:rPr>
        <w:t>glass jar</w:t>
      </w:r>
      <w:r>
        <w:rPr>
          <w:rFonts w:hint="default" w:ascii="Cambria" w:hAnsi="Cambria" w:cs="Cambria"/>
        </w:rPr>
        <w:t>", "</w:t>
      </w:r>
      <w:r>
        <w:rPr>
          <w:rFonts w:hint="default" w:ascii="Cambria" w:hAnsi="Cambria" w:cs="Cambria"/>
          <w:lang w:eastAsia="zh-CN"/>
        </w:rPr>
        <w:t>metal jar</w:t>
      </w:r>
      <w:r>
        <w:rPr>
          <w:rFonts w:hint="default" w:ascii="Cambria" w:hAnsi="Cambria" w:cs="Cambria"/>
        </w:rPr>
        <w:t>", "</w:t>
      </w:r>
      <w:r>
        <w:rPr>
          <w:rFonts w:hint="default" w:ascii="Cambria" w:hAnsi="Cambria" w:cs="Cambria"/>
          <w:lang w:eastAsia="zh-CN"/>
        </w:rPr>
        <w:t>bio-ceramic fire jar</w:t>
      </w:r>
      <w:r>
        <w:rPr>
          <w:rFonts w:hint="default" w:ascii="Cambria" w:hAnsi="Cambria" w:cs="Cambria"/>
        </w:rPr>
        <w:t>", "</w:t>
      </w:r>
      <w:r>
        <w:rPr>
          <w:rFonts w:hint="default" w:ascii="Cambria" w:hAnsi="Cambria" w:cs="Cambria"/>
          <w:lang w:eastAsia="zh-CN"/>
        </w:rPr>
        <w:t>plastic jar</w:t>
      </w:r>
      <w:r>
        <w:rPr>
          <w:rFonts w:hint="default" w:ascii="Cambria" w:hAnsi="Cambria" w:cs="Cambria"/>
        </w:rPr>
        <w:t>"</w:t>
      </w:r>
    </w:p>
    <w:tbl>
      <w:tblPr>
        <w:tblStyle w:val="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68"/>
        <w:gridCol w:w="712"/>
        <w:gridCol w:w="950"/>
        <w:gridCol w:w="540"/>
        <w:gridCol w:w="952"/>
      </w:tblGrid>
      <w:tr w14:paraId="3A0CEC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368" w:type="dxa"/>
            <w:tcBorders>
              <w:bottom w:val="single" w:color="auto" w:sz="4" w:space="0"/>
            </w:tcBorders>
            <w:vAlign w:val="top"/>
          </w:tcPr>
          <w:p w14:paraId="2DB2AB7A">
            <w:pPr>
              <w:numPr>
                <w:ilvl w:val="0"/>
                <w:numId w:val="0"/>
              </w:numPr>
              <w:rPr>
                <w:rFonts w:hint="default" w:ascii="Cambria" w:hAnsi="Cambria" w:cs="Cambria"/>
                <w:vertAlign w:val="baseline"/>
              </w:rPr>
            </w:pPr>
            <w:r>
              <w:rPr>
                <w:rFonts w:hint="default" w:ascii="Cambria" w:hAnsi="Cambria" w:cs="Cambria"/>
              </w:rPr>
              <w:t xml:space="preserve">Option </w:t>
            </w:r>
          </w:p>
        </w:tc>
        <w:tc>
          <w:tcPr>
            <w:tcW w:w="712" w:type="dxa"/>
            <w:tcBorders>
              <w:bottom w:val="single" w:color="auto" w:sz="4" w:space="0"/>
            </w:tcBorders>
            <w:vAlign w:val="top"/>
          </w:tcPr>
          <w:p w14:paraId="4FF7EC30">
            <w:pPr>
              <w:numPr>
                <w:ilvl w:val="0"/>
                <w:numId w:val="0"/>
              </w:numPr>
              <w:rPr>
                <w:rFonts w:hint="default" w:ascii="Cambria" w:hAnsi="Cambria" w:cs="Cambria"/>
                <w:vertAlign w:val="baseline"/>
              </w:rPr>
            </w:pPr>
            <w:r>
              <w:rPr>
                <w:rFonts w:hint="default" w:ascii="Cambria" w:hAnsi="Cambria" w:cs="Cambria"/>
              </w:rPr>
              <w:t>X̅</w:t>
            </w:r>
          </w:p>
        </w:tc>
        <w:tc>
          <w:tcPr>
            <w:tcW w:w="950" w:type="dxa"/>
            <w:tcBorders>
              <w:bottom w:val="single" w:color="auto" w:sz="4" w:space="0"/>
            </w:tcBorders>
            <w:vAlign w:val="top"/>
          </w:tcPr>
          <w:p w14:paraId="1C4CEA76">
            <w:pPr>
              <w:numPr>
                <w:ilvl w:val="0"/>
                <w:numId w:val="0"/>
              </w:numPr>
              <w:rPr>
                <w:rFonts w:hint="default" w:ascii="Cambria" w:hAnsi="Cambria" w:cs="Cambria"/>
                <w:vertAlign w:val="baseline"/>
              </w:rPr>
            </w:pPr>
            <w:r>
              <w:rPr>
                <w:rFonts w:hint="default" w:ascii="Cambria" w:hAnsi="Cambria" w:cs="Cambria"/>
              </w:rPr>
              <w:t>R</w:t>
            </w:r>
          </w:p>
        </w:tc>
        <w:tc>
          <w:tcPr>
            <w:tcW w:w="540" w:type="dxa"/>
            <w:tcBorders>
              <w:bottom w:val="single" w:color="auto" w:sz="4" w:space="0"/>
            </w:tcBorders>
            <w:vAlign w:val="top"/>
          </w:tcPr>
          <w:p w14:paraId="707DCB09">
            <w:pPr>
              <w:numPr>
                <w:ilvl w:val="0"/>
                <w:numId w:val="0"/>
              </w:numPr>
              <w:rPr>
                <w:rFonts w:hint="default" w:ascii="Cambria" w:hAnsi="Cambria" w:cs="Cambria"/>
                <w:vertAlign w:val="baseline"/>
              </w:rPr>
            </w:pPr>
            <w:r>
              <w:rPr>
                <w:rFonts w:hint="default" w:ascii="Cambria" w:hAnsi="Cambria" w:cs="Cambria"/>
              </w:rPr>
              <w:t>S</w:t>
            </w:r>
          </w:p>
        </w:tc>
        <w:tc>
          <w:tcPr>
            <w:tcW w:w="952" w:type="dxa"/>
            <w:tcBorders>
              <w:bottom w:val="single" w:color="auto" w:sz="4" w:space="0"/>
            </w:tcBorders>
            <w:vAlign w:val="top"/>
          </w:tcPr>
          <w:p w14:paraId="67F6503F">
            <w:pPr>
              <w:numPr>
                <w:ilvl w:val="0"/>
                <w:numId w:val="0"/>
              </w:numPr>
              <w:rPr>
                <w:rFonts w:hint="default" w:ascii="Cambria" w:hAnsi="Cambria" w:cs="Cambria"/>
                <w:vertAlign w:val="baseline"/>
              </w:rPr>
            </w:pPr>
            <w:r>
              <w:rPr>
                <w:rFonts w:hint="default" w:ascii="Cambria" w:hAnsi="Cambria" w:cs="Cambria"/>
              </w:rPr>
              <w:t>CV</w:t>
            </w:r>
          </w:p>
        </w:tc>
      </w:tr>
      <w:tr w14:paraId="3C07ACE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368" w:type="dxa"/>
            <w:tcBorders>
              <w:top w:val="single" w:color="auto" w:sz="4" w:space="0"/>
              <w:tl2br w:val="nil"/>
              <w:tr2bl w:val="nil"/>
            </w:tcBorders>
            <w:vAlign w:val="top"/>
          </w:tcPr>
          <w:p w14:paraId="2FDE0E35">
            <w:pPr>
              <w:numPr>
                <w:ilvl w:val="0"/>
                <w:numId w:val="6"/>
              </w:numPr>
              <w:ind w:left="105" w:leftChars="0" w:firstLine="0" w:firstLineChars="0"/>
              <w:rPr>
                <w:rFonts w:hint="default" w:ascii="Cambria" w:hAnsi="Cambria" w:cs="Cambria"/>
              </w:rPr>
            </w:pPr>
            <w:r>
              <w:rPr>
                <w:rFonts w:hint="default" w:ascii="Cambria" w:hAnsi="Cambria" w:cs="Cambria"/>
                <w:lang w:eastAsia="zh-CN"/>
              </w:rPr>
              <w:t>horn jar</w:t>
            </w:r>
            <w:r>
              <w:rPr>
                <w:rFonts w:hint="default" w:ascii="Cambria" w:hAnsi="Cambria" w:cs="Cambria"/>
              </w:rPr>
              <w:t xml:space="preserve">: A </w:t>
            </w:r>
            <w:r>
              <w:rPr>
                <w:rFonts w:hint="default" w:ascii="Cambria" w:hAnsi="Cambria" w:cs="Cambria"/>
                <w:lang w:eastAsia="zh-CN"/>
              </w:rPr>
              <w:t>jar</w:t>
            </w:r>
            <w:r>
              <w:rPr>
                <w:rFonts w:hint="default" w:ascii="Cambria" w:hAnsi="Cambria" w:cs="Cambria"/>
              </w:rPr>
              <w:t xml:space="preserve"> made of processed cattle horn or sheep horn.  </w:t>
            </w:r>
          </w:p>
          <w:p w14:paraId="2D398F86">
            <w:pPr>
              <w:numPr>
                <w:ilvl w:val="0"/>
                <w:numId w:val="0"/>
              </w:numPr>
              <w:ind w:left="105" w:leftChars="0"/>
              <w:rPr>
                <w:rFonts w:hint="default" w:ascii="Cambria" w:hAnsi="Cambria" w:cs="Cambria"/>
              </w:rPr>
            </w:pPr>
            <w:r>
              <w:rPr>
                <w:rFonts w:hint="default" w:ascii="Cambria" w:hAnsi="Cambria" w:cs="Cambria"/>
                <w:lang w:eastAsia="zh-CN"/>
              </w:rPr>
              <w:t>bamboo jar</w:t>
            </w:r>
            <w:r>
              <w:rPr>
                <w:rFonts w:hint="default" w:ascii="Cambria" w:hAnsi="Cambria" w:cs="Cambria"/>
              </w:rPr>
              <w:t xml:space="preserve">: Made from mature bamboo. Its advantages are light weight, low cost, easy availability of materials, simple production, and heat resistance. Disadvantages include easy bursting and air leakage, and </w:t>
            </w:r>
            <w:r>
              <w:rPr>
                <w:rFonts w:hint="default" w:ascii="Cambria" w:hAnsi="Cambria" w:cs="Cambria"/>
                <w:lang w:eastAsia="zh-CN"/>
              </w:rPr>
              <w:t>non-transparency</w:t>
            </w:r>
            <w:r>
              <w:rPr>
                <w:rFonts w:hint="default" w:ascii="Cambria" w:hAnsi="Cambria" w:cs="Cambria"/>
              </w:rPr>
              <w:t xml:space="preserve">, making it difficult to observe the changes in the skin inside the </w:t>
            </w:r>
            <w:r>
              <w:rPr>
                <w:rFonts w:hint="default" w:ascii="Cambria" w:hAnsi="Cambria" w:cs="Cambria"/>
                <w:lang w:eastAsia="zh-CN"/>
              </w:rPr>
              <w:t>jar</w:t>
            </w:r>
            <w:r>
              <w:rPr>
                <w:rFonts w:hint="default" w:ascii="Cambria" w:hAnsi="Cambria" w:cs="Cambria"/>
              </w:rPr>
              <w:t xml:space="preserve">. </w:t>
            </w:r>
            <w:r>
              <w:rPr>
                <w:rFonts w:hint="default" w:ascii="Cambria" w:hAnsi="Cambria" w:cs="Cambria"/>
                <w:lang w:val="en-US" w:eastAsia="zh-CN"/>
              </w:rPr>
              <w:t>B</w:t>
            </w:r>
            <w:r>
              <w:rPr>
                <w:rFonts w:hint="default" w:ascii="Cambria" w:hAnsi="Cambria" w:cs="Cambria"/>
                <w:lang w:eastAsia="zh-CN"/>
              </w:rPr>
              <w:t>amboo jar</w:t>
            </w:r>
            <w:r>
              <w:rPr>
                <w:rFonts w:hint="default" w:ascii="Cambria" w:hAnsi="Cambria" w:cs="Cambria"/>
              </w:rPr>
              <w:t xml:space="preserve">s are easy to adsorb </w:t>
            </w:r>
            <w:r>
              <w:rPr>
                <w:rFonts w:hint="default" w:ascii="Cambria" w:hAnsi="Cambria" w:cs="Cambria"/>
                <w:lang w:val="en-US" w:eastAsia="zh-CN"/>
              </w:rPr>
              <w:t xml:space="preserve">medicine </w:t>
            </w:r>
            <w:r>
              <w:rPr>
                <w:rFonts w:hint="default" w:ascii="Cambria" w:hAnsi="Cambria" w:cs="Cambria"/>
              </w:rPr>
              <w:t xml:space="preserve">and are commonly used in the medicinal decoction cupping method. Different </w:t>
            </w:r>
            <w:r>
              <w:rPr>
                <w:rFonts w:hint="default" w:ascii="Cambria" w:hAnsi="Cambria" w:cs="Cambria"/>
                <w:lang w:val="en-US" w:eastAsia="zh-CN"/>
              </w:rPr>
              <w:t xml:space="preserve">herbs </w:t>
            </w:r>
            <w:r>
              <w:rPr>
                <w:rFonts w:hint="default" w:ascii="Cambria" w:hAnsi="Cambria" w:cs="Cambria"/>
              </w:rPr>
              <w:t xml:space="preserve">can be used to decoct the </w:t>
            </w:r>
            <w:r>
              <w:rPr>
                <w:rFonts w:hint="default" w:ascii="Cambria" w:hAnsi="Cambria" w:cs="Cambria"/>
                <w:lang w:val="en-US" w:eastAsia="zh-CN"/>
              </w:rPr>
              <w:t xml:space="preserve">jars </w:t>
            </w:r>
            <w:r>
              <w:rPr>
                <w:rFonts w:hint="default" w:ascii="Cambria" w:hAnsi="Cambria" w:cs="Cambria"/>
              </w:rPr>
              <w:t xml:space="preserve">according to different diseases to improve the curative effect.  </w:t>
            </w:r>
          </w:p>
          <w:p w14:paraId="45AD8B9B">
            <w:pPr>
              <w:numPr>
                <w:ilvl w:val="0"/>
                <w:numId w:val="0"/>
              </w:numPr>
              <w:ind w:left="105" w:leftChars="0"/>
              <w:rPr>
                <w:rFonts w:hint="default" w:ascii="Cambria" w:hAnsi="Cambria" w:cs="Cambria"/>
              </w:rPr>
            </w:pPr>
            <w:r>
              <w:rPr>
                <w:rFonts w:hint="default" w:ascii="Cambria" w:hAnsi="Cambria" w:cs="Cambria"/>
                <w:lang w:eastAsia="zh-CN"/>
              </w:rPr>
              <w:t>ceramic jar</w:t>
            </w:r>
            <w:r>
              <w:rPr>
                <w:rFonts w:hint="default" w:ascii="Cambria" w:hAnsi="Cambria" w:cs="Cambria"/>
              </w:rPr>
              <w:t xml:space="preserve">: Made of fired clay, with a smooth </w:t>
            </w:r>
            <w:r>
              <w:rPr>
                <w:rFonts w:hint="default" w:ascii="Cambria" w:hAnsi="Cambria" w:cs="Cambria"/>
                <w:lang w:eastAsia="zh-CN"/>
              </w:rPr>
              <w:t>jar</w:t>
            </w:r>
            <w:r>
              <w:rPr>
                <w:rFonts w:hint="default" w:ascii="Cambria" w:hAnsi="Cambria" w:cs="Cambria"/>
              </w:rPr>
              <w:t xml:space="preserve"> mouth, shaped like a wooden body, slightly smaller at the bottom, </w:t>
            </w:r>
            <w:r>
              <w:rPr>
                <w:rFonts w:hint="default" w:ascii="Cambria" w:hAnsi="Cambria" w:cs="Cambria"/>
                <w:lang w:eastAsia="zh-CN"/>
              </w:rPr>
              <w:t>a large cavity like a drum</w:t>
            </w:r>
            <w:r>
              <w:rPr>
                <w:rFonts w:hint="default" w:ascii="Cambria" w:hAnsi="Cambria" w:cs="Cambria"/>
              </w:rPr>
              <w:t xml:space="preserve">, and available in large, medium, small, and </w:t>
            </w:r>
            <w:r>
              <w:rPr>
                <w:rFonts w:hint="default" w:ascii="Cambria" w:hAnsi="Cambria" w:cs="Cambria"/>
                <w:lang w:eastAsia="zh-CN"/>
              </w:rPr>
              <w:t>extra-small</w:t>
            </w:r>
            <w:r>
              <w:rPr>
                <w:rFonts w:hint="default" w:ascii="Cambria" w:hAnsi="Cambria" w:cs="Cambria"/>
              </w:rPr>
              <w:t xml:space="preserve"> </w:t>
            </w:r>
            <w:r>
              <w:rPr>
                <w:rFonts w:hint="default" w:ascii="Cambria" w:hAnsi="Cambria" w:cs="Cambria"/>
                <w:lang w:eastAsia="zh-CN"/>
              </w:rPr>
              <w:t>sizes</w:t>
            </w:r>
            <w:r>
              <w:rPr>
                <w:rFonts w:hint="default" w:ascii="Cambria" w:hAnsi="Cambria" w:cs="Cambria"/>
              </w:rPr>
              <w:t xml:space="preserve">. Its advantages are relatively strong suction, easy </w:t>
            </w:r>
            <w:r>
              <w:rPr>
                <w:rFonts w:hint="default" w:ascii="Cambria" w:hAnsi="Cambria" w:cs="Cambria"/>
                <w:lang w:eastAsia="zh-CN"/>
              </w:rPr>
              <w:t>high-temperature</w:t>
            </w:r>
            <w:r>
              <w:rPr>
                <w:rFonts w:hint="default" w:ascii="Cambria" w:hAnsi="Cambria" w:cs="Cambria"/>
              </w:rPr>
              <w:t xml:space="preserve"> disinfection, and suitability for cupping on all parts of the body. Disadvantages are that the ceramic </w:t>
            </w:r>
            <w:r>
              <w:rPr>
                <w:rFonts w:hint="default" w:ascii="Cambria" w:hAnsi="Cambria" w:cs="Cambria"/>
                <w:lang w:eastAsia="zh-CN"/>
              </w:rPr>
              <w:t>jar</w:t>
            </w:r>
            <w:r>
              <w:rPr>
                <w:rFonts w:hint="default" w:ascii="Cambria" w:hAnsi="Cambria" w:cs="Cambria"/>
              </w:rPr>
              <w:t xml:space="preserve"> is heavy, easy to break, and </w:t>
            </w:r>
            <w:r>
              <w:rPr>
                <w:rFonts w:hint="default" w:ascii="Cambria" w:hAnsi="Cambria" w:cs="Cambria"/>
                <w:lang w:eastAsia="zh-CN"/>
              </w:rPr>
              <w:t>non-transparent</w:t>
            </w:r>
            <w:r>
              <w:rPr>
                <w:rFonts w:hint="default" w:ascii="Cambria" w:hAnsi="Cambria" w:cs="Cambria"/>
              </w:rPr>
              <w:t xml:space="preserve">. The relatively strong suction of the ceramic </w:t>
            </w:r>
            <w:r>
              <w:rPr>
                <w:rFonts w:hint="default" w:ascii="Cambria" w:hAnsi="Cambria" w:cs="Cambria"/>
                <w:lang w:eastAsia="zh-CN"/>
              </w:rPr>
              <w:t>jar</w:t>
            </w:r>
            <w:r>
              <w:rPr>
                <w:rFonts w:hint="default" w:ascii="Cambria" w:hAnsi="Cambria" w:cs="Cambria"/>
              </w:rPr>
              <w:t xml:space="preserve"> has a good curative effect on patients with strong constitutions or certain </w:t>
            </w:r>
            <w:r>
              <w:rPr>
                <w:rFonts w:hint="default" w:ascii="Cambria" w:hAnsi="Cambria" w:cs="Cambria"/>
                <w:lang w:eastAsia="zh-CN"/>
              </w:rPr>
              <w:t>deep-seated</w:t>
            </w:r>
            <w:r>
              <w:rPr>
                <w:rFonts w:hint="default" w:ascii="Cambria" w:hAnsi="Cambria" w:cs="Cambria"/>
              </w:rPr>
              <w:t xml:space="preserve"> diseases.  </w:t>
            </w:r>
          </w:p>
          <w:p w14:paraId="29282A89">
            <w:pPr>
              <w:numPr>
                <w:ilvl w:val="0"/>
                <w:numId w:val="0"/>
              </w:numPr>
              <w:ind w:left="105" w:leftChars="0"/>
              <w:rPr>
                <w:rFonts w:hint="default" w:ascii="Cambria" w:hAnsi="Cambria" w:cs="Cambria"/>
              </w:rPr>
            </w:pPr>
            <w:r>
              <w:rPr>
                <w:rFonts w:hint="default" w:ascii="Cambria" w:hAnsi="Cambria" w:cs="Cambria"/>
                <w:lang w:eastAsia="zh-CN"/>
              </w:rPr>
              <w:t>glass jar</w:t>
            </w:r>
            <w:r>
              <w:rPr>
                <w:rFonts w:hint="default" w:ascii="Cambria" w:hAnsi="Cambria" w:cs="Cambria"/>
              </w:rPr>
              <w:t xml:space="preserve">: Made of </w:t>
            </w:r>
            <w:r>
              <w:rPr>
                <w:rFonts w:hint="default" w:ascii="Cambria" w:hAnsi="Cambria" w:cs="Cambria"/>
                <w:lang w:eastAsia="zh-CN"/>
              </w:rPr>
              <w:t>heat-resistant</w:t>
            </w:r>
            <w:r>
              <w:rPr>
                <w:rFonts w:hint="default" w:ascii="Cambria" w:hAnsi="Cambria" w:cs="Cambria"/>
              </w:rPr>
              <w:t xml:space="preserve">, hard, and transparent glass, with a smooth </w:t>
            </w:r>
            <w:r>
              <w:rPr>
                <w:rFonts w:hint="default" w:ascii="Cambria" w:hAnsi="Cambria" w:cs="Cambria"/>
                <w:lang w:eastAsia="zh-CN"/>
              </w:rPr>
              <w:t>jar</w:t>
            </w:r>
            <w:r>
              <w:rPr>
                <w:rFonts w:hint="default" w:ascii="Cambria" w:hAnsi="Cambria" w:cs="Cambria"/>
              </w:rPr>
              <w:t xml:space="preserve"> mouth, flat mouth, large cavity, and round bottom, and the mouth edge is slightly thick and</w:t>
            </w:r>
            <w:r>
              <w:rPr>
                <w:rFonts w:hint="default" w:ascii="Cambria" w:hAnsi="Cambria" w:cs="Cambria"/>
                <w:lang w:val="en-US" w:eastAsia="zh-CN"/>
              </w:rPr>
              <w:t xml:space="preserve"> outward flared</w:t>
            </w:r>
            <w:r>
              <w:rPr>
                <w:rFonts w:hint="default" w:ascii="Cambria" w:hAnsi="Cambria" w:cs="Cambria"/>
              </w:rPr>
              <w:t xml:space="preserve">, smooth inside and outside. Its advantage is transparency, allowing for </w:t>
            </w:r>
            <w:r>
              <w:rPr>
                <w:rFonts w:hint="default" w:ascii="Cambria" w:hAnsi="Cambria" w:cs="Cambria"/>
                <w:lang w:eastAsia="zh-CN"/>
              </w:rPr>
              <w:t>real-time</w:t>
            </w:r>
            <w:r>
              <w:rPr>
                <w:rFonts w:hint="default" w:ascii="Cambria" w:hAnsi="Cambria" w:cs="Cambria"/>
              </w:rPr>
              <w:t xml:space="preserve"> observation of the degree of skin congestion inside the </w:t>
            </w:r>
            <w:r>
              <w:rPr>
                <w:rFonts w:hint="default" w:ascii="Cambria" w:hAnsi="Cambria" w:cs="Cambria"/>
                <w:lang w:eastAsia="zh-CN"/>
              </w:rPr>
              <w:t>jar</w:t>
            </w:r>
            <w:r>
              <w:rPr>
                <w:rFonts w:hint="default" w:ascii="Cambria" w:hAnsi="Cambria" w:cs="Cambria"/>
              </w:rPr>
              <w:t xml:space="preserve"> during use. Disadvantages are fast heat transfer and easy breakage. </w:t>
            </w:r>
            <w:r>
              <w:rPr>
                <w:rFonts w:hint="default" w:ascii="Cambria" w:hAnsi="Cambria" w:cs="Cambria"/>
                <w:lang w:val="en-US" w:eastAsia="zh-CN"/>
              </w:rPr>
              <w:t>G</w:t>
            </w:r>
            <w:r>
              <w:rPr>
                <w:rFonts w:hint="default" w:ascii="Cambria" w:hAnsi="Cambria" w:cs="Cambria"/>
                <w:lang w:eastAsia="zh-CN"/>
              </w:rPr>
              <w:t>lass jar</w:t>
            </w:r>
            <w:r>
              <w:rPr>
                <w:rFonts w:hint="default" w:ascii="Cambria" w:hAnsi="Cambria" w:cs="Cambria"/>
              </w:rPr>
              <w:t xml:space="preserve">s are widely used clinically for </w:t>
            </w:r>
            <w:r>
              <w:rPr>
                <w:rFonts w:hint="default" w:ascii="Cambria" w:hAnsi="Cambria" w:cs="Cambria"/>
                <w:lang w:eastAsia="zh-CN"/>
              </w:rPr>
              <w:t>blood-letting puncture cupping</w:t>
            </w:r>
            <w:r>
              <w:rPr>
                <w:rFonts w:hint="default" w:ascii="Cambria" w:hAnsi="Cambria" w:cs="Cambria"/>
              </w:rPr>
              <w:t xml:space="preserve"> and tuina cupping, and have a good curative effect on blood stasis and cold congealing diseases.  </w:t>
            </w:r>
          </w:p>
          <w:p w14:paraId="721E23F7">
            <w:pPr>
              <w:numPr>
                <w:ilvl w:val="0"/>
                <w:numId w:val="0"/>
              </w:numPr>
              <w:ind w:left="105" w:leftChars="0"/>
              <w:rPr>
                <w:rFonts w:hint="default" w:ascii="Cambria" w:hAnsi="Cambria" w:cs="Cambria"/>
              </w:rPr>
            </w:pPr>
            <w:r>
              <w:rPr>
                <w:rFonts w:hint="default" w:ascii="Cambria" w:hAnsi="Cambria" w:cs="Cambria"/>
                <w:lang w:eastAsia="zh-CN"/>
              </w:rPr>
              <w:t>metal jar</w:t>
            </w:r>
            <w:r>
              <w:rPr>
                <w:rFonts w:hint="default" w:ascii="Cambria" w:hAnsi="Cambria" w:cs="Cambria"/>
              </w:rPr>
              <w:t xml:space="preserve">: Divided into </w:t>
            </w:r>
            <w:r>
              <w:rPr>
                <w:rFonts w:hint="default" w:ascii="Cambria" w:hAnsi="Cambria" w:cs="Cambria"/>
                <w:lang w:eastAsia="zh-CN"/>
              </w:rPr>
              <w:t>copper jars</w:t>
            </w:r>
            <w:r>
              <w:rPr>
                <w:rFonts w:hint="default" w:ascii="Cambria" w:hAnsi="Cambria" w:cs="Cambria"/>
              </w:rPr>
              <w:t xml:space="preserve"> and </w:t>
            </w:r>
            <w:r>
              <w:rPr>
                <w:rFonts w:hint="default" w:ascii="Cambria" w:hAnsi="Cambria" w:cs="Cambria"/>
                <w:lang w:eastAsia="zh-CN"/>
              </w:rPr>
              <w:t>iron jars</w:t>
            </w:r>
            <w:r>
              <w:rPr>
                <w:rFonts w:hint="default" w:ascii="Cambria" w:hAnsi="Cambria" w:cs="Cambria"/>
              </w:rPr>
              <w:t xml:space="preserve">, made of steel or iron sheet. It has a shape similar to that of a glass </w:t>
            </w:r>
            <w:r>
              <w:rPr>
                <w:rFonts w:hint="default" w:ascii="Cambria" w:hAnsi="Cambria" w:cs="Cambria"/>
                <w:lang w:eastAsia="zh-CN"/>
              </w:rPr>
              <w:t>jar</w:t>
            </w:r>
            <w:r>
              <w:rPr>
                <w:rFonts w:hint="default" w:ascii="Cambria" w:hAnsi="Cambria" w:cs="Cambria"/>
              </w:rPr>
              <w:t xml:space="preserve">, with different calibers. </w:t>
            </w:r>
            <w:r>
              <w:rPr>
                <w:rFonts w:hint="default" w:ascii="Cambria" w:hAnsi="Cambria" w:cs="Cambria"/>
                <w:lang w:eastAsia="zh-CN"/>
              </w:rPr>
              <w:t>Copper jars</w:t>
            </w:r>
            <w:r>
              <w:rPr>
                <w:rFonts w:hint="default" w:ascii="Cambria" w:hAnsi="Cambria" w:cs="Cambria"/>
              </w:rPr>
              <w:t xml:space="preserve"> are more commonly used. </w:t>
            </w:r>
            <w:r>
              <w:rPr>
                <w:rFonts w:hint="default" w:ascii="Cambria" w:hAnsi="Cambria" w:cs="Cambria"/>
                <w:lang w:eastAsia="zh-CN"/>
              </w:rPr>
              <w:t>Metal jar</w:t>
            </w:r>
            <w:r>
              <w:rPr>
                <w:rFonts w:hint="default" w:ascii="Cambria" w:hAnsi="Cambria" w:cs="Cambria"/>
              </w:rPr>
              <w:t xml:space="preserve">s are characterized by durability and fast heat transfer.  </w:t>
            </w:r>
          </w:p>
          <w:p w14:paraId="2BA83614">
            <w:pPr>
              <w:numPr>
                <w:ilvl w:val="0"/>
                <w:numId w:val="0"/>
              </w:numPr>
              <w:ind w:left="105" w:leftChars="0"/>
              <w:rPr>
                <w:rFonts w:hint="default" w:ascii="Cambria" w:hAnsi="Cambria" w:cs="Cambria"/>
              </w:rPr>
            </w:pPr>
            <w:r>
              <w:rPr>
                <w:rFonts w:hint="default" w:ascii="Cambria" w:hAnsi="Cambria" w:cs="Cambria"/>
                <w:lang w:val="en-US" w:eastAsia="zh-CN"/>
              </w:rPr>
              <w:t>b</w:t>
            </w:r>
            <w:r>
              <w:rPr>
                <w:rFonts w:hint="default" w:ascii="Cambria" w:hAnsi="Cambria" w:cs="Cambria"/>
              </w:rPr>
              <w:t>io</w:t>
            </w:r>
            <w:r>
              <w:rPr>
                <w:rFonts w:hint="default" w:ascii="Cambria" w:hAnsi="Cambria" w:cs="Cambria"/>
                <w:lang w:val="en-US" w:eastAsia="zh-CN"/>
              </w:rPr>
              <w:t>-</w:t>
            </w:r>
            <w:r>
              <w:rPr>
                <w:rFonts w:hint="default" w:ascii="Cambria" w:hAnsi="Cambria" w:cs="Cambria"/>
              </w:rPr>
              <w:t xml:space="preserve">ceramic fire </w:t>
            </w:r>
            <w:r>
              <w:rPr>
                <w:rFonts w:hint="default" w:ascii="Cambria" w:hAnsi="Cambria" w:cs="Cambria"/>
                <w:lang w:eastAsia="zh-CN"/>
              </w:rPr>
              <w:t>jar</w:t>
            </w:r>
            <w:r>
              <w:rPr>
                <w:rFonts w:hint="default" w:ascii="Cambria" w:hAnsi="Cambria" w:cs="Cambria"/>
              </w:rPr>
              <w:t xml:space="preserve">: Made by selecting a variety of oxidized polymers and other auxiliary materials for firing.  </w:t>
            </w:r>
          </w:p>
          <w:p w14:paraId="4D928344">
            <w:pPr>
              <w:numPr>
                <w:ilvl w:val="0"/>
                <w:numId w:val="0"/>
              </w:numPr>
              <w:ind w:left="105" w:leftChars="0"/>
              <w:rPr>
                <w:rFonts w:hint="default" w:ascii="Cambria" w:hAnsi="Cambria" w:cs="Cambria"/>
                <w:vertAlign w:val="baseline"/>
              </w:rPr>
            </w:pPr>
            <w:r>
              <w:rPr>
                <w:rFonts w:hint="default" w:ascii="Cambria" w:hAnsi="Cambria" w:cs="Cambria"/>
                <w:lang w:eastAsia="zh-CN"/>
              </w:rPr>
              <w:t>plastic jar</w:t>
            </w:r>
            <w:r>
              <w:rPr>
                <w:rFonts w:hint="default" w:ascii="Cambria" w:hAnsi="Cambria" w:cs="Cambria"/>
              </w:rPr>
              <w:t xml:space="preserve">: Made of plastic or </w:t>
            </w:r>
            <w:r>
              <w:rPr>
                <w:rFonts w:hint="default" w:ascii="Cambria" w:hAnsi="Cambria" w:cs="Cambria"/>
                <w:lang w:eastAsia="zh-CN"/>
              </w:rPr>
              <w:t>plastic-based</w:t>
            </w:r>
            <w:r>
              <w:rPr>
                <w:rFonts w:hint="default" w:ascii="Cambria" w:hAnsi="Cambria" w:cs="Cambria"/>
              </w:rPr>
              <w:t xml:space="preserve"> raw materials, inexpensive and not easy to break. Modern clinical suction </w:t>
            </w:r>
            <w:r>
              <w:rPr>
                <w:rFonts w:hint="default" w:ascii="Cambria" w:hAnsi="Cambria" w:cs="Cambria"/>
                <w:lang w:eastAsia="zh-CN"/>
              </w:rPr>
              <w:t>jars</w:t>
            </w:r>
            <w:r>
              <w:rPr>
                <w:rFonts w:hint="default" w:ascii="Cambria" w:hAnsi="Cambria" w:cs="Cambria"/>
              </w:rPr>
              <w:t xml:space="preserve"> are mostly made of plastic. (Source: Cupping Therapy of TCM</w:t>
            </w:r>
            <w:r>
              <w:rPr>
                <w:rFonts w:hint="default" w:ascii="Cambria" w:hAnsi="Cambria" w:cs="Cambria"/>
                <w:lang w:val="en-US" w:eastAsia="zh-CN"/>
              </w:rPr>
              <w:t xml:space="preserve">, </w:t>
            </w:r>
            <w:r>
              <w:rPr>
                <w:rFonts w:hint="default" w:ascii="Cambria" w:hAnsi="Cambria" w:cs="Cambria"/>
              </w:rPr>
              <w:t>Innovative Textbook for Higher Education in the National TCM Industry during the 14th Five-Year Plan. Editor in Chief: Chen Zelin. China Press of TCM, 2023 )</w:t>
            </w:r>
          </w:p>
        </w:tc>
        <w:tc>
          <w:tcPr>
            <w:tcW w:w="712" w:type="dxa"/>
            <w:tcBorders>
              <w:top w:val="single" w:color="auto" w:sz="4" w:space="0"/>
              <w:tl2br w:val="nil"/>
              <w:tr2bl w:val="nil"/>
            </w:tcBorders>
            <w:vAlign w:val="top"/>
          </w:tcPr>
          <w:p w14:paraId="45E03AC7">
            <w:pPr>
              <w:numPr>
                <w:ilvl w:val="0"/>
                <w:numId w:val="0"/>
              </w:numPr>
              <w:rPr>
                <w:rFonts w:hint="default" w:ascii="Cambria" w:hAnsi="Cambria" w:cs="Cambria"/>
                <w:vertAlign w:val="baseline"/>
              </w:rPr>
            </w:pPr>
            <w:r>
              <w:rPr>
                <w:rFonts w:hint="default" w:ascii="Cambria" w:hAnsi="Cambria" w:cs="Cambria"/>
              </w:rPr>
              <w:t xml:space="preserve">0.5 </w:t>
            </w:r>
          </w:p>
        </w:tc>
        <w:tc>
          <w:tcPr>
            <w:tcW w:w="950" w:type="dxa"/>
            <w:tcBorders>
              <w:top w:val="single" w:color="auto" w:sz="4" w:space="0"/>
              <w:tl2br w:val="nil"/>
              <w:tr2bl w:val="nil"/>
            </w:tcBorders>
            <w:vAlign w:val="top"/>
          </w:tcPr>
          <w:p w14:paraId="20338E10">
            <w:pPr>
              <w:numPr>
                <w:ilvl w:val="0"/>
                <w:numId w:val="0"/>
              </w:numPr>
              <w:rPr>
                <w:rFonts w:hint="default" w:ascii="Cambria" w:hAnsi="Cambria" w:cs="Cambria"/>
                <w:vertAlign w:val="baseline"/>
              </w:rPr>
            </w:pPr>
            <w:r>
              <w:rPr>
                <w:rFonts w:hint="default" w:ascii="Cambria" w:hAnsi="Cambria" w:cs="Cambria"/>
              </w:rPr>
              <w:t>50.00%</w:t>
            </w:r>
          </w:p>
        </w:tc>
        <w:tc>
          <w:tcPr>
            <w:tcW w:w="540" w:type="dxa"/>
            <w:tcBorders>
              <w:top w:val="single" w:color="auto" w:sz="4" w:space="0"/>
              <w:tl2br w:val="nil"/>
              <w:tr2bl w:val="nil"/>
            </w:tcBorders>
            <w:vAlign w:val="top"/>
          </w:tcPr>
          <w:p w14:paraId="71B23403">
            <w:pPr>
              <w:numPr>
                <w:ilvl w:val="0"/>
                <w:numId w:val="0"/>
              </w:numPr>
              <w:rPr>
                <w:rFonts w:hint="default" w:ascii="Cambria" w:hAnsi="Cambria" w:cs="Cambria"/>
                <w:vertAlign w:val="baseline"/>
              </w:rPr>
            </w:pPr>
            <w:r>
              <w:rPr>
                <w:rFonts w:hint="default" w:ascii="Cambria" w:hAnsi="Cambria" w:cs="Cambria"/>
              </w:rPr>
              <w:t>15</w:t>
            </w:r>
          </w:p>
        </w:tc>
        <w:tc>
          <w:tcPr>
            <w:tcW w:w="952" w:type="dxa"/>
            <w:tcBorders>
              <w:top w:val="single" w:color="auto" w:sz="4" w:space="0"/>
              <w:tl2br w:val="nil"/>
              <w:tr2bl w:val="nil"/>
            </w:tcBorders>
            <w:vAlign w:val="top"/>
          </w:tcPr>
          <w:p w14:paraId="1CE56539">
            <w:pPr>
              <w:numPr>
                <w:ilvl w:val="0"/>
                <w:numId w:val="0"/>
              </w:numPr>
              <w:rPr>
                <w:rFonts w:hint="default" w:ascii="Cambria" w:hAnsi="Cambria" w:cs="Cambria"/>
              </w:rPr>
            </w:pPr>
            <w:r>
              <w:rPr>
                <w:rFonts w:hint="default" w:ascii="Cambria" w:hAnsi="Cambria" w:cs="Cambria"/>
                <w:lang w:val="en-US" w:eastAsia="zh-CN"/>
              </w:rPr>
              <w:t>101.71%</w:t>
            </w:r>
          </w:p>
          <w:p w14:paraId="5039BECF">
            <w:pPr>
              <w:numPr>
                <w:ilvl w:val="0"/>
                <w:numId w:val="0"/>
              </w:numPr>
              <w:rPr>
                <w:rFonts w:hint="default" w:ascii="Cambria" w:hAnsi="Cambria" w:cs="Cambria"/>
              </w:rPr>
            </w:pPr>
          </w:p>
        </w:tc>
      </w:tr>
      <w:tr w14:paraId="125998A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368" w:type="dxa"/>
            <w:tcBorders>
              <w:tl2br w:val="nil"/>
              <w:tr2bl w:val="nil"/>
            </w:tcBorders>
            <w:shd w:val="clear" w:color="auto" w:fill="auto"/>
            <w:vAlign w:val="top"/>
          </w:tcPr>
          <w:p w14:paraId="3338EA77">
            <w:pPr>
              <w:numPr>
                <w:ilvl w:val="0"/>
                <w:numId w:val="0"/>
              </w:numPr>
              <w:ind w:left="0" w:leftChars="0" w:firstLine="0" w:firstLineChars="0"/>
              <w:rPr>
                <w:rFonts w:hint="default" w:ascii="Cambria" w:hAnsi="Cambria" w:cs="Cambria" w:eastAsiaTheme="minorEastAsia"/>
                <w:kern w:val="2"/>
                <w:sz w:val="21"/>
                <w:szCs w:val="24"/>
                <w:vertAlign w:val="baseline"/>
                <w:lang w:val="en-US" w:eastAsia="zh-CN" w:bidi="ar-SA"/>
              </w:rPr>
            </w:pPr>
            <w:r>
              <w:rPr>
                <w:rFonts w:hint="default" w:ascii="Cambria" w:hAnsi="Cambria" w:cs="Cambria"/>
              </w:rPr>
              <w:t xml:space="preserve">B. Follow the original text of the national standard. </w:t>
            </w:r>
          </w:p>
        </w:tc>
        <w:tc>
          <w:tcPr>
            <w:tcW w:w="712" w:type="dxa"/>
            <w:tcBorders>
              <w:tl2br w:val="nil"/>
              <w:tr2bl w:val="nil"/>
            </w:tcBorders>
            <w:vAlign w:val="top"/>
          </w:tcPr>
          <w:p w14:paraId="49FC66F4">
            <w:pPr>
              <w:numPr>
                <w:ilvl w:val="0"/>
                <w:numId w:val="0"/>
              </w:numPr>
              <w:rPr>
                <w:rFonts w:hint="default" w:ascii="Cambria" w:hAnsi="Cambria" w:cs="Cambria"/>
                <w:vertAlign w:val="baseline"/>
              </w:rPr>
            </w:pPr>
            <w:r>
              <w:rPr>
                <w:rFonts w:hint="default" w:ascii="Cambria" w:hAnsi="Cambria" w:cs="Cambria"/>
                <w:vertAlign w:val="baseline"/>
              </w:rPr>
              <w:t xml:space="preserve">0.37  </w:t>
            </w:r>
          </w:p>
        </w:tc>
        <w:tc>
          <w:tcPr>
            <w:tcW w:w="950" w:type="dxa"/>
            <w:tcBorders>
              <w:tl2br w:val="nil"/>
              <w:tr2bl w:val="nil"/>
            </w:tcBorders>
            <w:vAlign w:val="top"/>
          </w:tcPr>
          <w:p w14:paraId="30F20305">
            <w:pPr>
              <w:numPr>
                <w:ilvl w:val="0"/>
                <w:numId w:val="0"/>
              </w:numPr>
              <w:rPr>
                <w:rFonts w:hint="default" w:ascii="Cambria" w:hAnsi="Cambria" w:cs="Cambria"/>
                <w:vertAlign w:val="baseline"/>
              </w:rPr>
            </w:pPr>
            <w:r>
              <w:rPr>
                <w:rFonts w:hint="default" w:ascii="Cambria" w:hAnsi="Cambria" w:cs="Cambria"/>
                <w:vertAlign w:val="baseline"/>
              </w:rPr>
              <w:t>63.00%</w:t>
            </w:r>
          </w:p>
        </w:tc>
        <w:tc>
          <w:tcPr>
            <w:tcW w:w="540" w:type="dxa"/>
            <w:tcBorders>
              <w:tl2br w:val="nil"/>
              <w:tr2bl w:val="nil"/>
            </w:tcBorders>
            <w:vAlign w:val="top"/>
          </w:tcPr>
          <w:p w14:paraId="1BAEF38C">
            <w:pPr>
              <w:numPr>
                <w:ilvl w:val="0"/>
                <w:numId w:val="0"/>
              </w:numPr>
              <w:rPr>
                <w:rFonts w:hint="default" w:ascii="Cambria" w:hAnsi="Cambria" w:cs="Cambria"/>
                <w:vertAlign w:val="baseline"/>
              </w:rPr>
            </w:pPr>
            <w:r>
              <w:rPr>
                <w:rFonts w:hint="default" w:ascii="Cambria" w:hAnsi="Cambria" w:cs="Cambria"/>
                <w:vertAlign w:val="baseline"/>
              </w:rPr>
              <w:t xml:space="preserve">11 </w:t>
            </w:r>
          </w:p>
        </w:tc>
        <w:tc>
          <w:tcPr>
            <w:tcW w:w="952" w:type="dxa"/>
            <w:tcBorders>
              <w:tl2br w:val="nil"/>
              <w:tr2bl w:val="nil"/>
            </w:tcBorders>
            <w:vAlign w:val="top"/>
          </w:tcPr>
          <w:p w14:paraId="65B8B9E7">
            <w:pPr>
              <w:numPr>
                <w:ilvl w:val="0"/>
                <w:numId w:val="0"/>
              </w:numPr>
              <w:rPr>
                <w:rFonts w:hint="default" w:ascii="Cambria" w:hAnsi="Cambria" w:cs="Cambria"/>
                <w:vertAlign w:val="baseline"/>
              </w:rPr>
            </w:pPr>
            <w:r>
              <w:rPr>
                <w:rFonts w:hint="default" w:ascii="Cambria" w:hAnsi="Cambria" w:cs="Cambria"/>
                <w:vertAlign w:val="baseline"/>
              </w:rPr>
              <w:t>132.47%</w:t>
            </w:r>
          </w:p>
        </w:tc>
      </w:tr>
    </w:tbl>
    <w:p w14:paraId="50AB6761">
      <w:pPr>
        <w:numPr>
          <w:ilvl w:val="0"/>
          <w:numId w:val="0"/>
        </w:numPr>
        <w:rPr>
          <w:rFonts w:hint="default" w:ascii="Cambria" w:hAnsi="Cambria" w:cs="Cambria"/>
        </w:rPr>
      </w:pPr>
    </w:p>
    <w:p w14:paraId="0C6408E6">
      <w:pPr>
        <w:numPr>
          <w:ilvl w:val="0"/>
          <w:numId w:val="0"/>
        </w:numPr>
        <w:ind w:firstLine="420" w:firstLineChars="0"/>
        <w:rPr>
          <w:rFonts w:hint="default" w:ascii="Cambria" w:hAnsi="Cambria" w:cs="Cambria"/>
          <w:lang w:eastAsia="zh-CN"/>
        </w:rPr>
      </w:pPr>
      <w:r>
        <w:rPr>
          <w:rFonts w:hint="default" w:ascii="Cambria" w:hAnsi="Cambria" w:cs="Cambria"/>
          <w:highlight w:val="none"/>
          <w:lang w:eastAsia="zh-CN"/>
        </w:rPr>
        <w:t xml:space="preserve">The title of this </w:t>
      </w:r>
      <w:r>
        <w:rPr>
          <w:rFonts w:hint="default" w:ascii="Cambria" w:hAnsi="Cambria" w:cs="Cambria"/>
          <w:highlight w:val="none"/>
          <w:lang w:val="en-US" w:eastAsia="zh-CN"/>
        </w:rPr>
        <w:t xml:space="preserve">annex </w:t>
      </w:r>
      <w:r>
        <w:rPr>
          <w:rFonts w:hint="default" w:ascii="Cambria" w:hAnsi="Cambria" w:cs="Cambria"/>
          <w:highlight w:val="none"/>
          <w:lang w:eastAsia="zh-CN"/>
        </w:rPr>
        <w:t xml:space="preserve">is </w:t>
      </w:r>
      <w:r>
        <w:rPr>
          <w:rFonts w:hint="default" w:ascii="Cambria" w:hAnsi="Cambria" w:cs="Cambria"/>
          <w:highlight w:val="none"/>
          <w:lang w:val="en-US" w:eastAsia="zh-CN"/>
        </w:rPr>
        <w:t>Types of Commonly Used Cupping Devices</w:t>
      </w:r>
      <w:r>
        <w:rPr>
          <w:rFonts w:hint="default" w:ascii="Cambria" w:hAnsi="Cambria" w:cs="Cambria"/>
          <w:highlight w:val="none"/>
          <w:lang w:eastAsia="zh-CN"/>
        </w:rPr>
        <w:t>.</w:t>
      </w:r>
      <w:r>
        <w:rPr>
          <w:rFonts w:hint="default" w:ascii="Cambria" w:hAnsi="Cambria" w:cs="Cambria"/>
          <w:lang w:eastAsia="zh-CN"/>
        </w:rPr>
        <w:t xml:space="preserve"> Some experts' opinions are as follows: Option A is detailed and specific in description, but listing the characteristics and application scopes of each jar in the definition may be too cumbersome. It is suggested whether to list the characteristics of each jar separately or </w:t>
      </w:r>
      <w:r>
        <w:rPr>
          <w:rFonts w:hint="default" w:ascii="Cambria" w:hAnsi="Cambria" w:cs="Cambria"/>
          <w:lang w:val="en-US" w:eastAsia="zh-CN"/>
        </w:rPr>
        <w:t xml:space="preserve">to </w:t>
      </w:r>
      <w:r>
        <w:rPr>
          <w:rFonts w:hint="default" w:ascii="Cambria" w:hAnsi="Cambria" w:cs="Cambria"/>
          <w:lang w:eastAsia="zh-CN"/>
        </w:rPr>
        <w:t xml:space="preserve">change the title to "Definitions and Characteristics". Some other experts suggest comprehensively integrating the above-mentioned expressions and rewriting. The reason is that "the text in the textbook describing the advantages and disadvantages of various jars may not be stated in the standard, because textbooks are different from standards, and it is appropriate for textbooks to be more detailed in description." In addition, three experts suggest combining </w:t>
      </w:r>
      <w:r>
        <w:rPr>
          <w:rFonts w:hint="default" w:ascii="Cambria" w:hAnsi="Cambria" w:cs="Cambria"/>
          <w:lang w:val="en-US" w:eastAsia="zh-CN"/>
        </w:rPr>
        <w:t>both options</w:t>
      </w:r>
      <w:r>
        <w:rPr>
          <w:rFonts w:hint="default" w:ascii="Cambria" w:hAnsi="Cambria" w:cs="Cambria"/>
          <w:lang w:eastAsia="zh-CN"/>
        </w:rPr>
        <w:t>. One expert suggests mainly adopting the original text of the national standard, and incorporating the clinical advantages and disadvantages of jars made of different materials, the applicable objects, and the characteristics of pediatric applications into the appropriate part of this standard.</w:t>
      </w:r>
    </w:p>
    <w:p w14:paraId="6686514D">
      <w:pPr>
        <w:numPr>
          <w:ilvl w:val="0"/>
          <w:numId w:val="0"/>
        </w:numPr>
        <w:rPr>
          <w:rFonts w:hint="default" w:ascii="Cambria" w:hAnsi="Cambria" w:cs="Cambria"/>
          <w:lang w:eastAsia="zh-CN"/>
        </w:rPr>
      </w:pPr>
    </w:p>
    <w:p w14:paraId="46A929C2">
      <w:pPr>
        <w:numPr>
          <w:ilvl w:val="0"/>
          <w:numId w:val="0"/>
        </w:numPr>
        <w:rPr>
          <w:rFonts w:hint="default" w:ascii="Cambria" w:hAnsi="Cambria" w:cs="Cambria"/>
          <w:lang w:eastAsia="zh-CN"/>
        </w:rPr>
      </w:pPr>
      <w:r>
        <w:rPr>
          <w:rFonts w:hint="default" w:ascii="Cambria" w:hAnsi="Cambria" w:cs="Cambria"/>
          <w:lang w:eastAsia="zh-CN"/>
        </w:rPr>
        <w:t>3.3 Open-ended questions</w:t>
      </w:r>
    </w:p>
    <w:p w14:paraId="5F65AA1A">
      <w:pPr>
        <w:numPr>
          <w:ilvl w:val="0"/>
          <w:numId w:val="0"/>
        </w:numPr>
        <w:rPr>
          <w:rFonts w:hint="default" w:ascii="Cambria" w:hAnsi="Cambria" w:cs="Cambria"/>
          <w:lang w:eastAsia="zh-CN"/>
        </w:rPr>
      </w:pPr>
      <w:r>
        <w:rPr>
          <w:rFonts w:hint="default" w:ascii="Cambria" w:hAnsi="Cambria" w:cs="Cambria"/>
          <w:lang w:eastAsia="zh-CN"/>
        </w:rPr>
        <w:t>(1) The main text of this standard should refer to the other four standards and add expressions applicable to pediatric patients. For example, "Select jars of different materials and sizes according to the age, disease, and operation site of the child." There should be more specific suggestions.</w:t>
      </w:r>
    </w:p>
    <w:p w14:paraId="0094701C">
      <w:pPr>
        <w:numPr>
          <w:ilvl w:val="0"/>
          <w:numId w:val="0"/>
        </w:numPr>
        <w:rPr>
          <w:rFonts w:hint="default" w:ascii="Cambria" w:hAnsi="Cambria" w:cs="Cambria"/>
          <w:lang w:eastAsia="zh-CN"/>
        </w:rPr>
      </w:pPr>
      <w:r>
        <w:rPr>
          <w:rFonts w:hint="default" w:ascii="Cambria" w:hAnsi="Cambria" w:cs="Cambria"/>
          <w:lang w:eastAsia="zh-CN"/>
        </w:rPr>
        <w:t>(2) In "4.1.4 Posture", add "holding postures (front-holding, back-holding, side-holding)".</w:t>
      </w:r>
    </w:p>
    <w:p w14:paraId="5A0E5FD7">
      <w:pPr>
        <w:numPr>
          <w:ilvl w:val="0"/>
          <w:numId w:val="0"/>
        </w:numPr>
        <w:rPr>
          <w:rFonts w:hint="default" w:ascii="Cambria" w:hAnsi="Cambria" w:cs="Cambria"/>
          <w:lang w:eastAsia="zh-CN"/>
        </w:rPr>
      </w:pPr>
      <w:r>
        <w:rPr>
          <w:rFonts w:hint="default" w:ascii="Cambria" w:hAnsi="Cambria" w:cs="Cambria"/>
          <w:lang w:eastAsia="zh-CN"/>
        </w:rPr>
        <w:t>(3) The statement "The technical operation specifications of cupping should comply with the provisions of GB/T</w:t>
      </w:r>
      <w:r>
        <w:rPr>
          <w:rFonts w:hint="default" w:ascii="Cambria" w:hAnsi="Cambria" w:cs="Cambria"/>
          <w:lang w:val="en-US" w:eastAsia="zh-CN"/>
        </w:rPr>
        <w:t xml:space="preserve"> </w:t>
      </w:r>
      <w:r>
        <w:rPr>
          <w:rFonts w:hint="default" w:ascii="Cambria" w:hAnsi="Cambria" w:cs="Cambria"/>
          <w:lang w:eastAsia="zh-CN"/>
        </w:rPr>
        <w:t>21709.5." is too general. Based on the overall technical operation specifications, it should be specifically described in combination with the characteristics of pediatrics.</w:t>
      </w:r>
    </w:p>
    <w:p w14:paraId="6C5A5DC0">
      <w:pPr>
        <w:numPr>
          <w:ilvl w:val="0"/>
          <w:numId w:val="0"/>
        </w:numPr>
        <w:rPr>
          <w:rFonts w:hint="default" w:ascii="Cambria" w:hAnsi="Cambria" w:cs="Cambria"/>
          <w:lang w:eastAsia="zh-CN"/>
        </w:rPr>
      </w:pPr>
      <w:r>
        <w:rPr>
          <w:rFonts w:hint="default" w:ascii="Cambria" w:hAnsi="Cambria" w:cs="Cambria"/>
          <w:lang w:eastAsia="zh-CN"/>
        </w:rPr>
        <w:t>(4) There are several disease names in "Annex D", which should be verified against standards such as WHO</w:t>
      </w:r>
      <w:r>
        <w:rPr>
          <w:rFonts w:hint="default" w:ascii="Cambria" w:hAnsi="Cambria" w:cs="Cambria"/>
          <w:lang w:val="en-US" w:eastAsia="zh-CN"/>
        </w:rPr>
        <w:t>-</w:t>
      </w:r>
      <w:r>
        <w:rPr>
          <w:rFonts w:hint="default" w:ascii="Cambria" w:hAnsi="Cambria" w:cs="Cambria"/>
          <w:lang w:eastAsia="zh-CN"/>
        </w:rPr>
        <w:t>ICD11.</w:t>
      </w:r>
    </w:p>
    <w:p w14:paraId="6D34E396">
      <w:pPr>
        <w:numPr>
          <w:ilvl w:val="0"/>
          <w:numId w:val="0"/>
        </w:numPr>
        <w:rPr>
          <w:rFonts w:hint="default" w:ascii="Cambria" w:hAnsi="Cambria" w:cs="Cambria"/>
          <w:lang w:eastAsia="zh-CN"/>
        </w:rPr>
      </w:pPr>
      <w:r>
        <w:rPr>
          <w:rFonts w:hint="default" w:ascii="Cambria" w:hAnsi="Cambria" w:cs="Cambria"/>
          <w:lang w:eastAsia="zh-CN"/>
        </w:rPr>
        <w:t>(5)</w:t>
      </w:r>
      <w:r>
        <w:rPr>
          <w:rFonts w:hint="default" w:ascii="Cambria" w:hAnsi="Cambria" w:cs="Cambria"/>
          <w:lang w:val="en-US" w:eastAsia="zh-CN"/>
        </w:rPr>
        <w:t xml:space="preserve"> More</w:t>
      </w:r>
      <w:r>
        <w:rPr>
          <w:rFonts w:hint="default" w:ascii="Cambria" w:hAnsi="Cambria" w:cs="Cambria"/>
          <w:lang w:eastAsia="zh-CN"/>
        </w:rPr>
        <w:t xml:space="preserve"> literature review</w:t>
      </w:r>
      <w:r>
        <w:rPr>
          <w:rFonts w:hint="default" w:ascii="Cambria" w:hAnsi="Cambria" w:cs="Cambria"/>
          <w:lang w:val="en-US" w:eastAsia="zh-CN"/>
        </w:rPr>
        <w:t xml:space="preserve"> is needed</w:t>
      </w:r>
      <w:r>
        <w:rPr>
          <w:rFonts w:hint="default" w:ascii="Cambria" w:hAnsi="Cambria" w:cs="Cambria"/>
          <w:lang w:eastAsia="zh-CN"/>
        </w:rPr>
        <w:t>. Standards related to cupping from WHO, ISO, and GB can be searched for supplementary information.</w:t>
      </w:r>
      <w:r>
        <w:rPr>
          <w:rFonts w:hint="default" w:ascii="Cambria" w:hAnsi="Cambria" w:cs="Cambria"/>
          <w:lang w:val="en-US" w:eastAsia="zh-CN"/>
        </w:rPr>
        <w:t xml:space="preserve"> </w:t>
      </w:r>
    </w:p>
    <w:p w14:paraId="216A9EBE">
      <w:pPr>
        <w:numPr>
          <w:ilvl w:val="0"/>
          <w:numId w:val="0"/>
        </w:numPr>
        <w:rPr>
          <w:rFonts w:hint="default" w:ascii="Cambria" w:hAnsi="Cambria" w:cs="Cambria"/>
          <w:b/>
          <w:bCs/>
          <w:sz w:val="28"/>
          <w:szCs w:val="28"/>
          <w:lang w:eastAsia="zh-CN"/>
        </w:rPr>
      </w:pPr>
      <w:r>
        <w:rPr>
          <w:rFonts w:hint="default" w:ascii="Cambria" w:hAnsi="Cambria" w:cs="Cambria"/>
          <w:b/>
          <w:bCs/>
          <w:sz w:val="28"/>
          <w:szCs w:val="28"/>
          <w:lang w:eastAsia="zh-CN"/>
        </w:rPr>
        <w:t>IV. Discussion</w:t>
      </w:r>
    </w:p>
    <w:p w14:paraId="2CB4B497">
      <w:pPr>
        <w:numPr>
          <w:ilvl w:val="0"/>
          <w:numId w:val="0"/>
        </w:numPr>
        <w:rPr>
          <w:rFonts w:hint="default" w:ascii="Cambria" w:hAnsi="Cambria" w:cs="Cambria"/>
          <w:lang w:eastAsia="zh-CN"/>
        </w:rPr>
      </w:pPr>
      <w:r>
        <w:rPr>
          <w:rFonts w:hint="default" w:ascii="Cambria" w:hAnsi="Cambria" w:cs="Cambria"/>
          <w:lang w:eastAsia="zh-CN"/>
        </w:rPr>
        <w:t xml:space="preserve"> (1) Practical Value and International Adaptability Significance of Consensus Content</w:t>
      </w:r>
    </w:p>
    <w:p w14:paraId="7801EA2B">
      <w:pPr>
        <w:numPr>
          <w:ilvl w:val="0"/>
          <w:numId w:val="0"/>
        </w:numPr>
        <w:ind w:firstLine="420" w:firstLineChars="0"/>
        <w:rPr>
          <w:rFonts w:hint="default" w:ascii="Cambria" w:hAnsi="Cambria" w:cs="Cambria"/>
          <w:lang w:eastAsia="zh-CN"/>
        </w:rPr>
      </w:pPr>
      <w:r>
        <w:rPr>
          <w:rFonts w:hint="default" w:ascii="Cambria" w:hAnsi="Cambria" w:cs="Cambria"/>
          <w:lang w:eastAsia="zh-CN"/>
        </w:rPr>
        <w:t xml:space="preserve">The formation of 9 items with a high degree of consensus (support rate ≥ 53%) in this survey provides core support for the </w:t>
      </w:r>
      <w:r>
        <w:rPr>
          <w:rFonts w:hint="default" w:ascii="Cambria" w:hAnsi="Cambria" w:cs="Cambria"/>
          <w:lang w:val="en-US" w:eastAsia="zh-CN"/>
        </w:rPr>
        <w:t xml:space="preserve">upgrading </w:t>
      </w:r>
      <w:r>
        <w:rPr>
          <w:rFonts w:hint="default" w:ascii="Cambria" w:hAnsi="Cambria" w:cs="Cambria"/>
          <w:lang w:eastAsia="zh-CN"/>
        </w:rPr>
        <w:t>of the national standard to an international standard. Its value is reflected in multi-dimensional practical adaptability.</w:t>
      </w:r>
    </w:p>
    <w:p w14:paraId="1F367933">
      <w:pPr>
        <w:numPr>
          <w:ilvl w:val="0"/>
          <w:numId w:val="0"/>
        </w:numPr>
        <w:rPr>
          <w:rFonts w:hint="default" w:ascii="Cambria" w:hAnsi="Cambria" w:cs="Cambria"/>
          <w:lang w:eastAsia="zh-CN"/>
        </w:rPr>
      </w:pPr>
    </w:p>
    <w:p w14:paraId="400664D9">
      <w:pPr>
        <w:numPr>
          <w:ilvl w:val="0"/>
          <w:numId w:val="0"/>
        </w:numPr>
        <w:rPr>
          <w:rFonts w:hint="default" w:ascii="Cambria" w:hAnsi="Cambria" w:cs="Cambria"/>
          <w:lang w:eastAsia="zh-CN"/>
        </w:rPr>
      </w:pPr>
      <w:r>
        <w:rPr>
          <w:rFonts w:hint="default" w:ascii="Cambria" w:hAnsi="Cambria" w:cs="Cambria"/>
          <w:lang w:eastAsia="zh-CN"/>
        </w:rPr>
        <w:t xml:space="preserve"> (2) Core Disagreements and Underlying Causes of Controversial Items</w:t>
      </w:r>
    </w:p>
    <w:p w14:paraId="289AF9DF">
      <w:pPr>
        <w:numPr>
          <w:ilvl w:val="0"/>
          <w:numId w:val="0"/>
        </w:numPr>
        <w:ind w:firstLine="420" w:firstLineChars="0"/>
        <w:rPr>
          <w:rFonts w:hint="default" w:ascii="Cambria" w:hAnsi="Cambria" w:cs="Cambria"/>
          <w:lang w:eastAsia="zh-CN"/>
        </w:rPr>
      </w:pPr>
      <w:r>
        <w:rPr>
          <w:rFonts w:hint="default" w:ascii="Cambria" w:hAnsi="Cambria" w:cs="Cambria"/>
          <w:lang w:eastAsia="zh-CN"/>
        </w:rPr>
        <w:t>The disagreements of the 2 controversial items (support rate ≤ 50%) are not simply due to technical differences, but are caused by the interweaving of multiple factors, such as the regulatory environment, clinical practice scenarios, and the particularity of the pediatric population.</w:t>
      </w:r>
    </w:p>
    <w:p w14:paraId="4ACFD807">
      <w:pPr>
        <w:numPr>
          <w:ilvl w:val="0"/>
          <w:numId w:val="0"/>
        </w:numPr>
        <w:ind w:firstLine="420" w:firstLineChars="0"/>
        <w:rPr>
          <w:rFonts w:hint="default" w:ascii="Cambria" w:hAnsi="Cambria" w:cs="Cambria"/>
          <w:lang w:eastAsia="zh-CN"/>
        </w:rPr>
      </w:pPr>
      <w:r>
        <w:rPr>
          <w:rFonts w:hint="default" w:ascii="Cambria" w:hAnsi="Cambria" w:cs="Cambria"/>
          <w:lang w:eastAsia="zh-CN"/>
        </w:rPr>
        <w:t>The controversy over the jar disinfection method essentially reflects the conflict between traditional experience-based operations and modern standardization requirements, as well as the conflict between domestic and international standards. The same applies to the definitions of jars in the appendix. Vietnamese experts reported that only "bamboo jars" and "glass jars" are available locally, and the international standards for the production of jar products only include "glass jars" and "manual negative-pressure jars".</w:t>
      </w:r>
    </w:p>
    <w:p w14:paraId="201E1A93">
      <w:pPr>
        <w:numPr>
          <w:ilvl w:val="0"/>
          <w:numId w:val="0"/>
        </w:numPr>
        <w:rPr>
          <w:rFonts w:hint="default" w:ascii="Cambria" w:hAnsi="Cambria" w:cs="Cambria"/>
          <w:lang w:eastAsia="zh-CN"/>
        </w:rPr>
      </w:pPr>
    </w:p>
    <w:p w14:paraId="70C5541B">
      <w:pPr>
        <w:numPr>
          <w:ilvl w:val="0"/>
          <w:numId w:val="0"/>
        </w:numPr>
        <w:rPr>
          <w:rFonts w:hint="default" w:ascii="Cambria" w:hAnsi="Cambria" w:cs="Cambria"/>
          <w:b/>
          <w:bCs/>
          <w:sz w:val="28"/>
          <w:szCs w:val="28"/>
          <w:lang w:eastAsia="zh-CN"/>
        </w:rPr>
      </w:pPr>
      <w:r>
        <w:rPr>
          <w:rFonts w:hint="default" w:ascii="Cambria" w:hAnsi="Cambria" w:cs="Cambria"/>
          <w:b/>
          <w:bCs/>
          <w:sz w:val="28"/>
          <w:szCs w:val="28"/>
          <w:lang w:eastAsia="zh-CN"/>
        </w:rPr>
        <w:t xml:space="preserve"> V. Conclusions and Next-step Work Plan</w:t>
      </w:r>
    </w:p>
    <w:p w14:paraId="2ABB5A1A">
      <w:pPr>
        <w:numPr>
          <w:ilvl w:val="0"/>
          <w:numId w:val="0"/>
        </w:numPr>
        <w:ind w:firstLine="420" w:firstLineChars="0"/>
        <w:rPr>
          <w:rFonts w:hint="default" w:ascii="Cambria" w:hAnsi="Cambria" w:cs="Cambria"/>
          <w:lang w:eastAsia="zh-CN"/>
        </w:rPr>
      </w:pPr>
      <w:r>
        <w:rPr>
          <w:rFonts w:hint="default" w:ascii="Cambria" w:hAnsi="Cambria" w:cs="Cambria"/>
          <w:lang w:eastAsia="zh-CN"/>
        </w:rPr>
        <w:t>This questionnaire provides a key basis for the revision of the international standard. Some items have reached a high degree of consensus and can be directly incorporated into the revised draft. Items with significant differences in opinions will be submitted to subsequent expert demonstration meetings for key discussion.</w:t>
      </w:r>
    </w:p>
    <w:p w14:paraId="4BDC00DA">
      <w:pPr>
        <w:numPr>
          <w:ilvl w:val="0"/>
          <w:numId w:val="0"/>
        </w:numPr>
        <w:ind w:firstLine="420" w:firstLineChars="0"/>
        <w:rPr>
          <w:rFonts w:hint="default" w:ascii="Cambria" w:hAnsi="Cambria" w:cs="Cambria"/>
          <w:lang w:eastAsia="zh-CN"/>
        </w:rPr>
      </w:pPr>
      <w:r>
        <w:rPr>
          <w:rFonts w:hint="default" w:ascii="Cambria" w:hAnsi="Cambria" w:cs="Cambria"/>
          <w:lang w:eastAsia="zh-CN"/>
        </w:rPr>
        <w:t>The next-step work includes: 1. Organize the draft of the international standard revised through this questionnaire; 2. Supplement the Annex Content such as Normative References and references; 3. Hold an expert demonstration meeting; 4. Complete the final text of the international standard proposal.</w:t>
      </w:r>
    </w:p>
    <w:p w14:paraId="2457688D">
      <w:pPr>
        <w:numPr>
          <w:ilvl w:val="0"/>
          <w:numId w:val="0"/>
        </w:numPr>
        <w:ind w:firstLine="420" w:firstLineChars="0"/>
        <w:rPr>
          <w:rFonts w:hint="default" w:ascii="Cambria" w:hAnsi="Cambria" w:cs="Cambria"/>
          <w:lang w:eastAsia="zh-CN"/>
        </w:rPr>
      </w:pPr>
      <w:r>
        <w:rPr>
          <w:rFonts w:hint="default" w:ascii="Cambria" w:hAnsi="Cambria" w:cs="Cambria"/>
          <w:lang w:eastAsia="zh-CN"/>
        </w:rPr>
        <w:t xml:space="preserve">This research provides a scientific basis for the </w:t>
      </w:r>
      <w:r>
        <w:rPr>
          <w:rFonts w:hint="default" w:ascii="Cambria" w:hAnsi="Cambria" w:cs="Cambria"/>
          <w:lang w:val="en-US" w:eastAsia="zh-CN"/>
        </w:rPr>
        <w:t xml:space="preserve">upgrading </w:t>
      </w:r>
      <w:r>
        <w:rPr>
          <w:rFonts w:hint="default" w:ascii="Cambria" w:hAnsi="Cambria" w:cs="Cambria"/>
          <w:lang w:eastAsia="zh-CN"/>
        </w:rPr>
        <w:t>of SOTTCMP-CT</w:t>
      </w:r>
      <w:r>
        <w:rPr>
          <w:rFonts w:hint="default" w:ascii="Cambria" w:hAnsi="Cambria" w:cs="Cambria"/>
        </w:rPr>
        <w:t xml:space="preserve"> </w:t>
      </w:r>
      <w:r>
        <w:rPr>
          <w:rFonts w:hint="default" w:ascii="Cambria" w:hAnsi="Cambria" w:cs="Cambria"/>
          <w:lang w:eastAsia="zh-CN"/>
        </w:rPr>
        <w:t>to an international standard, and will help to form a more rigorous, standardized, and internationally recognized technical standard for TCM pediatrics.</w:t>
      </w:r>
    </w:p>
    <w:p w14:paraId="76B02EBB">
      <w:pPr>
        <w:numPr>
          <w:ilvl w:val="0"/>
          <w:numId w:val="0"/>
        </w:numPr>
        <w:rPr>
          <w:rFonts w:hint="default" w:ascii="Cambria" w:hAnsi="Cambria" w:cs="Cambria"/>
        </w:rPr>
      </w:pPr>
    </w:p>
    <w:p w14:paraId="6AD3562A">
      <w:pPr>
        <w:numPr>
          <w:ilvl w:val="0"/>
          <w:numId w:val="0"/>
        </w:numPr>
        <w:rPr>
          <w:rFonts w:hint="default" w:ascii="Cambria" w:hAnsi="Cambria" w:cs="Cambria"/>
        </w:rPr>
      </w:pPr>
    </w:p>
    <w:p w14:paraId="33E3E43B">
      <w:pPr>
        <w:numPr>
          <w:ilvl w:val="0"/>
          <w:numId w:val="0"/>
        </w:numPr>
        <w:rPr>
          <w:rFonts w:hint="default" w:ascii="Cambria" w:hAnsi="Cambria" w:cs="Cambria"/>
        </w:rPr>
      </w:pPr>
    </w:p>
    <w:p w14:paraId="7294F6B6">
      <w:pPr>
        <w:numPr>
          <w:ilvl w:val="0"/>
          <w:numId w:val="0"/>
        </w:numPr>
        <w:rPr>
          <w:rFonts w:hint="default" w:ascii="Cambria" w:hAnsi="Cambria" w:cs="Cambria"/>
        </w:rPr>
      </w:pPr>
    </w:p>
    <w:p w14:paraId="3452BBB0">
      <w:pPr>
        <w:numPr>
          <w:ilvl w:val="0"/>
          <w:numId w:val="0"/>
        </w:numPr>
        <w:rPr>
          <w:rFonts w:hint="default" w:ascii="Cambria" w:hAnsi="Cambria" w:cs="Cambria"/>
        </w:rPr>
      </w:pPr>
    </w:p>
    <w:p w14:paraId="0ECAB2D3">
      <w:pPr>
        <w:numPr>
          <w:ilvl w:val="0"/>
          <w:numId w:val="0"/>
        </w:numPr>
        <w:rPr>
          <w:rFonts w:hint="default" w:ascii="Cambria" w:hAnsi="Cambria" w:cs="Cambria"/>
        </w:rPr>
      </w:pPr>
    </w:p>
    <w:p w14:paraId="445D3969">
      <w:pPr>
        <w:numPr>
          <w:ilvl w:val="0"/>
          <w:numId w:val="0"/>
        </w:numPr>
        <w:rPr>
          <w:rFonts w:hint="default" w:ascii="Cambria" w:hAnsi="Cambria" w:cs="Cambria"/>
        </w:rPr>
      </w:pPr>
    </w:p>
    <w:p w14:paraId="3D464E6F">
      <w:pPr>
        <w:numPr>
          <w:ilvl w:val="0"/>
          <w:numId w:val="0"/>
        </w:numPr>
        <w:rPr>
          <w:rFonts w:hint="default" w:ascii="Cambria" w:hAnsi="Cambria" w:cs="Cambria"/>
          <w:b/>
          <w:bCs/>
          <w:sz w:val="24"/>
          <w:szCs w:val="24"/>
        </w:rPr>
      </w:pPr>
      <w:r>
        <w:rPr>
          <w:rFonts w:hint="default" w:ascii="Cambria" w:hAnsi="Cambria" w:cs="Cambria"/>
          <w:b/>
          <w:bCs/>
          <w:sz w:val="24"/>
          <w:szCs w:val="24"/>
          <w:lang w:eastAsia="zh-CN"/>
        </w:rPr>
        <w:t>Appendix</w:t>
      </w:r>
      <w:r>
        <w:rPr>
          <w:rFonts w:hint="default" w:ascii="Cambria" w:hAnsi="Cambria" w:cs="Cambria"/>
          <w:b/>
          <w:bCs/>
          <w:sz w:val="24"/>
          <w:szCs w:val="24"/>
        </w:rPr>
        <w:t xml:space="preserve"> 2</w:t>
      </w:r>
    </w:p>
    <w:p w14:paraId="2788E3AA">
      <w:pPr>
        <w:numPr>
          <w:ilvl w:val="0"/>
          <w:numId w:val="0"/>
        </w:numPr>
        <w:jc w:val="center"/>
        <w:rPr>
          <w:rFonts w:hint="default" w:ascii="Cambria" w:hAnsi="Cambria" w:cs="Cambria" w:eastAsiaTheme="minorEastAsia"/>
          <w:b/>
          <w:bCs/>
          <w:sz w:val="24"/>
          <w:szCs w:val="24"/>
          <w:lang w:eastAsia="zh-CN"/>
        </w:rPr>
      </w:pPr>
      <w:r>
        <w:rPr>
          <w:rFonts w:hint="default" w:ascii="Cambria" w:hAnsi="Cambria" w:cs="Cambria"/>
          <w:b/>
          <w:bCs/>
          <w:sz w:val="24"/>
          <w:szCs w:val="24"/>
          <w:lang w:eastAsia="zh-CN"/>
        </w:rPr>
        <w:t>Minutes of Expert Demonstration Meeting</w:t>
      </w:r>
    </w:p>
    <w:p w14:paraId="44C604D3">
      <w:pPr>
        <w:numPr>
          <w:ilvl w:val="0"/>
          <w:numId w:val="0"/>
        </w:numPr>
        <w:rPr>
          <w:rFonts w:hint="default" w:ascii="Cambria" w:hAnsi="Cambria" w:cs="Cambria"/>
        </w:rPr>
      </w:pPr>
    </w:p>
    <w:p w14:paraId="5EB85D60">
      <w:pPr>
        <w:numPr>
          <w:ilvl w:val="0"/>
          <w:numId w:val="0"/>
        </w:numPr>
        <w:rPr>
          <w:rFonts w:hint="default" w:ascii="Cambria" w:hAnsi="Cambria" w:cs="Cambria"/>
        </w:rPr>
      </w:pPr>
      <w:r>
        <w:rPr>
          <w:rFonts w:hint="default" w:ascii="Cambria" w:hAnsi="Cambria" w:cs="Cambria"/>
        </w:rPr>
        <w:t xml:space="preserve">Meeting Time: </w:t>
      </w:r>
      <w:r>
        <w:rPr>
          <w:rFonts w:hint="default" w:ascii="Cambria" w:hAnsi="Cambria" w:cs="Cambria"/>
          <w:lang w:eastAsia="zh-CN"/>
        </w:rPr>
        <w:t>19:00–21:00</w:t>
      </w:r>
      <w:r>
        <w:rPr>
          <w:rFonts w:hint="default" w:ascii="Cambria" w:hAnsi="Cambria" w:cs="Cambria"/>
        </w:rPr>
        <w:t>, December 3, 2025</w:t>
      </w:r>
    </w:p>
    <w:p w14:paraId="1E9169D8">
      <w:pPr>
        <w:numPr>
          <w:ilvl w:val="0"/>
          <w:numId w:val="0"/>
        </w:numPr>
        <w:rPr>
          <w:rFonts w:hint="default" w:ascii="Cambria" w:hAnsi="Cambria" w:cs="Cambria"/>
        </w:rPr>
      </w:pPr>
      <w:r>
        <w:rPr>
          <w:rFonts w:hint="default" w:ascii="Cambria" w:hAnsi="Cambria" w:cs="Cambria"/>
        </w:rPr>
        <w:t>Meeting Place: Nanjing, China (Combination of Offline and Online)</w:t>
      </w:r>
    </w:p>
    <w:p w14:paraId="793C8BA9">
      <w:pPr>
        <w:numPr>
          <w:ilvl w:val="0"/>
          <w:numId w:val="0"/>
        </w:numPr>
        <w:rPr>
          <w:rFonts w:hint="default" w:ascii="Cambria" w:hAnsi="Cambria" w:cs="Cambria"/>
        </w:rPr>
      </w:pPr>
      <w:r>
        <w:rPr>
          <w:rFonts w:hint="default" w:ascii="Cambria" w:hAnsi="Cambria" w:cs="Cambria"/>
        </w:rPr>
        <w:t xml:space="preserve">Meeting Nature: Expert Demonstration Meeting for the </w:t>
      </w:r>
      <w:r>
        <w:rPr>
          <w:rFonts w:hint="default" w:ascii="Cambria" w:hAnsi="Cambria" w:cs="Cambria"/>
          <w:lang w:eastAsia="zh-CN"/>
        </w:rPr>
        <w:t>Upgrading</w:t>
      </w:r>
      <w:r>
        <w:rPr>
          <w:rFonts w:hint="default" w:ascii="Cambria" w:hAnsi="Cambria" w:cs="Cambria"/>
          <w:lang w:val="en-US" w:eastAsia="zh-CN"/>
        </w:rPr>
        <w:t xml:space="preserve"> </w:t>
      </w:r>
      <w:r>
        <w:rPr>
          <w:rFonts w:hint="default" w:ascii="Cambria" w:hAnsi="Cambria" w:cs="Cambria"/>
        </w:rPr>
        <w:t xml:space="preserve">of the National Standard to an International Standard of the </w:t>
      </w:r>
      <w:r>
        <w:rPr>
          <w:rFonts w:hint="default" w:ascii="Cambria" w:hAnsi="Cambria" w:cs="Cambria"/>
          <w:lang w:eastAsia="zh-CN"/>
        </w:rPr>
        <w:t>WFCMS</w:t>
      </w:r>
    </w:p>
    <w:p w14:paraId="06A9F513">
      <w:pPr>
        <w:numPr>
          <w:ilvl w:val="0"/>
          <w:numId w:val="0"/>
        </w:numPr>
        <w:rPr>
          <w:rFonts w:hint="default" w:ascii="Cambria" w:hAnsi="Cambria" w:cs="Cambria"/>
        </w:rPr>
      </w:pPr>
    </w:p>
    <w:p w14:paraId="7DAADF93">
      <w:pPr>
        <w:numPr>
          <w:ilvl w:val="0"/>
          <w:numId w:val="0"/>
        </w:numPr>
        <w:rPr>
          <w:rFonts w:hint="default" w:ascii="Cambria" w:hAnsi="Cambria" w:cs="Cambria"/>
        </w:rPr>
      </w:pPr>
      <w:r>
        <w:rPr>
          <w:rFonts w:hint="default" w:ascii="Cambria" w:hAnsi="Cambria" w:cs="Cambria"/>
        </w:rPr>
        <w:t>Participants</w:t>
      </w:r>
    </w:p>
    <w:p w14:paraId="1661FFDA">
      <w:pPr>
        <w:numPr>
          <w:ilvl w:val="0"/>
          <w:numId w:val="0"/>
        </w:numPr>
        <w:rPr>
          <w:rFonts w:hint="default" w:ascii="Cambria" w:hAnsi="Cambria" w:cs="Cambria"/>
        </w:rPr>
      </w:pPr>
      <w:r>
        <w:rPr>
          <w:rFonts w:hint="default" w:ascii="Cambria" w:hAnsi="Cambria" w:cs="Cambria"/>
        </w:rPr>
        <w:t>Project Team Leader: Wang Shouchuan (Nanjing University of Chinese Medicine), project leaders, secretaries, etc.</w:t>
      </w:r>
    </w:p>
    <w:p w14:paraId="77E375FF">
      <w:pPr>
        <w:numPr>
          <w:ilvl w:val="0"/>
          <w:numId w:val="0"/>
        </w:numPr>
        <w:rPr>
          <w:rFonts w:hint="default" w:ascii="Cambria" w:hAnsi="Cambria" w:cs="Cambria"/>
        </w:rPr>
      </w:pPr>
      <w:r>
        <w:rPr>
          <w:rFonts w:hint="default" w:ascii="Cambria" w:hAnsi="Cambria" w:cs="Cambria"/>
        </w:rPr>
        <w:t xml:space="preserve">Expert Group: </w:t>
      </w:r>
    </w:p>
    <w:p w14:paraId="29919AC8">
      <w:pPr>
        <w:numPr>
          <w:ilvl w:val="0"/>
          <w:numId w:val="0"/>
        </w:numPr>
        <w:rPr>
          <w:rFonts w:hint="default" w:ascii="Cambria" w:hAnsi="Cambria" w:cs="Cambria"/>
        </w:rPr>
      </w:pPr>
      <w:r>
        <w:rPr>
          <w:rFonts w:hint="default" w:ascii="Cambria" w:hAnsi="Cambria" w:cs="Cambria"/>
        </w:rPr>
        <w:t>Group Leader: Ding Ying (Henan University of Chinese Medicine)</w:t>
      </w:r>
    </w:p>
    <w:p w14:paraId="663D7E48">
      <w:pPr>
        <w:numPr>
          <w:ilvl w:val="0"/>
          <w:numId w:val="0"/>
        </w:numPr>
        <w:rPr>
          <w:rFonts w:hint="default" w:ascii="Cambria" w:hAnsi="Cambria" w:cs="Cambria"/>
        </w:rPr>
      </w:pPr>
      <w:r>
        <w:rPr>
          <w:rFonts w:hint="default" w:ascii="Cambria" w:hAnsi="Cambria" w:cs="Cambria"/>
        </w:rPr>
        <w:t xml:space="preserve">Members (in alphabetical order by surname strokes): Wan Lisheng (Shenzhen Children's Hospital), Ma Rong (The First Affiliated Hospital of Tianjin University of </w:t>
      </w:r>
      <w:r>
        <w:rPr>
          <w:rFonts w:hint="default" w:ascii="Cambria" w:hAnsi="Cambria" w:cs="Cambria"/>
          <w:lang w:eastAsia="zh-CN"/>
        </w:rPr>
        <w:t>TCM</w:t>
      </w:r>
      <w:r>
        <w:rPr>
          <w:rFonts w:hint="default" w:ascii="Cambria" w:hAnsi="Cambria" w:cs="Cambria"/>
        </w:rPr>
        <w:t>), Wang Youpeng (The Second Affiliated Hospital of Heilongjiang University of Chinese Medicine), Wang Lili (</w:t>
      </w:r>
      <w:r>
        <w:rPr>
          <w:rFonts w:hint="default" w:ascii="Cambria" w:hAnsi="Cambria" w:cs="Cambria"/>
          <w:lang w:eastAsia="zh-CN"/>
        </w:rPr>
        <w:t>International Standards Department</w:t>
      </w:r>
      <w:r>
        <w:rPr>
          <w:rFonts w:hint="default" w:ascii="Cambria" w:hAnsi="Cambria" w:cs="Cambria"/>
        </w:rPr>
        <w:t xml:space="preserve"> of the </w:t>
      </w:r>
      <w:r>
        <w:rPr>
          <w:rFonts w:hint="default" w:ascii="Cambria" w:hAnsi="Cambria" w:cs="Cambria"/>
          <w:lang w:eastAsia="zh-CN"/>
        </w:rPr>
        <w:t>WFCMS</w:t>
      </w:r>
      <w:r>
        <w:rPr>
          <w:rFonts w:hint="default" w:ascii="Cambria" w:hAnsi="Cambria" w:cs="Cambria"/>
        </w:rPr>
        <w:t xml:space="preserve">), Wang Sumei (Dongfang Hospital of Beijing University of Chinese Medicine), Shi Zhenggang (Gansu University of Chinese Medicine), Liu Jianzhong (Hubei University of Chinese Medicine), Zhang Baoqing (The Affiliated Hospital of Shandong University of Chinese Medicine), Yu Jian (Children's Hospital of Fudan University), Yu Jian'er (Shanghai University of </w:t>
      </w:r>
      <w:r>
        <w:rPr>
          <w:rFonts w:hint="default" w:ascii="Cambria" w:hAnsi="Cambria" w:cs="Cambria"/>
          <w:lang w:eastAsia="zh-CN"/>
        </w:rPr>
        <w:t>TCM</w:t>
      </w:r>
      <w:r>
        <w:rPr>
          <w:rFonts w:hint="default" w:ascii="Cambria" w:hAnsi="Cambria" w:cs="Cambria"/>
        </w:rPr>
        <w:t>), Xiong Lei (Yunnan University of Chinese Medicine), Dai Qigang (Nanjing University of Chinese Medicine)</w:t>
      </w:r>
    </w:p>
    <w:p w14:paraId="69F38BDA">
      <w:pPr>
        <w:numPr>
          <w:ilvl w:val="0"/>
          <w:numId w:val="0"/>
        </w:numPr>
        <w:rPr>
          <w:rFonts w:hint="default" w:ascii="Cambria" w:hAnsi="Cambria" w:cs="Cambria"/>
        </w:rPr>
      </w:pPr>
    </w:p>
    <w:p w14:paraId="5A26A76C">
      <w:pPr>
        <w:numPr>
          <w:ilvl w:val="0"/>
          <w:numId w:val="0"/>
        </w:numPr>
        <w:rPr>
          <w:rFonts w:hint="default" w:ascii="Cambria" w:hAnsi="Cambria" w:cs="Cambria" w:eastAsiaTheme="minorEastAsia"/>
          <w:b/>
          <w:bCs/>
          <w:lang w:val="en-US" w:eastAsia="zh-CN"/>
        </w:rPr>
      </w:pPr>
      <w:r>
        <w:rPr>
          <w:rFonts w:hint="default" w:ascii="Cambria" w:hAnsi="Cambria" w:cs="Cambria"/>
          <w:b/>
          <w:bCs/>
        </w:rPr>
        <w:t>I. Background and Work Foundation</w:t>
      </w:r>
      <w:r>
        <w:rPr>
          <w:rFonts w:hint="default" w:ascii="Cambria" w:hAnsi="Cambria" w:cs="Cambria"/>
          <w:b/>
          <w:bCs/>
          <w:lang w:val="en-US" w:eastAsia="zh-CN"/>
        </w:rPr>
        <w:t xml:space="preserve"> for the Meeting</w:t>
      </w:r>
    </w:p>
    <w:p w14:paraId="6A89A1AA">
      <w:pPr>
        <w:numPr>
          <w:ilvl w:val="0"/>
          <w:numId w:val="0"/>
        </w:numPr>
        <w:ind w:firstLine="420" w:firstLineChars="0"/>
        <w:rPr>
          <w:rFonts w:hint="default" w:ascii="Cambria" w:hAnsi="Cambria" w:cs="Cambria"/>
        </w:rPr>
      </w:pPr>
      <w:r>
        <w:rPr>
          <w:rFonts w:hint="default" w:ascii="Cambria" w:hAnsi="Cambria" w:cs="Cambria"/>
        </w:rPr>
        <w:t xml:space="preserve">This expert demonstration meeting serves as a critical milestone conference for the international standard </w:t>
      </w:r>
      <w:r>
        <w:rPr>
          <w:rFonts w:hint="default" w:ascii="Cambria" w:hAnsi="Cambria" w:cs="Cambria"/>
          <w:lang w:val="en-US" w:eastAsia="zh-CN"/>
        </w:rPr>
        <w:t xml:space="preserve">upgrading </w:t>
      </w:r>
      <w:r>
        <w:rPr>
          <w:rFonts w:hint="default" w:ascii="Cambria" w:hAnsi="Cambria" w:cs="Cambria"/>
        </w:rPr>
        <w:t xml:space="preserve">project. To improve the efficiency of the meeting and the scientificity of </w:t>
      </w:r>
      <w:r>
        <w:rPr>
          <w:rFonts w:hint="default" w:ascii="Cambria" w:hAnsi="Cambria" w:cs="Cambria"/>
          <w:lang w:eastAsia="zh-CN"/>
        </w:rPr>
        <w:t>decision-making</w:t>
      </w:r>
      <w:r>
        <w:rPr>
          <w:rFonts w:hint="default" w:ascii="Cambria" w:hAnsi="Cambria" w:cs="Cambria"/>
        </w:rPr>
        <w:t xml:space="preserve">, the project team sent a full set of demonstration meeting materials to all demonstration experts before the meeting. The materials included: the summary report of the expert questionnaire survey on </w:t>
      </w:r>
      <w:r>
        <w:rPr>
          <w:rFonts w:hint="default" w:ascii="Cambria" w:hAnsi="Cambria" w:cs="Cambria"/>
          <w:lang w:eastAsia="zh-CN"/>
        </w:rPr>
        <w:t>ISMCMP-CT</w:t>
      </w:r>
      <w:r>
        <w:rPr>
          <w:rFonts w:hint="default" w:ascii="Cambria" w:hAnsi="Cambria" w:cs="Cambria"/>
        </w:rPr>
        <w:t xml:space="preserve">, the letter of soliciting opinions for the expert demonstration meeting on </w:t>
      </w:r>
      <w:r>
        <w:rPr>
          <w:rFonts w:hint="default" w:ascii="Cambria" w:hAnsi="Cambria" w:cs="Cambria"/>
          <w:lang w:eastAsia="zh-CN"/>
        </w:rPr>
        <w:t>ISMCMP-CT</w:t>
      </w:r>
      <w:r>
        <w:rPr>
          <w:rFonts w:hint="default" w:ascii="Cambria" w:hAnsi="Cambria" w:cs="Cambria"/>
        </w:rPr>
        <w:t xml:space="preserve"> (including 2 core controversial items, </w:t>
      </w:r>
      <w:r>
        <w:rPr>
          <w:rFonts w:hint="default" w:ascii="Cambria" w:hAnsi="Cambria" w:cs="Cambria"/>
          <w:lang w:eastAsia="zh-CN"/>
        </w:rPr>
        <w:t>open-ended questions</w:t>
      </w:r>
      <w:r>
        <w:rPr>
          <w:rFonts w:hint="default" w:ascii="Cambria" w:hAnsi="Cambria" w:cs="Cambria"/>
        </w:rPr>
        <w:t xml:space="preserve">, and the integration suggestions of the project team), and the original national standard text </w:t>
      </w:r>
      <w:r>
        <w:rPr>
          <w:rFonts w:hint="default" w:ascii="Cambria" w:hAnsi="Cambria" w:cs="Cambria"/>
          <w:lang w:val="en-US" w:eastAsia="zh-CN"/>
        </w:rPr>
        <w:t xml:space="preserve">of </w:t>
      </w:r>
      <w:r>
        <w:rPr>
          <w:rFonts w:hint="default" w:ascii="Cambria" w:hAnsi="Cambria" w:cs="Cambria"/>
        </w:rPr>
        <w:t>GBZ 40893.5</w:t>
      </w:r>
      <w:r>
        <w:rPr>
          <w:rFonts w:hint="default" w:ascii="Cambria" w:hAnsi="Cambria" w:cs="Cambria"/>
          <w:lang w:val="en-US" w:eastAsia="zh-CN"/>
        </w:rPr>
        <w:t>-</w:t>
      </w:r>
      <w:r>
        <w:rPr>
          <w:rFonts w:hint="default" w:ascii="Cambria" w:hAnsi="Cambria" w:cs="Cambria"/>
        </w:rPr>
        <w:t>2021</w:t>
      </w:r>
      <w:r>
        <w:rPr>
          <w:rFonts w:hint="default" w:ascii="Cambria" w:hAnsi="Cambria" w:cs="Cambria"/>
          <w:lang w:val="en-US" w:eastAsia="zh-CN"/>
        </w:rPr>
        <w:t xml:space="preserve"> SOTTCMP-CT</w:t>
      </w:r>
      <w:r>
        <w:rPr>
          <w:rFonts w:hint="default" w:ascii="Cambria" w:hAnsi="Cambria" w:cs="Cambria"/>
        </w:rPr>
        <w:t>.</w:t>
      </w:r>
    </w:p>
    <w:p w14:paraId="1C244C9B">
      <w:pPr>
        <w:numPr>
          <w:ilvl w:val="0"/>
          <w:numId w:val="0"/>
        </w:numPr>
        <w:rPr>
          <w:rFonts w:hint="default" w:ascii="Cambria" w:hAnsi="Cambria" w:cs="Cambria"/>
        </w:rPr>
      </w:pPr>
    </w:p>
    <w:p w14:paraId="568440DC">
      <w:pPr>
        <w:numPr>
          <w:ilvl w:val="0"/>
          <w:numId w:val="0"/>
        </w:numPr>
        <w:ind w:firstLine="420" w:firstLineChars="0"/>
        <w:rPr>
          <w:rFonts w:hint="default" w:ascii="Cambria" w:hAnsi="Cambria" w:cs="Cambria"/>
        </w:rPr>
      </w:pPr>
      <w:r>
        <w:rPr>
          <w:rFonts w:hint="default" w:ascii="Cambria" w:hAnsi="Cambria" w:cs="Cambria"/>
        </w:rPr>
        <w:t xml:space="preserve">The meeting adopted a </w:t>
      </w:r>
      <w:r>
        <w:rPr>
          <w:rFonts w:hint="default" w:ascii="Cambria" w:hAnsi="Cambria" w:cs="Cambria"/>
          <w:lang w:eastAsia="zh-CN"/>
        </w:rPr>
        <w:t>three-stage</w:t>
      </w:r>
      <w:r>
        <w:rPr>
          <w:rFonts w:hint="default" w:ascii="Cambria" w:hAnsi="Cambria" w:cs="Cambria"/>
        </w:rPr>
        <w:t xml:space="preserve"> working mode of "pre</w:t>
      </w:r>
      <w:r>
        <w:rPr>
          <w:rFonts w:hint="default" w:ascii="Cambria" w:hAnsi="Cambria" w:cs="Cambria"/>
          <w:lang w:val="en-US" w:eastAsia="zh-CN"/>
        </w:rPr>
        <w:t>-</w:t>
      </w:r>
      <w:r>
        <w:rPr>
          <w:rFonts w:hint="default" w:ascii="Cambria" w:hAnsi="Cambria" w:cs="Cambria"/>
        </w:rPr>
        <w:t xml:space="preserve">meeting review by letter + </w:t>
      </w:r>
      <w:r>
        <w:rPr>
          <w:rFonts w:hint="default" w:ascii="Cambria" w:hAnsi="Cambria" w:cs="Cambria"/>
          <w:lang w:eastAsia="zh-CN"/>
        </w:rPr>
        <w:t>in-meeting</w:t>
      </w:r>
      <w:r>
        <w:rPr>
          <w:rFonts w:hint="default" w:ascii="Cambria" w:hAnsi="Cambria" w:cs="Cambria"/>
        </w:rPr>
        <w:t xml:space="preserve"> demonstration + </w:t>
      </w:r>
      <w:r>
        <w:rPr>
          <w:rFonts w:hint="default" w:ascii="Cambria" w:hAnsi="Cambria" w:cs="Cambria"/>
          <w:lang w:eastAsia="zh-CN"/>
        </w:rPr>
        <w:t>post-meeting</w:t>
      </w:r>
      <w:r>
        <w:rPr>
          <w:rFonts w:hint="default" w:ascii="Cambria" w:hAnsi="Cambria" w:cs="Cambria"/>
        </w:rPr>
        <w:t xml:space="preserve"> written confirmation". Experts had conducted independent reviews and preliminary scoring based on the content of the letter of soliciting opinions before the meeting. During the meeting, they focused on discussing key controversial issues, and within one week after the meeting (before December 10), they submitted the written opinion letters to the project team's email box to ensure that the final opinions of each expert were completely recorded.</w:t>
      </w:r>
    </w:p>
    <w:p w14:paraId="2EEE2C42">
      <w:pPr>
        <w:numPr>
          <w:ilvl w:val="0"/>
          <w:numId w:val="0"/>
        </w:numPr>
        <w:rPr>
          <w:rFonts w:hint="default" w:ascii="Cambria" w:hAnsi="Cambria" w:cs="Cambria"/>
        </w:rPr>
      </w:pPr>
    </w:p>
    <w:p w14:paraId="1FEDB9D6">
      <w:pPr>
        <w:numPr>
          <w:ilvl w:val="0"/>
          <w:numId w:val="0"/>
        </w:numPr>
        <w:ind w:firstLine="420" w:firstLineChars="0"/>
        <w:rPr>
          <w:rFonts w:hint="default" w:ascii="Cambria" w:hAnsi="Cambria" w:cs="Cambria"/>
        </w:rPr>
      </w:pPr>
      <w:r>
        <w:rPr>
          <w:rFonts w:hint="default" w:ascii="Cambria" w:hAnsi="Cambria" w:cs="Cambria"/>
        </w:rPr>
        <w:t>This meeting minutes comprehensively integrates the on</w:t>
      </w:r>
      <w:r>
        <w:rPr>
          <w:rFonts w:hint="default" w:ascii="Cambria" w:hAnsi="Cambria" w:cs="Cambria"/>
          <w:lang w:val="en-US" w:eastAsia="zh-CN"/>
        </w:rPr>
        <w:t>-</w:t>
      </w:r>
      <w:r>
        <w:rPr>
          <w:rFonts w:hint="default" w:ascii="Cambria" w:hAnsi="Cambria" w:cs="Cambria"/>
        </w:rPr>
        <w:t xml:space="preserve">site discussion records of the meeting and the double information of the letters of soliciting opinions submitted in writing by 13 experts. It systematically sorts out the demonstration process, expert scoring results, modification suggestions, and final resolutions of each controversial item and </w:t>
      </w:r>
      <w:r>
        <w:rPr>
          <w:rFonts w:hint="default" w:ascii="Cambria" w:hAnsi="Cambria" w:cs="Cambria"/>
          <w:lang w:eastAsia="zh-CN"/>
        </w:rPr>
        <w:t>open-ended</w:t>
      </w:r>
      <w:r>
        <w:rPr>
          <w:rFonts w:hint="default" w:ascii="Cambria" w:hAnsi="Cambria" w:cs="Cambria"/>
        </w:rPr>
        <w:t xml:space="preserve"> suggestion. As an important part of the standard preparation instructions, it is submitted to the </w:t>
      </w:r>
      <w:r>
        <w:rPr>
          <w:rFonts w:hint="default" w:ascii="Cambria" w:hAnsi="Cambria" w:cs="Cambria"/>
          <w:lang w:eastAsia="zh-CN"/>
        </w:rPr>
        <w:t>International Standards Department</w:t>
      </w:r>
      <w:r>
        <w:rPr>
          <w:rFonts w:hint="default" w:ascii="Cambria" w:hAnsi="Cambria" w:cs="Cambria"/>
        </w:rPr>
        <w:t xml:space="preserve"> of the </w:t>
      </w:r>
      <w:r>
        <w:rPr>
          <w:rFonts w:hint="default" w:ascii="Cambria" w:hAnsi="Cambria" w:cs="Cambria"/>
          <w:lang w:eastAsia="zh-CN"/>
        </w:rPr>
        <w:t>WFCMS</w:t>
      </w:r>
      <w:r>
        <w:rPr>
          <w:rFonts w:hint="default" w:ascii="Cambria" w:hAnsi="Cambria" w:cs="Cambria"/>
        </w:rPr>
        <w:t xml:space="preserve"> for review.</w:t>
      </w:r>
    </w:p>
    <w:p w14:paraId="37033724">
      <w:pPr>
        <w:numPr>
          <w:ilvl w:val="0"/>
          <w:numId w:val="0"/>
        </w:numPr>
        <w:rPr>
          <w:rFonts w:hint="default" w:ascii="Cambria" w:hAnsi="Cambria" w:cs="Cambria"/>
        </w:rPr>
      </w:pPr>
    </w:p>
    <w:p w14:paraId="7BE5B69F">
      <w:pPr>
        <w:numPr>
          <w:ilvl w:val="0"/>
          <w:numId w:val="0"/>
        </w:numPr>
        <w:rPr>
          <w:rFonts w:hint="default" w:ascii="Cambria" w:hAnsi="Cambria" w:cs="Cambria"/>
          <w:b/>
          <w:bCs/>
        </w:rPr>
      </w:pPr>
      <w:r>
        <w:rPr>
          <w:rFonts w:hint="default" w:ascii="Cambria" w:hAnsi="Cambria" w:cs="Cambria"/>
          <w:b/>
          <w:bCs/>
        </w:rPr>
        <w:t>II. Project Work Report</w:t>
      </w:r>
    </w:p>
    <w:p w14:paraId="2A992868">
      <w:pPr>
        <w:numPr>
          <w:ilvl w:val="0"/>
          <w:numId w:val="0"/>
        </w:numPr>
        <w:ind w:firstLine="420" w:firstLineChars="0"/>
        <w:rPr>
          <w:rFonts w:hint="default" w:ascii="Cambria" w:hAnsi="Cambria" w:cs="Cambria"/>
        </w:rPr>
      </w:pPr>
      <w:r>
        <w:rPr>
          <w:rFonts w:hint="default" w:ascii="Cambria" w:hAnsi="Cambria" w:cs="Cambria"/>
        </w:rPr>
        <w:t xml:space="preserve">Professor Wang Shouchuan, the overall project leader, first introduced the project background: This </w:t>
      </w:r>
      <w:r>
        <w:rPr>
          <w:rFonts w:hint="default" w:ascii="Cambria" w:hAnsi="Cambria" w:cs="Cambria"/>
          <w:lang w:eastAsia="zh-CN"/>
        </w:rPr>
        <w:t>upgrading work</w:t>
      </w:r>
      <w:r>
        <w:rPr>
          <w:rFonts w:hint="default" w:ascii="Cambria" w:hAnsi="Cambria" w:cs="Cambria"/>
        </w:rPr>
        <w:t xml:space="preserve"> originated from the national standard of China released in 2021. The core goal is to form an international standard draft with scientificity, safety, and operability through rigorous </w:t>
      </w:r>
      <w:r>
        <w:rPr>
          <w:rFonts w:hint="default" w:ascii="Cambria" w:hAnsi="Cambria" w:cs="Cambria"/>
          <w:lang w:eastAsia="zh-CN"/>
        </w:rPr>
        <w:t>evidence-based</w:t>
      </w:r>
      <w:r>
        <w:rPr>
          <w:rFonts w:hint="default" w:ascii="Cambria" w:hAnsi="Cambria" w:cs="Cambria"/>
        </w:rPr>
        <w:t xml:space="preserve"> research and international benchmarking, and to promote the standardized application of internal treatment administration techniques, pediatric external treatment methods, pediatric acupuncture and moxibustion therapies, pediatric tuina therapies, and pediatric cupping therapies in </w:t>
      </w:r>
      <w:r>
        <w:rPr>
          <w:rFonts w:hint="default" w:ascii="Cambria" w:hAnsi="Cambria" w:cs="Cambria"/>
          <w:lang w:eastAsia="zh-CN"/>
        </w:rPr>
        <w:t>TCM</w:t>
      </w:r>
      <w:r>
        <w:rPr>
          <w:rFonts w:hint="default" w:ascii="Cambria" w:hAnsi="Cambria" w:cs="Cambria"/>
        </w:rPr>
        <w:t xml:space="preserve"> pediatrics on a global scale. Then, the secretaries of each project reported on the work of each guideline.</w:t>
      </w:r>
    </w:p>
    <w:p w14:paraId="5562A798">
      <w:pPr>
        <w:numPr>
          <w:ilvl w:val="0"/>
          <w:numId w:val="0"/>
        </w:numPr>
        <w:ind w:firstLine="420" w:firstLineChars="0"/>
        <w:rPr>
          <w:rFonts w:hint="default" w:ascii="Cambria" w:hAnsi="Cambria" w:cs="Cambria"/>
        </w:rPr>
      </w:pPr>
      <w:r>
        <w:rPr>
          <w:rFonts w:hint="default" w:ascii="Cambria" w:hAnsi="Cambria" w:cs="Cambria"/>
        </w:rPr>
        <w:t xml:space="preserve">Yang Meng, the secretary of this project team, reported the progress of the previous work to the experts, and with regard to the results of the expert questionnaire survey, she focused on introducing and explaining the 2 core controversial items and </w:t>
      </w:r>
      <w:r>
        <w:rPr>
          <w:rFonts w:hint="default" w:ascii="Cambria" w:hAnsi="Cambria" w:cs="Cambria"/>
          <w:lang w:eastAsia="zh-CN"/>
        </w:rPr>
        <w:t>open-ended</w:t>
      </w:r>
      <w:r>
        <w:rPr>
          <w:rFonts w:hint="default" w:ascii="Cambria" w:hAnsi="Cambria" w:cs="Cambria"/>
        </w:rPr>
        <w:t xml:space="preserve"> opinions.</w:t>
      </w:r>
    </w:p>
    <w:p w14:paraId="0C0CFE33">
      <w:pPr>
        <w:numPr>
          <w:ilvl w:val="0"/>
          <w:numId w:val="0"/>
        </w:numPr>
        <w:rPr>
          <w:rFonts w:hint="default" w:ascii="Cambria" w:hAnsi="Cambria" w:cs="Cambria"/>
        </w:rPr>
      </w:pPr>
    </w:p>
    <w:p w14:paraId="6391A3E3">
      <w:pPr>
        <w:numPr>
          <w:ilvl w:val="0"/>
          <w:numId w:val="0"/>
        </w:numPr>
        <w:rPr>
          <w:rFonts w:hint="default" w:ascii="Cambria" w:hAnsi="Cambria" w:cs="Cambria"/>
          <w:b/>
          <w:bCs/>
        </w:rPr>
      </w:pPr>
      <w:r>
        <w:rPr>
          <w:rFonts w:hint="default" w:ascii="Cambria" w:hAnsi="Cambria" w:cs="Cambria"/>
          <w:b/>
          <w:bCs/>
        </w:rPr>
        <w:t>III. Resolutions on Controversial Items</w:t>
      </w:r>
    </w:p>
    <w:p w14:paraId="650E89DB">
      <w:pPr>
        <w:numPr>
          <w:ilvl w:val="0"/>
          <w:numId w:val="0"/>
        </w:numPr>
        <w:ind w:firstLine="420" w:firstLineChars="0"/>
        <w:rPr>
          <w:rFonts w:hint="default" w:ascii="Cambria" w:hAnsi="Cambria" w:cs="Cambria" w:eastAsiaTheme="minorEastAsia"/>
          <w:lang w:val="en-US" w:eastAsia="zh-CN"/>
        </w:rPr>
      </w:pPr>
      <w:r>
        <w:rPr>
          <w:rFonts w:hint="default" w:ascii="Cambria" w:hAnsi="Cambria" w:cs="Cambria"/>
        </w:rPr>
        <w:t>Prior to the meeting, all experts had received the letter for soliciting comments, the summary report of previous expert questionnaires and the electronic version of the original national standard. They conducted a thorough review of controversial items and open-ended comments.</w:t>
      </w:r>
      <w:r>
        <w:rPr>
          <w:rFonts w:hint="default" w:ascii="Cambria" w:hAnsi="Cambria" w:cs="Cambria"/>
          <w:lang w:val="en-US" w:eastAsia="zh-CN"/>
        </w:rPr>
        <w:t xml:space="preserve"> </w:t>
      </w:r>
      <w:r>
        <w:rPr>
          <w:rFonts w:hint="default" w:ascii="Cambria" w:hAnsi="Cambria" w:cs="Cambria"/>
        </w:rPr>
        <w:t>During the meeting, the experts spoke</w:t>
      </w:r>
      <w:r>
        <w:rPr>
          <w:rFonts w:hint="default" w:ascii="Cambria" w:hAnsi="Cambria" w:cs="Cambria"/>
          <w:lang w:val="en-US" w:eastAsia="zh-CN"/>
        </w:rPr>
        <w:t xml:space="preserve"> </w:t>
      </w:r>
      <w:r>
        <w:rPr>
          <w:rFonts w:hint="default" w:ascii="Cambria" w:hAnsi="Cambria" w:cs="Cambria"/>
        </w:rPr>
        <w:t xml:space="preserve">actively, and generally affirmed the integration opinions put forward by the project working group, believing that the technical plan was relatively mature and could serve as the basis for international standard </w:t>
      </w:r>
      <w:r>
        <w:rPr>
          <w:rFonts w:hint="default" w:ascii="Cambria" w:hAnsi="Cambria" w:cs="Cambria"/>
          <w:lang w:val="en-US" w:eastAsia="zh-CN"/>
        </w:rPr>
        <w:t>upgrading</w:t>
      </w:r>
      <w:r>
        <w:rPr>
          <w:rFonts w:hint="default" w:ascii="Cambria" w:hAnsi="Cambria" w:cs="Cambria"/>
        </w:rPr>
        <w:t>. For specific clauses, the experts carefully discussed and put forward the following demonstration opinions</w:t>
      </w:r>
      <w:r>
        <w:rPr>
          <w:rFonts w:hint="default" w:ascii="Cambria" w:hAnsi="Cambria" w:cs="Cambria"/>
          <w:lang w:val="en-US" w:eastAsia="zh-CN"/>
        </w:rPr>
        <w:t>.</w:t>
      </w:r>
    </w:p>
    <w:p w14:paraId="5421E8F0">
      <w:pPr>
        <w:numPr>
          <w:ilvl w:val="0"/>
          <w:numId w:val="0"/>
        </w:numPr>
        <w:rPr>
          <w:rFonts w:hint="default" w:ascii="Cambria" w:hAnsi="Cambria" w:cs="Cambria"/>
        </w:rPr>
      </w:pPr>
    </w:p>
    <w:p w14:paraId="5F35F5F2">
      <w:pPr>
        <w:numPr>
          <w:ilvl w:val="0"/>
          <w:numId w:val="0"/>
        </w:numPr>
        <w:rPr>
          <w:rFonts w:hint="default" w:ascii="Cambria" w:hAnsi="Cambria" w:cs="Cambria"/>
        </w:rPr>
      </w:pPr>
      <w:r>
        <w:rPr>
          <w:rFonts w:hint="default" w:ascii="Cambria" w:hAnsi="Cambria" w:cs="Cambria"/>
        </w:rPr>
        <w:t xml:space="preserve">(1) Item 1: </w:t>
      </w:r>
      <w:r>
        <w:rPr>
          <w:rFonts w:hint="default" w:ascii="Cambria" w:hAnsi="Cambria" w:cs="Cambria"/>
          <w:lang w:val="en-US" w:eastAsia="zh-CN"/>
        </w:rPr>
        <w:t>J</w:t>
      </w:r>
      <w:r>
        <w:rPr>
          <w:rFonts w:hint="default" w:ascii="Cambria" w:hAnsi="Cambria" w:cs="Cambria"/>
          <w:lang w:eastAsia="zh-CN"/>
        </w:rPr>
        <w:t>ar</w:t>
      </w:r>
      <w:r>
        <w:rPr>
          <w:rFonts w:hint="default" w:ascii="Cambria" w:hAnsi="Cambria" w:cs="Cambria"/>
        </w:rPr>
        <w:t xml:space="preserve"> Disinfection</w:t>
      </w:r>
    </w:p>
    <w:p w14:paraId="11D8ED74">
      <w:pPr>
        <w:numPr>
          <w:ilvl w:val="0"/>
          <w:numId w:val="0"/>
        </w:numPr>
        <w:rPr>
          <w:rFonts w:hint="default" w:ascii="Cambria" w:hAnsi="Cambria" w:cs="Cambria" w:eastAsiaTheme="minorEastAsia"/>
          <w:lang w:eastAsia="zh-CN"/>
        </w:rPr>
      </w:pPr>
      <w:r>
        <w:rPr>
          <w:rFonts w:hint="default" w:ascii="Cambria" w:hAnsi="Cambria" w:cs="Cambria"/>
        </w:rPr>
        <w:t>1. Original Text of the Letter of Soliciting Opinions</w:t>
      </w:r>
    </w:p>
    <w:p w14:paraId="16A1830F">
      <w:pPr>
        <w:numPr>
          <w:ilvl w:val="0"/>
          <w:numId w:val="0"/>
        </w:numPr>
        <w:rPr>
          <w:rFonts w:hint="default" w:ascii="Cambria" w:hAnsi="Cambria" w:cs="Cambria"/>
        </w:rPr>
      </w:pPr>
      <w:r>
        <w:rPr>
          <w:rFonts w:hint="default" w:ascii="Cambria" w:hAnsi="Cambria" w:cs="Cambria"/>
        </w:rPr>
        <w:t xml:space="preserve">    Original National Standard Text: Different disinfection methods can be used for </w:t>
      </w:r>
      <w:r>
        <w:rPr>
          <w:rFonts w:hint="default" w:ascii="Cambria" w:hAnsi="Cambria" w:cs="Cambria"/>
          <w:lang w:eastAsia="zh-CN"/>
        </w:rPr>
        <w:t>jar</w:t>
      </w:r>
      <w:r>
        <w:rPr>
          <w:rFonts w:hint="default" w:ascii="Cambria" w:hAnsi="Cambria" w:cs="Cambria"/>
        </w:rPr>
        <w:t xml:space="preserve">s of different materials and uses. </w:t>
      </w:r>
      <w:r>
        <w:rPr>
          <w:rFonts w:hint="default" w:ascii="Cambria" w:hAnsi="Cambria" w:cs="Cambria"/>
          <w:lang w:eastAsia="zh-CN"/>
        </w:rPr>
        <w:t>Glass jar</w:t>
      </w:r>
      <w:r>
        <w:rPr>
          <w:rFonts w:hint="default" w:ascii="Cambria" w:hAnsi="Cambria" w:cs="Cambria"/>
        </w:rPr>
        <w:t xml:space="preserve">s can be soaked in 2000mg/L 84 disinfectant solution (the disinfectant is replaced twice a week) or wiped repeatedly with 75% ethanol cotton balls; for </w:t>
      </w:r>
      <w:r>
        <w:rPr>
          <w:rFonts w:hint="default" w:ascii="Cambria" w:hAnsi="Cambria" w:cs="Cambria"/>
          <w:lang w:eastAsia="zh-CN"/>
        </w:rPr>
        <w:t>glass jar</w:t>
      </w:r>
      <w:r>
        <w:rPr>
          <w:rFonts w:hint="default" w:ascii="Cambria" w:hAnsi="Cambria" w:cs="Cambria"/>
        </w:rPr>
        <w:t xml:space="preserve">s used for </w:t>
      </w:r>
      <w:r>
        <w:rPr>
          <w:rFonts w:hint="default" w:ascii="Cambria" w:hAnsi="Cambria" w:cs="Cambria"/>
          <w:lang w:eastAsia="zh-CN"/>
        </w:rPr>
        <w:t>blood-letting puncture cupping</w:t>
      </w:r>
      <w:r>
        <w:rPr>
          <w:rFonts w:hint="default" w:ascii="Cambria" w:hAnsi="Cambria" w:cs="Cambria"/>
        </w:rPr>
        <w:t xml:space="preserve"> or contaminated with blood, pus, or venom, they should be used once for one person and soaked in 2000mg/L 84 disinfectant solution for 2 hours (10 hours if suspected of being contaminated with hepatitis B virus). </w:t>
      </w:r>
      <w:r>
        <w:rPr>
          <w:rFonts w:hint="default" w:ascii="Cambria" w:hAnsi="Cambria" w:cs="Cambria"/>
          <w:lang w:val="en-US" w:eastAsia="zh-CN"/>
        </w:rPr>
        <w:t>P</w:t>
      </w:r>
      <w:r>
        <w:rPr>
          <w:rFonts w:hint="default" w:ascii="Cambria" w:hAnsi="Cambria" w:cs="Cambria"/>
          <w:lang w:eastAsia="zh-CN"/>
        </w:rPr>
        <w:t>lastic jar</w:t>
      </w:r>
      <w:r>
        <w:rPr>
          <w:rFonts w:hint="default" w:ascii="Cambria" w:hAnsi="Cambria" w:cs="Cambria"/>
        </w:rPr>
        <w:t xml:space="preserve">s can be wiped repeatedly with 75% ethanol cotton balls; </w:t>
      </w:r>
      <w:r>
        <w:rPr>
          <w:rFonts w:hint="default" w:ascii="Cambria" w:hAnsi="Cambria" w:cs="Cambria"/>
          <w:lang w:eastAsia="zh-CN"/>
        </w:rPr>
        <w:t>bamboo jar</w:t>
      </w:r>
      <w:r>
        <w:rPr>
          <w:rFonts w:hint="default" w:ascii="Cambria" w:hAnsi="Cambria" w:cs="Cambria"/>
        </w:rPr>
        <w:t>s can be disinfected by boiling.</w:t>
      </w:r>
    </w:p>
    <w:p w14:paraId="287537B7">
      <w:pPr>
        <w:numPr>
          <w:ilvl w:val="0"/>
          <w:numId w:val="0"/>
        </w:numPr>
        <w:ind w:firstLine="420"/>
        <w:rPr>
          <w:rFonts w:hint="default" w:ascii="Cambria" w:hAnsi="Cambria" w:cs="Cambria"/>
        </w:rPr>
      </w:pPr>
      <w:r>
        <w:rPr>
          <w:rFonts w:hint="default" w:ascii="Cambria" w:hAnsi="Cambria" w:cs="Cambria"/>
        </w:rPr>
        <w:t>Options of Different Standards in the Questionnaire</w:t>
      </w:r>
    </w:p>
    <w:p w14:paraId="12269CC2">
      <w:pPr>
        <w:numPr>
          <w:ilvl w:val="0"/>
          <w:numId w:val="0"/>
        </w:numPr>
        <w:ind w:firstLine="420"/>
        <w:rPr>
          <w:rFonts w:hint="default" w:ascii="Cambria" w:hAnsi="Cambria" w:cs="Cambria"/>
        </w:rPr>
      </w:pPr>
      <w:r>
        <w:rPr>
          <w:rFonts w:hint="default" w:ascii="Cambria" w:hAnsi="Cambria" w:cs="Cambria"/>
        </w:rPr>
        <w:t xml:space="preserve">Flushing: Place the instruments, appliances, and items under running water for flushing to initially remove contaminants. </w:t>
      </w:r>
    </w:p>
    <w:p w14:paraId="6C6D5996">
      <w:pPr>
        <w:numPr>
          <w:ilvl w:val="0"/>
          <w:numId w:val="0"/>
        </w:numPr>
        <w:ind w:firstLine="420"/>
        <w:rPr>
          <w:rFonts w:hint="default" w:ascii="Cambria" w:hAnsi="Cambria" w:cs="Cambria"/>
        </w:rPr>
      </w:pPr>
      <w:r>
        <w:rPr>
          <w:rFonts w:hint="default" w:ascii="Cambria" w:hAnsi="Cambria" w:cs="Cambria"/>
        </w:rPr>
        <w:t xml:space="preserve">Washing: After flushing, soak them in a medical cleaning agent and then scrub. </w:t>
      </w:r>
    </w:p>
    <w:p w14:paraId="6EC2940F">
      <w:pPr>
        <w:numPr>
          <w:ilvl w:val="0"/>
          <w:numId w:val="0"/>
        </w:numPr>
        <w:ind w:firstLine="420"/>
        <w:rPr>
          <w:rFonts w:hint="default" w:ascii="Cambria" w:hAnsi="Cambria" w:cs="Cambria"/>
        </w:rPr>
      </w:pPr>
      <w:r>
        <w:rPr>
          <w:rFonts w:hint="default" w:ascii="Cambria" w:hAnsi="Cambria" w:cs="Cambria"/>
        </w:rPr>
        <w:t xml:space="preserve">Rinsing: After washing, rinse or scrub with running water again. </w:t>
      </w:r>
    </w:p>
    <w:p w14:paraId="7A3B98A4">
      <w:pPr>
        <w:numPr>
          <w:ilvl w:val="0"/>
          <w:numId w:val="0"/>
        </w:numPr>
        <w:ind w:firstLine="420"/>
        <w:rPr>
          <w:rFonts w:hint="default" w:ascii="Cambria" w:hAnsi="Cambria" w:cs="Cambria" w:eastAsiaTheme="minorEastAsia"/>
          <w:lang w:val="en-US" w:eastAsia="zh-CN"/>
        </w:rPr>
      </w:pPr>
      <w:r>
        <w:rPr>
          <w:rFonts w:hint="default" w:ascii="Cambria" w:hAnsi="Cambria" w:cs="Cambria"/>
        </w:rPr>
        <w:t>Final rinsing: Use water with a conductivity of ≤ 15μS/cm (25</w:t>
      </w:r>
      <w:r>
        <w:rPr>
          <w:rFonts w:hint="default" w:ascii="Cambria" w:hAnsi="Cambria" w:eastAsia="国潮黑体" w:cs="Cambria"/>
          <w:lang w:eastAsia="zh-CN"/>
        </w:rPr>
        <w:t>°C</w:t>
      </w:r>
      <w:r>
        <w:rPr>
          <w:rFonts w:hint="default" w:ascii="Cambria" w:hAnsi="Cambria" w:cs="Cambria"/>
        </w:rPr>
        <w:t xml:space="preserve">) for rinsing. Precautions: </w:t>
      </w:r>
      <w:r>
        <w:rPr>
          <w:rFonts w:hint="default" w:ascii="Cambria" w:hAnsi="Cambria" w:cs="Cambria"/>
          <w:lang w:eastAsia="zh-CN"/>
        </w:rPr>
        <w:t>The water temperature for manual cleaning should be maintained at 15°C to 30°C.</w:t>
      </w:r>
      <w:r>
        <w:rPr>
          <w:rFonts w:hint="default" w:ascii="Cambria" w:hAnsi="Cambria" w:cs="Cambria"/>
        </w:rPr>
        <w:t xml:space="preserve"> Dried stains shall be soaked with medical detergent before scrubbing or wiping. Any rust stains must be removed. Scrubbing shall be performed under water to prevent aerosol formation. All detachable parts of instruments shall be disassembled prior to cleaning. For lumened instruments, clean the inner lumen with an appropriate cleaning brush first, then flush with a pressure water gun. Abrasive cleaning materials and tools shall not be used for instrument processing; only scrubbing tools and supplies compatible with the instrument material shall be adopted.</w:t>
      </w:r>
      <w:r>
        <w:rPr>
          <w:rFonts w:hint="default" w:ascii="Cambria" w:hAnsi="Cambria" w:cs="Cambria"/>
          <w:lang w:val="en-US" w:eastAsia="zh-CN"/>
        </w:rPr>
        <w:t xml:space="preserve"> </w:t>
      </w:r>
      <w:r>
        <w:rPr>
          <w:rFonts w:hint="default" w:ascii="Cambria" w:hAnsi="Cambria" w:cs="Cambria"/>
        </w:rPr>
        <w:t xml:space="preserve">(Source: </w:t>
      </w:r>
      <w:r>
        <w:rPr>
          <w:rFonts w:hint="default" w:ascii="Cambria" w:hAnsi="Cambria" w:cs="Cambria"/>
          <w:lang w:val="en-US" w:eastAsia="zh-CN"/>
        </w:rPr>
        <w:t xml:space="preserve">CSSD–  </w:t>
      </w:r>
      <w:r>
        <w:rPr>
          <w:rFonts w:hint="default" w:ascii="Cambria" w:hAnsi="Cambria" w:cs="Cambria"/>
        </w:rPr>
        <w:t>Part 2</w:t>
      </w:r>
      <w:r>
        <w:rPr>
          <w:rFonts w:hint="default" w:ascii="Cambria" w:hAnsi="Cambria" w:cs="Cambria"/>
          <w:lang w:val="en-US" w:eastAsia="zh-CN"/>
        </w:rPr>
        <w:t>)</w:t>
      </w:r>
    </w:p>
    <w:p w14:paraId="528DEE12">
      <w:pPr>
        <w:numPr>
          <w:ilvl w:val="0"/>
          <w:numId w:val="0"/>
        </w:numPr>
        <w:ind w:firstLine="420"/>
        <w:rPr>
          <w:rFonts w:hint="default" w:ascii="Cambria" w:hAnsi="Cambria" w:cs="Cambria" w:eastAsiaTheme="minorEastAsia"/>
          <w:lang w:val="en-US" w:eastAsia="zh-CN"/>
        </w:rPr>
      </w:pPr>
      <w:r>
        <w:rPr>
          <w:rFonts w:hint="default" w:ascii="Cambria" w:hAnsi="Cambria" w:cs="Cambria"/>
        </w:rPr>
        <w:t>After rechecking relevant documents, the following disinfectants are proposed for use</w:t>
      </w:r>
      <w:r>
        <w:rPr>
          <w:rFonts w:hint="default" w:ascii="Cambria" w:hAnsi="Cambria" w:cs="Cambria"/>
          <w:lang w:val="en-US" w:eastAsia="zh-CN"/>
        </w:rPr>
        <w:t>:</w:t>
      </w:r>
    </w:p>
    <w:p w14:paraId="68B0E282">
      <w:pPr>
        <w:numPr>
          <w:ilvl w:val="0"/>
          <w:numId w:val="0"/>
        </w:numPr>
        <w:ind w:firstLine="420"/>
        <w:rPr>
          <w:rFonts w:hint="default" w:ascii="Cambria" w:hAnsi="Cambria" w:cs="Cambria"/>
        </w:rPr>
      </w:pPr>
      <w:r>
        <w:rPr>
          <w:rFonts w:hint="default" w:ascii="Cambria" w:hAnsi="Cambria" w:cs="Cambria"/>
        </w:rPr>
        <w:t>Chlorine-containing (bromine-containing) disinfectants with available chlorine (available bromine) concentration of 500 mg/L–1000 mg/L; or peracetic acid solution at 2000 mg/L–5000 mg/L; or hydrogen peroxide solution at 30 g/L; or chlorine dioxide solution at 150 mg/L–500 mg/L; or quaternary ammonium salt disinfectants at 1000 mg/L–5000 mg/L; or sodium percarbonate solution of 0.5%–1.0%; or guanidine disinfectants at 2 g/L–45 g/L; or parachlorometaxylenol (PCMX) of 2%–3%; or triclosan of 2%; or ethanol solution of 60%–90%; as well as other disinfectants or disinfectant wipes that can achieve qualified disinfection efficacy.</w:t>
      </w:r>
      <w:r>
        <w:rPr>
          <w:rFonts w:hint="default" w:ascii="Cambria" w:hAnsi="Cambria" w:cs="Cambria"/>
          <w:lang w:val="en-US" w:eastAsia="zh-CN"/>
        </w:rPr>
        <w:t xml:space="preserve"> Disinfect by spraying or soaking for 10 minutes, or by wiping for 5 minutes. After the specified contact time elapses, rinse or wipe thoroughly with clean water. In cases of spore contamination or severe organic soiling, high-level disinfectants shall be adopted with higher concentrations and extended contact time.</w:t>
      </w:r>
      <w:r>
        <w:rPr>
          <w:rFonts w:hint="default" w:ascii="Cambria" w:hAnsi="Cambria" w:cs="Cambria"/>
        </w:rPr>
        <w:t xml:space="preserve"> (Source: </w:t>
      </w:r>
      <w:r>
        <w:rPr>
          <w:rFonts w:hint="default" w:ascii="Cambria" w:hAnsi="Cambria" w:cs="Cambria"/>
          <w:lang w:eastAsia="zh-CN"/>
        </w:rPr>
        <w:t>GB 19193-2025</w:t>
      </w:r>
      <w:r>
        <w:rPr>
          <w:rFonts w:hint="default" w:ascii="Cambria" w:hAnsi="Cambria" w:cs="Cambria"/>
          <w:lang w:val="en-US" w:eastAsia="zh-CN"/>
        </w:rPr>
        <w:t xml:space="preserve"> </w:t>
      </w:r>
      <w:r>
        <w:rPr>
          <w:rFonts w:hint="default" w:ascii="Cambria" w:hAnsi="Cambria" w:cs="Cambria"/>
        </w:rPr>
        <w:t xml:space="preserve">Disinfection of ordinary object surfaces, </w:t>
      </w:r>
      <w:r>
        <w:rPr>
          <w:rFonts w:hint="default" w:ascii="Cambria" w:hAnsi="Cambria" w:cs="Cambria"/>
          <w:lang w:val="en-US" w:eastAsia="zh-CN"/>
        </w:rPr>
        <w:t xml:space="preserve">Annex A, Clause </w:t>
      </w:r>
      <w:r>
        <w:rPr>
          <w:rFonts w:hint="default" w:ascii="Cambria" w:hAnsi="Cambria" w:cs="Cambria"/>
        </w:rPr>
        <w:t>A.2, Disinfection specification for infectious diseases )</w:t>
      </w:r>
    </w:p>
    <w:p w14:paraId="732262EF">
      <w:pPr>
        <w:numPr>
          <w:ilvl w:val="0"/>
          <w:numId w:val="0"/>
        </w:numPr>
        <w:rPr>
          <w:rFonts w:hint="default" w:ascii="Cambria" w:hAnsi="Cambria" w:cs="Cambria"/>
        </w:rPr>
      </w:pPr>
    </w:p>
    <w:p w14:paraId="4C7992D5">
      <w:pPr>
        <w:numPr>
          <w:ilvl w:val="0"/>
          <w:numId w:val="0"/>
        </w:numPr>
        <w:rPr>
          <w:rFonts w:hint="default" w:ascii="Cambria" w:hAnsi="Cambria" w:cs="Cambria" w:eastAsiaTheme="minorEastAsia"/>
          <w:lang w:eastAsia="zh-CN"/>
        </w:rPr>
      </w:pPr>
      <w:r>
        <w:rPr>
          <w:rFonts w:hint="default" w:ascii="Cambria" w:hAnsi="Cambria" w:cs="Cambria"/>
        </w:rPr>
        <w:t>2. Expert Demonstration Opinions</w:t>
      </w:r>
    </w:p>
    <w:p w14:paraId="78FE16EC">
      <w:pPr>
        <w:numPr>
          <w:ilvl w:val="0"/>
          <w:numId w:val="0"/>
        </w:numPr>
        <w:ind w:firstLine="420"/>
        <w:rPr>
          <w:rFonts w:hint="default" w:ascii="Cambria" w:hAnsi="Cambria" w:cs="Cambria"/>
        </w:rPr>
      </w:pPr>
      <w:r>
        <w:rPr>
          <w:rFonts w:hint="default" w:ascii="Cambria" w:hAnsi="Cambria" w:cs="Cambria"/>
        </w:rPr>
        <w:t xml:space="preserve">Expert Demonstration Results: </w:t>
      </w:r>
    </w:p>
    <w:p w14:paraId="7C7139D9">
      <w:pPr>
        <w:numPr>
          <w:ilvl w:val="0"/>
          <w:numId w:val="0"/>
        </w:numPr>
        <w:ind w:firstLine="420"/>
        <w:rPr>
          <w:rFonts w:hint="default" w:ascii="Cambria" w:hAnsi="Cambria" w:cs="Cambria"/>
        </w:rPr>
      </w:pPr>
      <w:r>
        <w:rPr>
          <w:rFonts w:hint="default" w:ascii="Cambria" w:hAnsi="Cambria" w:cs="Cambria"/>
        </w:rPr>
        <w:t>Among the 13 experts, except for expert Shi Zhenggang, all agreed, with a support rate of 92.3%.</w:t>
      </w:r>
    </w:p>
    <w:p w14:paraId="3933A0B2">
      <w:pPr>
        <w:numPr>
          <w:ilvl w:val="0"/>
          <w:numId w:val="0"/>
        </w:numPr>
        <w:ind w:firstLine="420"/>
        <w:rPr>
          <w:rFonts w:hint="default" w:ascii="Cambria" w:hAnsi="Cambria" w:cs="Cambria"/>
        </w:rPr>
      </w:pPr>
      <w:r>
        <w:rPr>
          <w:rFonts w:hint="default" w:ascii="Cambria" w:hAnsi="Cambria" w:cs="Cambria"/>
        </w:rPr>
        <w:t xml:space="preserve">Main Modification Suggestions: </w:t>
      </w:r>
    </w:p>
    <w:p w14:paraId="20457F24">
      <w:pPr>
        <w:numPr>
          <w:ilvl w:val="0"/>
          <w:numId w:val="0"/>
        </w:numPr>
        <w:ind w:firstLine="420" w:firstLineChars="200"/>
        <w:rPr>
          <w:rFonts w:hint="default" w:ascii="Cambria" w:hAnsi="Cambria" w:cs="Cambria"/>
        </w:rPr>
      </w:pPr>
      <w:r>
        <w:rPr>
          <w:rFonts w:hint="default" w:ascii="Cambria" w:hAnsi="Cambria" w:cs="Cambria"/>
        </w:rPr>
        <w:t>Dai Qigang: The proposed disinfection methods only specify various disinfectants without clarifying which disinfectant shall be used for cupping jars of different materials. Therefore, the original text cannot be copied verbatim, and differentiated selection criteria shall be adopted.</w:t>
      </w:r>
    </w:p>
    <w:p w14:paraId="4B198313">
      <w:pPr>
        <w:numPr>
          <w:ilvl w:val="0"/>
          <w:numId w:val="0"/>
        </w:numPr>
        <w:rPr>
          <w:rFonts w:hint="default" w:ascii="Cambria" w:hAnsi="Cambria" w:cs="Cambria"/>
        </w:rPr>
      </w:pPr>
      <w:r>
        <w:rPr>
          <w:rFonts w:hint="default" w:ascii="Cambria" w:hAnsi="Cambria" w:cs="Cambria"/>
        </w:rPr>
        <w:t>3. Project Team Resolution</w:t>
      </w:r>
    </w:p>
    <w:p w14:paraId="77FBD98E">
      <w:pPr>
        <w:numPr>
          <w:ilvl w:val="0"/>
          <w:numId w:val="0"/>
        </w:numPr>
        <w:ind w:firstLine="420" w:firstLineChars="0"/>
        <w:rPr>
          <w:rFonts w:hint="default" w:ascii="Cambria" w:hAnsi="Cambria" w:cs="Cambria"/>
        </w:rPr>
      </w:pPr>
      <w:r>
        <w:rPr>
          <w:rFonts w:hint="default" w:ascii="Cambria" w:hAnsi="Cambria" w:cs="Cambria"/>
        </w:rPr>
        <w:t>Adopt the opinion of the project team.</w:t>
      </w:r>
    </w:p>
    <w:p w14:paraId="1881A596">
      <w:pPr>
        <w:numPr>
          <w:ilvl w:val="0"/>
          <w:numId w:val="0"/>
        </w:numPr>
        <w:rPr>
          <w:rFonts w:hint="default" w:ascii="Cambria" w:hAnsi="Cambria" w:cs="Cambria"/>
        </w:rPr>
      </w:pPr>
    </w:p>
    <w:p w14:paraId="3F29FE3F">
      <w:pPr>
        <w:numPr>
          <w:ilvl w:val="0"/>
          <w:numId w:val="0"/>
        </w:numPr>
        <w:rPr>
          <w:rFonts w:hint="default" w:ascii="Cambria" w:hAnsi="Cambria" w:cs="Cambria" w:eastAsiaTheme="minorEastAsia"/>
          <w:lang w:eastAsia="zh-CN"/>
        </w:rPr>
      </w:pPr>
      <w:r>
        <w:rPr>
          <w:rFonts w:hint="default" w:ascii="Cambria" w:hAnsi="Cambria" w:cs="Cambria"/>
        </w:rPr>
        <w:t>(2) Item 2: Definitions of "</w:t>
      </w:r>
      <w:r>
        <w:rPr>
          <w:rFonts w:hint="default" w:ascii="Cambria" w:hAnsi="Cambria" w:cs="Cambria"/>
          <w:lang w:eastAsia="zh-CN"/>
        </w:rPr>
        <w:t>horn jar</w:t>
      </w:r>
      <w:r>
        <w:rPr>
          <w:rFonts w:hint="default" w:ascii="Cambria" w:hAnsi="Cambria" w:cs="Cambria"/>
        </w:rPr>
        <w:t>", "</w:t>
      </w:r>
      <w:r>
        <w:rPr>
          <w:rFonts w:hint="default" w:ascii="Cambria" w:hAnsi="Cambria" w:cs="Cambria"/>
          <w:lang w:eastAsia="zh-CN"/>
        </w:rPr>
        <w:t>bamboo jar</w:t>
      </w:r>
      <w:r>
        <w:rPr>
          <w:rFonts w:hint="default" w:ascii="Cambria" w:hAnsi="Cambria" w:cs="Cambria"/>
        </w:rPr>
        <w:t>", "</w:t>
      </w:r>
      <w:r>
        <w:rPr>
          <w:rFonts w:hint="default" w:ascii="Cambria" w:hAnsi="Cambria" w:cs="Cambria"/>
          <w:lang w:eastAsia="zh-CN"/>
        </w:rPr>
        <w:t>ceramic jar</w:t>
      </w:r>
      <w:r>
        <w:rPr>
          <w:rFonts w:hint="default" w:ascii="Cambria" w:hAnsi="Cambria" w:cs="Cambria"/>
        </w:rPr>
        <w:t>", "</w:t>
      </w:r>
      <w:r>
        <w:rPr>
          <w:rFonts w:hint="default" w:ascii="Cambria" w:hAnsi="Cambria" w:cs="Cambria"/>
          <w:lang w:eastAsia="zh-CN"/>
        </w:rPr>
        <w:t>glass jar</w:t>
      </w:r>
      <w:r>
        <w:rPr>
          <w:rFonts w:hint="default" w:ascii="Cambria" w:hAnsi="Cambria" w:cs="Cambria"/>
        </w:rPr>
        <w:t>", "</w:t>
      </w:r>
      <w:r>
        <w:rPr>
          <w:rFonts w:hint="default" w:ascii="Cambria" w:hAnsi="Cambria" w:cs="Cambria"/>
          <w:lang w:eastAsia="zh-CN"/>
        </w:rPr>
        <w:t>metal jar</w:t>
      </w:r>
      <w:r>
        <w:rPr>
          <w:rFonts w:hint="default" w:ascii="Cambria" w:hAnsi="Cambria" w:cs="Cambria"/>
        </w:rPr>
        <w:t>",</w:t>
      </w:r>
      <w:r>
        <w:rPr>
          <w:rFonts w:hint="default" w:ascii="Cambria" w:hAnsi="Cambria" w:cs="Cambria"/>
          <w:lang w:val="en-US" w:eastAsia="zh-CN"/>
        </w:rPr>
        <w:t xml:space="preserve"> “</w:t>
      </w:r>
      <w:r>
        <w:rPr>
          <w:rFonts w:hint="default" w:ascii="Cambria" w:hAnsi="Cambria" w:cs="Cambria"/>
          <w:lang w:eastAsia="zh-CN"/>
        </w:rPr>
        <w:t>rubber jar</w:t>
      </w:r>
      <w:r>
        <w:rPr>
          <w:rFonts w:hint="default" w:ascii="Cambria" w:hAnsi="Cambria" w:cs="Cambria"/>
          <w:lang w:val="en-US" w:eastAsia="zh-CN"/>
        </w:rPr>
        <w:t>”,</w:t>
      </w:r>
      <w:r>
        <w:rPr>
          <w:rFonts w:hint="default" w:ascii="Cambria" w:hAnsi="Cambria" w:cs="Cambria"/>
        </w:rPr>
        <w:t xml:space="preserve"> "</w:t>
      </w:r>
      <w:r>
        <w:rPr>
          <w:rFonts w:hint="default" w:ascii="Cambria" w:hAnsi="Cambria" w:cs="Cambria"/>
          <w:lang w:eastAsia="zh-CN"/>
        </w:rPr>
        <w:t>bio-ceramic fire jar</w:t>
      </w:r>
      <w:r>
        <w:rPr>
          <w:rFonts w:hint="default" w:ascii="Cambria" w:hAnsi="Cambria" w:cs="Cambria"/>
        </w:rPr>
        <w:t>", "</w:t>
      </w:r>
      <w:r>
        <w:rPr>
          <w:rFonts w:hint="default" w:ascii="Cambria" w:hAnsi="Cambria" w:cs="Cambria"/>
          <w:lang w:eastAsia="zh-CN"/>
        </w:rPr>
        <w:t>plastic jar</w:t>
      </w:r>
      <w:r>
        <w:rPr>
          <w:rFonts w:hint="default" w:ascii="Cambria" w:hAnsi="Cambria" w:cs="Cambria"/>
        </w:rPr>
        <w:t xml:space="preserve">" in </w:t>
      </w:r>
      <w:r>
        <w:rPr>
          <w:rFonts w:hint="default" w:ascii="Cambria" w:hAnsi="Cambria" w:cs="Cambria"/>
          <w:lang w:eastAsia="zh-CN"/>
        </w:rPr>
        <w:t>Annex A</w:t>
      </w:r>
    </w:p>
    <w:p w14:paraId="73E45CA4">
      <w:pPr>
        <w:numPr>
          <w:ilvl w:val="0"/>
          <w:numId w:val="0"/>
        </w:numPr>
        <w:rPr>
          <w:rFonts w:hint="default" w:ascii="Cambria" w:hAnsi="Cambria" w:cs="Cambria"/>
        </w:rPr>
      </w:pPr>
    </w:p>
    <w:p w14:paraId="0088044F">
      <w:pPr>
        <w:numPr>
          <w:ilvl w:val="0"/>
          <w:numId w:val="0"/>
        </w:numPr>
        <w:rPr>
          <w:rFonts w:hint="default" w:ascii="Cambria" w:hAnsi="Cambria" w:cs="Cambria" w:eastAsiaTheme="minorEastAsia"/>
          <w:lang w:eastAsia="zh-CN"/>
        </w:rPr>
      </w:pPr>
      <w:r>
        <w:rPr>
          <w:rFonts w:hint="default" w:ascii="Cambria" w:hAnsi="Cambria" w:cs="Cambria"/>
        </w:rPr>
        <w:t>1. Original Text of the Letter of Soliciting Opinions</w:t>
      </w:r>
    </w:p>
    <w:p w14:paraId="7463965E">
      <w:pPr>
        <w:numPr>
          <w:ilvl w:val="0"/>
          <w:numId w:val="0"/>
        </w:numPr>
        <w:rPr>
          <w:rFonts w:hint="default" w:ascii="Cambria" w:hAnsi="Cambria" w:cs="Cambria"/>
        </w:rPr>
      </w:pPr>
      <w:r>
        <w:rPr>
          <w:rFonts w:hint="default" w:ascii="Cambria" w:hAnsi="Cambria" w:cs="Cambria"/>
        </w:rPr>
        <w:t xml:space="preserve">(1) </w:t>
      </w:r>
    </w:p>
    <w:p w14:paraId="15543799">
      <w:pPr>
        <w:numPr>
          <w:ilvl w:val="0"/>
          <w:numId w:val="0"/>
        </w:numPr>
        <w:rPr>
          <w:rFonts w:hint="default" w:ascii="Cambria" w:hAnsi="Cambria" w:cs="Cambria"/>
        </w:rPr>
      </w:pPr>
      <w:r>
        <w:rPr>
          <w:rFonts w:hint="default" w:ascii="Cambria" w:hAnsi="Cambria" w:cs="Cambria"/>
          <w:lang w:eastAsia="zh-CN"/>
        </w:rPr>
        <w:t>horn jar</w:t>
      </w:r>
      <w:r>
        <w:rPr>
          <w:rFonts w:hint="default" w:ascii="Cambria" w:hAnsi="Cambria" w:cs="Cambria"/>
        </w:rPr>
        <w:t xml:space="preserve">: A </w:t>
      </w:r>
      <w:r>
        <w:rPr>
          <w:rFonts w:hint="default" w:ascii="Cambria" w:hAnsi="Cambria" w:cs="Cambria"/>
          <w:lang w:eastAsia="zh-CN"/>
        </w:rPr>
        <w:t>jar</w:t>
      </w:r>
      <w:r>
        <w:rPr>
          <w:rFonts w:hint="default" w:ascii="Cambria" w:hAnsi="Cambria" w:cs="Cambria"/>
        </w:rPr>
        <w:t xml:space="preserve"> made of processed cattle horn or sheep horn.</w:t>
      </w:r>
    </w:p>
    <w:p w14:paraId="14673EE3">
      <w:pPr>
        <w:numPr>
          <w:ilvl w:val="0"/>
          <w:numId w:val="0"/>
        </w:numPr>
        <w:rPr>
          <w:rFonts w:hint="default" w:ascii="Cambria" w:hAnsi="Cambria" w:cs="Cambria"/>
        </w:rPr>
      </w:pPr>
      <w:r>
        <w:rPr>
          <w:rFonts w:hint="default" w:ascii="Cambria" w:hAnsi="Cambria" w:cs="Cambria"/>
          <w:lang w:eastAsia="zh-CN"/>
        </w:rPr>
        <w:t>bamboo jar</w:t>
      </w:r>
      <w:r>
        <w:rPr>
          <w:rFonts w:hint="default" w:ascii="Cambria" w:hAnsi="Cambria" w:cs="Cambria"/>
        </w:rPr>
        <w:t xml:space="preserve">: A </w:t>
      </w:r>
      <w:r>
        <w:rPr>
          <w:rFonts w:hint="default" w:ascii="Cambria" w:hAnsi="Cambria" w:cs="Cambria"/>
          <w:lang w:eastAsia="zh-CN"/>
        </w:rPr>
        <w:t>jar</w:t>
      </w:r>
      <w:r>
        <w:rPr>
          <w:rFonts w:hint="default" w:ascii="Cambria" w:hAnsi="Cambria" w:cs="Cambria"/>
        </w:rPr>
        <w:t xml:space="preserve"> made of moso</w:t>
      </w:r>
      <w:r>
        <w:rPr>
          <w:rFonts w:hint="default" w:ascii="Cambria" w:hAnsi="Cambria" w:cs="Cambria"/>
          <w:lang w:val="en-US" w:eastAsia="zh-CN"/>
        </w:rPr>
        <w:t>-</w:t>
      </w:r>
      <w:r>
        <w:rPr>
          <w:rFonts w:hint="default" w:ascii="Cambria" w:hAnsi="Cambria" w:cs="Cambria"/>
        </w:rPr>
        <w:t xml:space="preserve">bamboo. One end retains the node as the bottom, and the other end is the </w:t>
      </w:r>
      <w:r>
        <w:rPr>
          <w:rFonts w:hint="default" w:ascii="Cambria" w:hAnsi="Cambria" w:cs="Cambria"/>
          <w:lang w:eastAsia="zh-CN"/>
        </w:rPr>
        <w:t>jar</w:t>
      </w:r>
      <w:r>
        <w:rPr>
          <w:rFonts w:hint="default" w:ascii="Cambria" w:hAnsi="Cambria" w:cs="Cambria"/>
        </w:rPr>
        <w:t xml:space="preserve"> mouth. The middle is slightly thicker, shaped like a waist drum.</w:t>
      </w:r>
    </w:p>
    <w:p w14:paraId="2FE8B23E">
      <w:pPr>
        <w:numPr>
          <w:ilvl w:val="0"/>
          <w:numId w:val="0"/>
        </w:numPr>
        <w:rPr>
          <w:rFonts w:hint="default" w:ascii="Cambria" w:hAnsi="Cambria" w:cs="Cambria"/>
        </w:rPr>
      </w:pPr>
      <w:r>
        <w:rPr>
          <w:rFonts w:hint="default" w:ascii="Cambria" w:hAnsi="Cambria" w:cs="Cambria"/>
          <w:lang w:eastAsia="zh-CN"/>
        </w:rPr>
        <w:t>ceramic jar</w:t>
      </w:r>
      <w:r>
        <w:rPr>
          <w:rFonts w:hint="default" w:ascii="Cambria" w:hAnsi="Cambria" w:cs="Cambria"/>
        </w:rPr>
        <w:t xml:space="preserve">: A </w:t>
      </w:r>
      <w:r>
        <w:rPr>
          <w:rFonts w:hint="default" w:ascii="Cambria" w:hAnsi="Cambria" w:cs="Cambria"/>
          <w:lang w:eastAsia="zh-CN"/>
        </w:rPr>
        <w:t>jar</w:t>
      </w:r>
      <w:r>
        <w:rPr>
          <w:rFonts w:hint="default" w:ascii="Cambria" w:hAnsi="Cambria" w:cs="Cambria"/>
        </w:rPr>
        <w:t xml:space="preserve"> made of fired clay. Both ends of the </w:t>
      </w:r>
      <w:r>
        <w:rPr>
          <w:rFonts w:hint="default" w:ascii="Cambria" w:hAnsi="Cambria" w:cs="Cambria"/>
          <w:lang w:val="en-US" w:eastAsia="zh-CN"/>
        </w:rPr>
        <w:t xml:space="preserve">jar </w:t>
      </w:r>
      <w:r>
        <w:rPr>
          <w:rFonts w:hint="default" w:ascii="Cambria" w:hAnsi="Cambria" w:cs="Cambria"/>
        </w:rPr>
        <w:t>are smaller, and the middle part expands outward, shaped like a waist drum.</w:t>
      </w:r>
    </w:p>
    <w:p w14:paraId="5FECFA86">
      <w:pPr>
        <w:numPr>
          <w:ilvl w:val="0"/>
          <w:numId w:val="0"/>
        </w:numPr>
        <w:rPr>
          <w:rFonts w:hint="default" w:ascii="Cambria" w:hAnsi="Cambria" w:cs="Cambria"/>
        </w:rPr>
      </w:pPr>
      <w:r>
        <w:rPr>
          <w:rFonts w:hint="default" w:ascii="Cambria" w:hAnsi="Cambria" w:cs="Cambria"/>
          <w:lang w:eastAsia="zh-CN"/>
        </w:rPr>
        <w:t>glass jar</w:t>
      </w:r>
      <w:r>
        <w:rPr>
          <w:rFonts w:hint="default" w:ascii="Cambria" w:hAnsi="Cambria" w:cs="Cambria"/>
        </w:rPr>
        <w:t xml:space="preserve">: A </w:t>
      </w:r>
      <w:r>
        <w:rPr>
          <w:rFonts w:hint="default" w:ascii="Cambria" w:hAnsi="Cambria" w:cs="Cambria"/>
          <w:lang w:eastAsia="zh-CN"/>
        </w:rPr>
        <w:t>jar</w:t>
      </w:r>
      <w:r>
        <w:rPr>
          <w:rFonts w:hint="default" w:ascii="Cambria" w:hAnsi="Cambria" w:cs="Cambria"/>
        </w:rPr>
        <w:t xml:space="preserve"> made of glass. It is shaped like a sphere, with an opening at the lower end. The mouth is small, and the belly is large. The edge of the mouth is slightly thick, slightly turned outwards, and smooth.</w:t>
      </w:r>
    </w:p>
    <w:p w14:paraId="6B31D820">
      <w:pPr>
        <w:numPr>
          <w:ilvl w:val="0"/>
          <w:numId w:val="0"/>
        </w:numPr>
        <w:rPr>
          <w:rFonts w:hint="default" w:ascii="Cambria" w:hAnsi="Cambria" w:cs="Cambria"/>
        </w:rPr>
      </w:pPr>
      <w:r>
        <w:rPr>
          <w:rFonts w:hint="default" w:ascii="Cambria" w:hAnsi="Cambria" w:cs="Cambria"/>
          <w:lang w:eastAsia="zh-CN"/>
        </w:rPr>
        <w:t>metal jar</w:t>
      </w:r>
      <w:r>
        <w:rPr>
          <w:rFonts w:hint="default" w:ascii="Cambria" w:hAnsi="Cambria" w:cs="Cambria"/>
        </w:rPr>
        <w:t xml:space="preserve">: Divided into </w:t>
      </w:r>
      <w:r>
        <w:rPr>
          <w:rFonts w:hint="default" w:ascii="Cambria" w:hAnsi="Cambria" w:cs="Cambria"/>
          <w:lang w:eastAsia="zh-CN"/>
        </w:rPr>
        <w:t>copper jars</w:t>
      </w:r>
      <w:r>
        <w:rPr>
          <w:rFonts w:hint="default" w:ascii="Cambria" w:hAnsi="Cambria" w:cs="Cambria"/>
        </w:rPr>
        <w:t xml:space="preserve"> and </w:t>
      </w:r>
      <w:r>
        <w:rPr>
          <w:rFonts w:hint="default" w:ascii="Cambria" w:hAnsi="Cambria" w:cs="Cambria"/>
          <w:lang w:eastAsia="zh-CN"/>
        </w:rPr>
        <w:t>iron jars</w:t>
      </w:r>
      <w:r>
        <w:rPr>
          <w:rFonts w:hint="default" w:ascii="Cambria" w:hAnsi="Cambria" w:cs="Cambria"/>
        </w:rPr>
        <w:t xml:space="preserve">, made of copper or iron sheet as raw materials. Shaped like a </w:t>
      </w:r>
      <w:r>
        <w:rPr>
          <w:rFonts w:hint="default" w:ascii="Cambria" w:hAnsi="Cambria" w:cs="Cambria"/>
          <w:lang w:eastAsia="zh-CN"/>
        </w:rPr>
        <w:t>bamboo jar</w:t>
      </w:r>
      <w:r>
        <w:rPr>
          <w:rFonts w:hint="default" w:ascii="Cambria" w:hAnsi="Cambria" w:cs="Cambria"/>
        </w:rPr>
        <w:t>, with different calibers.</w:t>
      </w:r>
    </w:p>
    <w:p w14:paraId="577D9AEA">
      <w:pPr>
        <w:numPr>
          <w:ilvl w:val="0"/>
          <w:numId w:val="0"/>
        </w:numPr>
        <w:rPr>
          <w:rFonts w:hint="default" w:ascii="Cambria" w:hAnsi="Cambria" w:cs="Cambria"/>
        </w:rPr>
      </w:pPr>
      <w:r>
        <w:rPr>
          <w:rFonts w:hint="default" w:ascii="Cambria" w:hAnsi="Cambria" w:cs="Cambria"/>
          <w:lang w:eastAsia="zh-CN"/>
        </w:rPr>
        <w:t>rubber jar</w:t>
      </w:r>
      <w:r>
        <w:rPr>
          <w:rFonts w:hint="default" w:ascii="Cambria" w:hAnsi="Cambria" w:cs="Cambria"/>
        </w:rPr>
        <w:t xml:space="preserve">: A </w:t>
      </w:r>
      <w:r>
        <w:rPr>
          <w:rFonts w:hint="default" w:ascii="Cambria" w:hAnsi="Cambria" w:cs="Cambria"/>
          <w:lang w:eastAsia="zh-CN"/>
        </w:rPr>
        <w:t>jar</w:t>
      </w:r>
      <w:r>
        <w:rPr>
          <w:rFonts w:hint="default" w:ascii="Cambria" w:hAnsi="Cambria" w:cs="Cambria"/>
        </w:rPr>
        <w:t xml:space="preserve"> made of rubber, imitating the shape of a </w:t>
      </w:r>
      <w:r>
        <w:rPr>
          <w:rFonts w:hint="default" w:ascii="Cambria" w:hAnsi="Cambria" w:cs="Cambria"/>
          <w:lang w:eastAsia="zh-CN"/>
        </w:rPr>
        <w:t>glass jar</w:t>
      </w:r>
      <w:r>
        <w:rPr>
          <w:rFonts w:hint="default" w:ascii="Cambria" w:hAnsi="Cambria" w:cs="Cambria"/>
        </w:rPr>
        <w:t>.</w:t>
      </w:r>
    </w:p>
    <w:p w14:paraId="242A502E">
      <w:pPr>
        <w:numPr>
          <w:ilvl w:val="0"/>
          <w:numId w:val="0"/>
        </w:numPr>
        <w:rPr>
          <w:rFonts w:hint="default" w:ascii="Cambria" w:hAnsi="Cambria" w:cs="Cambria"/>
        </w:rPr>
      </w:pPr>
      <w:r>
        <w:rPr>
          <w:rFonts w:hint="default" w:ascii="Cambria" w:hAnsi="Cambria" w:cs="Cambria"/>
          <w:lang w:val="en-US" w:eastAsia="zh-CN"/>
        </w:rPr>
        <w:t>b</w:t>
      </w:r>
      <w:r>
        <w:rPr>
          <w:rFonts w:hint="default" w:ascii="Cambria" w:hAnsi="Cambria" w:cs="Cambria"/>
        </w:rPr>
        <w:t>io</w:t>
      </w:r>
      <w:r>
        <w:rPr>
          <w:rFonts w:hint="default" w:ascii="Cambria" w:hAnsi="Cambria" w:cs="Cambria"/>
          <w:lang w:val="en-US" w:eastAsia="zh-CN"/>
        </w:rPr>
        <w:t>-</w:t>
      </w:r>
      <w:r>
        <w:rPr>
          <w:rFonts w:hint="default" w:ascii="Cambria" w:hAnsi="Cambria" w:cs="Cambria"/>
        </w:rPr>
        <w:t xml:space="preserve">ceramic fire </w:t>
      </w:r>
      <w:r>
        <w:rPr>
          <w:rFonts w:hint="default" w:ascii="Cambria" w:hAnsi="Cambria" w:cs="Cambria"/>
          <w:lang w:eastAsia="zh-CN"/>
        </w:rPr>
        <w:t>jar</w:t>
      </w:r>
      <w:r>
        <w:rPr>
          <w:rFonts w:hint="default" w:ascii="Cambria" w:hAnsi="Cambria" w:cs="Cambria"/>
        </w:rPr>
        <w:t xml:space="preserve">: A </w:t>
      </w:r>
      <w:r>
        <w:rPr>
          <w:rFonts w:hint="default" w:ascii="Cambria" w:hAnsi="Cambria" w:cs="Cambria"/>
          <w:lang w:eastAsia="zh-CN"/>
        </w:rPr>
        <w:t>jar</w:t>
      </w:r>
      <w:r>
        <w:rPr>
          <w:rFonts w:hint="default" w:ascii="Cambria" w:hAnsi="Cambria" w:cs="Cambria"/>
        </w:rPr>
        <w:t xml:space="preserve"> made by selecting a variety of oxidized polymers and other auxiliary materials for firing.</w:t>
      </w:r>
    </w:p>
    <w:p w14:paraId="2E068579">
      <w:pPr>
        <w:numPr>
          <w:ilvl w:val="0"/>
          <w:numId w:val="0"/>
        </w:numPr>
        <w:rPr>
          <w:rFonts w:hint="default" w:ascii="Cambria" w:hAnsi="Cambria" w:cs="Cambria"/>
        </w:rPr>
      </w:pPr>
      <w:r>
        <w:rPr>
          <w:rFonts w:hint="default" w:ascii="Cambria" w:hAnsi="Cambria" w:cs="Cambria"/>
          <w:lang w:eastAsia="zh-CN"/>
        </w:rPr>
        <w:t>plastic jar</w:t>
      </w:r>
      <w:r>
        <w:rPr>
          <w:rFonts w:hint="default" w:ascii="Cambria" w:hAnsi="Cambria" w:cs="Cambria"/>
        </w:rPr>
        <w:t xml:space="preserve">: A </w:t>
      </w:r>
      <w:r>
        <w:rPr>
          <w:rFonts w:hint="default" w:ascii="Cambria" w:hAnsi="Cambria" w:cs="Cambria"/>
          <w:lang w:eastAsia="zh-CN"/>
        </w:rPr>
        <w:t>jar</w:t>
      </w:r>
      <w:r>
        <w:rPr>
          <w:rFonts w:hint="default" w:ascii="Cambria" w:hAnsi="Cambria" w:cs="Cambria"/>
        </w:rPr>
        <w:t xml:space="preserve"> made of plastic or </w:t>
      </w:r>
      <w:r>
        <w:rPr>
          <w:rFonts w:hint="default" w:ascii="Cambria" w:hAnsi="Cambria" w:cs="Cambria"/>
          <w:lang w:eastAsia="zh-CN"/>
        </w:rPr>
        <w:t>plastic-based</w:t>
      </w:r>
      <w:r>
        <w:rPr>
          <w:rFonts w:hint="default" w:ascii="Cambria" w:hAnsi="Cambria" w:cs="Cambria"/>
        </w:rPr>
        <w:t xml:space="preserve"> raw materials.</w:t>
      </w:r>
    </w:p>
    <w:p w14:paraId="5ACE7EA3">
      <w:pPr>
        <w:numPr>
          <w:ilvl w:val="0"/>
          <w:numId w:val="0"/>
        </w:numPr>
        <w:rPr>
          <w:rFonts w:hint="default" w:ascii="Cambria" w:hAnsi="Cambria" w:cs="Cambria"/>
        </w:rPr>
      </w:pPr>
      <w:r>
        <w:rPr>
          <w:rFonts w:hint="default" w:ascii="Cambria" w:hAnsi="Cambria" w:cs="Cambria"/>
        </w:rPr>
        <w:t>(2) Project Team Opinions:</w:t>
      </w:r>
    </w:p>
    <w:p w14:paraId="297D05BC">
      <w:pPr>
        <w:numPr>
          <w:ilvl w:val="0"/>
          <w:numId w:val="0"/>
        </w:numPr>
        <w:rPr>
          <w:rFonts w:hint="default" w:ascii="Cambria" w:hAnsi="Cambria" w:cs="Cambria"/>
        </w:rPr>
      </w:pPr>
      <w:r>
        <w:rPr>
          <w:rFonts w:hint="default" w:ascii="Cambria" w:hAnsi="Cambria" w:cs="Cambria"/>
          <w:lang w:eastAsia="zh-CN"/>
        </w:rPr>
        <w:t>horn jar</w:t>
      </w:r>
      <w:r>
        <w:rPr>
          <w:rFonts w:hint="default" w:ascii="Cambria" w:hAnsi="Cambria" w:cs="Cambria"/>
        </w:rPr>
        <w:t xml:space="preserve">: A </w:t>
      </w:r>
      <w:r>
        <w:rPr>
          <w:rFonts w:hint="default" w:ascii="Cambria" w:hAnsi="Cambria" w:cs="Cambria"/>
          <w:lang w:eastAsia="zh-CN"/>
        </w:rPr>
        <w:t>jar</w:t>
      </w:r>
      <w:r>
        <w:rPr>
          <w:rFonts w:hint="default" w:ascii="Cambria" w:hAnsi="Cambria" w:cs="Cambria"/>
        </w:rPr>
        <w:t xml:space="preserve"> made of processed cattle horn or sheep horn.</w:t>
      </w:r>
    </w:p>
    <w:p w14:paraId="14257697">
      <w:pPr>
        <w:numPr>
          <w:ilvl w:val="0"/>
          <w:numId w:val="0"/>
        </w:numPr>
        <w:rPr>
          <w:rFonts w:hint="default" w:ascii="Cambria" w:hAnsi="Cambria" w:cs="Cambria"/>
        </w:rPr>
      </w:pPr>
      <w:r>
        <w:rPr>
          <w:rFonts w:hint="default" w:ascii="Cambria" w:hAnsi="Cambria" w:cs="Cambria"/>
          <w:lang w:eastAsia="zh-CN"/>
        </w:rPr>
        <w:t>bamboo jar</w:t>
      </w:r>
      <w:r>
        <w:rPr>
          <w:rFonts w:hint="default" w:ascii="Cambria" w:hAnsi="Cambria" w:cs="Cambria"/>
        </w:rPr>
        <w:t xml:space="preserve">: Made from mature bamboo. Its advantages are light weight, low cost, easy availability of materials, simple production, and heat resistance. Disadvantages include easy bursting and air leakage, and </w:t>
      </w:r>
      <w:r>
        <w:rPr>
          <w:rFonts w:hint="default" w:ascii="Cambria" w:hAnsi="Cambria" w:cs="Cambria"/>
          <w:lang w:eastAsia="zh-CN"/>
        </w:rPr>
        <w:t>non-transparency</w:t>
      </w:r>
      <w:r>
        <w:rPr>
          <w:rFonts w:hint="default" w:ascii="Cambria" w:hAnsi="Cambria" w:cs="Cambria"/>
        </w:rPr>
        <w:t xml:space="preserve">, making it difficult to observe the changes in the skin inside the </w:t>
      </w:r>
      <w:r>
        <w:rPr>
          <w:rFonts w:hint="default" w:ascii="Cambria" w:hAnsi="Cambria" w:cs="Cambria"/>
          <w:lang w:eastAsia="zh-CN"/>
        </w:rPr>
        <w:t>jar</w:t>
      </w:r>
      <w:r>
        <w:rPr>
          <w:rFonts w:hint="default" w:ascii="Cambria" w:hAnsi="Cambria" w:cs="Cambria"/>
        </w:rPr>
        <w:t xml:space="preserve">. </w:t>
      </w:r>
      <w:r>
        <w:rPr>
          <w:rFonts w:hint="default" w:ascii="Cambria" w:hAnsi="Cambria" w:cs="Cambria"/>
          <w:lang w:val="en-US" w:eastAsia="zh-CN"/>
        </w:rPr>
        <w:t>B</w:t>
      </w:r>
      <w:r>
        <w:rPr>
          <w:rFonts w:hint="default" w:ascii="Cambria" w:hAnsi="Cambria" w:cs="Cambria"/>
          <w:lang w:eastAsia="zh-CN"/>
        </w:rPr>
        <w:t>amboo jars</w:t>
      </w:r>
      <w:r>
        <w:rPr>
          <w:rFonts w:hint="default" w:ascii="Cambria" w:hAnsi="Cambria" w:cs="Cambria"/>
        </w:rPr>
        <w:t xml:space="preserve"> are easy to adsorb </w:t>
      </w:r>
      <w:r>
        <w:rPr>
          <w:rFonts w:hint="default" w:ascii="Cambria" w:hAnsi="Cambria" w:cs="Cambria"/>
          <w:lang w:val="en-US" w:eastAsia="zh-CN"/>
        </w:rPr>
        <w:t xml:space="preserve">medicine </w:t>
      </w:r>
      <w:r>
        <w:rPr>
          <w:rFonts w:hint="default" w:ascii="Cambria" w:hAnsi="Cambria" w:cs="Cambria"/>
        </w:rPr>
        <w:t xml:space="preserve">and are commonly used in the medicinal decoction cupping method. Different </w:t>
      </w:r>
      <w:r>
        <w:rPr>
          <w:rFonts w:hint="default" w:ascii="Cambria" w:hAnsi="Cambria" w:cs="Cambria"/>
          <w:lang w:val="en-US" w:eastAsia="zh-CN"/>
        </w:rPr>
        <w:t xml:space="preserve">herbs </w:t>
      </w:r>
      <w:r>
        <w:rPr>
          <w:rFonts w:hint="default" w:ascii="Cambria" w:hAnsi="Cambria" w:cs="Cambria"/>
        </w:rPr>
        <w:t xml:space="preserve">can be used to decoct the </w:t>
      </w:r>
      <w:r>
        <w:rPr>
          <w:rFonts w:hint="default" w:ascii="Cambria" w:hAnsi="Cambria" w:cs="Cambria"/>
          <w:lang w:val="en-US" w:eastAsia="zh-CN"/>
        </w:rPr>
        <w:t xml:space="preserve">jars </w:t>
      </w:r>
      <w:r>
        <w:rPr>
          <w:rFonts w:hint="default" w:ascii="Cambria" w:hAnsi="Cambria" w:cs="Cambria"/>
        </w:rPr>
        <w:t>according to different diseases to improve the curative effect.</w:t>
      </w:r>
    </w:p>
    <w:p w14:paraId="4F3A5F10">
      <w:pPr>
        <w:numPr>
          <w:ilvl w:val="0"/>
          <w:numId w:val="0"/>
        </w:numPr>
        <w:rPr>
          <w:rFonts w:hint="default" w:ascii="Cambria" w:hAnsi="Cambria" w:cs="Cambria"/>
        </w:rPr>
      </w:pPr>
      <w:r>
        <w:rPr>
          <w:rFonts w:hint="default" w:ascii="Cambria" w:hAnsi="Cambria" w:cs="Cambria"/>
          <w:lang w:eastAsia="zh-CN"/>
        </w:rPr>
        <w:t>ceramic jar</w:t>
      </w:r>
      <w:r>
        <w:rPr>
          <w:rFonts w:hint="default" w:ascii="Cambria" w:hAnsi="Cambria" w:cs="Cambria"/>
        </w:rPr>
        <w:t xml:space="preserve">: Made of fired clay, with a smooth </w:t>
      </w:r>
      <w:r>
        <w:rPr>
          <w:rFonts w:hint="default" w:ascii="Cambria" w:hAnsi="Cambria" w:cs="Cambria"/>
          <w:lang w:eastAsia="zh-CN"/>
        </w:rPr>
        <w:t>jar</w:t>
      </w:r>
      <w:r>
        <w:rPr>
          <w:rFonts w:hint="default" w:ascii="Cambria" w:hAnsi="Cambria" w:cs="Cambria"/>
        </w:rPr>
        <w:t xml:space="preserve"> mouth, shaped like a wooden body, slightly smaller at the bottom, </w:t>
      </w:r>
      <w:r>
        <w:rPr>
          <w:rFonts w:hint="default" w:ascii="Cambria" w:hAnsi="Cambria" w:cs="Cambria"/>
          <w:lang w:eastAsia="zh-CN"/>
        </w:rPr>
        <w:t>a large cavity like a drum</w:t>
      </w:r>
      <w:r>
        <w:rPr>
          <w:rFonts w:hint="default" w:ascii="Cambria" w:hAnsi="Cambria" w:cs="Cambria"/>
        </w:rPr>
        <w:t xml:space="preserve">, and available in large, medium, small, and </w:t>
      </w:r>
      <w:r>
        <w:rPr>
          <w:rFonts w:hint="default" w:ascii="Cambria" w:hAnsi="Cambria" w:cs="Cambria"/>
          <w:lang w:eastAsia="zh-CN"/>
        </w:rPr>
        <w:t>extra-small</w:t>
      </w:r>
      <w:r>
        <w:rPr>
          <w:rFonts w:hint="default" w:ascii="Cambria" w:hAnsi="Cambria" w:cs="Cambria"/>
        </w:rPr>
        <w:t xml:space="preserve"> </w:t>
      </w:r>
      <w:r>
        <w:rPr>
          <w:rFonts w:hint="default" w:ascii="Cambria" w:hAnsi="Cambria" w:cs="Cambria"/>
          <w:lang w:eastAsia="zh-CN"/>
        </w:rPr>
        <w:t>sizes</w:t>
      </w:r>
      <w:r>
        <w:rPr>
          <w:rFonts w:hint="default" w:ascii="Cambria" w:hAnsi="Cambria" w:cs="Cambria"/>
        </w:rPr>
        <w:t xml:space="preserve">. Its advantages are relatively strong suction, easy </w:t>
      </w:r>
      <w:r>
        <w:rPr>
          <w:rFonts w:hint="default" w:ascii="Cambria" w:hAnsi="Cambria" w:cs="Cambria"/>
          <w:lang w:eastAsia="zh-CN"/>
        </w:rPr>
        <w:t>high-temperature</w:t>
      </w:r>
      <w:r>
        <w:rPr>
          <w:rFonts w:hint="default" w:ascii="Cambria" w:hAnsi="Cambria" w:cs="Cambria"/>
        </w:rPr>
        <w:t xml:space="preserve"> disinfection, and suitability for cupping on all parts of the body. Disadvantages are that the ceramic </w:t>
      </w:r>
      <w:r>
        <w:rPr>
          <w:rFonts w:hint="default" w:ascii="Cambria" w:hAnsi="Cambria" w:cs="Cambria"/>
          <w:lang w:eastAsia="zh-CN"/>
        </w:rPr>
        <w:t>jar</w:t>
      </w:r>
      <w:r>
        <w:rPr>
          <w:rFonts w:hint="default" w:ascii="Cambria" w:hAnsi="Cambria" w:cs="Cambria"/>
        </w:rPr>
        <w:t xml:space="preserve"> is heavy, easy to break, and </w:t>
      </w:r>
      <w:r>
        <w:rPr>
          <w:rFonts w:hint="default" w:ascii="Cambria" w:hAnsi="Cambria" w:cs="Cambria"/>
          <w:lang w:eastAsia="zh-CN"/>
        </w:rPr>
        <w:t>non-transparent</w:t>
      </w:r>
      <w:r>
        <w:rPr>
          <w:rFonts w:hint="default" w:ascii="Cambria" w:hAnsi="Cambria" w:cs="Cambria"/>
        </w:rPr>
        <w:t xml:space="preserve">. The relatively strong suction of the ceramic </w:t>
      </w:r>
      <w:r>
        <w:rPr>
          <w:rFonts w:hint="default" w:ascii="Cambria" w:hAnsi="Cambria" w:cs="Cambria"/>
          <w:lang w:eastAsia="zh-CN"/>
        </w:rPr>
        <w:t>jar</w:t>
      </w:r>
      <w:r>
        <w:rPr>
          <w:rFonts w:hint="default" w:ascii="Cambria" w:hAnsi="Cambria" w:cs="Cambria"/>
        </w:rPr>
        <w:t xml:space="preserve"> has a good curative effect on patients with strong constitutions or certain </w:t>
      </w:r>
      <w:r>
        <w:rPr>
          <w:rFonts w:hint="default" w:ascii="Cambria" w:hAnsi="Cambria" w:cs="Cambria"/>
          <w:lang w:eastAsia="zh-CN"/>
        </w:rPr>
        <w:t>deep-seated</w:t>
      </w:r>
      <w:r>
        <w:rPr>
          <w:rFonts w:hint="default" w:ascii="Cambria" w:hAnsi="Cambria" w:cs="Cambria"/>
        </w:rPr>
        <w:t xml:space="preserve"> diseases.</w:t>
      </w:r>
    </w:p>
    <w:p w14:paraId="4507FE47">
      <w:pPr>
        <w:numPr>
          <w:ilvl w:val="0"/>
          <w:numId w:val="0"/>
        </w:numPr>
        <w:rPr>
          <w:rFonts w:hint="default" w:ascii="Cambria" w:hAnsi="Cambria" w:cs="Cambria"/>
        </w:rPr>
      </w:pPr>
      <w:r>
        <w:rPr>
          <w:rFonts w:hint="default" w:ascii="Cambria" w:hAnsi="Cambria" w:cs="Cambria"/>
          <w:lang w:eastAsia="zh-CN"/>
        </w:rPr>
        <w:t>glass jar</w:t>
      </w:r>
      <w:r>
        <w:rPr>
          <w:rFonts w:hint="default" w:ascii="Cambria" w:hAnsi="Cambria" w:cs="Cambria"/>
        </w:rPr>
        <w:t xml:space="preserve">: Made of </w:t>
      </w:r>
      <w:r>
        <w:rPr>
          <w:rFonts w:hint="default" w:ascii="Cambria" w:hAnsi="Cambria" w:cs="Cambria"/>
          <w:lang w:eastAsia="zh-CN"/>
        </w:rPr>
        <w:t>heat-resistant</w:t>
      </w:r>
      <w:r>
        <w:rPr>
          <w:rFonts w:hint="default" w:ascii="Cambria" w:hAnsi="Cambria" w:cs="Cambria"/>
        </w:rPr>
        <w:t xml:space="preserve">, hard, and transparent glass, with a smooth </w:t>
      </w:r>
      <w:r>
        <w:rPr>
          <w:rFonts w:hint="default" w:ascii="Cambria" w:hAnsi="Cambria" w:cs="Cambria"/>
          <w:lang w:eastAsia="zh-CN"/>
        </w:rPr>
        <w:t>jar</w:t>
      </w:r>
      <w:r>
        <w:rPr>
          <w:rFonts w:hint="default" w:ascii="Cambria" w:hAnsi="Cambria" w:cs="Cambria"/>
        </w:rPr>
        <w:t xml:space="preserve"> mouth, flat mouth, large cavity, and round bottom, and the mouth edge is slightly thick and</w:t>
      </w:r>
      <w:r>
        <w:rPr>
          <w:rFonts w:hint="default" w:ascii="Cambria" w:hAnsi="Cambria" w:cs="Cambria"/>
          <w:lang w:val="en-US" w:eastAsia="zh-CN"/>
        </w:rPr>
        <w:t xml:space="preserve"> outward flared</w:t>
      </w:r>
      <w:r>
        <w:rPr>
          <w:rFonts w:hint="default" w:ascii="Cambria" w:hAnsi="Cambria" w:cs="Cambria"/>
        </w:rPr>
        <w:t xml:space="preserve">, smooth inside and outside. Its advantage is transparency, allowing for </w:t>
      </w:r>
      <w:r>
        <w:rPr>
          <w:rFonts w:hint="default" w:ascii="Cambria" w:hAnsi="Cambria" w:cs="Cambria"/>
          <w:lang w:eastAsia="zh-CN"/>
        </w:rPr>
        <w:t>real-time</w:t>
      </w:r>
      <w:r>
        <w:rPr>
          <w:rFonts w:hint="default" w:ascii="Cambria" w:hAnsi="Cambria" w:cs="Cambria"/>
        </w:rPr>
        <w:t xml:space="preserve"> observation of the degree of skin congestion inside the </w:t>
      </w:r>
      <w:r>
        <w:rPr>
          <w:rFonts w:hint="default" w:ascii="Cambria" w:hAnsi="Cambria" w:cs="Cambria"/>
          <w:lang w:eastAsia="zh-CN"/>
        </w:rPr>
        <w:t>jar</w:t>
      </w:r>
      <w:r>
        <w:rPr>
          <w:rFonts w:hint="default" w:ascii="Cambria" w:hAnsi="Cambria" w:cs="Cambria"/>
        </w:rPr>
        <w:t xml:space="preserve"> during use. Disadvantages are fast heat transfer and easy breakage. </w:t>
      </w:r>
      <w:r>
        <w:rPr>
          <w:rFonts w:hint="default" w:ascii="Cambria" w:hAnsi="Cambria" w:cs="Cambria"/>
          <w:lang w:val="en-US" w:eastAsia="zh-CN"/>
        </w:rPr>
        <w:t>G</w:t>
      </w:r>
      <w:r>
        <w:rPr>
          <w:rFonts w:hint="default" w:ascii="Cambria" w:hAnsi="Cambria" w:cs="Cambria"/>
          <w:lang w:eastAsia="zh-CN"/>
        </w:rPr>
        <w:t>lass jar</w:t>
      </w:r>
      <w:r>
        <w:rPr>
          <w:rFonts w:hint="default" w:ascii="Cambria" w:hAnsi="Cambria" w:cs="Cambria"/>
        </w:rPr>
        <w:t xml:space="preserve">s are widely used clinically for </w:t>
      </w:r>
      <w:r>
        <w:rPr>
          <w:rFonts w:hint="default" w:ascii="Cambria" w:hAnsi="Cambria" w:cs="Cambria"/>
          <w:lang w:eastAsia="zh-CN"/>
        </w:rPr>
        <w:t>blood-letting puncture cupping</w:t>
      </w:r>
      <w:r>
        <w:rPr>
          <w:rFonts w:hint="default" w:ascii="Cambria" w:hAnsi="Cambria" w:cs="Cambria"/>
        </w:rPr>
        <w:t xml:space="preserve"> and tuina cupping, and have a good curative effect on blood stasis and cold congealing diseases.</w:t>
      </w:r>
    </w:p>
    <w:p w14:paraId="1656E854">
      <w:pPr>
        <w:numPr>
          <w:ilvl w:val="0"/>
          <w:numId w:val="0"/>
        </w:numPr>
        <w:rPr>
          <w:rFonts w:hint="default" w:ascii="Cambria" w:hAnsi="Cambria" w:cs="Cambria"/>
        </w:rPr>
      </w:pPr>
      <w:r>
        <w:rPr>
          <w:rFonts w:hint="default" w:ascii="Cambria" w:hAnsi="Cambria" w:cs="Cambria"/>
          <w:lang w:eastAsia="zh-CN"/>
        </w:rPr>
        <w:t>metal jar</w:t>
      </w:r>
      <w:r>
        <w:rPr>
          <w:rFonts w:hint="default" w:ascii="Cambria" w:hAnsi="Cambria" w:cs="Cambria"/>
        </w:rPr>
        <w:t xml:space="preserve">: Divided into </w:t>
      </w:r>
      <w:r>
        <w:rPr>
          <w:rFonts w:hint="default" w:ascii="Cambria" w:hAnsi="Cambria" w:cs="Cambria"/>
          <w:lang w:eastAsia="zh-CN"/>
        </w:rPr>
        <w:t>copper jars</w:t>
      </w:r>
      <w:r>
        <w:rPr>
          <w:rFonts w:hint="default" w:ascii="Cambria" w:hAnsi="Cambria" w:cs="Cambria"/>
        </w:rPr>
        <w:t xml:space="preserve"> and </w:t>
      </w:r>
      <w:r>
        <w:rPr>
          <w:rFonts w:hint="default" w:ascii="Cambria" w:hAnsi="Cambria" w:cs="Cambria"/>
          <w:lang w:eastAsia="zh-CN"/>
        </w:rPr>
        <w:t>iron jars</w:t>
      </w:r>
      <w:r>
        <w:rPr>
          <w:rFonts w:hint="default" w:ascii="Cambria" w:hAnsi="Cambria" w:cs="Cambria"/>
        </w:rPr>
        <w:t xml:space="preserve">, made of steel or iron sheet. It has a shape similar to that of a glass </w:t>
      </w:r>
      <w:r>
        <w:rPr>
          <w:rFonts w:hint="default" w:ascii="Cambria" w:hAnsi="Cambria" w:cs="Cambria"/>
          <w:lang w:eastAsia="zh-CN"/>
        </w:rPr>
        <w:t>jar</w:t>
      </w:r>
      <w:r>
        <w:rPr>
          <w:rFonts w:hint="default" w:ascii="Cambria" w:hAnsi="Cambria" w:cs="Cambria"/>
        </w:rPr>
        <w:t xml:space="preserve">, with different calibers. </w:t>
      </w:r>
      <w:r>
        <w:rPr>
          <w:rFonts w:hint="default" w:ascii="Cambria" w:hAnsi="Cambria" w:cs="Cambria"/>
          <w:lang w:eastAsia="zh-CN"/>
        </w:rPr>
        <w:t>Copper jars</w:t>
      </w:r>
      <w:r>
        <w:rPr>
          <w:rFonts w:hint="default" w:ascii="Cambria" w:hAnsi="Cambria" w:cs="Cambria"/>
        </w:rPr>
        <w:t xml:space="preserve"> are more commonly used. </w:t>
      </w:r>
      <w:r>
        <w:rPr>
          <w:rFonts w:hint="default" w:ascii="Cambria" w:hAnsi="Cambria" w:cs="Cambria"/>
          <w:lang w:eastAsia="zh-CN"/>
        </w:rPr>
        <w:t>Metal jar</w:t>
      </w:r>
      <w:r>
        <w:rPr>
          <w:rFonts w:hint="default" w:ascii="Cambria" w:hAnsi="Cambria" w:cs="Cambria"/>
        </w:rPr>
        <w:t>s are characterized by durability and fast heat transfer.</w:t>
      </w:r>
    </w:p>
    <w:p w14:paraId="01BFC451">
      <w:pPr>
        <w:numPr>
          <w:ilvl w:val="0"/>
          <w:numId w:val="0"/>
        </w:numPr>
        <w:rPr>
          <w:rFonts w:hint="default" w:ascii="Cambria" w:hAnsi="Cambria" w:cs="Cambria"/>
        </w:rPr>
      </w:pPr>
      <w:r>
        <w:rPr>
          <w:rFonts w:hint="default" w:ascii="Cambria" w:hAnsi="Cambria" w:cs="Cambria"/>
          <w:lang w:eastAsia="zh-CN"/>
        </w:rPr>
        <w:t>bio-ceramic fire jar</w:t>
      </w:r>
      <w:r>
        <w:rPr>
          <w:rFonts w:hint="default" w:ascii="Cambria" w:hAnsi="Cambria" w:cs="Cambria"/>
        </w:rPr>
        <w:t>: Made by selecting a variety of oxidized polymers and other auxiliary materials for firing.</w:t>
      </w:r>
    </w:p>
    <w:p w14:paraId="730BC12F">
      <w:pPr>
        <w:numPr>
          <w:ilvl w:val="0"/>
          <w:numId w:val="0"/>
        </w:numPr>
        <w:rPr>
          <w:rFonts w:hint="default" w:ascii="Cambria" w:hAnsi="Cambria" w:cs="Cambria"/>
        </w:rPr>
      </w:pPr>
      <w:r>
        <w:rPr>
          <w:rFonts w:hint="default" w:ascii="Cambria" w:hAnsi="Cambria" w:cs="Cambria"/>
          <w:lang w:eastAsia="zh-CN"/>
        </w:rPr>
        <w:t>plastic jar</w:t>
      </w:r>
      <w:r>
        <w:rPr>
          <w:rFonts w:hint="default" w:ascii="Cambria" w:hAnsi="Cambria" w:cs="Cambria"/>
        </w:rPr>
        <w:t xml:space="preserve">: Made of plastic or </w:t>
      </w:r>
      <w:r>
        <w:rPr>
          <w:rFonts w:hint="default" w:ascii="Cambria" w:hAnsi="Cambria" w:cs="Cambria"/>
          <w:lang w:eastAsia="zh-CN"/>
        </w:rPr>
        <w:t>plastic-based</w:t>
      </w:r>
      <w:r>
        <w:rPr>
          <w:rFonts w:hint="default" w:ascii="Cambria" w:hAnsi="Cambria" w:cs="Cambria"/>
        </w:rPr>
        <w:t xml:space="preserve"> raw materials, inexpensive and not easy to break. Modern clinical suction </w:t>
      </w:r>
      <w:r>
        <w:rPr>
          <w:rFonts w:hint="default" w:ascii="Cambria" w:hAnsi="Cambria" w:cs="Cambria"/>
          <w:lang w:eastAsia="zh-CN"/>
        </w:rPr>
        <w:t>jars</w:t>
      </w:r>
      <w:r>
        <w:rPr>
          <w:rFonts w:hint="default" w:ascii="Cambria" w:hAnsi="Cambria" w:cs="Cambria"/>
        </w:rPr>
        <w:t xml:space="preserve"> are mostly made of plastic.</w:t>
      </w:r>
    </w:p>
    <w:p w14:paraId="2B5F9783">
      <w:pPr>
        <w:numPr>
          <w:ilvl w:val="0"/>
          <w:numId w:val="0"/>
        </w:numPr>
        <w:rPr>
          <w:rFonts w:hint="default" w:ascii="Cambria" w:hAnsi="Cambria" w:cs="Cambria"/>
          <w:b/>
          <w:bCs/>
        </w:rPr>
      </w:pPr>
    </w:p>
    <w:p w14:paraId="06AA6732">
      <w:pPr>
        <w:numPr>
          <w:ilvl w:val="0"/>
          <w:numId w:val="0"/>
        </w:numPr>
        <w:rPr>
          <w:rFonts w:hint="default" w:ascii="Cambria" w:hAnsi="Cambria" w:cs="Cambria" w:eastAsiaTheme="minorEastAsia"/>
          <w:b w:val="0"/>
          <w:bCs w:val="0"/>
          <w:lang w:eastAsia="zh-CN"/>
        </w:rPr>
      </w:pPr>
      <w:r>
        <w:rPr>
          <w:rFonts w:hint="default" w:ascii="Cambria" w:hAnsi="Cambria" w:cs="Cambria"/>
          <w:b w:val="0"/>
          <w:bCs w:val="0"/>
        </w:rPr>
        <w:t>2. Expert Demonstration Opinions</w:t>
      </w:r>
    </w:p>
    <w:p w14:paraId="48367EF6">
      <w:pPr>
        <w:numPr>
          <w:ilvl w:val="0"/>
          <w:numId w:val="0"/>
        </w:numPr>
        <w:rPr>
          <w:rFonts w:hint="default" w:ascii="Cambria" w:hAnsi="Cambria" w:cs="Cambria"/>
        </w:rPr>
      </w:pPr>
      <w:r>
        <w:rPr>
          <w:rFonts w:hint="default" w:ascii="Cambria" w:hAnsi="Cambria" w:cs="Cambria"/>
        </w:rPr>
        <w:t xml:space="preserve">Expert Demonstration Results: </w:t>
      </w:r>
    </w:p>
    <w:p w14:paraId="0DC34788">
      <w:pPr>
        <w:numPr>
          <w:ilvl w:val="0"/>
          <w:numId w:val="0"/>
        </w:numPr>
        <w:rPr>
          <w:rFonts w:hint="default" w:ascii="Cambria" w:hAnsi="Cambria" w:cs="Cambria"/>
        </w:rPr>
      </w:pPr>
      <w:r>
        <w:rPr>
          <w:rFonts w:hint="default" w:ascii="Cambria" w:hAnsi="Cambria" w:cs="Cambria"/>
        </w:rPr>
        <w:t>All 13 experts agreed, with a support rate of 100%.</w:t>
      </w:r>
    </w:p>
    <w:p w14:paraId="17A4A3A1">
      <w:pPr>
        <w:numPr>
          <w:ilvl w:val="0"/>
          <w:numId w:val="0"/>
        </w:numPr>
        <w:rPr>
          <w:rFonts w:hint="default" w:ascii="Cambria" w:hAnsi="Cambria" w:cs="Cambria"/>
        </w:rPr>
      </w:pPr>
      <w:r>
        <w:rPr>
          <w:rFonts w:hint="default" w:ascii="Cambria" w:hAnsi="Cambria" w:cs="Cambria"/>
        </w:rPr>
        <w:t>Main Modification Suggestions:</w:t>
      </w:r>
    </w:p>
    <w:p w14:paraId="7DD7A20B">
      <w:pPr>
        <w:numPr>
          <w:ilvl w:val="0"/>
          <w:numId w:val="0"/>
        </w:numPr>
        <w:rPr>
          <w:rFonts w:hint="default" w:ascii="Cambria" w:hAnsi="Cambria" w:cs="Cambria"/>
        </w:rPr>
      </w:pPr>
      <w:r>
        <w:rPr>
          <w:rFonts w:hint="default" w:ascii="Cambria" w:hAnsi="Cambria" w:cs="Cambria"/>
        </w:rPr>
        <w:t>Dai Qigang: Only describe the material, not the shape.</w:t>
      </w:r>
    </w:p>
    <w:p w14:paraId="12EF534C">
      <w:pPr>
        <w:numPr>
          <w:ilvl w:val="0"/>
          <w:numId w:val="0"/>
        </w:numPr>
        <w:rPr>
          <w:rFonts w:hint="default" w:ascii="Cambria" w:hAnsi="Cambria" w:cs="Cambria"/>
        </w:rPr>
      </w:pPr>
    </w:p>
    <w:p w14:paraId="0A6E8BC6">
      <w:pPr>
        <w:numPr>
          <w:ilvl w:val="0"/>
          <w:numId w:val="0"/>
        </w:numPr>
        <w:rPr>
          <w:rFonts w:hint="default" w:ascii="Cambria" w:hAnsi="Cambria" w:cs="Cambria"/>
        </w:rPr>
      </w:pPr>
      <w:r>
        <w:rPr>
          <w:rFonts w:hint="default" w:ascii="Cambria" w:hAnsi="Cambria" w:cs="Cambria"/>
          <w:lang w:val="en-US" w:eastAsia="zh-CN"/>
        </w:rPr>
        <w:t xml:space="preserve">3. </w:t>
      </w:r>
      <w:r>
        <w:rPr>
          <w:rFonts w:hint="default" w:ascii="Cambria" w:hAnsi="Cambria" w:cs="Cambria"/>
        </w:rPr>
        <w:t>Project Team Resolution</w:t>
      </w:r>
    </w:p>
    <w:p w14:paraId="5583B965">
      <w:pPr>
        <w:numPr>
          <w:ilvl w:val="0"/>
          <w:numId w:val="0"/>
        </w:numPr>
        <w:rPr>
          <w:rFonts w:hint="default" w:ascii="Cambria" w:hAnsi="Cambria" w:cs="Cambria"/>
          <w:lang w:val="en-US" w:eastAsia="zh-CN"/>
        </w:rPr>
      </w:pPr>
      <w:r>
        <w:rPr>
          <w:rFonts w:hint="default" w:ascii="Cambria" w:hAnsi="Cambria" w:cs="Cambria"/>
          <w:lang w:val="en-US" w:eastAsia="zh-CN"/>
        </w:rPr>
        <w:t>The expert comments shall be adopted, and the text shall be appropriately streamlined for standardized and unified wording.</w:t>
      </w:r>
    </w:p>
    <w:p w14:paraId="7FE7D4E5">
      <w:pPr>
        <w:numPr>
          <w:ilvl w:val="0"/>
          <w:numId w:val="0"/>
        </w:numPr>
        <w:rPr>
          <w:rFonts w:hint="default" w:ascii="Cambria" w:hAnsi="Cambria" w:cs="Cambria"/>
        </w:rPr>
      </w:pPr>
    </w:p>
    <w:p w14:paraId="5B421CEB">
      <w:pPr>
        <w:numPr>
          <w:ilvl w:val="0"/>
          <w:numId w:val="0"/>
        </w:numPr>
        <w:rPr>
          <w:rFonts w:hint="default" w:ascii="Cambria" w:hAnsi="Cambria" w:cs="Cambria" w:eastAsiaTheme="minorEastAsia"/>
          <w:b/>
          <w:bCs/>
          <w:lang w:eastAsia="zh-CN"/>
        </w:rPr>
      </w:pPr>
      <w:r>
        <w:rPr>
          <w:rFonts w:hint="default" w:ascii="Cambria" w:hAnsi="Cambria" w:cs="Cambria"/>
          <w:b/>
          <w:bCs/>
        </w:rPr>
        <w:t xml:space="preserve">IV. Expert Resolutions on </w:t>
      </w:r>
      <w:r>
        <w:rPr>
          <w:rFonts w:hint="default" w:ascii="Cambria" w:hAnsi="Cambria" w:cs="Cambria"/>
          <w:b/>
          <w:bCs/>
          <w:lang w:eastAsia="zh-CN"/>
        </w:rPr>
        <w:t>open-ended questions</w:t>
      </w:r>
    </w:p>
    <w:p w14:paraId="561C3D62">
      <w:pPr>
        <w:numPr>
          <w:ilvl w:val="0"/>
          <w:numId w:val="0"/>
        </w:numPr>
        <w:rPr>
          <w:rFonts w:hint="default" w:ascii="Cambria" w:hAnsi="Cambria" w:cs="Cambria"/>
        </w:rPr>
      </w:pPr>
      <w:r>
        <w:rPr>
          <w:rFonts w:hint="default" w:ascii="Cambria" w:hAnsi="Cambria" w:cs="Cambria"/>
        </w:rPr>
        <w:t xml:space="preserve">(1) Item 1: Selection of </w:t>
      </w:r>
      <w:r>
        <w:rPr>
          <w:rFonts w:hint="default" w:ascii="Cambria" w:hAnsi="Cambria" w:cs="Cambria"/>
          <w:lang w:eastAsia="zh-CN"/>
        </w:rPr>
        <w:t>Jar</w:t>
      </w:r>
      <w:r>
        <w:rPr>
          <w:rFonts w:hint="default" w:ascii="Cambria" w:hAnsi="Cambria" w:cs="Cambria"/>
        </w:rPr>
        <w:t xml:space="preserve"> Models</w:t>
      </w:r>
    </w:p>
    <w:p w14:paraId="642FCC5B">
      <w:pPr>
        <w:numPr>
          <w:ilvl w:val="0"/>
          <w:numId w:val="0"/>
        </w:numPr>
        <w:rPr>
          <w:rFonts w:hint="default" w:ascii="Cambria" w:hAnsi="Cambria" w:cs="Cambria" w:eastAsiaTheme="minorEastAsia"/>
          <w:lang w:eastAsia="zh-CN"/>
        </w:rPr>
      </w:pPr>
      <w:r>
        <w:rPr>
          <w:rFonts w:hint="default" w:ascii="Cambria" w:hAnsi="Cambria" w:cs="Cambria"/>
        </w:rPr>
        <w:t>1. Original Text of the Letter of Soliciting Opinions</w:t>
      </w:r>
    </w:p>
    <w:p w14:paraId="4A82F6F0">
      <w:pPr>
        <w:numPr>
          <w:ilvl w:val="0"/>
          <w:numId w:val="0"/>
        </w:numPr>
        <w:ind w:firstLine="420"/>
        <w:rPr>
          <w:rFonts w:hint="default" w:ascii="Cambria" w:hAnsi="Cambria" w:cs="Cambria"/>
          <w:lang w:val="en-US"/>
        </w:rPr>
      </w:pPr>
      <w:r>
        <w:rPr>
          <w:rFonts w:hint="default" w:ascii="Cambria" w:hAnsi="Cambria" w:cs="Cambria"/>
        </w:rPr>
        <w:t xml:space="preserve">National Standard: Select the </w:t>
      </w:r>
      <w:r>
        <w:rPr>
          <w:rFonts w:hint="default" w:ascii="Cambria" w:hAnsi="Cambria" w:cs="Cambria"/>
          <w:lang w:eastAsia="zh-CN"/>
        </w:rPr>
        <w:t>jar</w:t>
      </w:r>
      <w:r>
        <w:rPr>
          <w:rFonts w:hint="default" w:ascii="Cambria" w:hAnsi="Cambria" w:cs="Cambria"/>
        </w:rPr>
        <w:t xml:space="preserve"> according to the age or height and weight of the child. For </w:t>
      </w:r>
      <w:r>
        <w:rPr>
          <w:rFonts w:hint="default" w:ascii="Cambria" w:hAnsi="Cambria" w:cs="Cambria"/>
          <w:lang w:eastAsia="zh-CN"/>
        </w:rPr>
        <w:t>preschool-aged children</w:t>
      </w:r>
      <w:r>
        <w:rPr>
          <w:rFonts w:hint="default" w:ascii="Cambria" w:hAnsi="Cambria" w:cs="Cambria"/>
        </w:rPr>
        <w:t xml:space="preserve">, </w:t>
      </w:r>
      <w:r>
        <w:rPr>
          <w:rFonts w:hint="default" w:ascii="Cambria" w:hAnsi="Cambria" w:cs="Cambria"/>
          <w:lang w:eastAsia="zh-CN"/>
        </w:rPr>
        <w:t>Size</w:t>
      </w:r>
      <w:r>
        <w:rPr>
          <w:rFonts w:hint="default" w:ascii="Cambria" w:hAnsi="Cambria" w:cs="Cambria"/>
        </w:rPr>
        <w:t xml:space="preserve"> 5 </w:t>
      </w:r>
      <w:r>
        <w:rPr>
          <w:rFonts w:hint="default" w:ascii="Cambria" w:hAnsi="Cambria" w:cs="Cambria"/>
          <w:lang w:eastAsia="zh-CN"/>
        </w:rPr>
        <w:t>jar</w:t>
      </w:r>
      <w:r>
        <w:rPr>
          <w:rFonts w:hint="default" w:ascii="Cambria" w:hAnsi="Cambria" w:cs="Cambria"/>
        </w:rPr>
        <w:t xml:space="preserve"> is mainly used, and for children before the age of 12, </w:t>
      </w:r>
      <w:r>
        <w:rPr>
          <w:rFonts w:hint="default" w:ascii="Cambria" w:hAnsi="Cambria" w:cs="Cambria"/>
          <w:lang w:eastAsia="zh-CN"/>
        </w:rPr>
        <w:t>Size</w:t>
      </w:r>
      <w:r>
        <w:rPr>
          <w:rFonts w:hint="default" w:ascii="Cambria" w:hAnsi="Cambria" w:cs="Cambria"/>
        </w:rPr>
        <w:t xml:space="preserve"> 4 </w:t>
      </w:r>
      <w:r>
        <w:rPr>
          <w:rFonts w:hint="default" w:ascii="Cambria" w:hAnsi="Cambria" w:cs="Cambria"/>
          <w:lang w:eastAsia="zh-CN"/>
        </w:rPr>
        <w:t>jar</w:t>
      </w:r>
      <w:r>
        <w:rPr>
          <w:rFonts w:hint="default" w:ascii="Cambria" w:hAnsi="Cambria" w:cs="Cambria"/>
        </w:rPr>
        <w:t xml:space="preserve"> is mainly used (the internal volume of </w:t>
      </w:r>
      <w:r>
        <w:rPr>
          <w:rFonts w:hint="default" w:ascii="Cambria" w:hAnsi="Cambria" w:cs="Cambria"/>
          <w:lang w:eastAsia="zh-CN"/>
        </w:rPr>
        <w:t>Size</w:t>
      </w:r>
      <w:r>
        <w:rPr>
          <w:rFonts w:hint="default" w:ascii="Cambria" w:hAnsi="Cambria" w:cs="Cambria"/>
        </w:rPr>
        <w:t xml:space="preserve"> 5 </w:t>
      </w:r>
      <w:r>
        <w:rPr>
          <w:rFonts w:hint="default" w:ascii="Cambria" w:hAnsi="Cambria" w:cs="Cambria"/>
          <w:lang w:eastAsia="zh-CN"/>
        </w:rPr>
        <w:t>jar</w:t>
      </w:r>
      <w:r>
        <w:rPr>
          <w:rFonts w:hint="default" w:ascii="Cambria" w:hAnsi="Cambria" w:cs="Cambria"/>
        </w:rPr>
        <w:t xml:space="preserve"> is 95 ± 4.8 </w:t>
      </w:r>
      <w:r>
        <w:rPr>
          <w:rFonts w:hint="default" w:ascii="Cambria" w:hAnsi="Cambria" w:cs="Cambria"/>
          <w:lang w:eastAsia="zh-CN"/>
        </w:rPr>
        <w:t>mL</w:t>
      </w:r>
      <w:r>
        <w:rPr>
          <w:rFonts w:hint="default" w:ascii="Cambria" w:hAnsi="Cambria" w:cs="Cambria"/>
        </w:rPr>
        <w:t xml:space="preserve">, and the internal volume of </w:t>
      </w:r>
      <w:r>
        <w:rPr>
          <w:rFonts w:hint="default" w:ascii="Cambria" w:hAnsi="Cambria" w:cs="Cambria"/>
          <w:lang w:eastAsia="zh-CN"/>
        </w:rPr>
        <w:t>Size</w:t>
      </w:r>
      <w:r>
        <w:rPr>
          <w:rFonts w:hint="default" w:ascii="Cambria" w:hAnsi="Cambria" w:cs="Cambria"/>
        </w:rPr>
        <w:t xml:space="preserve"> 4 </w:t>
      </w:r>
      <w:r>
        <w:rPr>
          <w:rFonts w:hint="default" w:ascii="Cambria" w:hAnsi="Cambria" w:cs="Cambria"/>
          <w:lang w:eastAsia="zh-CN"/>
        </w:rPr>
        <w:t>jar</w:t>
      </w:r>
      <w:r>
        <w:rPr>
          <w:rFonts w:hint="default" w:ascii="Cambria" w:hAnsi="Cambria" w:cs="Cambria"/>
        </w:rPr>
        <w:t xml:space="preserve"> is 130±6.5ml. </w:t>
      </w:r>
      <w:r>
        <w:rPr>
          <w:rFonts w:hint="default" w:ascii="Cambria" w:hAnsi="Cambria" w:cs="Cambria"/>
          <w:lang w:val="en-US" w:eastAsia="zh-CN"/>
        </w:rPr>
        <w:t>(</w:t>
      </w:r>
      <w:r>
        <w:rPr>
          <w:rFonts w:hint="default" w:ascii="Cambria" w:hAnsi="Cambria" w:cs="Cambria"/>
        </w:rPr>
        <w:t xml:space="preserve">Source: </w:t>
      </w:r>
      <w:r>
        <w:rPr>
          <w:rFonts w:hint="default" w:ascii="Cambria" w:hAnsi="Cambria" w:cs="Cambria"/>
          <w:lang w:eastAsia="zh-CN"/>
        </w:rPr>
        <w:t xml:space="preserve">ISO 22213:2020 (E) TCM–Glass cupping device </w:t>
      </w:r>
      <w:r>
        <w:rPr>
          <w:rFonts w:hint="default" w:ascii="Cambria" w:hAnsi="Cambria" w:cs="Cambria"/>
        </w:rPr>
        <w:t xml:space="preserve">and </w:t>
      </w:r>
      <w:r>
        <w:rPr>
          <w:rFonts w:hint="default" w:ascii="Cambria" w:hAnsi="Cambria" w:cs="Cambria"/>
          <w:lang w:eastAsia="zh-CN"/>
        </w:rPr>
        <w:t>YY/T 1976-2025 Traditional Chinese medical device–Glass cupping device</w:t>
      </w:r>
      <w:r>
        <w:rPr>
          <w:rFonts w:hint="default" w:ascii="Cambria" w:hAnsi="Cambria" w:cs="Cambria"/>
          <w:lang w:val="en-US" w:eastAsia="zh-CN"/>
        </w:rPr>
        <w:t>)</w:t>
      </w:r>
    </w:p>
    <w:p w14:paraId="1F6C09BC">
      <w:pPr>
        <w:numPr>
          <w:ilvl w:val="0"/>
          <w:numId w:val="0"/>
        </w:numPr>
        <w:rPr>
          <w:rFonts w:hint="default" w:ascii="Cambria" w:hAnsi="Cambria" w:cs="Cambria"/>
          <w:lang w:val="en-US"/>
        </w:rPr>
      </w:pPr>
      <w:r>
        <w:rPr>
          <w:rFonts w:hint="default" w:ascii="Cambria" w:hAnsi="Cambria" w:cs="Cambria"/>
        </w:rPr>
        <w:t xml:space="preserve">    Project Team Opinions: Select the </w:t>
      </w:r>
      <w:r>
        <w:rPr>
          <w:rFonts w:hint="default" w:ascii="Cambria" w:hAnsi="Cambria" w:cs="Cambria"/>
          <w:lang w:eastAsia="zh-CN"/>
        </w:rPr>
        <w:t>jar</w:t>
      </w:r>
      <w:r>
        <w:rPr>
          <w:rFonts w:hint="default" w:ascii="Cambria" w:hAnsi="Cambria" w:cs="Cambria"/>
        </w:rPr>
        <w:t xml:space="preserve"> according to the age or height and weight of the child as well as the cupping site. For </w:t>
      </w:r>
      <w:r>
        <w:rPr>
          <w:rFonts w:hint="default" w:ascii="Cambria" w:hAnsi="Cambria" w:cs="Cambria"/>
          <w:lang w:eastAsia="zh-CN"/>
        </w:rPr>
        <w:t>preschool-aged children</w:t>
      </w:r>
      <w:r>
        <w:rPr>
          <w:rFonts w:hint="default" w:ascii="Cambria" w:hAnsi="Cambria" w:cs="Cambria"/>
        </w:rPr>
        <w:t xml:space="preserve">, </w:t>
      </w:r>
      <w:r>
        <w:rPr>
          <w:rFonts w:hint="default" w:ascii="Cambria" w:hAnsi="Cambria" w:cs="Cambria"/>
          <w:lang w:eastAsia="zh-CN"/>
        </w:rPr>
        <w:t>Size</w:t>
      </w:r>
      <w:r>
        <w:rPr>
          <w:rFonts w:hint="default" w:ascii="Cambria" w:hAnsi="Cambria" w:cs="Cambria"/>
        </w:rPr>
        <w:t xml:space="preserve"> 5 </w:t>
      </w:r>
      <w:r>
        <w:rPr>
          <w:rFonts w:hint="default" w:ascii="Cambria" w:hAnsi="Cambria" w:cs="Cambria"/>
          <w:lang w:eastAsia="zh-CN"/>
        </w:rPr>
        <w:t>jar</w:t>
      </w:r>
      <w:r>
        <w:rPr>
          <w:rFonts w:hint="default" w:ascii="Cambria" w:hAnsi="Cambria" w:cs="Cambria"/>
        </w:rPr>
        <w:t xml:space="preserve"> is mainly used, and for children before the age of 12, </w:t>
      </w:r>
      <w:r>
        <w:rPr>
          <w:rFonts w:hint="default" w:ascii="Cambria" w:hAnsi="Cambria" w:cs="Cambria"/>
          <w:lang w:eastAsia="zh-CN"/>
        </w:rPr>
        <w:t>Size</w:t>
      </w:r>
      <w:r>
        <w:rPr>
          <w:rFonts w:hint="default" w:ascii="Cambria" w:hAnsi="Cambria" w:cs="Cambria"/>
        </w:rPr>
        <w:t xml:space="preserve"> 4 </w:t>
      </w:r>
      <w:r>
        <w:rPr>
          <w:rFonts w:hint="default" w:ascii="Cambria" w:hAnsi="Cambria" w:cs="Cambria"/>
          <w:lang w:eastAsia="zh-CN"/>
        </w:rPr>
        <w:t>jar</w:t>
      </w:r>
      <w:r>
        <w:rPr>
          <w:rFonts w:hint="default" w:ascii="Cambria" w:hAnsi="Cambria" w:cs="Cambria"/>
        </w:rPr>
        <w:t xml:space="preserve"> is mainly used (the internal volume of </w:t>
      </w:r>
      <w:r>
        <w:rPr>
          <w:rFonts w:hint="default" w:ascii="Cambria" w:hAnsi="Cambria" w:cs="Cambria"/>
          <w:lang w:eastAsia="zh-CN"/>
        </w:rPr>
        <w:t>Size</w:t>
      </w:r>
      <w:r>
        <w:rPr>
          <w:rFonts w:hint="default" w:ascii="Cambria" w:hAnsi="Cambria" w:cs="Cambria"/>
        </w:rPr>
        <w:t xml:space="preserve"> 5 </w:t>
      </w:r>
      <w:r>
        <w:rPr>
          <w:rFonts w:hint="default" w:ascii="Cambria" w:hAnsi="Cambria" w:cs="Cambria"/>
          <w:lang w:eastAsia="zh-CN"/>
        </w:rPr>
        <w:t>jar</w:t>
      </w:r>
      <w:r>
        <w:rPr>
          <w:rFonts w:hint="default" w:ascii="Cambria" w:hAnsi="Cambria" w:cs="Cambria"/>
        </w:rPr>
        <w:t xml:space="preserve"> is 95±4.8ml, and the internal volume of </w:t>
      </w:r>
      <w:r>
        <w:rPr>
          <w:rFonts w:hint="default" w:ascii="Cambria" w:hAnsi="Cambria" w:cs="Cambria"/>
          <w:lang w:eastAsia="zh-CN"/>
        </w:rPr>
        <w:t>Size</w:t>
      </w:r>
      <w:r>
        <w:rPr>
          <w:rFonts w:hint="default" w:ascii="Cambria" w:hAnsi="Cambria" w:cs="Cambria"/>
        </w:rPr>
        <w:t xml:space="preserve"> 4 </w:t>
      </w:r>
      <w:r>
        <w:rPr>
          <w:rFonts w:hint="default" w:ascii="Cambria" w:hAnsi="Cambria" w:cs="Cambria"/>
          <w:lang w:eastAsia="zh-CN"/>
        </w:rPr>
        <w:t>jar</w:t>
      </w:r>
      <w:r>
        <w:rPr>
          <w:rFonts w:hint="default" w:ascii="Cambria" w:hAnsi="Cambria" w:cs="Cambria"/>
        </w:rPr>
        <w:t xml:space="preserve"> is 130±6.5ml. </w:t>
      </w:r>
      <w:r>
        <w:rPr>
          <w:rFonts w:hint="default" w:ascii="Cambria" w:hAnsi="Cambria" w:cs="Cambria"/>
          <w:lang w:val="en-US" w:eastAsia="zh-CN"/>
        </w:rPr>
        <w:t>(</w:t>
      </w:r>
      <w:r>
        <w:rPr>
          <w:rFonts w:hint="default" w:ascii="Cambria" w:hAnsi="Cambria" w:cs="Cambria"/>
        </w:rPr>
        <w:t xml:space="preserve">Source: </w:t>
      </w:r>
      <w:r>
        <w:rPr>
          <w:rFonts w:hint="default" w:ascii="Cambria" w:hAnsi="Cambria" w:cs="Cambria"/>
          <w:lang w:eastAsia="zh-CN"/>
        </w:rPr>
        <w:t xml:space="preserve">ISO 22213:2020 (E) TCM–Glass cupping device </w:t>
      </w:r>
      <w:r>
        <w:rPr>
          <w:rFonts w:hint="default" w:ascii="Cambria" w:hAnsi="Cambria" w:cs="Cambria"/>
        </w:rPr>
        <w:t xml:space="preserve">and </w:t>
      </w:r>
      <w:r>
        <w:rPr>
          <w:rFonts w:hint="default" w:ascii="Cambria" w:hAnsi="Cambria" w:cs="Cambria"/>
          <w:lang w:eastAsia="zh-CN"/>
        </w:rPr>
        <w:t>YY/T 1976-2025 Traditional Chinese medical device–Glass cupping device</w:t>
      </w:r>
      <w:r>
        <w:rPr>
          <w:rFonts w:hint="default" w:ascii="Cambria" w:hAnsi="Cambria" w:cs="Cambria"/>
          <w:lang w:val="en-US" w:eastAsia="zh-CN"/>
        </w:rPr>
        <w:t>)</w:t>
      </w:r>
    </w:p>
    <w:p w14:paraId="5259647C">
      <w:pPr>
        <w:numPr>
          <w:ilvl w:val="0"/>
          <w:numId w:val="0"/>
        </w:numPr>
        <w:rPr>
          <w:rFonts w:hint="default" w:ascii="Cambria" w:hAnsi="Cambria" w:cs="Cambria" w:eastAsiaTheme="minorEastAsia"/>
          <w:lang w:eastAsia="zh-CN"/>
        </w:rPr>
      </w:pPr>
      <w:r>
        <w:rPr>
          <w:rFonts w:hint="default" w:ascii="Cambria" w:hAnsi="Cambria" w:cs="Cambria"/>
        </w:rPr>
        <w:t>2. Expert Demonstration Opinions</w:t>
      </w:r>
    </w:p>
    <w:p w14:paraId="320A0373">
      <w:pPr>
        <w:numPr>
          <w:ilvl w:val="0"/>
          <w:numId w:val="0"/>
        </w:numPr>
        <w:ind w:firstLine="420"/>
        <w:rPr>
          <w:rFonts w:hint="default" w:ascii="Cambria" w:hAnsi="Cambria" w:cs="Cambria"/>
        </w:rPr>
      </w:pPr>
      <w:r>
        <w:rPr>
          <w:rFonts w:hint="default" w:ascii="Cambria" w:hAnsi="Cambria" w:cs="Cambria"/>
        </w:rPr>
        <w:t xml:space="preserve">Expert Demonstration Results: </w:t>
      </w:r>
    </w:p>
    <w:p w14:paraId="624828AC">
      <w:pPr>
        <w:numPr>
          <w:ilvl w:val="0"/>
          <w:numId w:val="0"/>
        </w:numPr>
        <w:ind w:firstLine="420"/>
        <w:rPr>
          <w:rFonts w:hint="default" w:ascii="Cambria" w:hAnsi="Cambria" w:cs="Cambria"/>
        </w:rPr>
      </w:pPr>
      <w:r>
        <w:rPr>
          <w:rFonts w:hint="default" w:ascii="Cambria" w:hAnsi="Cambria" w:cs="Cambria"/>
        </w:rPr>
        <w:t>All 13 experts agreed, with a support rate of 100%.</w:t>
      </w:r>
    </w:p>
    <w:p w14:paraId="421A3434">
      <w:pPr>
        <w:numPr>
          <w:ilvl w:val="0"/>
          <w:numId w:val="0"/>
        </w:numPr>
        <w:ind w:firstLine="420"/>
        <w:rPr>
          <w:rFonts w:hint="default" w:ascii="Cambria" w:hAnsi="Cambria" w:cs="Cambria"/>
        </w:rPr>
      </w:pPr>
      <w:r>
        <w:rPr>
          <w:rFonts w:hint="default" w:ascii="Cambria" w:hAnsi="Cambria" w:cs="Cambria"/>
        </w:rPr>
        <w:t xml:space="preserve">Main Modification Suggestions: </w:t>
      </w:r>
    </w:p>
    <w:p w14:paraId="44BBFAE6">
      <w:pPr>
        <w:numPr>
          <w:ilvl w:val="0"/>
          <w:numId w:val="0"/>
        </w:numPr>
        <w:ind w:firstLine="420"/>
        <w:rPr>
          <w:rFonts w:hint="default" w:ascii="Cambria" w:hAnsi="Cambria" w:cs="Cambria"/>
          <w:lang w:val="en-US"/>
        </w:rPr>
      </w:pPr>
      <w:r>
        <w:rPr>
          <w:rFonts w:hint="default" w:ascii="Cambria" w:hAnsi="Cambria" w:cs="Cambria"/>
        </w:rPr>
        <w:t xml:space="preserve">Dai Qigang: Select an appropriate </w:t>
      </w:r>
      <w:r>
        <w:rPr>
          <w:rFonts w:hint="default" w:ascii="Cambria" w:hAnsi="Cambria" w:cs="Cambria"/>
          <w:lang w:eastAsia="zh-CN"/>
        </w:rPr>
        <w:t>jar</w:t>
      </w:r>
      <w:r>
        <w:rPr>
          <w:rFonts w:hint="default" w:ascii="Cambria" w:hAnsi="Cambria" w:cs="Cambria"/>
        </w:rPr>
        <w:t xml:space="preserve"> according to the age or height and weight of the child as well as the cupping site. Generally, for </w:t>
      </w:r>
      <w:r>
        <w:rPr>
          <w:rFonts w:hint="default" w:ascii="Cambria" w:hAnsi="Cambria" w:cs="Cambria"/>
          <w:lang w:eastAsia="zh-CN"/>
        </w:rPr>
        <w:t>preschool-aged children</w:t>
      </w:r>
      <w:r>
        <w:rPr>
          <w:rFonts w:hint="default" w:ascii="Cambria" w:hAnsi="Cambria" w:cs="Cambria"/>
        </w:rPr>
        <w:t xml:space="preserve">, </w:t>
      </w:r>
      <w:r>
        <w:rPr>
          <w:rFonts w:hint="default" w:ascii="Cambria" w:hAnsi="Cambria" w:cs="Cambria"/>
          <w:lang w:eastAsia="zh-CN"/>
        </w:rPr>
        <w:t>Size</w:t>
      </w:r>
      <w:r>
        <w:rPr>
          <w:rFonts w:hint="default" w:ascii="Cambria" w:hAnsi="Cambria" w:cs="Cambria"/>
        </w:rPr>
        <w:t xml:space="preserve"> 5 </w:t>
      </w:r>
      <w:r>
        <w:rPr>
          <w:rFonts w:hint="default" w:ascii="Cambria" w:hAnsi="Cambria" w:cs="Cambria"/>
          <w:lang w:eastAsia="zh-CN"/>
        </w:rPr>
        <w:t>jar</w:t>
      </w:r>
      <w:r>
        <w:rPr>
          <w:rFonts w:hint="default" w:ascii="Cambria" w:hAnsi="Cambria" w:cs="Cambria"/>
        </w:rPr>
        <w:t xml:space="preserve"> is mainly used, and for children before the age of 12, </w:t>
      </w:r>
      <w:r>
        <w:rPr>
          <w:rFonts w:hint="default" w:ascii="Cambria" w:hAnsi="Cambria" w:cs="Cambria"/>
          <w:lang w:eastAsia="zh-CN"/>
        </w:rPr>
        <w:t>Size</w:t>
      </w:r>
      <w:r>
        <w:rPr>
          <w:rFonts w:hint="default" w:ascii="Cambria" w:hAnsi="Cambria" w:cs="Cambria"/>
        </w:rPr>
        <w:t xml:space="preserve"> 4 </w:t>
      </w:r>
      <w:r>
        <w:rPr>
          <w:rFonts w:hint="default" w:ascii="Cambria" w:hAnsi="Cambria" w:cs="Cambria"/>
          <w:lang w:eastAsia="zh-CN"/>
        </w:rPr>
        <w:t>jar</w:t>
      </w:r>
      <w:r>
        <w:rPr>
          <w:rFonts w:hint="default" w:ascii="Cambria" w:hAnsi="Cambria" w:cs="Cambria"/>
        </w:rPr>
        <w:t xml:space="preserve"> is mainly used (the internal volume of </w:t>
      </w:r>
      <w:r>
        <w:rPr>
          <w:rFonts w:hint="default" w:ascii="Cambria" w:hAnsi="Cambria" w:cs="Cambria"/>
          <w:lang w:eastAsia="zh-CN"/>
        </w:rPr>
        <w:t>Size</w:t>
      </w:r>
      <w:r>
        <w:rPr>
          <w:rFonts w:hint="default" w:ascii="Cambria" w:hAnsi="Cambria" w:cs="Cambria"/>
        </w:rPr>
        <w:t xml:space="preserve"> 5 </w:t>
      </w:r>
      <w:r>
        <w:rPr>
          <w:rFonts w:hint="default" w:ascii="Cambria" w:hAnsi="Cambria" w:cs="Cambria"/>
          <w:lang w:eastAsia="zh-CN"/>
        </w:rPr>
        <w:t>jar</w:t>
      </w:r>
      <w:r>
        <w:rPr>
          <w:rFonts w:hint="default" w:ascii="Cambria" w:hAnsi="Cambria" w:cs="Cambria"/>
        </w:rPr>
        <w:t xml:space="preserve"> is 95 ±4.8 </w:t>
      </w:r>
      <w:r>
        <w:rPr>
          <w:rFonts w:hint="default" w:ascii="Cambria" w:hAnsi="Cambria" w:cs="Cambria"/>
          <w:lang w:eastAsia="zh-CN"/>
        </w:rPr>
        <w:t>mL</w:t>
      </w:r>
      <w:r>
        <w:rPr>
          <w:rFonts w:hint="default" w:ascii="Cambria" w:hAnsi="Cambria" w:cs="Cambria"/>
        </w:rPr>
        <w:t xml:space="preserve">, and the internal volume of </w:t>
      </w:r>
      <w:r>
        <w:rPr>
          <w:rFonts w:hint="default" w:ascii="Cambria" w:hAnsi="Cambria" w:cs="Cambria"/>
          <w:lang w:eastAsia="zh-CN"/>
        </w:rPr>
        <w:t>Size</w:t>
      </w:r>
      <w:r>
        <w:rPr>
          <w:rFonts w:hint="default" w:ascii="Cambria" w:hAnsi="Cambria" w:cs="Cambria"/>
        </w:rPr>
        <w:t xml:space="preserve"> 4 </w:t>
      </w:r>
      <w:r>
        <w:rPr>
          <w:rFonts w:hint="default" w:ascii="Cambria" w:hAnsi="Cambria" w:cs="Cambria"/>
          <w:lang w:eastAsia="zh-CN"/>
        </w:rPr>
        <w:t>jar</w:t>
      </w:r>
      <w:r>
        <w:rPr>
          <w:rFonts w:hint="default" w:ascii="Cambria" w:hAnsi="Cambria" w:cs="Cambria"/>
        </w:rPr>
        <w:t xml:space="preserve"> is 130±6.5ml. </w:t>
      </w:r>
      <w:r>
        <w:rPr>
          <w:rFonts w:hint="default" w:ascii="Cambria" w:hAnsi="Cambria" w:cs="Cambria"/>
          <w:lang w:val="en-US" w:eastAsia="zh-CN"/>
        </w:rPr>
        <w:t>(</w:t>
      </w:r>
      <w:r>
        <w:rPr>
          <w:rFonts w:hint="default" w:ascii="Cambria" w:hAnsi="Cambria" w:cs="Cambria"/>
        </w:rPr>
        <w:t xml:space="preserve">Source: </w:t>
      </w:r>
      <w:r>
        <w:rPr>
          <w:rFonts w:hint="default" w:ascii="Cambria" w:hAnsi="Cambria" w:cs="Cambria"/>
          <w:lang w:eastAsia="zh-CN"/>
        </w:rPr>
        <w:t xml:space="preserve">ISO 22213:2020 (E) TCM–Glass cupping device </w:t>
      </w:r>
      <w:r>
        <w:rPr>
          <w:rFonts w:hint="default" w:ascii="Cambria" w:hAnsi="Cambria" w:cs="Cambria"/>
        </w:rPr>
        <w:t xml:space="preserve">and </w:t>
      </w:r>
      <w:r>
        <w:rPr>
          <w:rFonts w:hint="default" w:ascii="Cambria" w:hAnsi="Cambria" w:cs="Cambria"/>
          <w:lang w:eastAsia="zh-CN"/>
        </w:rPr>
        <w:t>YY/T 1976-2025 Traditional Chinese medical device–Glass cupping device</w:t>
      </w:r>
      <w:r>
        <w:rPr>
          <w:rFonts w:hint="default" w:ascii="Cambria" w:hAnsi="Cambria" w:cs="Cambria"/>
          <w:lang w:val="en-US" w:eastAsia="zh-CN"/>
        </w:rPr>
        <w:t>)</w:t>
      </w:r>
    </w:p>
    <w:p w14:paraId="40C85FEC">
      <w:pPr>
        <w:numPr>
          <w:ilvl w:val="0"/>
          <w:numId w:val="0"/>
        </w:numPr>
        <w:rPr>
          <w:rFonts w:hint="default" w:ascii="Cambria" w:hAnsi="Cambria" w:cs="Cambria"/>
        </w:rPr>
      </w:pPr>
      <w:r>
        <w:rPr>
          <w:rFonts w:hint="default" w:ascii="Cambria" w:hAnsi="Cambria" w:cs="Cambria"/>
        </w:rPr>
        <w:t>3. Project Team Resolution: Adopt the modification suggestions, and modify the expressions of "appropriate" and "generally" in combination with the expert's suggestions.</w:t>
      </w:r>
    </w:p>
    <w:p w14:paraId="1086E868">
      <w:pPr>
        <w:numPr>
          <w:ilvl w:val="0"/>
          <w:numId w:val="0"/>
        </w:numPr>
        <w:rPr>
          <w:rFonts w:hint="default" w:ascii="Cambria" w:hAnsi="Cambria" w:cs="Cambria"/>
        </w:rPr>
      </w:pPr>
      <w:r>
        <w:rPr>
          <w:rFonts w:hint="default" w:ascii="Cambria" w:hAnsi="Cambria" w:cs="Cambria"/>
        </w:rPr>
        <w:t>(2) Item 2: Posture</w:t>
      </w:r>
    </w:p>
    <w:p w14:paraId="2D24B605">
      <w:pPr>
        <w:numPr>
          <w:ilvl w:val="0"/>
          <w:numId w:val="0"/>
        </w:numPr>
        <w:rPr>
          <w:rFonts w:hint="default" w:ascii="Cambria" w:hAnsi="Cambria" w:cs="Cambria" w:eastAsiaTheme="minorEastAsia"/>
          <w:lang w:eastAsia="zh-CN"/>
        </w:rPr>
      </w:pPr>
      <w:r>
        <w:rPr>
          <w:rFonts w:hint="default" w:ascii="Cambria" w:hAnsi="Cambria" w:cs="Cambria"/>
        </w:rPr>
        <w:t>1. Original Text of the Letter of Soliciting Opinions</w:t>
      </w:r>
    </w:p>
    <w:p w14:paraId="6FA2BD91">
      <w:pPr>
        <w:numPr>
          <w:ilvl w:val="0"/>
          <w:numId w:val="0"/>
        </w:numPr>
        <w:rPr>
          <w:rFonts w:hint="default" w:ascii="Cambria" w:hAnsi="Cambria" w:cs="Cambria"/>
        </w:rPr>
      </w:pPr>
      <w:r>
        <w:rPr>
          <w:rFonts w:hint="default" w:ascii="Cambria" w:hAnsi="Cambria" w:cs="Cambria"/>
        </w:rPr>
        <w:t xml:space="preserve">    National Standard: Select a treatment posture that is comfortable for the child and convenient for the doctor to operate, such as sitting position, prone position, and supine position.</w:t>
      </w:r>
    </w:p>
    <w:p w14:paraId="7CEA1728">
      <w:pPr>
        <w:numPr>
          <w:ilvl w:val="0"/>
          <w:numId w:val="0"/>
        </w:numPr>
        <w:rPr>
          <w:rFonts w:hint="default" w:ascii="Cambria" w:hAnsi="Cambria" w:cs="Cambria"/>
        </w:rPr>
      </w:pPr>
      <w:r>
        <w:rPr>
          <w:rFonts w:hint="default" w:ascii="Cambria" w:hAnsi="Cambria" w:cs="Cambria"/>
        </w:rPr>
        <w:t xml:space="preserve">    Project Team Opinions: Select a treatment posture that is comfortable for the child and convenient for the doctor to operate, such as sitting position, prone position, and supine position. For younger children, holding postures such as frontal holding, back holding, and side holding assisted by the </w:t>
      </w:r>
      <w:r>
        <w:rPr>
          <w:rFonts w:hint="default" w:ascii="Cambria" w:hAnsi="Cambria" w:cs="Cambria"/>
          <w:lang w:eastAsia="zh-CN"/>
        </w:rPr>
        <w:t>guardian,</w:t>
      </w:r>
      <w:r>
        <w:rPr>
          <w:rFonts w:hint="default" w:ascii="Cambria" w:hAnsi="Cambria" w:cs="Cambria"/>
        </w:rPr>
        <w:t xml:space="preserve"> can be adopted.</w:t>
      </w:r>
    </w:p>
    <w:p w14:paraId="0C53942E">
      <w:pPr>
        <w:numPr>
          <w:ilvl w:val="0"/>
          <w:numId w:val="0"/>
        </w:numPr>
        <w:rPr>
          <w:rFonts w:hint="default" w:ascii="Cambria" w:hAnsi="Cambria" w:cs="Cambria"/>
        </w:rPr>
      </w:pPr>
    </w:p>
    <w:p w14:paraId="4AE83DB7">
      <w:pPr>
        <w:numPr>
          <w:ilvl w:val="0"/>
          <w:numId w:val="0"/>
        </w:numPr>
        <w:rPr>
          <w:rFonts w:hint="default" w:ascii="Cambria" w:hAnsi="Cambria" w:cs="Cambria" w:eastAsiaTheme="minorEastAsia"/>
          <w:lang w:eastAsia="zh-CN"/>
        </w:rPr>
      </w:pPr>
      <w:r>
        <w:rPr>
          <w:rFonts w:hint="default" w:ascii="Cambria" w:hAnsi="Cambria" w:cs="Cambria"/>
        </w:rPr>
        <w:t>2. Expert Demonstration Opinions</w:t>
      </w:r>
    </w:p>
    <w:p w14:paraId="328201CF">
      <w:pPr>
        <w:numPr>
          <w:ilvl w:val="0"/>
          <w:numId w:val="0"/>
        </w:numPr>
        <w:ind w:firstLine="420"/>
        <w:rPr>
          <w:rFonts w:hint="default" w:ascii="Cambria" w:hAnsi="Cambria" w:cs="Cambria"/>
        </w:rPr>
      </w:pPr>
      <w:r>
        <w:rPr>
          <w:rFonts w:hint="default" w:ascii="Cambria" w:hAnsi="Cambria" w:cs="Cambria"/>
        </w:rPr>
        <w:t xml:space="preserve">Expert Demonstration Results: </w:t>
      </w:r>
    </w:p>
    <w:p w14:paraId="2598C309">
      <w:pPr>
        <w:numPr>
          <w:ilvl w:val="0"/>
          <w:numId w:val="0"/>
        </w:numPr>
        <w:ind w:firstLine="420"/>
        <w:rPr>
          <w:rFonts w:hint="default" w:ascii="Cambria" w:hAnsi="Cambria" w:cs="Cambria"/>
        </w:rPr>
      </w:pPr>
      <w:r>
        <w:rPr>
          <w:rFonts w:hint="default" w:ascii="Cambria" w:hAnsi="Cambria" w:cs="Cambria"/>
        </w:rPr>
        <w:t>All 13 experts agreed, with a support rate of 100%.</w:t>
      </w:r>
    </w:p>
    <w:p w14:paraId="20471ED9">
      <w:pPr>
        <w:numPr>
          <w:ilvl w:val="0"/>
          <w:numId w:val="0"/>
        </w:numPr>
        <w:rPr>
          <w:rFonts w:hint="default" w:ascii="Cambria" w:hAnsi="Cambria" w:cs="Cambria"/>
        </w:rPr>
      </w:pPr>
    </w:p>
    <w:p w14:paraId="75CB0F9C">
      <w:pPr>
        <w:numPr>
          <w:ilvl w:val="0"/>
          <w:numId w:val="0"/>
        </w:numPr>
        <w:rPr>
          <w:rFonts w:hint="default" w:ascii="Cambria" w:hAnsi="Cambria" w:cs="Cambria"/>
        </w:rPr>
      </w:pPr>
      <w:r>
        <w:rPr>
          <w:rFonts w:hint="default" w:ascii="Cambria" w:hAnsi="Cambria" w:cs="Cambria"/>
        </w:rPr>
        <w:t xml:space="preserve">3. Project Team Resolution: </w:t>
      </w:r>
    </w:p>
    <w:p w14:paraId="5B664FD5">
      <w:pPr>
        <w:numPr>
          <w:ilvl w:val="0"/>
          <w:numId w:val="0"/>
        </w:numPr>
        <w:ind w:firstLine="420" w:firstLineChars="0"/>
        <w:rPr>
          <w:rFonts w:hint="default" w:ascii="Cambria" w:hAnsi="Cambria" w:cs="Cambria"/>
        </w:rPr>
      </w:pPr>
      <w:r>
        <w:rPr>
          <w:rFonts w:hint="default" w:ascii="Cambria" w:hAnsi="Cambria" w:cs="Cambria"/>
        </w:rPr>
        <w:t>Basically adopt the opinion of the project team.</w:t>
      </w:r>
    </w:p>
    <w:p w14:paraId="42720A30">
      <w:pPr>
        <w:numPr>
          <w:ilvl w:val="0"/>
          <w:numId w:val="0"/>
        </w:numPr>
        <w:rPr>
          <w:rFonts w:hint="default" w:ascii="Cambria" w:hAnsi="Cambria" w:cs="Cambria"/>
        </w:rPr>
      </w:pPr>
    </w:p>
    <w:p w14:paraId="3DD63252">
      <w:pPr>
        <w:numPr>
          <w:ilvl w:val="0"/>
          <w:numId w:val="0"/>
        </w:numPr>
        <w:rPr>
          <w:rFonts w:hint="default" w:ascii="Cambria" w:hAnsi="Cambria" w:cs="Cambria"/>
        </w:rPr>
      </w:pPr>
      <w:r>
        <w:rPr>
          <w:rFonts w:hint="default" w:ascii="Cambria" w:hAnsi="Cambria" w:cs="Cambria"/>
        </w:rPr>
        <w:t>(3) Item 3: Technical Operation Specifications</w:t>
      </w:r>
    </w:p>
    <w:p w14:paraId="4869C5A1">
      <w:pPr>
        <w:numPr>
          <w:ilvl w:val="0"/>
          <w:numId w:val="0"/>
        </w:numPr>
        <w:rPr>
          <w:rFonts w:hint="default" w:ascii="Cambria" w:hAnsi="Cambria" w:cs="Cambria" w:eastAsiaTheme="minorEastAsia"/>
          <w:lang w:eastAsia="zh-CN"/>
        </w:rPr>
      </w:pPr>
      <w:r>
        <w:rPr>
          <w:rFonts w:hint="default" w:ascii="Cambria" w:hAnsi="Cambria" w:cs="Cambria"/>
        </w:rPr>
        <w:t>1. Original Text of the Letter of Soliciting Opinions</w:t>
      </w:r>
    </w:p>
    <w:p w14:paraId="4EAD72F0">
      <w:pPr>
        <w:numPr>
          <w:ilvl w:val="0"/>
          <w:numId w:val="0"/>
        </w:numPr>
        <w:rPr>
          <w:rFonts w:hint="default" w:ascii="Cambria" w:hAnsi="Cambria" w:cs="Cambria"/>
        </w:rPr>
      </w:pPr>
      <w:r>
        <w:rPr>
          <w:rFonts w:hint="default" w:ascii="Cambria" w:hAnsi="Cambria" w:cs="Cambria"/>
        </w:rPr>
        <w:t xml:space="preserve">    National Standard: The technical operation specifications of cupping should comply with the provisions of GB/T</w:t>
      </w:r>
      <w:r>
        <w:rPr>
          <w:rFonts w:hint="default" w:ascii="Cambria" w:hAnsi="Cambria" w:cs="Cambria"/>
          <w:lang w:val="en-US" w:eastAsia="zh-CN"/>
        </w:rPr>
        <w:t xml:space="preserve"> </w:t>
      </w:r>
      <w:r>
        <w:rPr>
          <w:rFonts w:hint="default" w:ascii="Cambria" w:hAnsi="Cambria" w:cs="Cambria"/>
        </w:rPr>
        <w:t>21709.5.</w:t>
      </w:r>
    </w:p>
    <w:p w14:paraId="756C314C">
      <w:pPr>
        <w:numPr>
          <w:ilvl w:val="0"/>
          <w:numId w:val="0"/>
        </w:numPr>
        <w:rPr>
          <w:rFonts w:hint="default" w:ascii="Cambria" w:hAnsi="Cambria" w:cs="Cambria"/>
        </w:rPr>
      </w:pPr>
      <w:r>
        <w:rPr>
          <w:rFonts w:hint="default" w:ascii="Cambria" w:hAnsi="Cambria" w:cs="Cambria"/>
        </w:rPr>
        <w:t xml:space="preserve">    Project Team Opinions: On the basis of complying with the provisions of GB/T</w:t>
      </w:r>
      <w:r>
        <w:rPr>
          <w:rFonts w:hint="default" w:ascii="Cambria" w:hAnsi="Cambria" w:cs="Cambria"/>
          <w:lang w:val="en-US" w:eastAsia="zh-CN"/>
        </w:rPr>
        <w:t xml:space="preserve"> </w:t>
      </w:r>
      <w:r>
        <w:rPr>
          <w:rFonts w:hint="default" w:ascii="Cambria" w:hAnsi="Cambria" w:cs="Cambria"/>
        </w:rPr>
        <w:t xml:space="preserve">21709.5, the technical operation specifications of cupping should be combined with the physiological characteristics of children, appropriately reduce the negative pressure in the </w:t>
      </w:r>
      <w:r>
        <w:rPr>
          <w:rFonts w:hint="default" w:ascii="Cambria" w:hAnsi="Cambria" w:cs="Cambria"/>
          <w:lang w:eastAsia="zh-CN"/>
        </w:rPr>
        <w:t>jar</w:t>
      </w:r>
      <w:r>
        <w:rPr>
          <w:rFonts w:hint="default" w:ascii="Cambria" w:hAnsi="Cambria" w:cs="Cambria"/>
        </w:rPr>
        <w:t>, reduce the cupping retention time, lower the treatment frequency, pay attention to the child's emotions in a timely manner, select to operate when the child is in a stable mood and willing to cooperate, and stop the operation immediately when the child cries or struggles.</w:t>
      </w:r>
    </w:p>
    <w:p w14:paraId="506EA596">
      <w:pPr>
        <w:numPr>
          <w:ilvl w:val="0"/>
          <w:numId w:val="0"/>
        </w:numPr>
        <w:rPr>
          <w:rFonts w:hint="default" w:ascii="Cambria" w:hAnsi="Cambria" w:cs="Cambria" w:eastAsiaTheme="minorEastAsia"/>
          <w:lang w:eastAsia="zh-CN"/>
        </w:rPr>
      </w:pPr>
      <w:r>
        <w:rPr>
          <w:rFonts w:hint="default" w:ascii="Cambria" w:hAnsi="Cambria" w:cs="Cambria"/>
        </w:rPr>
        <w:t>2. Expert Demonstration Opinions</w:t>
      </w:r>
    </w:p>
    <w:p w14:paraId="1E864CD0">
      <w:pPr>
        <w:numPr>
          <w:ilvl w:val="0"/>
          <w:numId w:val="0"/>
        </w:numPr>
        <w:ind w:firstLine="420"/>
        <w:rPr>
          <w:rFonts w:hint="default" w:ascii="Cambria" w:hAnsi="Cambria" w:cs="Cambria"/>
        </w:rPr>
      </w:pPr>
      <w:r>
        <w:rPr>
          <w:rFonts w:hint="default" w:ascii="Cambria" w:hAnsi="Cambria" w:cs="Cambria"/>
        </w:rPr>
        <w:t xml:space="preserve">Expert Demonstration Results: </w:t>
      </w:r>
    </w:p>
    <w:p w14:paraId="781CFF50">
      <w:pPr>
        <w:numPr>
          <w:ilvl w:val="0"/>
          <w:numId w:val="0"/>
        </w:numPr>
        <w:ind w:firstLine="420"/>
        <w:rPr>
          <w:rFonts w:hint="default" w:ascii="Cambria" w:hAnsi="Cambria" w:cs="Cambria"/>
        </w:rPr>
      </w:pPr>
      <w:r>
        <w:rPr>
          <w:rFonts w:hint="default" w:ascii="Cambria" w:hAnsi="Cambria" w:cs="Cambria"/>
        </w:rPr>
        <w:t xml:space="preserve">All 13 experts agreed (2 points / </w:t>
      </w:r>
      <w:r>
        <w:rPr>
          <w:rFonts w:hint="default" w:ascii="Cambria" w:hAnsi="Cambria" w:cs="Cambria"/>
          <w:lang w:eastAsia="zh-CN"/>
        </w:rPr>
        <w:t>mandatory</w:t>
      </w:r>
      <w:r>
        <w:rPr>
          <w:rFonts w:hint="default" w:ascii="Cambria" w:hAnsi="Cambria" w:cs="Cambria"/>
        </w:rPr>
        <w:t>), with a support rate of 100%.</w:t>
      </w:r>
    </w:p>
    <w:p w14:paraId="5E8DBC52">
      <w:pPr>
        <w:numPr>
          <w:ilvl w:val="0"/>
          <w:numId w:val="0"/>
        </w:numPr>
        <w:ind w:firstLine="420"/>
        <w:rPr>
          <w:rFonts w:hint="default" w:ascii="Cambria" w:hAnsi="Cambria" w:cs="Cambria"/>
        </w:rPr>
      </w:pPr>
      <w:r>
        <w:rPr>
          <w:rFonts w:hint="default" w:ascii="Cambria" w:hAnsi="Cambria" w:cs="Cambria"/>
        </w:rPr>
        <w:t xml:space="preserve">Main Modification Suggestions: </w:t>
      </w:r>
    </w:p>
    <w:p w14:paraId="1166ED96">
      <w:pPr>
        <w:numPr>
          <w:ilvl w:val="0"/>
          <w:numId w:val="0"/>
        </w:numPr>
        <w:ind w:firstLine="420"/>
        <w:rPr>
          <w:rFonts w:hint="default" w:ascii="Cambria" w:hAnsi="Cambria" w:cs="Cambria"/>
        </w:rPr>
      </w:pPr>
      <w:r>
        <w:rPr>
          <w:rFonts w:hint="default" w:ascii="Cambria" w:hAnsi="Cambria" w:cs="Cambria"/>
        </w:rPr>
        <w:t xml:space="preserve">Professor Wang Shouchuan, the overall project leader, proposed </w:t>
      </w:r>
      <w:r>
        <w:rPr>
          <w:rFonts w:hint="default" w:ascii="Cambria" w:hAnsi="Cambria" w:cs="Cambria"/>
          <w:lang w:eastAsia="zh-CN"/>
        </w:rPr>
        <w:t>that,</w:t>
      </w:r>
      <w:r>
        <w:rPr>
          <w:rFonts w:hint="default" w:ascii="Cambria" w:hAnsi="Cambria" w:cs="Cambria"/>
        </w:rPr>
        <w:t xml:space="preserve"> as an international standard, the content specified in GB/T</w:t>
      </w:r>
      <w:r>
        <w:rPr>
          <w:rFonts w:hint="default" w:ascii="Cambria" w:hAnsi="Cambria" w:cs="Cambria"/>
          <w:lang w:val="en-US" w:eastAsia="zh-CN"/>
        </w:rPr>
        <w:t xml:space="preserve"> </w:t>
      </w:r>
      <w:r>
        <w:rPr>
          <w:rFonts w:hint="default" w:ascii="Cambria" w:hAnsi="Cambria" w:cs="Cambria"/>
        </w:rPr>
        <w:t>21709.5 should be detailed in this standard to make it more rigorous and convenient for operators to consult.</w:t>
      </w:r>
    </w:p>
    <w:p w14:paraId="1442569C">
      <w:pPr>
        <w:numPr>
          <w:ilvl w:val="0"/>
          <w:numId w:val="0"/>
        </w:numPr>
        <w:rPr>
          <w:rFonts w:hint="default" w:ascii="Cambria" w:hAnsi="Cambria" w:cs="Cambria"/>
        </w:rPr>
      </w:pPr>
      <w:r>
        <w:rPr>
          <w:rFonts w:hint="default" w:ascii="Cambria" w:hAnsi="Cambria" w:cs="Cambria"/>
        </w:rPr>
        <w:t>3. Project Team Resolution</w:t>
      </w:r>
    </w:p>
    <w:p w14:paraId="2B06DBC9">
      <w:pPr>
        <w:numPr>
          <w:ilvl w:val="0"/>
          <w:numId w:val="0"/>
        </w:numPr>
        <w:ind w:firstLine="420" w:firstLineChars="0"/>
        <w:rPr>
          <w:rFonts w:hint="default" w:ascii="Cambria" w:hAnsi="Cambria" w:cs="Cambria"/>
        </w:rPr>
      </w:pPr>
      <w:r>
        <w:rPr>
          <w:rFonts w:hint="default" w:ascii="Cambria" w:hAnsi="Cambria" w:cs="Cambria"/>
        </w:rPr>
        <w:t>Adopt the experts' opinions and refine the standard based on the original text.</w:t>
      </w:r>
    </w:p>
    <w:p w14:paraId="35D9F544">
      <w:pPr>
        <w:numPr>
          <w:ilvl w:val="0"/>
          <w:numId w:val="0"/>
        </w:numPr>
        <w:rPr>
          <w:rFonts w:hint="default" w:ascii="Cambria" w:hAnsi="Cambria" w:cs="Cambria"/>
        </w:rPr>
      </w:pPr>
    </w:p>
    <w:p w14:paraId="5DBDF761">
      <w:pPr>
        <w:numPr>
          <w:ilvl w:val="0"/>
          <w:numId w:val="0"/>
        </w:numPr>
        <w:rPr>
          <w:rFonts w:hint="default" w:ascii="Cambria" w:hAnsi="Cambria" w:cs="Cambria"/>
          <w:b/>
          <w:bCs/>
        </w:rPr>
      </w:pPr>
      <w:r>
        <w:rPr>
          <w:rFonts w:hint="default" w:ascii="Cambria" w:hAnsi="Cambria" w:cs="Cambria"/>
          <w:b/>
          <w:bCs/>
        </w:rPr>
        <w:t>V. Comprehensive Modification Opinions on the Full Text</w:t>
      </w:r>
    </w:p>
    <w:p w14:paraId="4D24DCCC">
      <w:pPr>
        <w:numPr>
          <w:ilvl w:val="0"/>
          <w:numId w:val="0"/>
        </w:numPr>
        <w:ind w:firstLine="420" w:firstLineChars="0"/>
        <w:rPr>
          <w:rFonts w:hint="default" w:ascii="Cambria" w:hAnsi="Cambria" w:cs="Cambria"/>
        </w:rPr>
      </w:pPr>
      <w:r>
        <w:rPr>
          <w:rFonts w:hint="default" w:ascii="Cambria" w:hAnsi="Cambria" w:cs="Cambria"/>
        </w:rPr>
        <w:t xml:space="preserve">In addition to the common problems of the </w:t>
      </w:r>
      <w:r>
        <w:rPr>
          <w:rFonts w:hint="default" w:ascii="Cambria" w:hAnsi="Cambria" w:cs="Cambria"/>
          <w:lang w:eastAsia="zh-CN"/>
        </w:rPr>
        <w:t>above-mentioned</w:t>
      </w:r>
      <w:r>
        <w:rPr>
          <w:rFonts w:hint="default" w:ascii="Cambria" w:hAnsi="Cambria" w:cs="Cambria"/>
        </w:rPr>
        <w:t xml:space="preserve"> items, the experts put forward the following comprehensive opinions in the demonstration meeting and the letter of soliciting opinions.</w:t>
      </w:r>
    </w:p>
    <w:p w14:paraId="5FF43059">
      <w:pPr>
        <w:numPr>
          <w:ilvl w:val="0"/>
          <w:numId w:val="0"/>
        </w:numPr>
        <w:rPr>
          <w:rFonts w:hint="default" w:ascii="Cambria" w:hAnsi="Cambria" w:cs="Cambria"/>
        </w:rPr>
      </w:pPr>
    </w:p>
    <w:p w14:paraId="272550E8">
      <w:pPr>
        <w:numPr>
          <w:ilvl w:val="0"/>
          <w:numId w:val="0"/>
        </w:numPr>
        <w:rPr>
          <w:rFonts w:hint="default" w:ascii="Cambria" w:hAnsi="Cambria" w:cs="Cambria"/>
        </w:rPr>
      </w:pPr>
      <w:r>
        <w:rPr>
          <w:rFonts w:hint="default" w:ascii="Cambria" w:hAnsi="Cambria" w:cs="Cambria"/>
        </w:rPr>
        <w:t>1. Unification of Terms and Expressions</w:t>
      </w:r>
    </w:p>
    <w:p w14:paraId="103AE073">
      <w:pPr>
        <w:numPr>
          <w:ilvl w:val="0"/>
          <w:numId w:val="0"/>
        </w:numPr>
        <w:ind w:firstLine="420" w:firstLineChars="0"/>
        <w:rPr>
          <w:rFonts w:hint="default" w:ascii="Cambria" w:hAnsi="Cambria" w:cs="Cambria"/>
        </w:rPr>
      </w:pPr>
      <w:r>
        <w:rPr>
          <w:rFonts w:hint="default" w:ascii="Cambria" w:hAnsi="Cambria" w:cs="Cambria"/>
        </w:rPr>
        <w:t xml:space="preserve">Experts' Discussion Opinions: </w:t>
      </w:r>
    </w:p>
    <w:p w14:paraId="5A178756">
      <w:pPr>
        <w:numPr>
          <w:ilvl w:val="0"/>
          <w:numId w:val="0"/>
        </w:numPr>
        <w:ind w:firstLine="420" w:firstLineChars="0"/>
        <w:rPr>
          <w:rFonts w:hint="default" w:ascii="Cambria" w:hAnsi="Cambria" w:cs="Cambria"/>
        </w:rPr>
      </w:pPr>
      <w:r>
        <w:rPr>
          <w:rFonts w:hint="default" w:ascii="Cambria" w:hAnsi="Cambria" w:cs="Cambria"/>
        </w:rPr>
        <w:t xml:space="preserve">Professor Shi Zhenggang proposed that terms such as "physician", "doctor" and "operator" should be standardized in alignment with other concurrent standard </w:t>
      </w:r>
      <w:r>
        <w:rPr>
          <w:rFonts w:hint="default" w:ascii="Cambria" w:hAnsi="Cambria" w:cs="Cambria"/>
          <w:lang w:val="en-US" w:eastAsia="zh-CN"/>
        </w:rPr>
        <w:t xml:space="preserve">upgrading </w:t>
      </w:r>
      <w:r>
        <w:rPr>
          <w:rFonts w:hint="default" w:ascii="Cambria" w:hAnsi="Cambria" w:cs="Cambria"/>
        </w:rPr>
        <w:t>projects. He also suggested unifying the writing format of time units throughout the standard by adopting English abbreviations, such as "min" and "h".</w:t>
      </w:r>
    </w:p>
    <w:p w14:paraId="663C85F4">
      <w:pPr>
        <w:numPr>
          <w:ilvl w:val="0"/>
          <w:numId w:val="0"/>
        </w:numPr>
        <w:ind w:firstLine="420" w:firstLineChars="0"/>
        <w:rPr>
          <w:rFonts w:hint="default" w:ascii="Cambria" w:hAnsi="Cambria" w:cs="Cambria"/>
        </w:rPr>
      </w:pPr>
      <w:r>
        <w:rPr>
          <w:rFonts w:hint="default" w:ascii="Cambria" w:hAnsi="Cambria" w:cs="Cambria"/>
        </w:rPr>
        <w:t xml:space="preserve">Project Team Resolution: </w:t>
      </w:r>
    </w:p>
    <w:p w14:paraId="4B798B28">
      <w:pPr>
        <w:numPr>
          <w:ilvl w:val="0"/>
          <w:numId w:val="0"/>
        </w:numPr>
        <w:ind w:firstLine="420" w:firstLineChars="0"/>
        <w:rPr>
          <w:rFonts w:hint="default" w:ascii="Cambria" w:hAnsi="Cambria" w:cs="Cambria"/>
        </w:rPr>
      </w:pPr>
      <w:r>
        <w:rPr>
          <w:rFonts w:hint="default" w:ascii="Cambria" w:hAnsi="Cambria" w:cs="Cambria"/>
        </w:rPr>
        <w:t xml:space="preserve">The expert suggestions are adopted. The full text will undergo a unified review. The project team will hold a coordination meeting </w:t>
      </w:r>
      <w:r>
        <w:rPr>
          <w:rFonts w:hint="default" w:ascii="Cambria" w:hAnsi="Cambria" w:cs="Cambria"/>
          <w:lang w:val="en-US" w:eastAsia="zh-CN"/>
        </w:rPr>
        <w:t xml:space="preserve">covering </w:t>
      </w:r>
      <w:r>
        <w:rPr>
          <w:rFonts w:hint="default" w:ascii="Cambria" w:hAnsi="Cambria" w:cs="Cambria"/>
        </w:rPr>
        <w:t xml:space="preserve">the five projects to conduct unified handling </w:t>
      </w:r>
      <w:r>
        <w:rPr>
          <w:rFonts w:hint="default" w:ascii="Cambria" w:hAnsi="Cambria" w:cs="Cambria"/>
          <w:lang w:val="en-US" w:eastAsia="zh-CN"/>
        </w:rPr>
        <w:t xml:space="preserve">and </w:t>
      </w:r>
      <w:r>
        <w:rPr>
          <w:rFonts w:hint="default" w:ascii="Cambria" w:hAnsi="Cambria" w:cs="Cambria"/>
        </w:rPr>
        <w:t xml:space="preserve">align terminology consistency in concurrent pediatric international standard </w:t>
      </w:r>
      <w:r>
        <w:rPr>
          <w:rFonts w:hint="default" w:ascii="Cambria" w:hAnsi="Cambria" w:cs="Cambria"/>
          <w:lang w:val="en-US" w:eastAsia="zh-CN"/>
        </w:rPr>
        <w:t xml:space="preserve">upgrading </w:t>
      </w:r>
      <w:r>
        <w:rPr>
          <w:rFonts w:hint="default" w:ascii="Cambria" w:hAnsi="Cambria" w:cs="Cambria"/>
        </w:rPr>
        <w:t>projects.</w:t>
      </w:r>
    </w:p>
    <w:p w14:paraId="1BE464CF">
      <w:pPr>
        <w:numPr>
          <w:ilvl w:val="0"/>
          <w:numId w:val="0"/>
        </w:numPr>
        <w:rPr>
          <w:rFonts w:hint="default" w:ascii="Cambria" w:hAnsi="Cambria" w:cs="Cambria"/>
        </w:rPr>
      </w:pPr>
    </w:p>
    <w:p w14:paraId="2D3CB9D3">
      <w:pPr>
        <w:numPr>
          <w:ilvl w:val="0"/>
          <w:numId w:val="0"/>
        </w:numPr>
        <w:rPr>
          <w:rFonts w:hint="default" w:ascii="Cambria" w:hAnsi="Cambria" w:cs="Cambria"/>
        </w:rPr>
      </w:pPr>
      <w:r>
        <w:rPr>
          <w:rFonts w:hint="default" w:ascii="Cambria" w:hAnsi="Cambria" w:cs="Cambria"/>
        </w:rPr>
        <w:t>2. Simplification of Standard Writing</w:t>
      </w:r>
    </w:p>
    <w:p w14:paraId="6910EAE0">
      <w:pPr>
        <w:numPr>
          <w:ilvl w:val="0"/>
          <w:numId w:val="0"/>
        </w:numPr>
        <w:ind w:firstLine="420" w:firstLineChars="0"/>
        <w:rPr>
          <w:rFonts w:hint="default" w:ascii="Cambria" w:hAnsi="Cambria" w:cs="Cambria"/>
        </w:rPr>
      </w:pPr>
      <w:r>
        <w:rPr>
          <w:rFonts w:hint="default" w:ascii="Cambria" w:hAnsi="Cambria" w:cs="Cambria"/>
        </w:rPr>
        <w:t xml:space="preserve">Experts' Discussion Opinions: </w:t>
      </w:r>
    </w:p>
    <w:p w14:paraId="74D1FFE2">
      <w:pPr>
        <w:numPr>
          <w:ilvl w:val="0"/>
          <w:numId w:val="0"/>
        </w:numPr>
        <w:ind w:firstLine="420" w:firstLineChars="0"/>
        <w:rPr>
          <w:rFonts w:hint="default" w:ascii="Cambria" w:hAnsi="Cambria" w:cs="Cambria"/>
        </w:rPr>
      </w:pPr>
      <w:r>
        <w:rPr>
          <w:rFonts w:hint="default" w:ascii="Cambria" w:hAnsi="Cambria" w:cs="Cambria"/>
        </w:rPr>
        <w:t>Xiong Lei and Dai Qigang proposed that the standard should be concise and to the point, and the expression should be simplified on the premise of ensuring operability.</w:t>
      </w:r>
    </w:p>
    <w:p w14:paraId="6830FEEF">
      <w:pPr>
        <w:numPr>
          <w:ilvl w:val="0"/>
          <w:numId w:val="0"/>
        </w:numPr>
        <w:ind w:firstLine="420" w:firstLineChars="0"/>
        <w:rPr>
          <w:rFonts w:hint="default" w:ascii="Cambria" w:hAnsi="Cambria" w:cs="Cambria"/>
        </w:rPr>
      </w:pPr>
      <w:r>
        <w:rPr>
          <w:rFonts w:hint="default" w:ascii="Cambria" w:hAnsi="Cambria" w:cs="Cambria"/>
        </w:rPr>
        <w:t xml:space="preserve">Project Team Resolution: </w:t>
      </w:r>
    </w:p>
    <w:p w14:paraId="72792AAB">
      <w:pPr>
        <w:numPr>
          <w:ilvl w:val="0"/>
          <w:numId w:val="0"/>
        </w:numPr>
        <w:ind w:firstLine="420" w:firstLineChars="0"/>
        <w:rPr>
          <w:rFonts w:hint="default" w:ascii="Cambria" w:hAnsi="Cambria" w:cs="Cambria"/>
        </w:rPr>
      </w:pPr>
      <w:r>
        <w:rPr>
          <w:rFonts w:hint="default" w:ascii="Cambria" w:hAnsi="Cambria" w:cs="Cambria"/>
        </w:rPr>
        <w:t>The project team will review and check the full text, delete repetitive descriptions, and simplify as much as possible on the premise of ensuring detailed operations.</w:t>
      </w:r>
    </w:p>
    <w:p w14:paraId="19B87FE3">
      <w:pPr>
        <w:numPr>
          <w:ilvl w:val="0"/>
          <w:numId w:val="0"/>
        </w:numPr>
        <w:rPr>
          <w:rFonts w:hint="default" w:ascii="Cambria" w:hAnsi="Cambria" w:cs="Cambria"/>
        </w:rPr>
      </w:pPr>
    </w:p>
    <w:p w14:paraId="66BBC3C0">
      <w:pPr>
        <w:numPr>
          <w:ilvl w:val="0"/>
          <w:numId w:val="0"/>
        </w:numPr>
        <w:rPr>
          <w:rFonts w:hint="default" w:ascii="Cambria" w:hAnsi="Cambria" w:cs="Cambria" w:eastAsiaTheme="minorEastAsia"/>
          <w:lang w:eastAsia="zh-CN"/>
        </w:rPr>
      </w:pPr>
      <w:r>
        <w:rPr>
          <w:rFonts w:hint="default" w:ascii="Cambria" w:hAnsi="Cambria" w:cs="Cambria"/>
        </w:rPr>
        <w:t xml:space="preserve">3. Optimization of the </w:t>
      </w:r>
      <w:r>
        <w:rPr>
          <w:rFonts w:hint="default" w:ascii="Cambria" w:hAnsi="Cambria" w:cs="Cambria"/>
          <w:lang w:eastAsia="zh-CN"/>
        </w:rPr>
        <w:t>Expert Information Form</w:t>
      </w:r>
    </w:p>
    <w:p w14:paraId="2FE75F9D">
      <w:pPr>
        <w:numPr>
          <w:ilvl w:val="0"/>
          <w:numId w:val="0"/>
        </w:numPr>
        <w:ind w:firstLine="420" w:firstLineChars="0"/>
        <w:rPr>
          <w:rFonts w:hint="default" w:ascii="Cambria" w:hAnsi="Cambria" w:cs="Cambria"/>
        </w:rPr>
      </w:pPr>
      <w:r>
        <w:rPr>
          <w:rFonts w:hint="default" w:ascii="Cambria" w:hAnsi="Cambria" w:cs="Cambria"/>
        </w:rPr>
        <w:t xml:space="preserve">Experts' Discussion Opinions: </w:t>
      </w:r>
    </w:p>
    <w:p w14:paraId="441D862E">
      <w:pPr>
        <w:numPr>
          <w:ilvl w:val="0"/>
          <w:numId w:val="0"/>
        </w:numPr>
        <w:ind w:firstLine="420" w:firstLineChars="0"/>
        <w:rPr>
          <w:rFonts w:hint="default" w:ascii="Cambria" w:hAnsi="Cambria" w:cs="Cambria"/>
        </w:rPr>
      </w:pPr>
      <w:r>
        <w:rPr>
          <w:rFonts w:hint="default" w:ascii="Cambria" w:hAnsi="Cambria" w:cs="Cambria"/>
        </w:rPr>
        <w:t>Professor Ma Rong proposed to distinguish between "education background/degree" expressions, clarify the difference between education background and degree. He suggested unifying professional titles. For example, for experts mainly engaged in clinical work, only fill in professional titles such as chief physician and deputy chief physician; for experts mainly engaged in basic research, use titles such as professor and associate professor.</w:t>
      </w:r>
    </w:p>
    <w:p w14:paraId="0962A539">
      <w:pPr>
        <w:numPr>
          <w:ilvl w:val="0"/>
          <w:numId w:val="0"/>
        </w:numPr>
        <w:ind w:firstLine="420" w:firstLineChars="0"/>
        <w:rPr>
          <w:rFonts w:hint="default" w:ascii="Cambria" w:hAnsi="Cambria" w:cs="Cambria"/>
        </w:rPr>
      </w:pPr>
      <w:r>
        <w:rPr>
          <w:rFonts w:hint="default" w:ascii="Cambria" w:hAnsi="Cambria" w:cs="Cambria"/>
        </w:rPr>
        <w:t xml:space="preserve">Project Team Resolution: </w:t>
      </w:r>
    </w:p>
    <w:p w14:paraId="104BE297">
      <w:pPr>
        <w:numPr>
          <w:ilvl w:val="0"/>
          <w:numId w:val="0"/>
        </w:numPr>
        <w:ind w:firstLine="420" w:firstLineChars="0"/>
        <w:rPr>
          <w:rFonts w:hint="default" w:ascii="Cambria" w:hAnsi="Cambria" w:cs="Cambria"/>
        </w:rPr>
      </w:pPr>
      <w:r>
        <w:rPr>
          <w:rFonts w:hint="default" w:ascii="Cambria" w:hAnsi="Cambria" w:cs="Cambria"/>
        </w:rPr>
        <w:t xml:space="preserve">The project </w:t>
      </w:r>
      <w:r>
        <w:rPr>
          <w:rFonts w:hint="default" w:ascii="Cambria" w:hAnsi="Cambria" w:cs="Cambria"/>
          <w:lang w:val="en-US" w:eastAsia="zh-CN"/>
        </w:rPr>
        <w:t xml:space="preserve">team </w:t>
      </w:r>
      <w:r>
        <w:rPr>
          <w:rFonts w:hint="default" w:ascii="Cambria" w:hAnsi="Cambria" w:cs="Cambria"/>
        </w:rPr>
        <w:t>will revise the template of the Expert Information Form and establish standardized specifications for filling in professional titles. When the project team conducts statistics on professional titles, only domestic experts shall be included within the statistical scope. The professional titles of domestic experts shall be categorized and counted as primary, intermediate, associate senior and full senior, with no differentiation made between the medical and teaching professional series. The original titles provided by overseas experts shall be retained and tallied under a separate category.</w:t>
      </w:r>
    </w:p>
    <w:p w14:paraId="380E2560">
      <w:pPr>
        <w:numPr>
          <w:ilvl w:val="0"/>
          <w:numId w:val="0"/>
        </w:numPr>
        <w:rPr>
          <w:rFonts w:hint="default" w:ascii="Cambria" w:hAnsi="Cambria" w:cs="Cambria"/>
        </w:rPr>
      </w:pPr>
    </w:p>
    <w:p w14:paraId="43D28141">
      <w:pPr>
        <w:numPr>
          <w:ilvl w:val="0"/>
          <w:numId w:val="0"/>
        </w:numPr>
        <w:rPr>
          <w:rFonts w:hint="default" w:ascii="Cambria" w:hAnsi="Cambria" w:cs="Cambria"/>
          <w:b/>
          <w:bCs/>
        </w:rPr>
      </w:pPr>
      <w:r>
        <w:rPr>
          <w:rFonts w:hint="default" w:ascii="Cambria" w:hAnsi="Cambria" w:cs="Cambria"/>
          <w:b/>
          <w:bCs/>
        </w:rPr>
        <w:t>VI. Special Summary of Safety Issues</w:t>
      </w:r>
    </w:p>
    <w:p w14:paraId="04960EE5">
      <w:pPr>
        <w:numPr>
          <w:ilvl w:val="0"/>
          <w:numId w:val="0"/>
        </w:numPr>
        <w:ind w:firstLine="420" w:firstLineChars="0"/>
        <w:rPr>
          <w:rFonts w:hint="default" w:ascii="Cambria" w:hAnsi="Cambria" w:cs="Cambria" w:eastAsiaTheme="minorEastAsia"/>
          <w:lang w:val="en-US" w:eastAsia="zh-CN"/>
        </w:rPr>
      </w:pPr>
      <w:r>
        <w:rPr>
          <w:rFonts w:hint="default" w:ascii="Cambria" w:hAnsi="Cambria" w:cs="Cambria"/>
        </w:rPr>
        <w:t xml:space="preserve">In this meeting, safety is not only the core concern of the experts' demonstration but also the bottom line that must be adhered to in the international standard </w:t>
      </w:r>
      <w:r>
        <w:rPr>
          <w:rFonts w:hint="default" w:ascii="Cambria" w:hAnsi="Cambria" w:cs="Cambria"/>
          <w:lang w:val="en-US" w:eastAsia="zh-CN"/>
        </w:rPr>
        <w:t>upgrading</w:t>
      </w:r>
      <w:r>
        <w:rPr>
          <w:rFonts w:hint="default" w:ascii="Cambria" w:hAnsi="Cambria" w:cs="Cambria"/>
        </w:rPr>
        <w:t>. The expert group conducted a systematic safety review of the standard draft from three dimensions: operational safety, equipment safety, and special group protection, and reached the following consensus</w:t>
      </w:r>
      <w:r>
        <w:rPr>
          <w:rFonts w:hint="default" w:ascii="Cambria" w:hAnsi="Cambria" w:cs="Cambria"/>
          <w:lang w:val="en-US" w:eastAsia="zh-CN"/>
        </w:rPr>
        <w:t>.</w:t>
      </w:r>
    </w:p>
    <w:p w14:paraId="52B28885">
      <w:pPr>
        <w:numPr>
          <w:ilvl w:val="0"/>
          <w:numId w:val="0"/>
        </w:numPr>
        <w:rPr>
          <w:rFonts w:hint="default" w:ascii="Cambria" w:hAnsi="Cambria" w:cs="Cambria"/>
        </w:rPr>
      </w:pPr>
    </w:p>
    <w:p w14:paraId="3EFBB506">
      <w:pPr>
        <w:numPr>
          <w:ilvl w:val="0"/>
          <w:numId w:val="0"/>
        </w:numPr>
        <w:rPr>
          <w:rFonts w:hint="default" w:ascii="Cambria" w:hAnsi="Cambria" w:cs="Cambria"/>
        </w:rPr>
      </w:pPr>
      <w:r>
        <w:rPr>
          <w:rFonts w:hint="default" w:ascii="Cambria" w:hAnsi="Cambria" w:cs="Cambria"/>
        </w:rPr>
        <w:t>(1) Operational Safety</w:t>
      </w:r>
    </w:p>
    <w:p w14:paraId="2A7F8B39">
      <w:pPr>
        <w:numPr>
          <w:ilvl w:val="0"/>
          <w:numId w:val="0"/>
        </w:numPr>
        <w:ind w:firstLine="420" w:firstLineChars="0"/>
        <w:rPr>
          <w:rFonts w:hint="default" w:ascii="Cambria" w:hAnsi="Cambria" w:cs="Cambria"/>
        </w:rPr>
      </w:pPr>
      <w:r>
        <w:rPr>
          <w:rFonts w:hint="default" w:ascii="Cambria" w:hAnsi="Cambria" w:cs="Cambria"/>
        </w:rPr>
        <w:t>The meeting resolution emphasized that the standardized description of the operation process is the key to ensuring the consistency of operations worldwide and reducing clinical risks. It is necessary to ensure that each step of the operation has clear guidelines. The safety of the operation process is the primary prerequisite for the implementation and promotion of this operation specification overseas.</w:t>
      </w:r>
    </w:p>
    <w:p w14:paraId="58380548">
      <w:pPr>
        <w:numPr>
          <w:ilvl w:val="0"/>
          <w:numId w:val="0"/>
        </w:numPr>
        <w:rPr>
          <w:rFonts w:hint="default" w:ascii="Cambria" w:hAnsi="Cambria" w:cs="Cambria"/>
        </w:rPr>
      </w:pPr>
    </w:p>
    <w:p w14:paraId="6C947071">
      <w:pPr>
        <w:numPr>
          <w:ilvl w:val="0"/>
          <w:numId w:val="0"/>
        </w:numPr>
        <w:rPr>
          <w:rFonts w:hint="default" w:ascii="Cambria" w:hAnsi="Cambria" w:cs="Cambria"/>
        </w:rPr>
      </w:pPr>
      <w:r>
        <w:rPr>
          <w:rFonts w:hint="default" w:ascii="Cambria" w:hAnsi="Cambria" w:cs="Cambria"/>
        </w:rPr>
        <w:t>(2) Special group Protection</w:t>
      </w:r>
    </w:p>
    <w:p w14:paraId="43E8CF1D">
      <w:pPr>
        <w:numPr>
          <w:ilvl w:val="0"/>
          <w:numId w:val="0"/>
        </w:numPr>
        <w:ind w:firstLine="420" w:firstLineChars="0"/>
        <w:rPr>
          <w:rFonts w:hint="default" w:ascii="Cambria" w:hAnsi="Cambria" w:cs="Cambria"/>
        </w:rPr>
      </w:pPr>
      <w:r>
        <w:rPr>
          <w:rFonts w:hint="default" w:ascii="Cambria" w:hAnsi="Cambria" w:cs="Cambria"/>
        </w:rPr>
        <w:t>Pediatric cupping operations need to implement different levels of operations for children of different age groups to protect children of different ages. The expert group specifically suggested that the age expression of children should adopt internationally common numerical segments (such as "over 1</w:t>
      </w:r>
      <w:r>
        <w:rPr>
          <w:rFonts w:hint="default" w:ascii="Cambria" w:hAnsi="Cambria" w:cs="Cambria"/>
          <w:lang w:val="en-US" w:eastAsia="zh-CN"/>
        </w:rPr>
        <w:t>-</w:t>
      </w:r>
      <w:r>
        <w:rPr>
          <w:rFonts w:hint="default" w:ascii="Cambria" w:hAnsi="Cambria" w:cs="Cambria"/>
        </w:rPr>
        <w:t>year</w:t>
      </w:r>
      <w:r>
        <w:rPr>
          <w:rFonts w:hint="default" w:ascii="Cambria" w:hAnsi="Cambria" w:cs="Cambria"/>
          <w:lang w:val="en-US" w:eastAsia="zh-CN"/>
        </w:rPr>
        <w:t>-</w:t>
      </w:r>
      <w:r>
        <w:rPr>
          <w:rFonts w:hint="default" w:ascii="Cambria" w:hAnsi="Cambria" w:cs="Cambria"/>
        </w:rPr>
        <w:t>old", "over 6</w:t>
      </w:r>
      <w:r>
        <w:rPr>
          <w:rFonts w:hint="default" w:ascii="Cambria" w:hAnsi="Cambria" w:cs="Cambria"/>
          <w:lang w:val="en-US" w:eastAsia="zh-CN"/>
        </w:rPr>
        <w:t>-</w:t>
      </w:r>
      <w:r>
        <w:rPr>
          <w:rFonts w:hint="default" w:ascii="Cambria" w:hAnsi="Cambria" w:cs="Cambria"/>
        </w:rPr>
        <w:t>year</w:t>
      </w:r>
      <w:r>
        <w:rPr>
          <w:rFonts w:hint="default" w:ascii="Cambria" w:hAnsi="Cambria" w:cs="Cambria"/>
          <w:lang w:val="en-US" w:eastAsia="zh-CN"/>
        </w:rPr>
        <w:t>-</w:t>
      </w:r>
      <w:r>
        <w:rPr>
          <w:rFonts w:hint="default" w:ascii="Cambria" w:hAnsi="Cambria" w:cs="Cambria"/>
        </w:rPr>
        <w:t>old") instead of traditional medical staging such as "infant, school</w:t>
      </w:r>
      <w:r>
        <w:rPr>
          <w:rFonts w:hint="default" w:ascii="Cambria" w:hAnsi="Cambria" w:cs="Cambria"/>
          <w:lang w:val="en-US" w:eastAsia="zh-CN"/>
        </w:rPr>
        <w:t>-</w:t>
      </w:r>
      <w:r>
        <w:rPr>
          <w:rFonts w:hint="default" w:ascii="Cambria" w:hAnsi="Cambria" w:cs="Cambria"/>
        </w:rPr>
        <w:t>age</w:t>
      </w:r>
      <w:r>
        <w:rPr>
          <w:rFonts w:hint="default" w:ascii="Cambria" w:hAnsi="Cambria" w:cs="Cambria"/>
          <w:lang w:val="en-US" w:eastAsia="zh-CN"/>
        </w:rPr>
        <w:t>d</w:t>
      </w:r>
      <w:r>
        <w:rPr>
          <w:rFonts w:hint="default" w:ascii="Cambria" w:hAnsi="Cambria" w:cs="Cambria"/>
        </w:rPr>
        <w:t xml:space="preserve"> child". This not only meets the universal requirements of international standards for children worldwide but also enables medical staff to quickly and intuitively identify the applicable population, avoiding mistakes caused by cultural differences or misunderstandings, and is an important measure to ensure children's safety.</w:t>
      </w:r>
    </w:p>
    <w:p w14:paraId="40F674A3">
      <w:pPr>
        <w:numPr>
          <w:ilvl w:val="0"/>
          <w:numId w:val="0"/>
        </w:numPr>
        <w:rPr>
          <w:rFonts w:hint="default" w:ascii="Cambria" w:hAnsi="Cambria" w:cs="Cambria"/>
        </w:rPr>
      </w:pPr>
    </w:p>
    <w:p w14:paraId="5E7A44B3">
      <w:pPr>
        <w:numPr>
          <w:ilvl w:val="0"/>
          <w:numId w:val="0"/>
        </w:numPr>
        <w:rPr>
          <w:rFonts w:hint="default" w:ascii="Cambria" w:hAnsi="Cambria" w:cs="Cambria"/>
        </w:rPr>
      </w:pPr>
      <w:r>
        <w:rPr>
          <w:rFonts w:hint="default" w:ascii="Cambria" w:hAnsi="Cambria" w:cs="Cambria"/>
        </w:rPr>
        <w:t>(3) Regulatory Compliance</w:t>
      </w:r>
    </w:p>
    <w:p w14:paraId="46DC7412">
      <w:pPr>
        <w:numPr>
          <w:ilvl w:val="0"/>
          <w:numId w:val="0"/>
        </w:numPr>
        <w:ind w:firstLine="420" w:firstLineChars="0"/>
        <w:rPr>
          <w:rFonts w:hint="default" w:ascii="Cambria" w:hAnsi="Cambria" w:cs="Cambria"/>
        </w:rPr>
      </w:pPr>
      <w:r>
        <w:rPr>
          <w:rFonts w:hint="default" w:ascii="Cambria" w:hAnsi="Cambria" w:cs="Cambria"/>
        </w:rPr>
        <w:t xml:space="preserve">Compliance with local laws and regulations is regarded by the expert group as a prerequisite for operational safety, </w:t>
      </w:r>
      <w:r>
        <w:rPr>
          <w:rFonts w:hint="default" w:ascii="Cambria" w:hAnsi="Cambria" w:cs="Cambria"/>
          <w:lang w:val="en-US" w:eastAsia="zh-CN"/>
        </w:rPr>
        <w:t>rather than</w:t>
      </w:r>
      <w:r>
        <w:rPr>
          <w:rFonts w:hint="default" w:ascii="Cambria" w:hAnsi="Cambria" w:cs="Cambria"/>
        </w:rPr>
        <w:t xml:space="preserve"> an administrative requirement separate from technical specifications. Professors Yu Jian'er, Wang Youpeng, and Director Wang Lili particularly emphasized that operations that do not comply with regulations are unsafe even if the technology is correct, which may lead to risks such as legal liability and loss of professional qualifications. Therefore, the meeting unanimously passed the addition of a regulatory restriction statement in a prominent position in the standard, establishing the principle of "safety based on regulatory</w:t>
      </w:r>
      <w:r>
        <w:rPr>
          <w:rFonts w:hint="default" w:ascii="Cambria" w:hAnsi="Cambria" w:cs="Cambria"/>
          <w:lang w:val="en-US" w:eastAsia="zh-CN"/>
        </w:rPr>
        <w:t xml:space="preserve"> </w:t>
      </w:r>
      <w:r>
        <w:rPr>
          <w:rFonts w:hint="default" w:ascii="Cambria" w:hAnsi="Cambria" w:cs="Cambria"/>
        </w:rPr>
        <w:t>compliance" for the implementation of international standards.</w:t>
      </w:r>
    </w:p>
    <w:p w14:paraId="5BA79906">
      <w:pPr>
        <w:numPr>
          <w:ilvl w:val="0"/>
          <w:numId w:val="0"/>
        </w:numPr>
        <w:rPr>
          <w:rFonts w:hint="default" w:ascii="Cambria" w:hAnsi="Cambria" w:cs="Cambria"/>
        </w:rPr>
      </w:pPr>
    </w:p>
    <w:p w14:paraId="5AE2E528">
      <w:pPr>
        <w:numPr>
          <w:ilvl w:val="0"/>
          <w:numId w:val="0"/>
        </w:numPr>
        <w:ind w:firstLine="420" w:firstLineChars="0"/>
        <w:rPr>
          <w:rFonts w:hint="default" w:ascii="Cambria" w:hAnsi="Cambria" w:cs="Cambria" w:eastAsiaTheme="minorEastAsia"/>
          <w:lang w:val="en-US" w:eastAsia="zh-CN"/>
        </w:rPr>
      </w:pPr>
      <w:r>
        <w:rPr>
          <w:rFonts w:hint="default" w:ascii="Cambria" w:hAnsi="Cambria" w:cs="Cambria"/>
        </w:rPr>
        <w:t xml:space="preserve">The project team hereby undertakes that all the above safety-related resolutions will be implemented with priority during the revision of the standard, so as to ensure that this standard serves as the global code of safe practice for pediatric cupping therapy in </w:t>
      </w:r>
      <w:r>
        <w:rPr>
          <w:rFonts w:hint="default" w:ascii="Cambria" w:hAnsi="Cambria" w:cs="Cambria"/>
          <w:lang w:val="en-US" w:eastAsia="zh-CN"/>
        </w:rPr>
        <w:t>TCM.</w:t>
      </w:r>
    </w:p>
    <w:p w14:paraId="28305F34">
      <w:pPr>
        <w:numPr>
          <w:ilvl w:val="0"/>
          <w:numId w:val="0"/>
        </w:numPr>
        <w:rPr>
          <w:rFonts w:hint="default" w:ascii="Cambria" w:hAnsi="Cambria" w:cs="Cambria"/>
        </w:rPr>
      </w:pPr>
    </w:p>
    <w:p w14:paraId="60132ADD">
      <w:pPr>
        <w:numPr>
          <w:ilvl w:val="0"/>
          <w:numId w:val="0"/>
        </w:numPr>
        <w:rPr>
          <w:rFonts w:hint="default" w:ascii="Cambria" w:hAnsi="Cambria" w:cs="Cambria"/>
          <w:b/>
          <w:bCs/>
        </w:rPr>
      </w:pPr>
      <w:r>
        <w:rPr>
          <w:rFonts w:hint="default" w:ascii="Cambria" w:hAnsi="Cambria" w:cs="Cambria"/>
          <w:b/>
          <w:bCs/>
        </w:rPr>
        <w:t>VII. Follow</w:t>
      </w:r>
      <w:r>
        <w:rPr>
          <w:rFonts w:hint="default" w:ascii="Cambria" w:hAnsi="Cambria" w:cs="Cambria"/>
          <w:b/>
          <w:bCs/>
          <w:lang w:val="en-US" w:eastAsia="zh-CN"/>
        </w:rPr>
        <w:t>-</w:t>
      </w:r>
      <w:r>
        <w:rPr>
          <w:rFonts w:hint="default" w:ascii="Cambria" w:hAnsi="Cambria" w:cs="Cambria"/>
          <w:b/>
          <w:bCs/>
        </w:rPr>
        <w:t>up Work Arrangements</w:t>
      </w:r>
    </w:p>
    <w:p w14:paraId="20D0D3D1">
      <w:pPr>
        <w:numPr>
          <w:ilvl w:val="0"/>
          <w:numId w:val="0"/>
        </w:numPr>
        <w:ind w:firstLine="420" w:firstLineChars="0"/>
        <w:rPr>
          <w:rFonts w:hint="default" w:ascii="Cambria" w:hAnsi="Cambria" w:cs="Cambria"/>
        </w:rPr>
      </w:pPr>
      <w:r>
        <w:rPr>
          <w:rFonts w:hint="default" w:ascii="Cambria" w:hAnsi="Cambria" w:cs="Cambria"/>
        </w:rPr>
        <w:t xml:space="preserve">(1) Joint Coordination: A coordination meeting for concurrent standard </w:t>
      </w:r>
      <w:r>
        <w:rPr>
          <w:rFonts w:hint="default" w:ascii="Cambria" w:hAnsi="Cambria" w:cs="Cambria"/>
          <w:lang w:val="en-US" w:eastAsia="zh-CN"/>
        </w:rPr>
        <w:t xml:space="preserve">upgrading </w:t>
      </w:r>
      <w:r>
        <w:rPr>
          <w:rFonts w:hint="default" w:ascii="Cambria" w:hAnsi="Cambria" w:cs="Cambria"/>
        </w:rPr>
        <w:t>projects shall be held by December 15, 2025 to unify all general terminology issues.</w:t>
      </w:r>
    </w:p>
    <w:p w14:paraId="5BA35D4C">
      <w:pPr>
        <w:numPr>
          <w:ilvl w:val="0"/>
          <w:numId w:val="0"/>
        </w:numPr>
        <w:ind w:firstLine="420" w:firstLineChars="0"/>
        <w:rPr>
          <w:rFonts w:hint="default" w:ascii="Cambria" w:hAnsi="Cambria" w:cs="Cambria"/>
        </w:rPr>
      </w:pPr>
      <w:r>
        <w:rPr>
          <w:rFonts w:hint="default" w:ascii="Cambria" w:hAnsi="Cambria" w:cs="Cambria"/>
        </w:rPr>
        <w:t>(2) Document Revision: The project team shall complete the revision of the standard draft by December 22, 2025 and form the first draft of the standard.</w:t>
      </w:r>
    </w:p>
    <w:p w14:paraId="122D614E">
      <w:pPr>
        <w:numPr>
          <w:ilvl w:val="0"/>
          <w:numId w:val="0"/>
        </w:numPr>
        <w:ind w:firstLine="420" w:firstLineChars="0"/>
        <w:rPr>
          <w:rFonts w:hint="default" w:ascii="Cambria" w:hAnsi="Cambria" w:cs="Cambria"/>
        </w:rPr>
      </w:pPr>
      <w:r>
        <w:rPr>
          <w:rFonts w:hint="default" w:ascii="Cambria" w:hAnsi="Cambria" w:cs="Cambria"/>
        </w:rPr>
        <w:t>(3) Summary of Comparison Table: The Comparison Table for Standard Revision shall be completed concurrently during document revision, with revisions and corresponding reasons annotated item by item.</w:t>
      </w:r>
    </w:p>
    <w:p w14:paraId="695A6E79">
      <w:pPr>
        <w:numPr>
          <w:ilvl w:val="0"/>
          <w:numId w:val="0"/>
        </w:numPr>
        <w:ind w:firstLine="420" w:firstLineChars="0"/>
        <w:rPr>
          <w:rFonts w:hint="default" w:ascii="Cambria" w:hAnsi="Cambria" w:cs="Cambria"/>
        </w:rPr>
      </w:pPr>
      <w:r>
        <w:rPr>
          <w:rFonts w:hint="default" w:ascii="Cambria" w:hAnsi="Cambria" w:cs="Cambria"/>
        </w:rPr>
        <w:t xml:space="preserve">(4) Compilation of </w:t>
      </w:r>
      <w:r>
        <w:rPr>
          <w:rFonts w:hint="default" w:ascii="Cambria" w:hAnsi="Cambria" w:cs="Cambria"/>
          <w:lang w:eastAsia="zh-CN"/>
        </w:rPr>
        <w:t>Formulation Explanations</w:t>
      </w:r>
      <w:r>
        <w:rPr>
          <w:rFonts w:hint="default" w:ascii="Cambria" w:hAnsi="Cambria" w:cs="Cambria"/>
        </w:rPr>
        <w:t xml:space="preserve">: The project team shall finish drafting the </w:t>
      </w:r>
      <w:r>
        <w:rPr>
          <w:rFonts w:hint="default" w:ascii="Cambria" w:hAnsi="Cambria" w:cs="Cambria"/>
          <w:lang w:eastAsia="zh-CN"/>
        </w:rPr>
        <w:t>Formulation Explanations</w:t>
      </w:r>
      <w:r>
        <w:rPr>
          <w:rFonts w:hint="default" w:ascii="Cambria" w:hAnsi="Cambria" w:cs="Cambria"/>
        </w:rPr>
        <w:t xml:space="preserve"> by December 28, 2025, which shall elaborate on the whole formulation process of this standard with relevant attachments enclosed.</w:t>
      </w:r>
    </w:p>
    <w:p w14:paraId="6CE5D268">
      <w:pPr>
        <w:numPr>
          <w:ilvl w:val="0"/>
          <w:numId w:val="0"/>
        </w:numPr>
        <w:ind w:firstLine="420" w:firstLineChars="0"/>
        <w:rPr>
          <w:rFonts w:hint="default" w:ascii="Cambria" w:hAnsi="Cambria" w:cs="Cambria"/>
        </w:rPr>
      </w:pPr>
      <w:r>
        <w:rPr>
          <w:rFonts w:hint="default" w:ascii="Cambria" w:hAnsi="Cambria" w:cs="Cambria"/>
        </w:rPr>
        <w:t xml:space="preserve">(5) Submission of Materials: The Standard Draft, </w:t>
      </w:r>
      <w:r>
        <w:rPr>
          <w:rFonts w:hint="default" w:ascii="Cambria" w:hAnsi="Cambria" w:cs="Cambria"/>
          <w:lang w:eastAsia="zh-CN"/>
        </w:rPr>
        <w:t>Formulation Explanations</w:t>
      </w:r>
      <w:r>
        <w:rPr>
          <w:rFonts w:hint="default" w:ascii="Cambria" w:hAnsi="Cambria" w:cs="Cambria"/>
        </w:rPr>
        <w:t xml:space="preserve"> and Comparison Table for Standard Revision shall be submitted together to the International Standards Department of WFCMS by December 31, 2025.</w:t>
      </w:r>
    </w:p>
    <w:p w14:paraId="54468393">
      <w:pPr>
        <w:numPr>
          <w:ilvl w:val="0"/>
          <w:numId w:val="0"/>
        </w:numPr>
        <w:rPr>
          <w:rFonts w:hint="default" w:ascii="Cambria" w:hAnsi="Cambria" w:cs="Cambria"/>
        </w:rPr>
      </w:pPr>
    </w:p>
    <w:p w14:paraId="3F631B72">
      <w:pPr>
        <w:numPr>
          <w:ilvl w:val="0"/>
          <w:numId w:val="0"/>
        </w:numPr>
        <w:rPr>
          <w:rFonts w:hint="default" w:ascii="Cambria" w:hAnsi="Cambria" w:cs="Cambria"/>
          <w:b/>
          <w:bCs/>
        </w:rPr>
      </w:pPr>
      <w:r>
        <w:rPr>
          <w:rFonts w:hint="default" w:ascii="Cambria" w:hAnsi="Cambria" w:cs="Cambria"/>
          <w:b/>
          <w:bCs/>
        </w:rPr>
        <w:t>VIII. Declaration</w:t>
      </w:r>
    </w:p>
    <w:p w14:paraId="49AD0CCF">
      <w:pPr>
        <w:numPr>
          <w:ilvl w:val="0"/>
          <w:numId w:val="0"/>
        </w:numPr>
        <w:ind w:firstLine="420" w:firstLineChars="0"/>
        <w:rPr>
          <w:rFonts w:hint="default" w:ascii="Cambria" w:hAnsi="Cambria" w:cs="Cambria"/>
        </w:rPr>
      </w:pPr>
      <w:r>
        <w:rPr>
          <w:rFonts w:hint="default" w:ascii="Cambria" w:hAnsi="Cambria" w:cs="Cambria"/>
        </w:rPr>
        <w:t xml:space="preserve">This document </w:t>
      </w:r>
      <w:r>
        <w:rPr>
          <w:rFonts w:hint="default" w:ascii="Cambria" w:hAnsi="Cambria" w:cs="Cambria"/>
          <w:lang w:val="en-US" w:eastAsia="zh-CN"/>
        </w:rPr>
        <w:t xml:space="preserve">fully </w:t>
      </w:r>
      <w:r>
        <w:rPr>
          <w:rFonts w:hint="default" w:ascii="Cambria" w:hAnsi="Cambria" w:cs="Cambria"/>
        </w:rPr>
        <w:t>records the technical resolutions adopted at</w:t>
      </w:r>
      <w:r>
        <w:rPr>
          <w:rFonts w:hint="default" w:ascii="Cambria" w:hAnsi="Cambria" w:cs="Cambria"/>
          <w:lang w:val="en-US" w:eastAsia="zh-CN"/>
        </w:rPr>
        <w:t xml:space="preserve"> </w:t>
      </w:r>
      <w:r>
        <w:rPr>
          <w:rFonts w:hint="default" w:ascii="Cambria" w:hAnsi="Cambria" w:cs="Cambria"/>
        </w:rPr>
        <w:t xml:space="preserve">the expert demonstration meeting on December 3, 2025. All </w:t>
      </w:r>
      <w:r>
        <w:rPr>
          <w:rFonts w:hint="default" w:ascii="Cambria" w:hAnsi="Cambria" w:cs="Cambria"/>
          <w:lang w:val="en-US" w:eastAsia="zh-CN"/>
        </w:rPr>
        <w:t xml:space="preserve">the </w:t>
      </w:r>
      <w:r>
        <w:rPr>
          <w:rFonts w:hint="default" w:ascii="Cambria" w:hAnsi="Cambria" w:cs="Cambria"/>
        </w:rPr>
        <w:t xml:space="preserve">revision suggestions are based on expert scoring and written feedback, without omission or tampering. The project team expresses sincere gratitude to all participating experts for their professional contributions and undertakes to strictly implement the meeting resolutions and complete the international standard </w:t>
      </w:r>
      <w:r>
        <w:rPr>
          <w:rFonts w:hint="default" w:ascii="Cambria" w:hAnsi="Cambria" w:cs="Cambria"/>
          <w:lang w:val="en-US" w:eastAsia="zh-CN"/>
        </w:rPr>
        <w:t xml:space="preserve">upgrading </w:t>
      </w:r>
      <w:r>
        <w:rPr>
          <w:rFonts w:hint="default" w:ascii="Cambria" w:hAnsi="Cambria" w:cs="Cambria"/>
        </w:rPr>
        <w:t>task with high quality.</w:t>
      </w:r>
    </w:p>
    <w:p w14:paraId="464C83F2">
      <w:pPr>
        <w:numPr>
          <w:ilvl w:val="0"/>
          <w:numId w:val="0"/>
        </w:numPr>
        <w:rPr>
          <w:rFonts w:hint="default" w:ascii="Cambria" w:hAnsi="Cambria" w:cs="Cambria"/>
        </w:rPr>
      </w:pPr>
    </w:p>
    <w:p w14:paraId="5C233C98">
      <w:pPr>
        <w:numPr>
          <w:ilvl w:val="0"/>
          <w:numId w:val="0"/>
        </w:numPr>
        <w:ind w:firstLine="420" w:firstLineChars="0"/>
        <w:rPr>
          <w:rFonts w:hint="default" w:ascii="Cambria" w:hAnsi="Cambria" w:cs="Cambria"/>
        </w:rPr>
      </w:pPr>
    </w:p>
    <w:p w14:paraId="16BCA8F7">
      <w:pPr>
        <w:numPr>
          <w:ilvl w:val="0"/>
          <w:numId w:val="0"/>
        </w:numPr>
        <w:ind w:firstLine="420" w:firstLineChars="0"/>
        <w:rPr>
          <w:rFonts w:hint="default" w:ascii="Cambria" w:hAnsi="Cambria" w:cs="Cambria"/>
        </w:rPr>
      </w:pPr>
    </w:p>
    <w:p w14:paraId="4A9A1A3E">
      <w:pPr>
        <w:numPr>
          <w:ilvl w:val="0"/>
          <w:numId w:val="0"/>
        </w:numPr>
        <w:ind w:left="1260" w:leftChars="0" w:firstLine="3360" w:firstLineChars="1600"/>
        <w:rPr>
          <w:rFonts w:hint="default" w:ascii="Cambria" w:hAnsi="Cambria" w:cs="Cambria"/>
        </w:rPr>
      </w:pPr>
      <w:r>
        <w:rPr>
          <w:rFonts w:hint="default" w:ascii="Cambria" w:hAnsi="Cambria" w:cs="Cambria"/>
        </w:rPr>
        <w:t xml:space="preserve">Project Working Group of </w:t>
      </w:r>
    </w:p>
    <w:p w14:paraId="3705B1A0">
      <w:pPr>
        <w:numPr>
          <w:ilvl w:val="0"/>
          <w:numId w:val="0"/>
        </w:numPr>
        <w:ind w:left="1260" w:leftChars="0" w:firstLine="3360" w:firstLineChars="1600"/>
        <w:rPr>
          <w:rFonts w:hint="default" w:ascii="Cambria" w:hAnsi="Cambria" w:cs="Cambria"/>
        </w:rPr>
      </w:pPr>
      <w:r>
        <w:rPr>
          <w:rFonts w:hint="default" w:ascii="Cambria" w:hAnsi="Cambria" w:cs="Cambria"/>
        </w:rPr>
        <w:t xml:space="preserve">International Standardized Manipulations </w:t>
      </w:r>
    </w:p>
    <w:p w14:paraId="21C769BC">
      <w:pPr>
        <w:numPr>
          <w:ilvl w:val="0"/>
          <w:numId w:val="0"/>
        </w:numPr>
        <w:ind w:left="1260" w:leftChars="0" w:firstLine="3360" w:firstLineChars="1600"/>
        <w:rPr>
          <w:rFonts w:hint="default" w:ascii="Cambria" w:hAnsi="Cambria" w:cs="Cambria"/>
          <w:lang w:val="en-US" w:eastAsia="zh-CN"/>
        </w:rPr>
      </w:pPr>
      <w:r>
        <w:rPr>
          <w:rFonts w:hint="default" w:ascii="Cambria" w:hAnsi="Cambria" w:cs="Cambria"/>
        </w:rPr>
        <w:t>of Chinese Medicine</w:t>
      </w:r>
      <w:r>
        <w:rPr>
          <w:rFonts w:hint="default" w:ascii="Cambria" w:hAnsi="Cambria" w:cs="Cambria"/>
          <w:lang w:val="en-US" w:eastAsia="zh-CN"/>
        </w:rPr>
        <w:t>–</w:t>
      </w:r>
      <w:r>
        <w:rPr>
          <w:rFonts w:hint="default" w:ascii="Cambria" w:hAnsi="Cambria" w:cs="Cambria"/>
        </w:rPr>
        <w:t>Pediatrics</w:t>
      </w:r>
      <w:r>
        <w:rPr>
          <w:rFonts w:hint="default" w:ascii="Cambria" w:hAnsi="Cambria" w:cs="Cambria"/>
          <w:lang w:val="en-US" w:eastAsia="zh-CN"/>
        </w:rPr>
        <w:t xml:space="preserve"> </w:t>
      </w:r>
    </w:p>
    <w:p w14:paraId="0090D75F">
      <w:pPr>
        <w:numPr>
          <w:ilvl w:val="0"/>
          <w:numId w:val="0"/>
        </w:numPr>
        <w:ind w:left="1260" w:leftChars="0" w:firstLine="3360" w:firstLineChars="1600"/>
        <w:rPr>
          <w:rFonts w:hint="default" w:ascii="Cambria" w:hAnsi="Cambria" w:cs="Cambria"/>
        </w:rPr>
      </w:pPr>
      <w:r>
        <w:rPr>
          <w:rFonts w:hint="default" w:ascii="Cambria" w:hAnsi="Cambria" w:cs="Cambria"/>
        </w:rPr>
        <w:t>Part 5: Cupping Therapy</w:t>
      </w:r>
    </w:p>
    <w:p w14:paraId="57BE2C99">
      <w:pPr>
        <w:numPr>
          <w:ilvl w:val="0"/>
          <w:numId w:val="0"/>
        </w:numPr>
        <w:rPr>
          <w:rFonts w:hint="default" w:ascii="Cambria" w:hAnsi="Cambria" w:cs="Cambria"/>
        </w:rPr>
      </w:pPr>
    </w:p>
    <w:p w14:paraId="15A258B2">
      <w:pPr>
        <w:numPr>
          <w:ilvl w:val="0"/>
          <w:numId w:val="0"/>
        </w:numPr>
        <w:ind w:firstLine="6495" w:firstLineChars="3093"/>
        <w:rPr>
          <w:rFonts w:hint="default" w:ascii="Cambria" w:hAnsi="Cambria" w:cs="Cambria"/>
        </w:rPr>
      </w:pPr>
      <w:r>
        <w:rPr>
          <w:rFonts w:hint="default" w:ascii="Cambria" w:hAnsi="Cambria" w:cs="Cambria"/>
        </w:rPr>
        <w:t>December 30, 2025</w:t>
      </w:r>
    </w:p>
    <w:p w14:paraId="64713E54">
      <w:pPr>
        <w:numPr>
          <w:ilvl w:val="0"/>
          <w:numId w:val="0"/>
        </w:numPr>
        <w:rPr>
          <w:rFonts w:hint="default" w:ascii="Cambria" w:hAnsi="Cambria" w:cs="Cambria"/>
        </w:rPr>
      </w:pPr>
    </w:p>
    <w:p w14:paraId="462841E7">
      <w:pPr>
        <w:numPr>
          <w:ilvl w:val="0"/>
          <w:numId w:val="0"/>
        </w:numPr>
        <w:rPr>
          <w:rFonts w:hint="default" w:ascii="Cambria" w:hAnsi="Cambria" w:cs="Cambria"/>
        </w:rPr>
      </w:pPr>
    </w:p>
    <w:p w14:paraId="619310FF">
      <w:pPr>
        <w:numPr>
          <w:ilvl w:val="0"/>
          <w:numId w:val="0"/>
        </w:numPr>
        <w:rPr>
          <w:rFonts w:hint="default" w:ascii="Cambria" w:hAnsi="Cambria" w:cs="Cambria"/>
        </w:rPr>
      </w:pPr>
    </w:p>
    <w:p w14:paraId="008411D7">
      <w:pPr>
        <w:numPr>
          <w:ilvl w:val="0"/>
          <w:numId w:val="0"/>
        </w:numPr>
        <w:rPr>
          <w:rFonts w:hint="default" w:ascii="Cambria" w:hAnsi="Cambria" w:cs="Cambria"/>
        </w:rPr>
      </w:pPr>
    </w:p>
    <w:p w14:paraId="51572CB9">
      <w:pPr>
        <w:numPr>
          <w:ilvl w:val="0"/>
          <w:numId w:val="0"/>
        </w:numPr>
        <w:rPr>
          <w:rFonts w:hint="default" w:ascii="Cambria" w:hAnsi="Cambria" w:cs="Cambria"/>
        </w:rPr>
      </w:pPr>
    </w:p>
    <w:p w14:paraId="65F3D3A3">
      <w:pPr>
        <w:numPr>
          <w:ilvl w:val="0"/>
          <w:numId w:val="0"/>
        </w:numPr>
        <w:rPr>
          <w:rFonts w:hint="default" w:ascii="Cambria" w:hAnsi="Cambria" w:cs="Cambria"/>
        </w:rPr>
      </w:pPr>
    </w:p>
    <w:p w14:paraId="47587AB4">
      <w:pPr>
        <w:numPr>
          <w:ilvl w:val="0"/>
          <w:numId w:val="0"/>
        </w:numPr>
        <w:rPr>
          <w:rFonts w:hint="default" w:ascii="Cambria" w:hAnsi="Cambria" w:cs="Cambria"/>
          <w:b/>
          <w:bCs/>
          <w:sz w:val="24"/>
          <w:szCs w:val="24"/>
        </w:rPr>
      </w:pPr>
      <w:r>
        <w:rPr>
          <w:rFonts w:hint="default" w:ascii="Cambria" w:hAnsi="Cambria" w:cs="Cambria"/>
          <w:b/>
          <w:bCs/>
          <w:sz w:val="24"/>
          <w:szCs w:val="24"/>
          <w:lang w:eastAsia="zh-CN"/>
        </w:rPr>
        <w:t>Appendix</w:t>
      </w:r>
      <w:r>
        <w:rPr>
          <w:rFonts w:hint="default" w:ascii="Cambria" w:hAnsi="Cambria" w:cs="Cambria"/>
          <w:b/>
          <w:bCs/>
          <w:sz w:val="24"/>
          <w:szCs w:val="24"/>
        </w:rPr>
        <w:t xml:space="preserve"> 3</w:t>
      </w:r>
    </w:p>
    <w:p w14:paraId="468C2DFD">
      <w:pPr>
        <w:numPr>
          <w:ilvl w:val="0"/>
          <w:numId w:val="0"/>
        </w:numPr>
        <w:jc w:val="center"/>
        <w:rPr>
          <w:rFonts w:hint="default" w:ascii="Cambria" w:hAnsi="Cambria" w:cs="Cambria" w:eastAsiaTheme="minorEastAsia"/>
          <w:b/>
          <w:bCs/>
          <w:sz w:val="24"/>
          <w:szCs w:val="24"/>
          <w:lang w:eastAsia="zh-CN"/>
        </w:rPr>
      </w:pPr>
      <w:r>
        <w:rPr>
          <w:rFonts w:hint="default" w:ascii="Cambria" w:hAnsi="Cambria" w:cs="Cambria"/>
          <w:b/>
          <w:bCs/>
          <w:sz w:val="24"/>
          <w:szCs w:val="24"/>
          <w:lang w:eastAsia="zh-CN"/>
        </w:rPr>
        <w:t xml:space="preserve">Summary of Review by </w:t>
      </w:r>
      <w:r>
        <w:rPr>
          <w:rFonts w:hint="default" w:ascii="Cambria" w:hAnsi="Cambria" w:cs="Cambria"/>
          <w:b/>
          <w:bCs/>
          <w:sz w:val="24"/>
          <w:szCs w:val="24"/>
          <w:lang w:val="en-US" w:eastAsia="zh-CN"/>
        </w:rPr>
        <w:t>E</w:t>
      </w:r>
      <w:r>
        <w:rPr>
          <w:rFonts w:hint="default" w:ascii="Cambria" w:hAnsi="Cambria" w:cs="Cambria"/>
          <w:b/>
          <w:bCs/>
          <w:sz w:val="24"/>
          <w:szCs w:val="24"/>
          <w:lang w:eastAsia="zh-CN"/>
        </w:rPr>
        <w:t xml:space="preserve">xpert </w:t>
      </w:r>
      <w:r>
        <w:rPr>
          <w:rFonts w:hint="default" w:ascii="Cambria" w:hAnsi="Cambria" w:cs="Cambria"/>
          <w:b/>
          <w:bCs/>
          <w:sz w:val="24"/>
          <w:szCs w:val="24"/>
          <w:lang w:val="en-US" w:eastAsia="zh-CN"/>
        </w:rPr>
        <w:t>S</w:t>
      </w:r>
      <w:r>
        <w:rPr>
          <w:rFonts w:hint="default" w:ascii="Cambria" w:hAnsi="Cambria" w:cs="Cambria"/>
          <w:b/>
          <w:bCs/>
          <w:sz w:val="24"/>
          <w:szCs w:val="24"/>
          <w:lang w:eastAsia="zh-CN"/>
        </w:rPr>
        <w:t xml:space="preserve">teering </w:t>
      </w:r>
      <w:r>
        <w:rPr>
          <w:rFonts w:hint="default" w:ascii="Cambria" w:hAnsi="Cambria" w:cs="Cambria"/>
          <w:b/>
          <w:bCs/>
          <w:sz w:val="24"/>
          <w:szCs w:val="24"/>
          <w:lang w:val="en-US" w:eastAsia="zh-CN"/>
        </w:rPr>
        <w:t>G</w:t>
      </w:r>
      <w:r>
        <w:rPr>
          <w:rFonts w:hint="default" w:ascii="Cambria" w:hAnsi="Cambria" w:cs="Cambria"/>
          <w:b/>
          <w:bCs/>
          <w:sz w:val="24"/>
          <w:szCs w:val="24"/>
          <w:lang w:eastAsia="zh-CN"/>
        </w:rPr>
        <w:t>roup</w:t>
      </w:r>
    </w:p>
    <w:p w14:paraId="5EEB2FC8">
      <w:pPr>
        <w:numPr>
          <w:ilvl w:val="0"/>
          <w:numId w:val="0"/>
        </w:numPr>
        <w:ind w:firstLine="420" w:firstLineChars="0"/>
        <w:rPr>
          <w:rFonts w:hint="default" w:ascii="Cambria" w:hAnsi="Cambria" w:cs="Cambria"/>
        </w:rPr>
      </w:pPr>
      <w:r>
        <w:rPr>
          <w:rFonts w:hint="default" w:ascii="Cambria" w:hAnsi="Cambria" w:cs="Cambria"/>
        </w:rPr>
        <w:t xml:space="preserve">The project of </w:t>
      </w:r>
      <w:r>
        <w:rPr>
          <w:rFonts w:hint="default" w:ascii="Cambria" w:hAnsi="Cambria" w:cs="Cambria"/>
          <w:lang w:eastAsia="zh-CN"/>
        </w:rPr>
        <w:t>ISMCMP-CT</w:t>
      </w:r>
      <w:r>
        <w:rPr>
          <w:rFonts w:hint="default" w:ascii="Cambria" w:hAnsi="Cambria" w:cs="Cambria"/>
        </w:rPr>
        <w:t xml:space="preserve"> was carried out in accordance with the requirements of the standard-setting procedures of the </w:t>
      </w:r>
      <w:r>
        <w:rPr>
          <w:rFonts w:hint="default" w:ascii="Cambria" w:hAnsi="Cambria" w:cs="Cambria"/>
          <w:lang w:eastAsia="zh-CN"/>
        </w:rPr>
        <w:t>WFCMS</w:t>
      </w:r>
      <w:r>
        <w:rPr>
          <w:rFonts w:hint="default" w:ascii="Cambria" w:hAnsi="Cambria" w:cs="Cambria"/>
        </w:rPr>
        <w:t xml:space="preserve">. After completing the expert questionnaire survey and the expert demonstration meeting, materials such as the review draft of the </w:t>
      </w:r>
      <w:r>
        <w:rPr>
          <w:rFonts w:hint="default" w:ascii="Cambria" w:hAnsi="Cambria" w:cs="Cambria"/>
          <w:lang w:eastAsia="zh-CN"/>
        </w:rPr>
        <w:t>expert steering group</w:t>
      </w:r>
      <w:r>
        <w:rPr>
          <w:rFonts w:hint="default" w:ascii="Cambria" w:hAnsi="Cambria" w:cs="Cambria"/>
        </w:rPr>
        <w:t xml:space="preserve"> and the supporting preparation instructions were formed and submitted to the </w:t>
      </w:r>
      <w:r>
        <w:rPr>
          <w:rFonts w:hint="default" w:ascii="Cambria" w:hAnsi="Cambria" w:cs="Cambria"/>
          <w:lang w:eastAsia="zh-CN"/>
        </w:rPr>
        <w:t>expert steering group</w:t>
      </w:r>
      <w:r>
        <w:rPr>
          <w:rFonts w:hint="default" w:ascii="Cambria" w:hAnsi="Cambria" w:cs="Cambria"/>
        </w:rPr>
        <w:t xml:space="preserve"> for review.</w:t>
      </w:r>
    </w:p>
    <w:p w14:paraId="3C0E06EF">
      <w:pPr>
        <w:numPr>
          <w:ilvl w:val="0"/>
          <w:numId w:val="0"/>
        </w:numPr>
        <w:ind w:firstLine="420" w:firstLineChars="0"/>
        <w:rPr>
          <w:rFonts w:hint="default" w:ascii="Cambria" w:hAnsi="Cambria" w:cs="Cambria"/>
        </w:rPr>
      </w:pPr>
      <w:r>
        <w:rPr>
          <w:rFonts w:hint="default" w:ascii="Cambria" w:hAnsi="Cambria" w:cs="Cambria"/>
        </w:rPr>
        <w:t xml:space="preserve">Professor Ding Ying, the leader of the </w:t>
      </w:r>
      <w:r>
        <w:rPr>
          <w:rFonts w:hint="default" w:ascii="Cambria" w:hAnsi="Cambria" w:cs="Cambria"/>
          <w:lang w:eastAsia="zh-CN"/>
        </w:rPr>
        <w:t>expert steering group</w:t>
      </w:r>
      <w:r>
        <w:rPr>
          <w:rFonts w:hint="default" w:ascii="Cambria" w:hAnsi="Cambria" w:cs="Cambria"/>
        </w:rPr>
        <w:t xml:space="preserve">, is a Master of </w:t>
      </w:r>
      <w:r>
        <w:rPr>
          <w:rFonts w:hint="default" w:ascii="Cambria" w:hAnsi="Cambria" w:cs="Cambria"/>
          <w:lang w:eastAsia="zh-CN"/>
        </w:rPr>
        <w:t>TCM</w:t>
      </w:r>
      <w:r>
        <w:rPr>
          <w:rFonts w:hint="default" w:ascii="Cambria" w:hAnsi="Cambria" w:cs="Cambria"/>
        </w:rPr>
        <w:t xml:space="preserve"> and the president of the Pediatrics Branch of the China Association of National Minority Traditional Medicine. Professors Ma Rong and Xiong Lei are Qihuang Scholars and the chairmen of the 6th-9th sessions of the Pediatrics Branch of the China Association of </w:t>
      </w:r>
      <w:r>
        <w:rPr>
          <w:rFonts w:hint="default" w:ascii="Cambria" w:hAnsi="Cambria" w:cs="Cambria"/>
          <w:lang w:eastAsia="zh-CN"/>
        </w:rPr>
        <w:t>TCM</w:t>
      </w:r>
      <w:r>
        <w:rPr>
          <w:rFonts w:hint="default" w:ascii="Cambria" w:hAnsi="Cambria" w:cs="Cambria"/>
        </w:rPr>
        <w:t xml:space="preserve">. Professor Yu Jian is the chairman of the Pediatrics Branch of the China Association of Integrative Medicine. </w:t>
      </w:r>
    </w:p>
    <w:p w14:paraId="7114E47A">
      <w:pPr>
        <w:numPr>
          <w:ilvl w:val="0"/>
          <w:numId w:val="0"/>
        </w:numPr>
        <w:ind w:firstLine="420" w:firstLineChars="0"/>
        <w:rPr>
          <w:rFonts w:hint="default" w:ascii="Cambria" w:hAnsi="Cambria" w:cs="Cambria"/>
        </w:rPr>
      </w:pPr>
      <w:r>
        <w:rPr>
          <w:rFonts w:hint="default" w:ascii="Cambria" w:hAnsi="Cambria" w:cs="Cambria"/>
        </w:rPr>
        <w:t xml:space="preserve">Most of the other experts currently serve as Vice Presidents of the Pediatric Professional Committee of the </w:t>
      </w:r>
      <w:r>
        <w:rPr>
          <w:rFonts w:hint="default" w:ascii="Cambria" w:hAnsi="Cambria" w:cs="Cambria"/>
          <w:lang w:eastAsia="zh-CN"/>
        </w:rPr>
        <w:t>WFCMS</w:t>
      </w:r>
      <w:r>
        <w:rPr>
          <w:rFonts w:hint="default" w:ascii="Cambria" w:hAnsi="Cambria" w:cs="Cambria"/>
        </w:rPr>
        <w:t xml:space="preserve"> or Deputy Directors of the Pediatrics Branch of China Association of Chinese Medicine. Within the specified time, the project working group distributed documents including the standard draft, standard revision comparison table and </w:t>
      </w:r>
      <w:r>
        <w:rPr>
          <w:rFonts w:hint="default" w:ascii="Cambria" w:hAnsi="Cambria" w:cs="Cambria"/>
          <w:lang w:eastAsia="zh-CN"/>
        </w:rPr>
        <w:t>Formulation Explanations</w:t>
      </w:r>
      <w:r>
        <w:rPr>
          <w:rFonts w:hint="default" w:ascii="Cambria" w:hAnsi="Cambria" w:cs="Cambria"/>
        </w:rPr>
        <w:t xml:space="preserve"> to all members of the </w:t>
      </w:r>
      <w:r>
        <w:rPr>
          <w:rFonts w:hint="default" w:ascii="Cambria" w:hAnsi="Cambria" w:cs="Cambria"/>
          <w:lang w:eastAsia="zh-CN"/>
        </w:rPr>
        <w:t>expert steering group</w:t>
      </w:r>
      <w:r>
        <w:rPr>
          <w:rFonts w:hint="default" w:ascii="Cambria" w:hAnsi="Cambria" w:cs="Cambria"/>
        </w:rPr>
        <w:t>, requesting the experts to put forward review opinions regarding the standard</w:t>
      </w:r>
      <w:r>
        <w:rPr>
          <w:rFonts w:hint="default" w:ascii="Cambria" w:hAnsi="Cambria" w:cs="Cambria"/>
          <w:lang w:val="en-US" w:eastAsia="zh-CN"/>
        </w:rPr>
        <w:t>’</w:t>
      </w:r>
      <w:r>
        <w:rPr>
          <w:rFonts w:hint="default" w:ascii="Cambria" w:hAnsi="Cambria" w:cs="Cambria"/>
        </w:rPr>
        <w:t>s positioning, technical scope, clause wording and international applicability. All experts submitted their comments on the standard in written form.</w:t>
      </w:r>
    </w:p>
    <w:p w14:paraId="4A155370">
      <w:pPr>
        <w:numPr>
          <w:ilvl w:val="0"/>
          <w:numId w:val="0"/>
        </w:numPr>
        <w:ind w:firstLine="420" w:firstLineChars="0"/>
        <w:rPr>
          <w:rFonts w:hint="default" w:ascii="Cambria" w:hAnsi="Cambria" w:cs="Cambria"/>
        </w:rPr>
      </w:pPr>
    </w:p>
    <w:p w14:paraId="3A8D9881">
      <w:pPr>
        <w:numPr>
          <w:ilvl w:val="0"/>
          <w:numId w:val="0"/>
        </w:numPr>
        <w:ind w:firstLine="420" w:firstLineChars="0"/>
        <w:rPr>
          <w:rFonts w:hint="default" w:ascii="Cambria" w:hAnsi="Cambria" w:cs="Cambria"/>
        </w:rPr>
      </w:pPr>
      <w:r>
        <w:rPr>
          <w:rFonts w:hint="default" w:ascii="Cambria" w:hAnsi="Cambria" w:cs="Cambria"/>
        </w:rPr>
        <w:t>Form for Comment Solicitation and Review by the Expert Steering Group</w:t>
      </w:r>
    </w:p>
    <w:p w14:paraId="504D5298">
      <w:pPr>
        <w:numPr>
          <w:ilvl w:val="0"/>
          <w:numId w:val="0"/>
        </w:numPr>
        <w:ind w:firstLine="420" w:firstLineChars="0"/>
        <w:rPr>
          <w:rFonts w:hint="default" w:ascii="Cambria" w:hAnsi="Cambria" w:cs="Cambria"/>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978"/>
        <w:gridCol w:w="5415"/>
        <w:gridCol w:w="1423"/>
        <w:gridCol w:w="1841"/>
      </w:tblGrid>
      <w:tr w14:paraId="1C265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E23198D">
            <w:pPr>
              <w:numPr>
                <w:ilvl w:val="0"/>
                <w:numId w:val="0"/>
              </w:numPr>
              <w:rPr>
                <w:rFonts w:hint="default" w:ascii="Cambria" w:hAnsi="Cambria" w:cs="Cambria"/>
              </w:rPr>
            </w:pPr>
            <w:r>
              <w:rPr>
                <w:rFonts w:hint="default" w:ascii="Cambria" w:hAnsi="Cambria" w:cs="Cambria"/>
                <w:lang w:val="en-US" w:eastAsia="zh-CN"/>
              </w:rPr>
              <w:t>Number</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0D32A41">
            <w:pPr>
              <w:numPr>
                <w:ilvl w:val="0"/>
                <w:numId w:val="0"/>
              </w:numPr>
              <w:rPr>
                <w:rFonts w:hint="default" w:ascii="Cambria" w:hAnsi="Cambria" w:cs="Cambria"/>
              </w:rPr>
            </w:pPr>
            <w:r>
              <w:rPr>
                <w:rFonts w:hint="default" w:ascii="Cambria" w:hAnsi="Cambria" w:cs="Cambria"/>
                <w:lang w:val="en-US" w:eastAsia="zh-CN"/>
              </w:rPr>
              <w:t>Consulted Institution</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CAE4E8B">
            <w:pPr>
              <w:numPr>
                <w:ilvl w:val="0"/>
                <w:numId w:val="0"/>
              </w:numPr>
              <w:rPr>
                <w:rFonts w:hint="default" w:ascii="Cambria" w:hAnsi="Cambria" w:cs="Cambria"/>
                <w:lang w:val="en-US"/>
              </w:rPr>
            </w:pPr>
            <w:r>
              <w:rPr>
                <w:rFonts w:hint="default" w:ascii="Cambria" w:hAnsi="Cambria" w:cs="Cambria"/>
                <w:lang w:val="en-US" w:eastAsia="zh-CN"/>
              </w:rPr>
              <w:t>Expert Name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45C9E51">
            <w:pPr>
              <w:numPr>
                <w:ilvl w:val="0"/>
                <w:numId w:val="0"/>
              </w:numPr>
              <w:rPr>
                <w:rFonts w:hint="default" w:ascii="Cambria" w:hAnsi="Cambria" w:cs="Cambria"/>
                <w:lang w:val="en-US"/>
              </w:rPr>
            </w:pPr>
            <w:r>
              <w:rPr>
                <w:rFonts w:hint="default" w:ascii="Cambria" w:hAnsi="Cambria" w:cs="Cambria"/>
                <w:lang w:val="en-US" w:eastAsia="zh-CN"/>
              </w:rPr>
              <w:t>Opinion Feedback Status</w:t>
            </w:r>
          </w:p>
        </w:tc>
      </w:tr>
      <w:tr w14:paraId="74383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4BB2A51">
            <w:pPr>
              <w:numPr>
                <w:ilvl w:val="0"/>
                <w:numId w:val="0"/>
              </w:numPr>
              <w:rPr>
                <w:rFonts w:hint="default" w:ascii="Cambria" w:hAnsi="Cambria" w:cs="Cambria"/>
              </w:rPr>
            </w:pPr>
            <w:r>
              <w:rPr>
                <w:rFonts w:hint="default" w:ascii="Cambria" w:hAnsi="Cambria" w:cs="Cambria"/>
                <w:lang w:val="en-US" w:eastAsia="zh-CN"/>
              </w:rPr>
              <w:t>1</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333E011">
            <w:pPr>
              <w:numPr>
                <w:ilvl w:val="0"/>
                <w:numId w:val="0"/>
              </w:numPr>
              <w:rPr>
                <w:rFonts w:hint="default" w:ascii="Cambria" w:hAnsi="Cambria" w:cs="Cambria"/>
              </w:rPr>
            </w:pPr>
            <w:r>
              <w:rPr>
                <w:rFonts w:hint="default" w:ascii="Cambria" w:hAnsi="Cambria" w:cs="Cambria"/>
                <w:lang w:val="en-US" w:eastAsia="zh-CN"/>
              </w:rPr>
              <w:t>Department of Pediatrics, The First Affiliated Hospital of Henan University of Chinese Medicine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C00EA6E">
            <w:pPr>
              <w:numPr>
                <w:ilvl w:val="0"/>
                <w:numId w:val="0"/>
              </w:numPr>
              <w:rPr>
                <w:rFonts w:hint="default" w:ascii="Cambria" w:hAnsi="Cambria" w:cs="Cambria"/>
              </w:rPr>
            </w:pPr>
            <w:r>
              <w:rPr>
                <w:rFonts w:hint="default" w:ascii="Cambria" w:hAnsi="Cambria" w:cs="Cambria"/>
                <w:lang w:val="en-US" w:eastAsia="zh-CN"/>
              </w:rPr>
              <w:t>Ding Ying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D0F391B">
            <w:pPr>
              <w:numPr>
                <w:ilvl w:val="0"/>
                <w:numId w:val="0"/>
              </w:numPr>
              <w:rPr>
                <w:rFonts w:hint="default" w:ascii="Cambria" w:hAnsi="Cambria" w:cs="Cambria"/>
              </w:rPr>
            </w:pPr>
            <w:r>
              <w:rPr>
                <w:rFonts w:hint="default" w:ascii="Cambria" w:hAnsi="Cambria" w:cs="Cambria"/>
                <w:lang w:val="en-US" w:eastAsia="zh-CN"/>
              </w:rPr>
              <w:t>Feedback provided</w:t>
            </w:r>
          </w:p>
        </w:tc>
      </w:tr>
      <w:tr w14:paraId="27278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BD1956A">
            <w:pPr>
              <w:numPr>
                <w:ilvl w:val="0"/>
                <w:numId w:val="0"/>
              </w:numPr>
              <w:rPr>
                <w:rFonts w:hint="default" w:ascii="Cambria" w:hAnsi="Cambria" w:cs="Cambria"/>
              </w:rPr>
            </w:pPr>
            <w:r>
              <w:rPr>
                <w:rFonts w:hint="default" w:ascii="Cambria" w:hAnsi="Cambria" w:cs="Cambria"/>
                <w:lang w:val="en-US" w:eastAsia="zh-CN"/>
              </w:rPr>
              <w:t>2</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A7FDB88">
            <w:pPr>
              <w:numPr>
                <w:ilvl w:val="0"/>
                <w:numId w:val="0"/>
              </w:numPr>
              <w:rPr>
                <w:rFonts w:hint="default" w:ascii="Cambria" w:hAnsi="Cambria" w:cs="Cambria"/>
              </w:rPr>
            </w:pPr>
            <w:r>
              <w:rPr>
                <w:rFonts w:hint="default" w:ascii="Cambria" w:hAnsi="Cambria" w:cs="Cambria"/>
                <w:lang w:val="en-US" w:eastAsia="zh-CN"/>
              </w:rPr>
              <w:t>Shenzhen Children's Hospital</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F45D243">
            <w:pPr>
              <w:numPr>
                <w:ilvl w:val="0"/>
                <w:numId w:val="0"/>
              </w:numPr>
              <w:rPr>
                <w:rFonts w:hint="default" w:ascii="Cambria" w:hAnsi="Cambria" w:cs="Cambria"/>
              </w:rPr>
            </w:pPr>
            <w:r>
              <w:rPr>
                <w:rFonts w:hint="default" w:ascii="Cambria" w:hAnsi="Cambria" w:cs="Cambria"/>
                <w:lang w:val="en-US" w:eastAsia="zh-CN"/>
              </w:rPr>
              <w:t>Wan Lisheng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A0CF188">
            <w:pPr>
              <w:numPr>
                <w:ilvl w:val="0"/>
                <w:numId w:val="0"/>
              </w:numPr>
              <w:rPr>
                <w:rFonts w:hint="default" w:ascii="Cambria" w:hAnsi="Cambria" w:cs="Cambria"/>
              </w:rPr>
            </w:pPr>
            <w:r>
              <w:rPr>
                <w:rFonts w:hint="default" w:ascii="Cambria" w:hAnsi="Cambria" w:cs="Cambria"/>
                <w:lang w:val="en-US" w:eastAsia="zh-CN"/>
              </w:rPr>
              <w:t>Feedback provided</w:t>
            </w:r>
          </w:p>
        </w:tc>
      </w:tr>
      <w:tr w14:paraId="22002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7ECE076">
            <w:pPr>
              <w:numPr>
                <w:ilvl w:val="0"/>
                <w:numId w:val="0"/>
              </w:numPr>
              <w:rPr>
                <w:rFonts w:hint="default" w:ascii="Cambria" w:hAnsi="Cambria" w:cs="Cambria"/>
              </w:rPr>
            </w:pPr>
            <w:r>
              <w:rPr>
                <w:rFonts w:hint="default" w:ascii="Cambria" w:hAnsi="Cambria" w:cs="Cambria"/>
                <w:lang w:val="en-US" w:eastAsia="zh-CN"/>
              </w:rPr>
              <w:t>3</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CBC0419">
            <w:pPr>
              <w:numPr>
                <w:ilvl w:val="0"/>
                <w:numId w:val="0"/>
              </w:numPr>
              <w:rPr>
                <w:rFonts w:hint="default" w:ascii="Cambria" w:hAnsi="Cambria" w:cs="Cambria"/>
              </w:rPr>
            </w:pPr>
            <w:r>
              <w:rPr>
                <w:rFonts w:hint="default" w:ascii="Cambria" w:hAnsi="Cambria" w:cs="Cambria"/>
                <w:lang w:val="en-US" w:eastAsia="zh-CN"/>
              </w:rPr>
              <w:t>The First Affiliated Hospital of Tianjin University of TCM</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1A4FA37">
            <w:pPr>
              <w:numPr>
                <w:ilvl w:val="0"/>
                <w:numId w:val="0"/>
              </w:numPr>
              <w:rPr>
                <w:rFonts w:hint="default" w:ascii="Cambria" w:hAnsi="Cambria" w:cs="Cambria"/>
              </w:rPr>
            </w:pPr>
            <w:r>
              <w:rPr>
                <w:rFonts w:hint="default" w:ascii="Cambria" w:hAnsi="Cambria" w:cs="Cambria"/>
                <w:lang w:val="en-US" w:eastAsia="zh-CN"/>
              </w:rPr>
              <w:t>Ma Rong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5992FB8">
            <w:pPr>
              <w:numPr>
                <w:ilvl w:val="0"/>
                <w:numId w:val="0"/>
              </w:numPr>
              <w:rPr>
                <w:rFonts w:hint="default" w:ascii="Cambria" w:hAnsi="Cambria" w:cs="Cambria"/>
              </w:rPr>
            </w:pPr>
            <w:r>
              <w:rPr>
                <w:rFonts w:hint="default" w:ascii="Cambria" w:hAnsi="Cambria" w:cs="Cambria"/>
                <w:lang w:val="en-US" w:eastAsia="zh-CN"/>
              </w:rPr>
              <w:t>Feedback provided</w:t>
            </w:r>
          </w:p>
        </w:tc>
      </w:tr>
      <w:tr w14:paraId="7FE1C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E031A86">
            <w:pPr>
              <w:numPr>
                <w:ilvl w:val="0"/>
                <w:numId w:val="0"/>
              </w:numPr>
              <w:rPr>
                <w:rFonts w:hint="default" w:ascii="Cambria" w:hAnsi="Cambria" w:cs="Cambria"/>
              </w:rPr>
            </w:pPr>
            <w:r>
              <w:rPr>
                <w:rFonts w:hint="default" w:ascii="Cambria" w:hAnsi="Cambria" w:cs="Cambria"/>
                <w:lang w:val="en-US" w:eastAsia="zh-CN"/>
              </w:rPr>
              <w:t>4</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E9C34D9">
            <w:pPr>
              <w:numPr>
                <w:ilvl w:val="0"/>
                <w:numId w:val="0"/>
              </w:numPr>
              <w:rPr>
                <w:rFonts w:hint="default" w:ascii="Cambria" w:hAnsi="Cambria" w:cs="Cambria"/>
              </w:rPr>
            </w:pPr>
            <w:r>
              <w:rPr>
                <w:rFonts w:hint="default" w:ascii="Cambria" w:hAnsi="Cambria" w:cs="Cambria"/>
                <w:lang w:val="en-US" w:eastAsia="zh-CN"/>
              </w:rPr>
              <w:t>The Second Affiliated Hospital of Heilongjiang University of Chinese Medicine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2C1517D">
            <w:pPr>
              <w:numPr>
                <w:ilvl w:val="0"/>
                <w:numId w:val="0"/>
              </w:numPr>
              <w:rPr>
                <w:rFonts w:hint="default" w:ascii="Cambria" w:hAnsi="Cambria" w:cs="Cambria"/>
              </w:rPr>
            </w:pPr>
            <w:r>
              <w:rPr>
                <w:rFonts w:hint="default" w:ascii="Cambria" w:hAnsi="Cambria" w:cs="Cambria"/>
                <w:lang w:val="en-US" w:eastAsia="zh-CN"/>
              </w:rPr>
              <w:t>Wang Youpeng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9F7904D">
            <w:pPr>
              <w:numPr>
                <w:ilvl w:val="0"/>
                <w:numId w:val="0"/>
              </w:numPr>
              <w:rPr>
                <w:rFonts w:hint="default" w:ascii="Cambria" w:hAnsi="Cambria" w:cs="Cambria"/>
              </w:rPr>
            </w:pPr>
            <w:r>
              <w:rPr>
                <w:rFonts w:hint="default" w:ascii="Cambria" w:hAnsi="Cambria" w:cs="Cambria"/>
                <w:lang w:val="en-US" w:eastAsia="zh-CN"/>
              </w:rPr>
              <w:t>Feedback provided</w:t>
            </w:r>
          </w:p>
        </w:tc>
      </w:tr>
      <w:tr w14:paraId="73606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82EBD58">
            <w:pPr>
              <w:numPr>
                <w:ilvl w:val="0"/>
                <w:numId w:val="0"/>
              </w:numPr>
              <w:rPr>
                <w:rFonts w:hint="default" w:ascii="Cambria" w:hAnsi="Cambria" w:cs="Cambria"/>
              </w:rPr>
            </w:pPr>
            <w:r>
              <w:rPr>
                <w:rFonts w:hint="default" w:ascii="Cambria" w:hAnsi="Cambria" w:cs="Cambria"/>
                <w:lang w:val="en-US" w:eastAsia="zh-CN"/>
              </w:rPr>
              <w:t>5</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D30B7B3">
            <w:pPr>
              <w:numPr>
                <w:ilvl w:val="0"/>
                <w:numId w:val="0"/>
              </w:numPr>
              <w:rPr>
                <w:rFonts w:hint="default" w:ascii="Cambria" w:hAnsi="Cambria" w:cs="Cambria"/>
              </w:rPr>
            </w:pPr>
            <w:r>
              <w:rPr>
                <w:rFonts w:hint="default" w:ascii="Cambria" w:hAnsi="Cambria" w:cs="Cambria"/>
                <w:lang w:val="en-US" w:eastAsia="zh-CN"/>
              </w:rPr>
              <w:t>International Standards Department of the WFCMS</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DA161BD">
            <w:pPr>
              <w:numPr>
                <w:ilvl w:val="0"/>
                <w:numId w:val="0"/>
              </w:numPr>
              <w:rPr>
                <w:rFonts w:hint="default" w:ascii="Cambria" w:hAnsi="Cambria" w:cs="Cambria"/>
              </w:rPr>
            </w:pPr>
            <w:r>
              <w:rPr>
                <w:rFonts w:hint="default" w:ascii="Cambria" w:hAnsi="Cambria" w:cs="Cambria"/>
                <w:lang w:val="en-US" w:eastAsia="zh-CN"/>
              </w:rPr>
              <w:t>Wang Lili</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1CFE1E8">
            <w:pPr>
              <w:numPr>
                <w:ilvl w:val="0"/>
                <w:numId w:val="0"/>
              </w:numPr>
              <w:rPr>
                <w:rFonts w:hint="default" w:ascii="Cambria" w:hAnsi="Cambria" w:cs="Cambria"/>
              </w:rPr>
            </w:pPr>
            <w:r>
              <w:rPr>
                <w:rFonts w:hint="default" w:ascii="Cambria" w:hAnsi="Cambria" w:cs="Cambria"/>
                <w:lang w:val="en-US" w:eastAsia="zh-CN"/>
              </w:rPr>
              <w:t>Feedback provided</w:t>
            </w:r>
          </w:p>
        </w:tc>
      </w:tr>
      <w:tr w14:paraId="0A261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9566018">
            <w:pPr>
              <w:numPr>
                <w:ilvl w:val="0"/>
                <w:numId w:val="0"/>
              </w:numPr>
              <w:rPr>
                <w:rFonts w:hint="default" w:ascii="Cambria" w:hAnsi="Cambria" w:cs="Cambria"/>
              </w:rPr>
            </w:pPr>
            <w:r>
              <w:rPr>
                <w:rFonts w:hint="default" w:ascii="Cambria" w:hAnsi="Cambria" w:cs="Cambria"/>
                <w:lang w:val="en-US" w:eastAsia="zh-CN"/>
              </w:rPr>
              <w:t>6</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CC77B59">
            <w:pPr>
              <w:numPr>
                <w:ilvl w:val="0"/>
                <w:numId w:val="0"/>
              </w:numPr>
              <w:rPr>
                <w:rFonts w:hint="default" w:ascii="Cambria" w:hAnsi="Cambria" w:cs="Cambria"/>
              </w:rPr>
            </w:pPr>
            <w:r>
              <w:rPr>
                <w:rFonts w:hint="default" w:ascii="Cambria" w:hAnsi="Cambria" w:cs="Cambria"/>
                <w:lang w:val="en-US" w:eastAsia="zh-CN"/>
              </w:rPr>
              <w:t>Dongfang Hospital of Beijing University of Chinese Medicine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566E829">
            <w:pPr>
              <w:numPr>
                <w:ilvl w:val="0"/>
                <w:numId w:val="0"/>
              </w:numPr>
              <w:rPr>
                <w:rFonts w:hint="default" w:ascii="Cambria" w:hAnsi="Cambria" w:cs="Cambria"/>
              </w:rPr>
            </w:pPr>
            <w:r>
              <w:rPr>
                <w:rFonts w:hint="default" w:ascii="Cambria" w:hAnsi="Cambria" w:cs="Cambria"/>
                <w:lang w:val="en-US" w:eastAsia="zh-CN"/>
              </w:rPr>
              <w:t>Wang Sumei</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C3E7B4A">
            <w:pPr>
              <w:numPr>
                <w:ilvl w:val="0"/>
                <w:numId w:val="0"/>
              </w:numPr>
              <w:rPr>
                <w:rFonts w:hint="default" w:ascii="Cambria" w:hAnsi="Cambria" w:cs="Cambria"/>
              </w:rPr>
            </w:pPr>
            <w:r>
              <w:rPr>
                <w:rFonts w:hint="default" w:ascii="Cambria" w:hAnsi="Cambria" w:cs="Cambria"/>
                <w:lang w:val="en-US" w:eastAsia="zh-CN"/>
              </w:rPr>
              <w:t>Feedback provided</w:t>
            </w:r>
          </w:p>
        </w:tc>
      </w:tr>
      <w:tr w14:paraId="1B1B6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04748F9">
            <w:pPr>
              <w:numPr>
                <w:ilvl w:val="0"/>
                <w:numId w:val="0"/>
              </w:numPr>
              <w:rPr>
                <w:rFonts w:hint="default" w:ascii="Cambria" w:hAnsi="Cambria" w:cs="Cambria"/>
              </w:rPr>
            </w:pPr>
            <w:r>
              <w:rPr>
                <w:rFonts w:hint="default" w:ascii="Cambria" w:hAnsi="Cambria" w:cs="Cambria"/>
                <w:lang w:val="en-US" w:eastAsia="zh-CN"/>
              </w:rPr>
              <w:t>7</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E5F2F05">
            <w:pPr>
              <w:numPr>
                <w:ilvl w:val="0"/>
                <w:numId w:val="0"/>
              </w:numPr>
              <w:rPr>
                <w:rFonts w:hint="default" w:ascii="Cambria" w:hAnsi="Cambria" w:cs="Cambria"/>
              </w:rPr>
            </w:pPr>
            <w:r>
              <w:rPr>
                <w:rFonts w:hint="default" w:ascii="Cambria" w:hAnsi="Cambria" w:cs="Cambria"/>
                <w:lang w:val="en-US" w:eastAsia="zh-CN"/>
              </w:rPr>
              <w:t>Gansu University of Chinese Medicine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2B7E1A3">
            <w:pPr>
              <w:numPr>
                <w:ilvl w:val="0"/>
                <w:numId w:val="0"/>
              </w:numPr>
              <w:rPr>
                <w:rFonts w:hint="default" w:ascii="Cambria" w:hAnsi="Cambria" w:cs="Cambria"/>
              </w:rPr>
            </w:pPr>
            <w:r>
              <w:rPr>
                <w:rFonts w:hint="default" w:ascii="Cambria" w:hAnsi="Cambria" w:cs="Cambria"/>
                <w:lang w:val="en-US" w:eastAsia="zh-CN"/>
              </w:rPr>
              <w:t>Shi Zhenggang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3062FBC">
            <w:pPr>
              <w:numPr>
                <w:ilvl w:val="0"/>
                <w:numId w:val="0"/>
              </w:numPr>
              <w:rPr>
                <w:rFonts w:hint="default" w:ascii="Cambria" w:hAnsi="Cambria" w:cs="Cambria"/>
              </w:rPr>
            </w:pPr>
            <w:r>
              <w:rPr>
                <w:rFonts w:hint="default" w:ascii="Cambria" w:hAnsi="Cambria" w:cs="Cambria"/>
                <w:lang w:val="en-US" w:eastAsia="zh-CN"/>
              </w:rPr>
              <w:t>Feedback provided</w:t>
            </w:r>
          </w:p>
        </w:tc>
      </w:tr>
      <w:tr w14:paraId="64D50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4A3F48E">
            <w:pPr>
              <w:numPr>
                <w:ilvl w:val="0"/>
                <w:numId w:val="0"/>
              </w:numPr>
              <w:rPr>
                <w:rFonts w:hint="default" w:ascii="Cambria" w:hAnsi="Cambria" w:cs="Cambria"/>
              </w:rPr>
            </w:pPr>
            <w:r>
              <w:rPr>
                <w:rFonts w:hint="default" w:ascii="Cambria" w:hAnsi="Cambria" w:cs="Cambria"/>
                <w:lang w:val="en-US" w:eastAsia="zh-CN"/>
              </w:rPr>
              <w:t>8</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515CD5B">
            <w:pPr>
              <w:numPr>
                <w:ilvl w:val="0"/>
                <w:numId w:val="0"/>
              </w:numPr>
              <w:rPr>
                <w:rFonts w:hint="default" w:ascii="Cambria" w:hAnsi="Cambria" w:cs="Cambria"/>
              </w:rPr>
            </w:pPr>
            <w:r>
              <w:rPr>
                <w:rFonts w:hint="default" w:ascii="Cambria" w:hAnsi="Cambria" w:cs="Cambria"/>
                <w:lang w:val="en-US" w:eastAsia="zh-CN"/>
              </w:rPr>
              <w:t>Hubei University of Chinese Medicine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B4301E1">
            <w:pPr>
              <w:numPr>
                <w:ilvl w:val="0"/>
                <w:numId w:val="0"/>
              </w:numPr>
              <w:rPr>
                <w:rFonts w:hint="default" w:ascii="Cambria" w:hAnsi="Cambria" w:cs="Cambria"/>
                <w:lang w:val="en-US"/>
              </w:rPr>
            </w:pPr>
            <w:r>
              <w:rPr>
                <w:rFonts w:hint="default" w:ascii="Cambria" w:hAnsi="Cambria" w:cs="Cambria"/>
                <w:lang w:val="en-US" w:eastAsia="zh-CN"/>
              </w:rPr>
              <w:t>Liu JianZhong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AA2A0D0">
            <w:pPr>
              <w:numPr>
                <w:ilvl w:val="0"/>
                <w:numId w:val="0"/>
              </w:numPr>
              <w:rPr>
                <w:rFonts w:hint="default" w:ascii="Cambria" w:hAnsi="Cambria" w:cs="Cambria"/>
              </w:rPr>
            </w:pPr>
            <w:r>
              <w:rPr>
                <w:rFonts w:hint="default" w:ascii="Cambria" w:hAnsi="Cambria" w:cs="Cambria"/>
                <w:lang w:val="en-US" w:eastAsia="zh-CN"/>
              </w:rPr>
              <w:t>Feedback provided</w:t>
            </w:r>
          </w:p>
        </w:tc>
      </w:tr>
      <w:tr w14:paraId="521C6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491FAC7">
            <w:pPr>
              <w:numPr>
                <w:ilvl w:val="0"/>
                <w:numId w:val="0"/>
              </w:numPr>
              <w:rPr>
                <w:rFonts w:hint="default" w:ascii="Cambria" w:hAnsi="Cambria" w:cs="Cambria"/>
              </w:rPr>
            </w:pPr>
            <w:r>
              <w:rPr>
                <w:rFonts w:hint="default" w:ascii="Cambria" w:hAnsi="Cambria" w:cs="Cambria"/>
                <w:lang w:val="en-US" w:eastAsia="zh-CN"/>
              </w:rPr>
              <w:t>9</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1E7616E">
            <w:pPr>
              <w:numPr>
                <w:ilvl w:val="0"/>
                <w:numId w:val="0"/>
              </w:numPr>
              <w:rPr>
                <w:rFonts w:hint="default" w:ascii="Cambria" w:hAnsi="Cambria" w:cs="Cambria"/>
              </w:rPr>
            </w:pPr>
            <w:r>
              <w:rPr>
                <w:rFonts w:hint="default" w:ascii="Cambria" w:hAnsi="Cambria" w:cs="Cambria"/>
                <w:lang w:val="en-US" w:eastAsia="zh-CN"/>
              </w:rPr>
              <w:t>Shanghai University of TCM</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411783B">
            <w:pPr>
              <w:numPr>
                <w:ilvl w:val="0"/>
                <w:numId w:val="0"/>
              </w:numPr>
              <w:rPr>
                <w:rFonts w:hint="default" w:ascii="Cambria" w:hAnsi="Cambria" w:cs="Cambria"/>
              </w:rPr>
            </w:pPr>
            <w:r>
              <w:rPr>
                <w:rFonts w:hint="default" w:ascii="Cambria" w:hAnsi="Cambria" w:cs="Cambria"/>
                <w:lang w:val="en-US" w:eastAsia="zh-CN"/>
              </w:rPr>
              <w:t>Yu Jian'er</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D32B4A8">
            <w:pPr>
              <w:numPr>
                <w:ilvl w:val="0"/>
                <w:numId w:val="0"/>
              </w:numPr>
              <w:rPr>
                <w:rFonts w:hint="default" w:ascii="Cambria" w:hAnsi="Cambria" w:cs="Cambria"/>
              </w:rPr>
            </w:pPr>
            <w:r>
              <w:rPr>
                <w:rFonts w:hint="default" w:ascii="Cambria" w:hAnsi="Cambria" w:cs="Cambria"/>
                <w:lang w:val="en-US" w:eastAsia="zh-CN"/>
              </w:rPr>
              <w:t>Feedback provided</w:t>
            </w:r>
          </w:p>
        </w:tc>
      </w:tr>
      <w:tr w14:paraId="14181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0193B8B">
            <w:pPr>
              <w:numPr>
                <w:ilvl w:val="0"/>
                <w:numId w:val="0"/>
              </w:numPr>
              <w:rPr>
                <w:rFonts w:hint="default" w:ascii="Cambria" w:hAnsi="Cambria" w:cs="Cambria"/>
              </w:rPr>
            </w:pPr>
            <w:r>
              <w:rPr>
                <w:rFonts w:hint="default" w:ascii="Cambria" w:hAnsi="Cambria" w:cs="Cambria"/>
                <w:lang w:val="en-US" w:eastAsia="zh-CN"/>
              </w:rPr>
              <w:t>10</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34295EC">
            <w:pPr>
              <w:numPr>
                <w:ilvl w:val="0"/>
                <w:numId w:val="0"/>
              </w:numPr>
              <w:rPr>
                <w:rFonts w:hint="default" w:ascii="Cambria" w:hAnsi="Cambria" w:cs="Cambria"/>
              </w:rPr>
            </w:pPr>
            <w:r>
              <w:rPr>
                <w:rFonts w:hint="default" w:ascii="Cambria" w:hAnsi="Cambria" w:cs="Cambria"/>
                <w:lang w:val="en-US" w:eastAsia="zh-CN"/>
              </w:rPr>
              <w:t>Yunnan University of TCM</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5BBDF9B">
            <w:pPr>
              <w:numPr>
                <w:ilvl w:val="0"/>
                <w:numId w:val="0"/>
              </w:numPr>
              <w:rPr>
                <w:rFonts w:hint="default" w:ascii="Cambria" w:hAnsi="Cambria" w:cs="Cambria"/>
              </w:rPr>
            </w:pPr>
            <w:r>
              <w:rPr>
                <w:rFonts w:hint="default" w:ascii="Cambria" w:hAnsi="Cambria" w:cs="Cambria"/>
                <w:lang w:val="en-US" w:eastAsia="zh-CN"/>
              </w:rPr>
              <w:t>Xiong Lei</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91CB825">
            <w:pPr>
              <w:numPr>
                <w:ilvl w:val="0"/>
                <w:numId w:val="0"/>
              </w:numPr>
              <w:rPr>
                <w:rFonts w:hint="default" w:ascii="Cambria" w:hAnsi="Cambria" w:cs="Cambria"/>
              </w:rPr>
            </w:pPr>
            <w:r>
              <w:rPr>
                <w:rFonts w:hint="default" w:ascii="Cambria" w:hAnsi="Cambria" w:cs="Cambria"/>
                <w:lang w:val="en-US" w:eastAsia="zh-CN"/>
              </w:rPr>
              <w:t>Feedback provided</w:t>
            </w:r>
          </w:p>
        </w:tc>
      </w:tr>
      <w:tr w14:paraId="6C449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7" w:hRule="atLeast"/>
        </w:trPr>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BDF1F91">
            <w:pPr>
              <w:numPr>
                <w:ilvl w:val="0"/>
                <w:numId w:val="0"/>
              </w:numPr>
              <w:rPr>
                <w:rFonts w:hint="default" w:ascii="Cambria" w:hAnsi="Cambria" w:cs="Cambria"/>
              </w:rPr>
            </w:pPr>
            <w:r>
              <w:rPr>
                <w:rFonts w:hint="default" w:ascii="Cambria" w:hAnsi="Cambria" w:cs="Cambria"/>
                <w:lang w:val="en-US" w:eastAsia="zh-CN"/>
              </w:rPr>
              <w:t>11</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146EEE1">
            <w:pPr>
              <w:numPr>
                <w:ilvl w:val="0"/>
                <w:numId w:val="0"/>
              </w:numPr>
              <w:rPr>
                <w:rFonts w:hint="default" w:ascii="Cambria" w:hAnsi="Cambria" w:cs="Cambria"/>
              </w:rPr>
            </w:pPr>
            <w:r>
              <w:rPr>
                <w:rFonts w:hint="default" w:ascii="Cambria" w:hAnsi="Cambria" w:cs="Cambria"/>
                <w:lang w:val="en-US" w:eastAsia="zh-CN"/>
              </w:rPr>
              <w:t>The Affiliated Hospital of Shandong University of TCM</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9E77166">
            <w:pPr>
              <w:numPr>
                <w:ilvl w:val="0"/>
                <w:numId w:val="0"/>
              </w:numPr>
              <w:rPr>
                <w:rFonts w:hint="default" w:ascii="Cambria" w:hAnsi="Cambria" w:cs="Cambria"/>
              </w:rPr>
            </w:pPr>
            <w:r>
              <w:rPr>
                <w:rFonts w:hint="default" w:ascii="Cambria" w:hAnsi="Cambria" w:cs="Cambria"/>
                <w:lang w:val="en-US" w:eastAsia="zh-CN"/>
              </w:rPr>
              <w:t>Zhang Baoqing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490C353">
            <w:pPr>
              <w:numPr>
                <w:ilvl w:val="0"/>
                <w:numId w:val="0"/>
              </w:numPr>
              <w:rPr>
                <w:rFonts w:hint="default" w:ascii="Cambria" w:hAnsi="Cambria" w:cs="Cambria"/>
              </w:rPr>
            </w:pPr>
            <w:r>
              <w:rPr>
                <w:rFonts w:hint="default" w:ascii="Cambria" w:hAnsi="Cambria" w:cs="Cambria"/>
                <w:lang w:val="en-US" w:eastAsia="zh-CN"/>
              </w:rPr>
              <w:t>Feedback provided</w:t>
            </w:r>
          </w:p>
        </w:tc>
      </w:tr>
      <w:tr w14:paraId="45D78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373F4F0">
            <w:pPr>
              <w:numPr>
                <w:ilvl w:val="0"/>
                <w:numId w:val="0"/>
              </w:numPr>
              <w:rPr>
                <w:rFonts w:hint="default" w:ascii="Cambria" w:hAnsi="Cambria" w:cs="Cambria"/>
              </w:rPr>
            </w:pPr>
            <w:r>
              <w:rPr>
                <w:rFonts w:hint="default" w:ascii="Cambria" w:hAnsi="Cambria" w:cs="Cambria"/>
                <w:lang w:val="en-US" w:eastAsia="zh-CN"/>
              </w:rPr>
              <w:t>12</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35BB40F">
            <w:pPr>
              <w:numPr>
                <w:ilvl w:val="0"/>
                <w:numId w:val="0"/>
              </w:numPr>
              <w:rPr>
                <w:rFonts w:hint="default" w:ascii="Cambria" w:hAnsi="Cambria" w:cs="Cambria"/>
              </w:rPr>
            </w:pPr>
            <w:r>
              <w:rPr>
                <w:rFonts w:hint="default" w:ascii="Cambria" w:hAnsi="Cambria" w:cs="Cambria"/>
                <w:lang w:val="en-US" w:eastAsia="zh-CN"/>
              </w:rPr>
              <w:t>Children's Hospital of Fudan University</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4C231C5">
            <w:pPr>
              <w:numPr>
                <w:ilvl w:val="0"/>
                <w:numId w:val="0"/>
              </w:numPr>
              <w:rPr>
                <w:rFonts w:hint="default" w:ascii="Cambria" w:hAnsi="Cambria" w:cs="Cambria"/>
              </w:rPr>
            </w:pPr>
            <w:r>
              <w:rPr>
                <w:rFonts w:hint="default" w:ascii="Cambria" w:hAnsi="Cambria" w:cs="Cambria"/>
                <w:lang w:val="en-US" w:eastAsia="zh-CN"/>
              </w:rPr>
              <w:t>Yu Jian</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C81B708">
            <w:pPr>
              <w:numPr>
                <w:ilvl w:val="0"/>
                <w:numId w:val="0"/>
              </w:numPr>
              <w:rPr>
                <w:rFonts w:hint="default" w:ascii="Cambria" w:hAnsi="Cambria" w:cs="Cambria"/>
              </w:rPr>
            </w:pPr>
            <w:r>
              <w:rPr>
                <w:rFonts w:hint="default" w:ascii="Cambria" w:hAnsi="Cambria" w:cs="Cambria"/>
                <w:lang w:val="en-US" w:eastAsia="zh-CN"/>
              </w:rPr>
              <w:t>Feedback provided</w:t>
            </w:r>
          </w:p>
        </w:tc>
      </w:tr>
      <w:tr w14:paraId="36656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266964F">
            <w:pPr>
              <w:numPr>
                <w:ilvl w:val="0"/>
                <w:numId w:val="0"/>
              </w:numPr>
              <w:rPr>
                <w:rFonts w:hint="default" w:ascii="Cambria" w:hAnsi="Cambria" w:cs="Cambria"/>
              </w:rPr>
            </w:pPr>
            <w:r>
              <w:rPr>
                <w:rFonts w:hint="default" w:ascii="Cambria" w:hAnsi="Cambria" w:cs="Cambria"/>
                <w:lang w:val="en-US" w:eastAsia="zh-CN"/>
              </w:rPr>
              <w:t>13</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650633C">
            <w:pPr>
              <w:numPr>
                <w:ilvl w:val="0"/>
                <w:numId w:val="0"/>
              </w:numPr>
              <w:rPr>
                <w:rFonts w:hint="default" w:ascii="Cambria" w:hAnsi="Cambria" w:cs="Cambria"/>
              </w:rPr>
            </w:pPr>
            <w:r>
              <w:rPr>
                <w:rFonts w:hint="default" w:ascii="Cambria" w:hAnsi="Cambria" w:cs="Cambria"/>
                <w:lang w:val="en-US" w:eastAsia="zh-CN"/>
              </w:rPr>
              <w:t>Nanjing University of Chinese Medicine</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9C7A0CB">
            <w:pPr>
              <w:numPr>
                <w:ilvl w:val="0"/>
                <w:numId w:val="0"/>
              </w:numPr>
              <w:rPr>
                <w:rFonts w:hint="default" w:ascii="Cambria" w:hAnsi="Cambria" w:cs="Cambria"/>
              </w:rPr>
            </w:pPr>
            <w:r>
              <w:rPr>
                <w:rFonts w:hint="default" w:ascii="Cambria" w:hAnsi="Cambria" w:cs="Cambria"/>
                <w:lang w:val="en-US" w:eastAsia="zh-CN"/>
              </w:rPr>
              <w:t>Dai Qigang</w:t>
            </w:r>
          </w:p>
        </w:tc>
        <w:tc>
          <w:tcPr>
            <w:tcW w:w="0" w:type="auto"/>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4FA15D5">
            <w:pPr>
              <w:numPr>
                <w:ilvl w:val="0"/>
                <w:numId w:val="0"/>
              </w:numPr>
              <w:rPr>
                <w:rFonts w:hint="default" w:ascii="Cambria" w:hAnsi="Cambria" w:cs="Cambria"/>
              </w:rPr>
            </w:pPr>
            <w:r>
              <w:rPr>
                <w:rFonts w:hint="default" w:ascii="Cambria" w:hAnsi="Cambria" w:cs="Cambria"/>
                <w:lang w:val="en-US" w:eastAsia="zh-CN"/>
              </w:rPr>
              <w:t>Feedback provided</w:t>
            </w:r>
          </w:p>
        </w:tc>
      </w:tr>
    </w:tbl>
    <w:p w14:paraId="5C0419EC">
      <w:pPr>
        <w:numPr>
          <w:ilvl w:val="0"/>
          <w:numId w:val="0"/>
        </w:numPr>
        <w:rPr>
          <w:rFonts w:hint="default" w:ascii="Cambria" w:hAnsi="Cambria" w:cs="Cambria"/>
        </w:rPr>
      </w:pPr>
    </w:p>
    <w:p w14:paraId="5EDC0BF5">
      <w:pPr>
        <w:numPr>
          <w:ilvl w:val="0"/>
          <w:numId w:val="0"/>
        </w:numPr>
        <w:ind w:firstLine="420" w:firstLineChars="0"/>
        <w:rPr>
          <w:rFonts w:hint="default" w:ascii="Cambria" w:hAnsi="Cambria" w:cs="Cambria"/>
        </w:rPr>
      </w:pPr>
      <w:r>
        <w:rPr>
          <w:rFonts w:hint="default" w:ascii="Cambria" w:hAnsi="Cambria" w:cs="Cambria"/>
        </w:rPr>
        <w:t xml:space="preserve">The opinions put forward by the experts mainly focused on the following </w:t>
      </w:r>
      <w:r>
        <w:rPr>
          <w:rFonts w:hint="default" w:ascii="Cambria" w:hAnsi="Cambria" w:cs="Cambria"/>
          <w:lang w:val="en-US" w:eastAsia="zh-CN"/>
        </w:rPr>
        <w:t xml:space="preserve">three </w:t>
      </w:r>
      <w:r>
        <w:rPr>
          <w:rFonts w:hint="default" w:ascii="Cambria" w:hAnsi="Cambria" w:cs="Cambria"/>
        </w:rPr>
        <w:t>aspects</w:t>
      </w:r>
      <w:r>
        <w:rPr>
          <w:rFonts w:hint="default" w:ascii="Cambria" w:hAnsi="Cambria" w:cs="Cambria"/>
          <w:lang w:val="en-US" w:eastAsia="zh-CN"/>
        </w:rPr>
        <w:t>: f</w:t>
      </w:r>
      <w:r>
        <w:rPr>
          <w:rFonts w:hint="default" w:ascii="Cambria" w:hAnsi="Cambria" w:cs="Cambria"/>
        </w:rPr>
        <w:t xml:space="preserve">irst, the standardization and consistency of the </w:t>
      </w:r>
      <w:r>
        <w:rPr>
          <w:rFonts w:hint="default" w:ascii="Cambria" w:hAnsi="Cambria" w:cs="Cambria"/>
          <w:lang w:val="en-US" w:eastAsia="zh-CN"/>
        </w:rPr>
        <w:t xml:space="preserve">wording </w:t>
      </w:r>
      <w:r>
        <w:rPr>
          <w:rFonts w:hint="default" w:ascii="Cambria" w:hAnsi="Cambria" w:cs="Cambria"/>
        </w:rPr>
        <w:t>of individual clauses; second, the safety reminders of some technical clauses in international applications; third, the further clarification of the applicable boundaries and the recommended nature of the standard.</w:t>
      </w:r>
    </w:p>
    <w:p w14:paraId="7880876B">
      <w:pPr>
        <w:numPr>
          <w:ilvl w:val="0"/>
          <w:numId w:val="0"/>
        </w:numPr>
        <w:ind w:firstLine="420" w:firstLineChars="0"/>
        <w:rPr>
          <w:rFonts w:hint="default" w:ascii="Cambria" w:hAnsi="Cambria" w:cs="Cambria"/>
        </w:rPr>
      </w:pPr>
      <w:r>
        <w:rPr>
          <w:rFonts w:hint="default" w:ascii="Cambria" w:hAnsi="Cambria" w:cs="Cambria"/>
        </w:rPr>
        <w:t xml:space="preserve">The project working group analyzed and discussed all the feedback opinions by the </w:t>
      </w:r>
      <w:r>
        <w:rPr>
          <w:rFonts w:hint="default" w:ascii="Cambria" w:hAnsi="Cambria" w:cs="Cambria"/>
          <w:lang w:eastAsia="zh-CN"/>
        </w:rPr>
        <w:t>expert steering group</w:t>
      </w:r>
      <w:r>
        <w:rPr>
          <w:rFonts w:hint="default" w:ascii="Cambria" w:hAnsi="Cambria" w:cs="Cambria"/>
        </w:rPr>
        <w:t>, and on this basis, further completed the revision of the draft.</w:t>
      </w:r>
    </w:p>
    <w:p w14:paraId="602FAD53">
      <w:pPr>
        <w:numPr>
          <w:ilvl w:val="0"/>
          <w:numId w:val="0"/>
        </w:numPr>
        <w:ind w:firstLine="420" w:firstLineChars="0"/>
        <w:rPr>
          <w:rFonts w:hint="default" w:ascii="Cambria" w:hAnsi="Cambria" w:cs="Cambria"/>
        </w:rPr>
      </w:pPr>
    </w:p>
    <w:p w14:paraId="5DA3A0AB">
      <w:pPr>
        <w:numPr>
          <w:ilvl w:val="0"/>
          <w:numId w:val="0"/>
        </w:numPr>
        <w:rPr>
          <w:rFonts w:hint="default" w:ascii="Cambria" w:hAnsi="Cambria" w:cs="Cambria"/>
        </w:rPr>
      </w:pPr>
    </w:p>
    <w:p w14:paraId="2F5C4CF3">
      <w:pPr>
        <w:numPr>
          <w:ilvl w:val="0"/>
          <w:numId w:val="0"/>
        </w:numPr>
        <w:ind w:firstLine="420" w:firstLineChars="0"/>
        <w:rPr>
          <w:rFonts w:hint="default" w:ascii="Cambria" w:hAnsi="Cambria" w:cs="Cambria"/>
        </w:rPr>
      </w:pPr>
    </w:p>
    <w:p w14:paraId="7802934F">
      <w:pPr>
        <w:numPr>
          <w:ilvl w:val="0"/>
          <w:numId w:val="0"/>
        </w:numPr>
        <w:ind w:left="1260" w:leftChars="0" w:firstLine="3360" w:firstLineChars="1600"/>
        <w:rPr>
          <w:rFonts w:hint="default" w:ascii="Cambria" w:hAnsi="Cambria" w:cs="Cambria"/>
        </w:rPr>
      </w:pPr>
      <w:r>
        <w:rPr>
          <w:rFonts w:hint="default" w:ascii="Cambria" w:hAnsi="Cambria" w:cs="Cambria"/>
        </w:rPr>
        <w:t xml:space="preserve">Project Working Group of </w:t>
      </w:r>
    </w:p>
    <w:p w14:paraId="132FB2FE">
      <w:pPr>
        <w:numPr>
          <w:ilvl w:val="0"/>
          <w:numId w:val="0"/>
        </w:numPr>
        <w:ind w:left="1260" w:leftChars="0" w:firstLine="3360" w:firstLineChars="1600"/>
        <w:rPr>
          <w:rFonts w:hint="default" w:ascii="Cambria" w:hAnsi="Cambria" w:cs="Cambria"/>
        </w:rPr>
      </w:pPr>
      <w:r>
        <w:rPr>
          <w:rFonts w:hint="default" w:ascii="Cambria" w:hAnsi="Cambria" w:cs="Cambria"/>
        </w:rPr>
        <w:t xml:space="preserve">International Standardized Manipulations </w:t>
      </w:r>
    </w:p>
    <w:p w14:paraId="432FE6D3">
      <w:pPr>
        <w:numPr>
          <w:ilvl w:val="0"/>
          <w:numId w:val="0"/>
        </w:numPr>
        <w:ind w:left="1260" w:leftChars="0" w:firstLine="3360" w:firstLineChars="1600"/>
        <w:rPr>
          <w:rFonts w:hint="default" w:ascii="Cambria" w:hAnsi="Cambria" w:cs="Cambria"/>
          <w:lang w:val="en-US" w:eastAsia="zh-CN"/>
        </w:rPr>
      </w:pPr>
      <w:r>
        <w:rPr>
          <w:rFonts w:hint="default" w:ascii="Cambria" w:hAnsi="Cambria" w:cs="Cambria"/>
        </w:rPr>
        <w:t>of Chinese Medicine</w:t>
      </w:r>
      <w:r>
        <w:rPr>
          <w:rFonts w:hint="default" w:ascii="Cambria" w:hAnsi="Cambria" w:cs="Cambria"/>
          <w:lang w:val="en-US" w:eastAsia="zh-CN"/>
        </w:rPr>
        <w:t>–</w:t>
      </w:r>
      <w:r>
        <w:rPr>
          <w:rFonts w:hint="default" w:ascii="Cambria" w:hAnsi="Cambria" w:cs="Cambria"/>
        </w:rPr>
        <w:t>Pediatrics</w:t>
      </w:r>
      <w:r>
        <w:rPr>
          <w:rFonts w:hint="default" w:ascii="Cambria" w:hAnsi="Cambria" w:cs="Cambria"/>
          <w:lang w:val="en-US" w:eastAsia="zh-CN"/>
        </w:rPr>
        <w:t xml:space="preserve"> </w:t>
      </w:r>
    </w:p>
    <w:p w14:paraId="77548C26">
      <w:pPr>
        <w:numPr>
          <w:ilvl w:val="0"/>
          <w:numId w:val="0"/>
        </w:numPr>
        <w:ind w:left="1260" w:leftChars="0" w:firstLine="3360" w:firstLineChars="1600"/>
        <w:rPr>
          <w:rFonts w:hint="default" w:ascii="Cambria" w:hAnsi="Cambria" w:cs="Cambria"/>
        </w:rPr>
      </w:pPr>
      <w:r>
        <w:rPr>
          <w:rFonts w:hint="default" w:ascii="Cambria" w:hAnsi="Cambria" w:cs="Cambria"/>
        </w:rPr>
        <w:t>Part 5: Cupping Therapy</w:t>
      </w:r>
    </w:p>
    <w:p w14:paraId="73A7A289">
      <w:pPr>
        <w:numPr>
          <w:ilvl w:val="0"/>
          <w:numId w:val="0"/>
        </w:numPr>
        <w:rPr>
          <w:rFonts w:hint="default" w:ascii="Cambria" w:hAnsi="Cambria" w:cs="Cambria"/>
        </w:rPr>
      </w:pPr>
    </w:p>
    <w:p w14:paraId="1B2EB627">
      <w:pPr>
        <w:numPr>
          <w:ilvl w:val="0"/>
          <w:numId w:val="0"/>
        </w:numPr>
        <w:ind w:firstLine="6079" w:firstLineChars="2895"/>
        <w:rPr>
          <w:rFonts w:hint="default" w:ascii="Cambria" w:hAnsi="Cambria" w:cs="Cambria"/>
        </w:rPr>
      </w:pPr>
      <w:r>
        <w:rPr>
          <w:rFonts w:hint="default" w:ascii="Cambria" w:hAnsi="Cambria" w:cs="Cambria"/>
        </w:rPr>
        <w:t>December 30, 2025</w:t>
      </w:r>
    </w:p>
    <w:p w14:paraId="413710B6">
      <w:pPr>
        <w:numPr>
          <w:ilvl w:val="0"/>
          <w:numId w:val="0"/>
        </w:numPr>
        <w:rPr>
          <w:rFonts w:hint="default" w:ascii="Cambria" w:hAnsi="Cambria" w:cs="Cambria"/>
        </w:rPr>
      </w:pPr>
    </w:p>
    <w:p w14:paraId="081B434D">
      <w:pPr>
        <w:spacing w:before="115" w:line="276" w:lineRule="auto"/>
        <w:ind w:left="7193"/>
        <w:rPr>
          <w:rFonts w:ascii="仿宋" w:hAnsi="仿宋" w:eastAsia="仿宋" w:cs="仿宋"/>
          <w:spacing w:val="-8"/>
          <w:sz w:val="24"/>
          <w:szCs w:val="24"/>
        </w:rPr>
      </w:pPr>
    </w:p>
    <w:sectPr>
      <w:footerReference r:id="rId14" w:type="default"/>
      <w:pgSz w:w="11906" w:h="16839"/>
      <w:pgMar w:top="1431" w:right="1058" w:bottom="1504" w:left="1431" w:header="0" w:footer="134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37E2EDA-9083-4AD7-B923-93B79777CA4E}"/>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EDDE7F9F-731B-4DA0-8347-A7ADC199408F}"/>
  </w:font>
  <w:font w:name="Cambria">
    <w:panose1 w:val="02040503050406030204"/>
    <w:charset w:val="00"/>
    <w:family w:val="auto"/>
    <w:pitch w:val="default"/>
    <w:sig w:usb0="E00006FF" w:usb1="420024FF" w:usb2="02000000" w:usb3="00000000" w:csb0="2000019F" w:csb1="00000000"/>
    <w:embedRegular r:id="rId3" w:fontKey="{729FA938-4C5F-4813-8950-D0FFD740027F}"/>
  </w:font>
  <w:font w:name="微软雅黑">
    <w:panose1 w:val="020B0503020204020204"/>
    <w:charset w:val="86"/>
    <w:family w:val="auto"/>
    <w:pitch w:val="default"/>
    <w:sig w:usb0="80000287" w:usb1="2ACF3C50" w:usb2="00000016" w:usb3="00000000" w:csb0="0004001F" w:csb1="00000000"/>
  </w:font>
  <w:font w:name="汉仪中黑简">
    <w:panose1 w:val="02010600000101010101"/>
    <w:charset w:val="86"/>
    <w:family w:val="swiss"/>
    <w:pitch w:val="default"/>
    <w:sig w:usb0="00000001" w:usb1="080E0800" w:usb2="00000002" w:usb3="00000000" w:csb0="00040000" w:csb1="00000000"/>
    <w:embedRegular r:id="rId4" w:fontKey="{6CA874E4-F624-47B5-A36B-31F65732D661}"/>
  </w:font>
  <w:font w:name="国潮黑体">
    <w:altName w:val="黑体"/>
    <w:panose1 w:val="02000503000000000000"/>
    <w:charset w:val="86"/>
    <w:family w:val="auto"/>
    <w:pitch w:val="default"/>
    <w:sig w:usb0="00000000" w:usb1="00000000" w:usb2="00000012" w:usb3="00000000" w:csb0="00040001" w:csb1="00000000"/>
    <w:embedRegular r:id="rId5" w:fontKey="{4B29874E-3362-453F-9B1C-6DA321CCE5C2}"/>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8E9AE">
    <w:pPr>
      <w:spacing w:line="176" w:lineRule="auto"/>
      <w:ind w:left="4637"/>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181C8">
    <w:pPr>
      <w:spacing w:line="176" w:lineRule="auto"/>
      <w:ind w:left="4611"/>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85EB6">
    <w:pPr>
      <w:spacing w:line="176" w:lineRule="auto"/>
      <w:ind w:left="4594"/>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43048">
    <w:pPr>
      <w:spacing w:line="176" w:lineRule="auto"/>
      <w:ind w:left="4715"/>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C8E77">
    <w:pPr>
      <w:spacing w:line="176" w:lineRule="auto"/>
      <w:ind w:left="45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27</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30C19">
    <w:pPr>
      <w:spacing w:line="176" w:lineRule="auto"/>
      <w:ind w:left="457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28</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79FA8">
    <w:pPr>
      <w:spacing w:line="176" w:lineRule="auto"/>
      <w:ind w:left="458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29</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C0736">
    <w:pPr>
      <w:spacing w:line="176" w:lineRule="auto"/>
      <w:ind w:left="459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30</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0F3CD">
    <w:pPr>
      <w:spacing w:line="176" w:lineRule="auto"/>
      <w:ind w:left="457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34</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D5CAD">
    <w:pPr>
      <w:spacing w:line="176" w:lineRule="auto"/>
      <w:ind w:left="458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3AD6B5"/>
    <w:multiLevelType w:val="singleLevel"/>
    <w:tmpl w:val="853AD6B5"/>
    <w:lvl w:ilvl="0" w:tentative="0">
      <w:start w:val="1"/>
      <w:numFmt w:val="upperLetter"/>
      <w:suff w:val="space"/>
      <w:lvlText w:val="%1."/>
      <w:lvlJc w:val="left"/>
    </w:lvl>
  </w:abstractNum>
  <w:abstractNum w:abstractNumId="1">
    <w:nsid w:val="8E61F9A0"/>
    <w:multiLevelType w:val="singleLevel"/>
    <w:tmpl w:val="8E61F9A0"/>
    <w:lvl w:ilvl="0" w:tentative="0">
      <w:start w:val="2"/>
      <w:numFmt w:val="decimal"/>
      <w:suff w:val="space"/>
      <w:lvlText w:val="(%1)"/>
      <w:lvlJc w:val="left"/>
    </w:lvl>
  </w:abstractNum>
  <w:abstractNum w:abstractNumId="2">
    <w:nsid w:val="D676B08C"/>
    <w:multiLevelType w:val="singleLevel"/>
    <w:tmpl w:val="D676B08C"/>
    <w:lvl w:ilvl="0" w:tentative="0">
      <w:start w:val="1"/>
      <w:numFmt w:val="upperLetter"/>
      <w:suff w:val="space"/>
      <w:lvlText w:val="%1."/>
      <w:lvlJc w:val="left"/>
    </w:lvl>
  </w:abstractNum>
  <w:abstractNum w:abstractNumId="3">
    <w:nsid w:val="DF8933BC"/>
    <w:multiLevelType w:val="singleLevel"/>
    <w:tmpl w:val="DF8933BC"/>
    <w:lvl w:ilvl="0" w:tentative="0">
      <w:start w:val="1"/>
      <w:numFmt w:val="upperLetter"/>
      <w:suff w:val="space"/>
      <w:lvlText w:val="%1."/>
      <w:lvlJc w:val="left"/>
      <w:pPr>
        <w:ind w:left="105" w:leftChars="0" w:firstLine="0" w:firstLineChars="0"/>
      </w:pPr>
    </w:lvl>
  </w:abstractNum>
  <w:abstractNum w:abstractNumId="4">
    <w:nsid w:val="25E8672B"/>
    <w:multiLevelType w:val="singleLevel"/>
    <w:tmpl w:val="25E8672B"/>
    <w:lvl w:ilvl="0" w:tentative="0">
      <w:start w:val="2"/>
      <w:numFmt w:val="decimal"/>
      <w:suff w:val="space"/>
      <w:lvlText w:val="%1."/>
      <w:lvlJc w:val="left"/>
      <w:pPr>
        <w:ind w:left="420" w:leftChars="0" w:firstLine="0" w:firstLineChars="0"/>
      </w:pPr>
    </w:lvl>
  </w:abstractNum>
  <w:abstractNum w:abstractNumId="5">
    <w:nsid w:val="390E3638"/>
    <w:multiLevelType w:val="singleLevel"/>
    <w:tmpl w:val="390E3638"/>
    <w:lvl w:ilvl="0" w:tentative="0">
      <w:start w:val="1"/>
      <w:numFmt w:val="upperLetter"/>
      <w:suff w:val="space"/>
      <w:lvlText w:val="%1."/>
      <w:lvlJc w:val="left"/>
    </w:lvl>
  </w:abstractNum>
  <w:num w:numId="1">
    <w:abstractNumId w:val="1"/>
  </w:num>
  <w:num w:numId="2">
    <w:abstractNumId w:val="4"/>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3F67B2A"/>
    <w:rsid w:val="10D937B4"/>
    <w:rsid w:val="19B90BDD"/>
    <w:rsid w:val="3C81531C"/>
    <w:rsid w:val="48E2020C"/>
    <w:rsid w:val="5F8409E2"/>
    <w:rsid w:val="73752A3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仿宋" w:hAnsi="仿宋" w:eastAsia="仿宋" w:cs="仿宋"/>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5.wmf"/><Relationship Id="rId22" Type="http://schemas.openxmlformats.org/officeDocument/2006/relationships/oleObject" Target="embeddings/oleObject3.bin"/><Relationship Id="rId21" Type="http://schemas.openxmlformats.org/officeDocument/2006/relationships/image" Target="media/image4.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3.wmf"/><Relationship Id="rId18" Type="http://schemas.openxmlformats.org/officeDocument/2006/relationships/oleObject" Target="embeddings/oleObject1.bin"/><Relationship Id="rId17" Type="http://schemas.openxmlformats.org/officeDocument/2006/relationships/image" Target="media/image2.jpe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7"/>
    <customShpInfo spid="_x0000_s1028"/>
    <customShpInfo spid="_x0000_s1029"/>
    <customShpInfo spid="_x0000_s1026" textRotate="1"/>
    <customShpInfo spid="_x0000_s1030"/>
    <customShpInfo spid="_x0000_s1031"/>
    <customShpInfo spid="_x0000_s1032"/>
    <customShpInfo spid="_x0000_s1033"/>
    <customShpInfo spid="_x0000_s1036"/>
    <customShpInfo spid="_x0000_s1039"/>
    <customShpInfo spid="_x0000_s1040"/>
    <customShpInfo spid="_x0000_s1041"/>
    <customShpInfo spid="_x0000_s1042"/>
    <customShpInfo spid="_x0000_s1043"/>
    <customShpInfo spid="_x0000_s104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80</Pages>
  <Words>2471</Words>
  <Characters>2646</Characters>
  <TotalTime>2</TotalTime>
  <ScaleCrop>false</ScaleCrop>
  <LinksUpToDate>false</LinksUpToDate>
  <CharactersWithSpaces>2864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2026-01-01T00:32:00Z</dcterms:created>
  <dc:creator>幸福的一家</dc:creator>
  <cp:lastModifiedBy>王喵喵</cp:lastModifiedBy>
  <dcterms:modified xsi:type="dcterms:W3CDTF">2026-09-21T01:45:49Z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2026-03-27T14:34:47Z</vt:filetime>
  </property>
  <property fmtid="{D5CDD505-2E9C-101B-9397-08002B2CF9AE}" pid="4" name="KSOTemplateDocerSaveRecord">
    <vt:lpwstr>eyJoZGlkIjoiZTBkODljMjVjZWRmMjUyYzM1YmMxYjc1YjAzZjFlZjgiLCJ1c2VySWQiOiIzMzc3NzAyMzcifQ==</vt:lpwstr>
  </property>
  <property fmtid="{D5CDD505-2E9C-101B-9397-08002B2CF9AE}" pid="5" name="KSOProductBuildVer">
    <vt:lpwstr>2052-12.1.0.28505</vt:lpwstr>
  </property>
  <property fmtid="{D5CDD505-2E9C-101B-9397-08002B2CF9AE}" pid="6" name="ICV">
    <vt:lpwstr>87266D0120F141B58512C61F127D6EDD_12</vt:lpwstr>
  </property>
</Properties>
</file>