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98D47E8">
      <w:pPr>
        <w:jc w:val="left"/>
        <w:rPr>
          <w:sz w:val="48"/>
          <w:szCs w:val="48"/>
        </w:rPr>
      </w:pPr>
      <w:bookmarkStart w:id="16" w:name="_GoBack"/>
      <w:bookmarkEnd w:id="16"/>
    </w:p>
    <w:p w14:paraId="088E4500">
      <w:pPr>
        <w:jc w:val="left"/>
        <w:rPr>
          <w:sz w:val="48"/>
          <w:szCs w:val="48"/>
        </w:rPr>
      </w:pPr>
    </w:p>
    <w:p w14:paraId="3982441B">
      <w:pPr>
        <w:jc w:val="center"/>
        <w:rPr>
          <w:rFonts w:hint="eastAsia" w:ascii="Cambria" w:hAnsi="Cambria" w:eastAsia="黑体"/>
          <w:bCs/>
          <w:color w:val="0C1F0E"/>
          <w:sz w:val="52"/>
        </w:rPr>
      </w:pPr>
      <w:r>
        <w:rPr>
          <w:rFonts w:hint="eastAsia" w:ascii="Cambria" w:hAnsi="Cambria" w:eastAsia="黑体"/>
          <w:bCs/>
          <w:color w:val="0C1F0E"/>
          <w:sz w:val="52"/>
        </w:rPr>
        <w:t xml:space="preserve">国际中医技术操作规范  儿科  </w:t>
      </w:r>
    </w:p>
    <w:p w14:paraId="38F2BD0E">
      <w:pPr>
        <w:ind w:right="1353" w:rightChars="0" w:firstLine="2080" w:firstLineChars="400"/>
        <w:jc w:val="both"/>
        <w:rPr>
          <w:rFonts w:hint="default" w:ascii="Cambria" w:hAnsi="Cambria" w:eastAsia="黑体"/>
          <w:color w:val="0C1F0E"/>
          <w:sz w:val="32"/>
          <w:szCs w:val="32"/>
          <w:lang w:val="en-US" w:eastAsia="zh-CN"/>
        </w:rPr>
      </w:pPr>
      <w:r>
        <w:rPr>
          <w:rFonts w:hint="eastAsia" w:ascii="Cambria" w:hAnsi="Cambria" w:eastAsia="黑体"/>
          <w:bCs/>
          <w:color w:val="0C1F0E"/>
          <w:sz w:val="52"/>
        </w:rPr>
        <w:t>第</w:t>
      </w:r>
      <w:r>
        <w:rPr>
          <w:rFonts w:hint="eastAsia" w:ascii="Cambria" w:hAnsi="Cambria" w:eastAsia="黑体"/>
          <w:bCs/>
          <w:color w:val="0C1F0E"/>
          <w:sz w:val="52"/>
          <w:lang w:val="en-US" w:eastAsia="zh-CN"/>
        </w:rPr>
        <w:t>4</w:t>
      </w:r>
      <w:r>
        <w:rPr>
          <w:rFonts w:hint="eastAsia" w:ascii="Cambria" w:hAnsi="Cambria" w:eastAsia="黑体"/>
          <w:bCs/>
          <w:color w:val="0C1F0E"/>
          <w:sz w:val="52"/>
        </w:rPr>
        <w:t>部分：小儿</w:t>
      </w:r>
      <w:r>
        <w:rPr>
          <w:rFonts w:hint="eastAsia" w:ascii="Cambria" w:hAnsi="Cambria" w:eastAsia="黑体"/>
          <w:bCs/>
          <w:color w:val="0C1F0E"/>
          <w:sz w:val="52"/>
          <w:lang w:val="en-US" w:eastAsia="zh-CN"/>
        </w:rPr>
        <w:t>推拿</w:t>
      </w:r>
      <w:r>
        <w:rPr>
          <w:rFonts w:hint="eastAsia" w:ascii="Cambria" w:hAnsi="Cambria" w:eastAsia="黑体"/>
          <w:bCs/>
          <w:color w:val="0C1F0E"/>
          <w:sz w:val="52"/>
          <w:lang w:val="en-US" w:eastAsia="zh-CN"/>
        </w:rPr>
        <w:t>疗法</w:t>
      </w:r>
    </w:p>
    <w:p w14:paraId="1A5EF5C4">
      <w:pPr>
        <w:jc w:val="center"/>
        <w:rPr>
          <w:rFonts w:hint="eastAsia" w:ascii="Cambria" w:hAnsi="Cambria" w:eastAsia="黑体" w:cs="Times New Roman"/>
          <w:color w:val="0C1F0E"/>
          <w:sz w:val="36"/>
          <w:szCs w:val="36"/>
        </w:rPr>
      </w:pPr>
      <w:r>
        <w:rPr>
          <w:rFonts w:hint="eastAsia" w:ascii="Cambria" w:hAnsi="Cambria" w:eastAsia="黑体" w:cs="Times New Roman"/>
          <w:color w:val="0C1F0E"/>
          <w:sz w:val="36"/>
          <w:szCs w:val="36"/>
        </w:rPr>
        <w:t xml:space="preserve">International standardized manipulations </w:t>
      </w:r>
    </w:p>
    <w:p w14:paraId="669A6781">
      <w:pPr>
        <w:jc w:val="center"/>
        <w:rPr>
          <w:rFonts w:hint="eastAsia" w:ascii="Cambria" w:hAnsi="Cambria" w:eastAsia="黑体" w:cs="Times New Roman"/>
          <w:color w:val="0C1F0E"/>
          <w:sz w:val="36"/>
          <w:szCs w:val="36"/>
        </w:rPr>
      </w:pPr>
      <w:r>
        <w:rPr>
          <w:rFonts w:hint="eastAsia" w:ascii="Cambria" w:hAnsi="Cambria" w:eastAsia="黑体" w:cs="Times New Roman"/>
          <w:color w:val="0C1F0E"/>
          <w:sz w:val="36"/>
          <w:szCs w:val="36"/>
        </w:rPr>
        <w:t xml:space="preserve">of Chinese medicine Pediatrics </w:t>
      </w:r>
    </w:p>
    <w:p w14:paraId="5E35E464">
      <w:pPr>
        <w:spacing w:line="23" w:lineRule="atLeast"/>
        <w:jc w:val="center"/>
        <w:rPr>
          <w:rFonts w:ascii="Cambria" w:hAnsi="Cambria" w:eastAsia="黑体"/>
          <w:color w:val="0C1F0E"/>
          <w:sz w:val="36"/>
          <w:szCs w:val="36"/>
        </w:rPr>
      </w:pPr>
      <w:r>
        <w:rPr>
          <w:rFonts w:hint="eastAsia" w:ascii="Cambria" w:hAnsi="Cambria" w:eastAsia="黑体" w:cs="Times New Roman"/>
          <w:color w:val="0C1F0E"/>
          <w:sz w:val="36"/>
          <w:szCs w:val="36"/>
        </w:rPr>
        <w:t xml:space="preserve">Part </w:t>
      </w:r>
      <w:r>
        <w:rPr>
          <w:rFonts w:hint="eastAsia" w:ascii="Cambria" w:hAnsi="Cambria" w:eastAsia="黑体" w:cs="Times New Roman"/>
          <w:color w:val="0C1F0E"/>
          <w:sz w:val="36"/>
          <w:szCs w:val="36"/>
          <w:lang w:val="en-US" w:eastAsia="zh-CN"/>
        </w:rPr>
        <w:t>4：</w:t>
      </w:r>
      <w:r>
        <w:rPr>
          <w:rFonts w:hint="eastAsia" w:ascii="Cambria" w:hAnsi="Cambria" w:eastAsia="黑体"/>
          <w:color w:val="0C1F0E"/>
          <w:sz w:val="36"/>
          <w:szCs w:val="36"/>
        </w:rPr>
        <w:t>Pediatric-Tuina</w:t>
      </w:r>
    </w:p>
    <w:p w14:paraId="7D29F91F">
      <w:pPr>
        <w:spacing w:before="312" w:beforeLines="100"/>
        <w:jc w:val="center"/>
        <w:rPr>
          <w:rFonts w:hint="eastAsia" w:ascii="Cambria" w:hAnsi="Cambria" w:eastAsia="黑体"/>
          <w:color w:val="0C1F0E"/>
          <w:sz w:val="36"/>
          <w:szCs w:val="36"/>
        </w:rPr>
      </w:pPr>
    </w:p>
    <w:p w14:paraId="584485BC">
      <w:pPr>
        <w:adjustRightInd w:val="0"/>
        <w:jc w:val="center"/>
        <w:rPr>
          <w:b/>
          <w:sz w:val="44"/>
          <w:szCs w:val="44"/>
        </w:rPr>
      </w:pPr>
    </w:p>
    <w:p w14:paraId="0FAD8DAE">
      <w:pPr>
        <w:jc w:val="center"/>
        <w:rPr>
          <w:b/>
          <w:sz w:val="44"/>
          <w:szCs w:val="44"/>
        </w:rPr>
      </w:pPr>
      <w:r>
        <w:rPr>
          <w:rFonts w:hint="eastAsia"/>
          <w:b/>
          <w:sz w:val="48"/>
          <w:szCs w:val="48"/>
        </w:rPr>
        <w:t>编制说明</w:t>
      </w:r>
    </w:p>
    <w:p w14:paraId="027E2025">
      <w:pPr>
        <w:adjustRightInd w:val="0"/>
        <w:jc w:val="center"/>
        <w:rPr>
          <w:sz w:val="28"/>
          <w:szCs w:val="28"/>
        </w:rPr>
      </w:pPr>
      <w:r>
        <w:rPr>
          <w:rFonts w:ascii="Cambria" w:hAnsi="Cambria" w:eastAsia="汉仪中黑简"/>
          <w:sz w:val="36"/>
          <w:szCs w:val="20"/>
        </w:rPr>
        <w:t>Formulation Explanations</w:t>
      </w:r>
    </w:p>
    <w:p w14:paraId="37EE94AB">
      <w:pPr>
        <w:adjustRightInd w:val="0"/>
        <w:jc w:val="center"/>
        <w:rPr>
          <w:sz w:val="28"/>
          <w:szCs w:val="28"/>
        </w:rPr>
      </w:pPr>
    </w:p>
    <w:p w14:paraId="0E8FE9C0">
      <w:pPr>
        <w:widowControl/>
        <w:jc w:val="left"/>
        <w:rPr>
          <w:sz w:val="48"/>
          <w:szCs w:val="48"/>
        </w:rPr>
      </w:pPr>
    </w:p>
    <w:p w14:paraId="0EB8015D">
      <w:pPr>
        <w:widowControl/>
        <w:jc w:val="left"/>
        <w:rPr>
          <w:sz w:val="48"/>
          <w:szCs w:val="48"/>
        </w:rPr>
      </w:pPr>
    </w:p>
    <w:p w14:paraId="17A85BF3">
      <w:pPr>
        <w:widowControl/>
        <w:jc w:val="left"/>
        <w:rPr>
          <w:sz w:val="48"/>
          <w:szCs w:val="48"/>
        </w:rPr>
      </w:pPr>
    </w:p>
    <w:p w14:paraId="115C832B">
      <w:pPr>
        <w:widowControl/>
        <w:jc w:val="left"/>
        <w:rPr>
          <w:sz w:val="48"/>
          <w:szCs w:val="48"/>
        </w:rPr>
      </w:pPr>
    </w:p>
    <w:p w14:paraId="4A8841DB">
      <w:pPr>
        <w:widowControl/>
        <w:jc w:val="left"/>
        <w:rPr>
          <w:sz w:val="48"/>
          <w:szCs w:val="48"/>
        </w:rPr>
      </w:pPr>
    </w:p>
    <w:p w14:paraId="3078572F">
      <w:pPr>
        <w:widowControl/>
        <w:jc w:val="left"/>
        <w:rPr>
          <w:sz w:val="48"/>
          <w:szCs w:val="48"/>
        </w:rPr>
      </w:pPr>
    </w:p>
    <w:p w14:paraId="401BFEFD">
      <w:pPr>
        <w:adjustRightInd w:val="0"/>
        <w:spacing w:line="360" w:lineRule="auto"/>
        <w:jc w:val="center"/>
        <w:rPr>
          <w:rFonts w:ascii="仿宋" w:hAnsi="仿宋" w:eastAsia="仿宋"/>
          <w:sz w:val="32"/>
          <w:szCs w:val="32"/>
        </w:rPr>
        <w:sectPr>
          <w:footerReference r:id="rId3" w:type="default"/>
          <w:pgSz w:w="11906" w:h="16838"/>
          <w:pgMar w:top="1418" w:right="1134" w:bottom="1134" w:left="1418" w:header="851" w:footer="992" w:gutter="0"/>
          <w:cols w:space="720" w:num="1"/>
          <w:docGrid w:type="lines" w:linePitch="312" w:charSpace="0"/>
        </w:sectPr>
      </w:pPr>
      <w:r>
        <w:rPr>
          <w:rFonts w:hint="eastAsia" w:ascii="仿宋" w:hAnsi="仿宋" w:eastAsia="仿宋"/>
          <w:sz w:val="32"/>
          <w:szCs w:val="32"/>
        </w:rPr>
        <w:t>二〇二五年十二月</w:t>
      </w:r>
    </w:p>
    <w:p w14:paraId="60594114">
      <w:pPr>
        <w:adjustRightInd w:val="0"/>
        <w:spacing w:before="640" w:after="560" w:line="460" w:lineRule="exact"/>
        <w:jc w:val="center"/>
        <w:rPr>
          <w:rFonts w:ascii="宋体" w:hAnsi="宋体"/>
          <w:b/>
          <w:sz w:val="36"/>
          <w:szCs w:val="36"/>
        </w:rPr>
      </w:pPr>
      <w:r>
        <w:rPr>
          <w:rFonts w:ascii="宋体" w:hAnsi="宋体"/>
          <w:b/>
          <w:sz w:val="36"/>
          <w:szCs w:val="36"/>
        </w:rPr>
        <w:t>目</w:t>
      </w:r>
      <w:r>
        <w:rPr>
          <w:rFonts w:hint="eastAsia" w:ascii="宋体" w:hAnsi="宋体"/>
          <w:b/>
          <w:sz w:val="36"/>
          <w:szCs w:val="36"/>
        </w:rPr>
        <w:t xml:space="preserve">  </w:t>
      </w:r>
      <w:r>
        <w:rPr>
          <w:rFonts w:ascii="宋体" w:hAnsi="宋体"/>
          <w:b/>
          <w:sz w:val="36"/>
          <w:szCs w:val="36"/>
        </w:rPr>
        <w:t xml:space="preserve">  录</w:t>
      </w:r>
    </w:p>
    <w:p w14:paraId="3E637224">
      <w:pPr>
        <w:pStyle w:val="17"/>
        <w:spacing w:line="400" w:lineRule="exact"/>
        <w:rPr>
          <w:rFonts w:ascii="宋体" w:hAnsi="宋体" w:eastAsia="宋体" w:cs="Times New Roman"/>
          <w:sz w:val="24"/>
        </w:rPr>
      </w:pPr>
      <w:r>
        <w:rPr>
          <w:rFonts w:ascii="宋体" w:hAnsi="宋体" w:eastAsia="宋体" w:cs="Times New Roman"/>
          <w:b/>
          <w:sz w:val="24"/>
        </w:rPr>
        <w:fldChar w:fldCharType="begin"/>
      </w:r>
      <w:r>
        <w:rPr>
          <w:rFonts w:ascii="宋体" w:hAnsi="宋体" w:eastAsia="宋体"/>
          <w:b/>
          <w:sz w:val="24"/>
        </w:rPr>
        <w:instrText xml:space="preserve"> TOC \o "1-3" \h \z \u </w:instrText>
      </w:r>
      <w:r>
        <w:rPr>
          <w:rFonts w:ascii="宋体" w:hAnsi="宋体" w:eastAsia="宋体" w:cs="Times New Roman"/>
          <w:b/>
          <w:sz w:val="24"/>
        </w:rPr>
        <w:fldChar w:fldCharType="separate"/>
      </w: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HYPERLINK \l "_Toc469601970"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一、工作简况</w:t>
      </w:r>
      <w:r>
        <w:rPr>
          <w:rStyle w:val="24"/>
          <w:rFonts w:hint="eastAsia" w:ascii="宋体" w:hAnsi="宋体" w:eastAsia="宋体"/>
          <w:sz w:val="24"/>
          <w:lang w:val="en-US" w:eastAsia="zh-CN"/>
        </w:rPr>
        <w:tab/>
      </w: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PAGEREF _Toc469601970 \h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1</w:t>
      </w:r>
      <w:r>
        <w:rPr>
          <w:rStyle w:val="24"/>
          <w:rFonts w:hint="eastAsia" w:ascii="宋体" w:hAnsi="宋体" w:eastAsia="宋体"/>
          <w:sz w:val="24"/>
          <w:lang w:val="en-US" w:eastAsia="zh-CN"/>
        </w:rPr>
        <w:fldChar w:fldCharType="end"/>
      </w:r>
      <w:r>
        <w:rPr>
          <w:rStyle w:val="24"/>
          <w:rFonts w:hint="eastAsia" w:ascii="宋体" w:hAnsi="宋体" w:eastAsia="宋体"/>
          <w:sz w:val="24"/>
          <w:lang w:val="en-US" w:eastAsia="zh-CN"/>
        </w:rPr>
        <w:fldChar w:fldCharType="end"/>
      </w:r>
    </w:p>
    <w:p w14:paraId="176E2DF8">
      <w:pPr>
        <w:pStyle w:val="17"/>
        <w:spacing w:line="400" w:lineRule="exact"/>
        <w:rPr>
          <w:rStyle w:val="24"/>
          <w:rFonts w:hint="eastAsia" w:ascii="宋体" w:hAnsi="宋体" w:eastAsia="宋体"/>
          <w:sz w:val="24"/>
          <w:lang w:val="en-US" w:eastAsia="zh-CN"/>
        </w:rPr>
      </w:pP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HYPERLINK \l "_Toc469601971"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二、标准编制原则和确定标准主要内容的依据</w:t>
      </w:r>
      <w:r>
        <w:rPr>
          <w:rStyle w:val="24"/>
          <w:rFonts w:hint="eastAsia" w:ascii="宋体" w:hAnsi="宋体" w:eastAsia="宋体"/>
          <w:sz w:val="24"/>
          <w:lang w:val="en-US" w:eastAsia="zh-CN"/>
        </w:rPr>
        <w:tab/>
      </w:r>
      <w:r>
        <w:rPr>
          <w:rStyle w:val="24"/>
          <w:rFonts w:hint="eastAsia" w:ascii="宋体" w:hAnsi="宋体" w:eastAsia="宋体"/>
          <w:sz w:val="24"/>
          <w:lang w:val="en-US" w:eastAsia="zh-CN"/>
        </w:rPr>
        <w:t>7</w:t>
      </w:r>
      <w:r>
        <w:rPr>
          <w:rStyle w:val="24"/>
          <w:rFonts w:hint="eastAsia" w:ascii="宋体" w:hAnsi="宋体" w:eastAsia="宋体"/>
          <w:sz w:val="24"/>
          <w:lang w:val="en-US" w:eastAsia="zh-CN"/>
        </w:rPr>
        <w:fldChar w:fldCharType="end"/>
      </w:r>
    </w:p>
    <w:p w14:paraId="70AA4ADB">
      <w:pPr>
        <w:pStyle w:val="17"/>
        <w:spacing w:line="400" w:lineRule="exact"/>
        <w:rPr>
          <w:rStyle w:val="24"/>
          <w:rFonts w:hint="eastAsia" w:ascii="宋体" w:hAnsi="宋体" w:eastAsia="宋体"/>
          <w:sz w:val="24"/>
          <w:lang w:val="en-US" w:eastAsia="zh-CN"/>
        </w:rPr>
      </w:pP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HYPERLINK \l "_Toc469601972"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三、与相关法律、法规和标准的关系</w:t>
      </w:r>
      <w:r>
        <w:rPr>
          <w:rStyle w:val="24"/>
          <w:rFonts w:hint="eastAsia" w:ascii="宋体" w:hAnsi="宋体" w:eastAsia="宋体"/>
          <w:sz w:val="24"/>
          <w:lang w:val="en-US" w:eastAsia="zh-CN"/>
        </w:rPr>
        <w:tab/>
      </w:r>
      <w:r>
        <w:rPr>
          <w:rStyle w:val="24"/>
          <w:rFonts w:hint="eastAsia" w:ascii="宋体" w:hAnsi="宋体" w:eastAsia="宋体"/>
          <w:sz w:val="24"/>
          <w:lang w:val="en-US" w:eastAsia="zh-CN"/>
        </w:rPr>
        <w:t>1</w:t>
      </w:r>
      <w:r>
        <w:rPr>
          <w:rStyle w:val="24"/>
          <w:rFonts w:hint="eastAsia" w:ascii="宋体" w:hAnsi="宋体" w:eastAsia="宋体"/>
          <w:sz w:val="24"/>
          <w:lang w:val="en-US" w:eastAsia="zh-CN"/>
        </w:rPr>
        <w:fldChar w:fldCharType="end"/>
      </w:r>
      <w:r>
        <w:rPr>
          <w:rStyle w:val="24"/>
          <w:rFonts w:hint="eastAsia" w:ascii="宋体" w:hAnsi="宋体" w:eastAsia="宋体"/>
          <w:sz w:val="24"/>
          <w:lang w:val="en-US" w:eastAsia="zh-CN"/>
        </w:rPr>
        <w:t>1</w:t>
      </w:r>
    </w:p>
    <w:p w14:paraId="375AD975">
      <w:pPr>
        <w:pStyle w:val="17"/>
        <w:spacing w:line="400" w:lineRule="exact"/>
        <w:rPr>
          <w:rStyle w:val="24"/>
          <w:rFonts w:hint="eastAsia" w:ascii="宋体" w:hAnsi="宋体" w:eastAsia="宋体"/>
          <w:sz w:val="24"/>
          <w:lang w:val="en-US" w:eastAsia="zh-CN"/>
        </w:rPr>
      </w:pP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HYPERLINK \l "_Toc469601973"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四、重大意见的处理经过和依据</w:t>
      </w:r>
      <w:r>
        <w:rPr>
          <w:rStyle w:val="24"/>
          <w:rFonts w:hint="eastAsia" w:ascii="宋体" w:hAnsi="宋体" w:eastAsia="宋体"/>
          <w:sz w:val="24"/>
          <w:lang w:val="en-US" w:eastAsia="zh-CN"/>
        </w:rPr>
        <w:tab/>
      </w:r>
      <w:r>
        <w:rPr>
          <w:rStyle w:val="24"/>
          <w:rFonts w:hint="eastAsia" w:ascii="宋体" w:hAnsi="宋体" w:eastAsia="宋体"/>
          <w:sz w:val="24"/>
          <w:lang w:val="en-US" w:eastAsia="zh-CN"/>
        </w:rPr>
        <w:t>1</w:t>
      </w:r>
      <w:r>
        <w:rPr>
          <w:rStyle w:val="24"/>
          <w:rFonts w:hint="eastAsia" w:ascii="宋体" w:hAnsi="宋体" w:eastAsia="宋体"/>
          <w:sz w:val="24"/>
          <w:lang w:val="en-US" w:eastAsia="zh-CN"/>
        </w:rPr>
        <w:fldChar w:fldCharType="end"/>
      </w:r>
      <w:r>
        <w:rPr>
          <w:rStyle w:val="24"/>
          <w:rFonts w:hint="eastAsia" w:ascii="宋体" w:hAnsi="宋体" w:eastAsia="宋体"/>
          <w:sz w:val="24"/>
          <w:lang w:val="en-US" w:eastAsia="zh-CN"/>
        </w:rPr>
        <w:t>4</w:t>
      </w:r>
    </w:p>
    <w:p w14:paraId="1C31751B">
      <w:pPr>
        <w:pStyle w:val="17"/>
        <w:spacing w:line="400" w:lineRule="exact"/>
        <w:rPr>
          <w:rStyle w:val="24"/>
          <w:rFonts w:hint="eastAsia" w:ascii="宋体" w:hAnsi="宋体" w:eastAsia="宋体"/>
          <w:sz w:val="24"/>
          <w:lang w:val="en-US" w:eastAsia="zh-CN"/>
        </w:rPr>
      </w:pP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HYPERLINK \l "_Toc469601974"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五、作为国际标准的建议</w:t>
      </w:r>
      <w:r>
        <w:rPr>
          <w:rStyle w:val="24"/>
          <w:rFonts w:hint="eastAsia" w:ascii="宋体" w:hAnsi="宋体" w:eastAsia="宋体"/>
          <w:sz w:val="24"/>
          <w:lang w:val="en-US" w:eastAsia="zh-CN"/>
        </w:rPr>
        <w:tab/>
      </w:r>
      <w:r>
        <w:rPr>
          <w:rStyle w:val="24"/>
          <w:rFonts w:hint="eastAsia" w:ascii="宋体" w:hAnsi="宋体" w:eastAsia="宋体"/>
          <w:sz w:val="24"/>
          <w:lang w:val="en-US" w:eastAsia="zh-CN"/>
        </w:rPr>
        <w:t>1</w:t>
      </w:r>
      <w:r>
        <w:rPr>
          <w:rStyle w:val="24"/>
          <w:rFonts w:hint="eastAsia" w:ascii="宋体" w:hAnsi="宋体" w:eastAsia="宋体"/>
          <w:sz w:val="24"/>
          <w:lang w:val="en-US" w:eastAsia="zh-CN"/>
        </w:rPr>
        <w:fldChar w:fldCharType="end"/>
      </w:r>
      <w:r>
        <w:rPr>
          <w:rStyle w:val="24"/>
          <w:rFonts w:hint="eastAsia" w:ascii="宋体" w:hAnsi="宋体" w:eastAsia="宋体"/>
          <w:sz w:val="24"/>
          <w:lang w:val="en-US" w:eastAsia="zh-CN"/>
        </w:rPr>
        <w:t>7</w:t>
      </w:r>
    </w:p>
    <w:p w14:paraId="2CB6E3CC">
      <w:pPr>
        <w:pStyle w:val="17"/>
        <w:spacing w:line="400" w:lineRule="exact"/>
        <w:rPr>
          <w:rStyle w:val="24"/>
          <w:rFonts w:hint="eastAsia" w:ascii="宋体" w:hAnsi="宋体" w:eastAsia="宋体"/>
          <w:sz w:val="24"/>
          <w:lang w:val="en-US" w:eastAsia="zh-CN"/>
        </w:rPr>
      </w:pP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HYPERLINK \l "_Toc469601975"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六、贯彻标准的要求和措施建议</w:t>
      </w:r>
      <w:r>
        <w:rPr>
          <w:rStyle w:val="24"/>
          <w:rFonts w:hint="eastAsia" w:ascii="宋体" w:hAnsi="宋体" w:eastAsia="宋体"/>
          <w:sz w:val="24"/>
          <w:lang w:val="en-US" w:eastAsia="zh-CN"/>
        </w:rPr>
        <w:tab/>
      </w:r>
      <w:r>
        <w:rPr>
          <w:rStyle w:val="24"/>
          <w:rFonts w:hint="eastAsia" w:ascii="宋体" w:hAnsi="宋体" w:eastAsia="宋体"/>
          <w:sz w:val="24"/>
          <w:lang w:val="en-US" w:eastAsia="zh-CN"/>
        </w:rPr>
        <w:t>17</w:t>
      </w:r>
      <w:r>
        <w:rPr>
          <w:rStyle w:val="24"/>
          <w:rFonts w:hint="eastAsia" w:ascii="宋体" w:hAnsi="宋体" w:eastAsia="宋体"/>
          <w:sz w:val="24"/>
          <w:lang w:val="en-US" w:eastAsia="zh-CN"/>
        </w:rPr>
        <w:fldChar w:fldCharType="end"/>
      </w:r>
    </w:p>
    <w:p w14:paraId="7C858B61">
      <w:pPr>
        <w:pStyle w:val="17"/>
        <w:spacing w:line="400" w:lineRule="exact"/>
        <w:rPr>
          <w:rStyle w:val="24"/>
          <w:rFonts w:hint="eastAsia" w:ascii="宋体" w:hAnsi="宋体" w:eastAsia="宋体"/>
          <w:sz w:val="24"/>
          <w:lang w:val="en-US" w:eastAsia="zh-CN"/>
        </w:rPr>
      </w:pP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HYPERLINK \l "_Toc469601976"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七、应用时的促进和阻碍因素</w:t>
      </w:r>
      <w:r>
        <w:rPr>
          <w:rStyle w:val="24"/>
          <w:rFonts w:hint="eastAsia" w:ascii="宋体" w:hAnsi="宋体" w:eastAsia="宋体"/>
          <w:sz w:val="24"/>
          <w:lang w:val="en-US" w:eastAsia="zh-CN"/>
        </w:rPr>
        <w:tab/>
      </w:r>
      <w:r>
        <w:rPr>
          <w:rStyle w:val="24"/>
          <w:rFonts w:hint="eastAsia" w:ascii="宋体" w:hAnsi="宋体" w:eastAsia="宋体"/>
          <w:sz w:val="24"/>
          <w:lang w:val="en-US" w:eastAsia="zh-CN"/>
        </w:rPr>
        <w:t>17</w:t>
      </w:r>
      <w:r>
        <w:rPr>
          <w:rStyle w:val="24"/>
          <w:rFonts w:hint="eastAsia" w:ascii="宋体" w:hAnsi="宋体" w:eastAsia="宋体"/>
          <w:sz w:val="24"/>
          <w:lang w:val="en-US" w:eastAsia="zh-CN"/>
        </w:rPr>
        <w:fldChar w:fldCharType="end"/>
      </w:r>
    </w:p>
    <w:p w14:paraId="7FB826CA">
      <w:pPr>
        <w:pStyle w:val="17"/>
        <w:spacing w:line="400" w:lineRule="exact"/>
        <w:rPr>
          <w:rFonts w:hint="eastAsia" w:ascii="宋体" w:hAnsi="宋体" w:eastAsia="宋体" w:cs="Times New Roman"/>
          <w:sz w:val="24"/>
          <w:lang w:eastAsia="zh-CN"/>
        </w:rPr>
      </w:pPr>
      <w:r>
        <w:rPr>
          <w:rStyle w:val="24"/>
          <w:rFonts w:hint="eastAsia" w:ascii="宋体" w:hAnsi="宋体" w:eastAsia="宋体"/>
          <w:sz w:val="24"/>
          <w:lang w:val="en-US" w:eastAsia="zh-CN"/>
        </w:rPr>
        <w:fldChar w:fldCharType="begin"/>
      </w:r>
      <w:r>
        <w:rPr>
          <w:rStyle w:val="24"/>
          <w:rFonts w:hint="eastAsia" w:ascii="宋体" w:hAnsi="宋体" w:eastAsia="宋体"/>
          <w:sz w:val="24"/>
          <w:lang w:val="en-US" w:eastAsia="zh-CN"/>
        </w:rPr>
        <w:instrText xml:space="preserve"> HYPERLINK \l "_Toc469601978" </w:instrText>
      </w:r>
      <w:r>
        <w:rPr>
          <w:rStyle w:val="24"/>
          <w:rFonts w:hint="eastAsia" w:ascii="宋体" w:hAnsi="宋体" w:eastAsia="宋体"/>
          <w:sz w:val="24"/>
          <w:lang w:val="en-US" w:eastAsia="zh-CN"/>
        </w:rPr>
        <w:fldChar w:fldCharType="separate"/>
      </w:r>
      <w:r>
        <w:rPr>
          <w:rStyle w:val="24"/>
          <w:rFonts w:hint="eastAsia" w:ascii="宋体" w:hAnsi="宋体" w:eastAsia="宋体"/>
          <w:sz w:val="24"/>
          <w:lang w:val="en-US" w:eastAsia="zh-CN"/>
        </w:rPr>
        <w:t>八、应当说明的其他事项</w:t>
      </w:r>
      <w:r>
        <w:rPr>
          <w:rStyle w:val="24"/>
          <w:rFonts w:hint="eastAsia" w:ascii="宋体" w:hAnsi="宋体" w:eastAsia="宋体"/>
          <w:sz w:val="24"/>
          <w:lang w:val="en-US" w:eastAsia="zh-CN"/>
        </w:rPr>
        <w:tab/>
      </w:r>
      <w:r>
        <w:rPr>
          <w:rStyle w:val="24"/>
          <w:rFonts w:hint="eastAsia" w:ascii="宋体" w:hAnsi="宋体" w:eastAsia="宋体"/>
          <w:sz w:val="24"/>
          <w:lang w:val="en-US" w:eastAsia="zh-CN"/>
        </w:rPr>
        <w:t>1</w:t>
      </w:r>
      <w:r>
        <w:rPr>
          <w:rStyle w:val="24"/>
          <w:rFonts w:hint="eastAsia" w:ascii="宋体" w:hAnsi="宋体" w:eastAsia="宋体"/>
          <w:sz w:val="24"/>
          <w:lang w:val="en-US" w:eastAsia="zh-CN"/>
        </w:rPr>
        <w:fldChar w:fldCharType="end"/>
      </w:r>
      <w:r>
        <w:rPr>
          <w:rFonts w:hint="eastAsia" w:ascii="宋体" w:hAnsi="宋体" w:eastAsia="宋体"/>
          <w:sz w:val="24"/>
          <w:lang w:eastAsia="zh-CN"/>
        </w:rPr>
        <w:t>8</w:t>
      </w:r>
    </w:p>
    <w:p w14:paraId="2EA8C71D">
      <w:pPr>
        <w:pStyle w:val="17"/>
        <w:spacing w:line="400" w:lineRule="exact"/>
        <w:rPr>
          <w:rFonts w:hint="eastAsia" w:ascii="宋体" w:hAnsi="宋体" w:eastAsia="宋体" w:cs="Times New Roman"/>
          <w:sz w:val="24"/>
          <w:lang w:eastAsia="zh-CN"/>
        </w:rPr>
      </w:pPr>
      <w:r>
        <w:rPr>
          <w:rStyle w:val="24"/>
          <w:rFonts w:ascii="宋体" w:hAnsi="宋体" w:eastAsia="宋体"/>
          <w:sz w:val="24"/>
          <w:u w:val="none"/>
        </w:rPr>
        <w:t>附件</w:t>
      </w:r>
      <w:r>
        <w:rPr>
          <w:rStyle w:val="24"/>
          <w:rFonts w:hint="eastAsia" w:ascii="宋体" w:hAnsi="宋体" w:eastAsia="宋体"/>
          <w:sz w:val="24"/>
          <w:u w:val="none"/>
        </w:rPr>
        <w:t>1</w:t>
      </w:r>
      <w:r>
        <w:rPr>
          <w:rStyle w:val="24"/>
          <w:rFonts w:ascii="宋体" w:hAnsi="宋体" w:eastAsia="宋体"/>
          <w:sz w:val="24"/>
          <w:u w:val="none"/>
        </w:rPr>
        <w:t xml:space="preserve">  </w:t>
      </w:r>
      <w:r>
        <w:fldChar w:fldCharType="begin"/>
      </w:r>
      <w:r>
        <w:instrText xml:space="preserve"> HYPERLINK \l "_Toc469601979" </w:instrText>
      </w:r>
      <w:r>
        <w:fldChar w:fldCharType="separate"/>
      </w:r>
      <w:r>
        <w:rPr>
          <w:rStyle w:val="24"/>
          <w:rFonts w:hint="eastAsia" w:ascii="宋体" w:hAnsi="宋体" w:eastAsia="宋体"/>
          <w:sz w:val="24"/>
          <w:u w:val="none"/>
        </w:rPr>
        <w:t>专家调查问卷报告</w:t>
      </w:r>
      <w:r>
        <w:rPr>
          <w:rFonts w:ascii="宋体" w:hAnsi="宋体" w:eastAsia="宋体"/>
          <w:sz w:val="24"/>
        </w:rPr>
        <w:tab/>
      </w:r>
      <w:r>
        <w:rPr>
          <w:rFonts w:ascii="宋体" w:hAnsi="宋体" w:eastAsia="宋体"/>
          <w:sz w:val="24"/>
        </w:rPr>
        <w:t>1</w:t>
      </w:r>
      <w:r>
        <w:rPr>
          <w:rFonts w:ascii="宋体" w:hAnsi="宋体" w:eastAsia="宋体"/>
          <w:sz w:val="24"/>
        </w:rPr>
        <w:fldChar w:fldCharType="end"/>
      </w:r>
      <w:r>
        <w:rPr>
          <w:rFonts w:hint="eastAsia" w:ascii="宋体" w:hAnsi="宋体" w:eastAsia="宋体"/>
          <w:sz w:val="24"/>
          <w:lang w:eastAsia="zh-CN"/>
        </w:rPr>
        <w:t>9</w:t>
      </w:r>
    </w:p>
    <w:p w14:paraId="26E28E56">
      <w:pPr>
        <w:pStyle w:val="17"/>
        <w:spacing w:line="400" w:lineRule="exact"/>
        <w:rPr>
          <w:rFonts w:hint="eastAsia" w:ascii="宋体" w:hAnsi="宋体" w:eastAsia="宋体" w:cs="Times New Roman"/>
          <w:sz w:val="24"/>
          <w:lang w:val="en-US" w:eastAsia="zh-CN"/>
        </w:rPr>
      </w:pPr>
      <w:r>
        <w:rPr>
          <w:rStyle w:val="24"/>
          <w:rFonts w:ascii="宋体" w:hAnsi="宋体" w:eastAsia="宋体"/>
          <w:sz w:val="24"/>
          <w:u w:val="none"/>
        </w:rPr>
        <w:t>附件</w:t>
      </w:r>
      <w:r>
        <w:rPr>
          <w:rStyle w:val="24"/>
          <w:rFonts w:hint="eastAsia" w:ascii="宋体" w:hAnsi="宋体" w:eastAsia="宋体"/>
          <w:sz w:val="24"/>
          <w:u w:val="none"/>
        </w:rPr>
        <w:t>2</w:t>
      </w:r>
      <w:r>
        <w:rPr>
          <w:rStyle w:val="24"/>
          <w:rFonts w:ascii="宋体" w:hAnsi="宋体" w:eastAsia="宋体"/>
          <w:sz w:val="24"/>
          <w:u w:val="none"/>
        </w:rPr>
        <w:t xml:space="preserve">  </w:t>
      </w:r>
      <w:r>
        <w:fldChar w:fldCharType="begin"/>
      </w:r>
      <w:r>
        <w:instrText xml:space="preserve"> HYPERLINK \l "_Toc469601980" </w:instrText>
      </w:r>
      <w:r>
        <w:fldChar w:fldCharType="separate"/>
      </w:r>
      <w:r>
        <w:rPr>
          <w:rStyle w:val="24"/>
          <w:rFonts w:hint="eastAsia" w:ascii="宋体" w:hAnsi="宋体" w:eastAsia="宋体"/>
          <w:sz w:val="24"/>
          <w:u w:val="none"/>
        </w:rPr>
        <w:t>专家论证会会议纪要</w:t>
      </w:r>
      <w:r>
        <w:rPr>
          <w:rFonts w:ascii="宋体" w:hAnsi="宋体" w:eastAsia="宋体"/>
          <w:sz w:val="24"/>
        </w:rPr>
        <w:tab/>
      </w:r>
      <w:r>
        <w:rPr>
          <w:rFonts w:ascii="宋体" w:hAnsi="宋体" w:eastAsia="宋体"/>
          <w:sz w:val="24"/>
        </w:rPr>
        <w:fldChar w:fldCharType="begin"/>
      </w:r>
      <w:r>
        <w:rPr>
          <w:rFonts w:ascii="宋体" w:hAnsi="宋体" w:eastAsia="宋体"/>
          <w:sz w:val="24"/>
        </w:rPr>
        <w:instrText xml:space="preserve"> PAGEREF _Toc469601980 \h </w:instrText>
      </w:r>
      <w:r>
        <w:rPr>
          <w:rFonts w:ascii="宋体" w:hAnsi="宋体" w:eastAsia="宋体"/>
          <w:sz w:val="24"/>
        </w:rPr>
        <w:fldChar w:fldCharType="separate"/>
      </w:r>
      <w:r>
        <w:rPr>
          <w:rFonts w:hint="eastAsia" w:ascii="宋体" w:hAnsi="宋体" w:eastAsia="宋体"/>
          <w:sz w:val="24"/>
          <w:lang w:eastAsia="zh-CN"/>
        </w:rPr>
        <w:t>5</w:t>
      </w:r>
      <w:r>
        <w:rPr>
          <w:rFonts w:ascii="宋体" w:hAnsi="宋体" w:eastAsia="宋体"/>
          <w:sz w:val="24"/>
        </w:rPr>
        <w:fldChar w:fldCharType="end"/>
      </w:r>
      <w:r>
        <w:rPr>
          <w:rFonts w:ascii="宋体" w:hAnsi="宋体" w:eastAsia="宋体"/>
          <w:sz w:val="24"/>
        </w:rPr>
        <w:fldChar w:fldCharType="end"/>
      </w:r>
      <w:r>
        <w:rPr>
          <w:rFonts w:hint="eastAsia" w:ascii="宋体" w:hAnsi="宋体" w:eastAsia="宋体"/>
          <w:sz w:val="24"/>
          <w:lang w:val="en-US" w:eastAsia="zh-CN"/>
        </w:rPr>
        <w:t>0</w:t>
      </w:r>
    </w:p>
    <w:p w14:paraId="08AF8EC4">
      <w:pPr>
        <w:pStyle w:val="17"/>
        <w:spacing w:line="400" w:lineRule="exact"/>
        <w:rPr>
          <w:rFonts w:ascii="宋体" w:hAnsi="宋体" w:eastAsia="宋体"/>
          <w:sz w:val="24"/>
        </w:rPr>
      </w:pPr>
      <w:r>
        <w:rPr>
          <w:rStyle w:val="24"/>
          <w:rFonts w:ascii="宋体" w:hAnsi="宋体" w:eastAsia="宋体"/>
          <w:sz w:val="24"/>
          <w:u w:val="none"/>
        </w:rPr>
        <w:t>附件</w:t>
      </w:r>
      <w:r>
        <w:rPr>
          <w:rStyle w:val="24"/>
          <w:rFonts w:hint="eastAsia" w:ascii="宋体" w:hAnsi="宋体" w:eastAsia="宋体"/>
          <w:sz w:val="24"/>
          <w:u w:val="none"/>
        </w:rPr>
        <w:t>3</w:t>
      </w:r>
      <w:r>
        <w:rPr>
          <w:rStyle w:val="24"/>
          <w:rFonts w:ascii="宋体" w:hAnsi="宋体" w:eastAsia="宋体"/>
          <w:sz w:val="24"/>
          <w:u w:val="none"/>
        </w:rPr>
        <w:t xml:space="preserve">  </w:t>
      </w:r>
      <w:r>
        <w:fldChar w:fldCharType="begin"/>
      </w:r>
      <w:r>
        <w:instrText xml:space="preserve"> HYPERLINK \l "_Toc469601984" </w:instrText>
      </w:r>
      <w:r>
        <w:fldChar w:fldCharType="separate"/>
      </w:r>
      <w:r>
        <w:rPr>
          <w:rStyle w:val="24"/>
          <w:rFonts w:hint="eastAsia" w:ascii="宋体" w:hAnsi="宋体" w:eastAsia="宋体"/>
          <w:sz w:val="24"/>
        </w:rPr>
        <w:t>专家指导组审核总结</w:t>
      </w:r>
      <w:r>
        <w:rPr>
          <w:rFonts w:ascii="宋体" w:hAnsi="宋体" w:eastAsia="宋体"/>
          <w:sz w:val="24"/>
        </w:rPr>
        <w:tab/>
      </w:r>
      <w:r>
        <w:rPr>
          <w:rFonts w:hint="eastAsia" w:ascii="宋体" w:hAnsi="宋体" w:eastAsia="宋体"/>
          <w:sz w:val="24"/>
          <w:lang w:eastAsia="zh-CN"/>
        </w:rPr>
        <w:t>6</w:t>
      </w:r>
      <w:r>
        <w:rPr>
          <w:rFonts w:ascii="宋体" w:hAnsi="宋体" w:eastAsia="宋体"/>
          <w:sz w:val="24"/>
        </w:rPr>
        <w:t>3</w:t>
      </w:r>
      <w:r>
        <w:rPr>
          <w:rFonts w:ascii="宋体" w:hAnsi="宋体" w:eastAsia="宋体"/>
          <w:sz w:val="24"/>
        </w:rPr>
        <w:fldChar w:fldCharType="end"/>
      </w:r>
    </w:p>
    <w:p w14:paraId="44A4120D">
      <w:pPr>
        <w:rPr>
          <w:lang/>
        </w:rPr>
      </w:pPr>
    </w:p>
    <w:p w14:paraId="39109624">
      <w:pPr>
        <w:jc w:val="center"/>
        <w:rPr>
          <w:rFonts w:ascii="仿宋_GB2312" w:hAnsi="宋体" w:cs="宋体"/>
          <w:b/>
          <w:bCs/>
          <w:color w:val="000000"/>
          <w:kern w:val="0"/>
          <w:sz w:val="36"/>
          <w:szCs w:val="36"/>
        </w:rPr>
        <w:sectPr>
          <w:footerReference r:id="rId4" w:type="default"/>
          <w:pgSz w:w="11906" w:h="16838"/>
          <w:pgMar w:top="1418" w:right="1134" w:bottom="1134" w:left="1418" w:header="851" w:footer="992" w:gutter="0"/>
          <w:cols w:space="720" w:num="1"/>
          <w:docGrid w:type="lines" w:linePitch="312" w:charSpace="0"/>
        </w:sectPr>
      </w:pPr>
      <w:r>
        <w:rPr>
          <w:rFonts w:ascii="宋体" w:hAnsi="宋体"/>
          <w:b/>
          <w:sz w:val="24"/>
          <w:szCs w:val="24"/>
        </w:rPr>
        <w:fldChar w:fldCharType="end"/>
      </w:r>
    </w:p>
    <w:p w14:paraId="1C11D59B">
      <w:pPr>
        <w:spacing w:after="93" w:afterLines="30"/>
        <w:jc w:val="center"/>
        <w:rPr>
          <w:rFonts w:hint="eastAsia" w:ascii="仿宋_GB2312" w:hAnsi="宋体" w:cs="宋体"/>
          <w:b/>
          <w:bCs/>
          <w:kern w:val="0"/>
          <w:sz w:val="36"/>
          <w:szCs w:val="36"/>
        </w:rPr>
      </w:pPr>
      <w:r>
        <w:rPr>
          <w:rFonts w:hint="eastAsia" w:ascii="仿宋_GB2312" w:hAnsi="宋体" w:cs="宋体"/>
          <w:b/>
          <w:bCs/>
          <w:kern w:val="0"/>
          <w:sz w:val="36"/>
          <w:szCs w:val="36"/>
        </w:rPr>
        <w:t xml:space="preserve">国际中医技术操作规范  儿科  </w:t>
      </w:r>
    </w:p>
    <w:p w14:paraId="0DAA7C3F">
      <w:pPr>
        <w:spacing w:after="312" w:afterLines="100"/>
        <w:jc w:val="center"/>
        <w:rPr>
          <w:rFonts w:hint="default" w:ascii="仿宋_GB2312" w:hAnsi="宋体" w:eastAsia="宋体" w:cs="宋体"/>
          <w:b/>
          <w:bCs/>
          <w:kern w:val="0"/>
          <w:sz w:val="36"/>
          <w:szCs w:val="36"/>
          <w:lang w:val="en-US" w:eastAsia="zh-CN"/>
        </w:rPr>
      </w:pPr>
      <w:r>
        <w:rPr>
          <w:rFonts w:hint="eastAsia" w:ascii="仿宋_GB2312" w:hAnsi="宋体" w:cs="宋体"/>
          <w:b/>
          <w:bCs/>
          <w:kern w:val="0"/>
          <w:sz w:val="36"/>
          <w:szCs w:val="36"/>
        </w:rPr>
        <w:t>第</w:t>
      </w:r>
      <w:r>
        <w:rPr>
          <w:rFonts w:hint="eastAsia" w:ascii="仿宋_GB2312" w:hAnsi="宋体" w:cs="宋体"/>
          <w:b/>
          <w:bCs/>
          <w:kern w:val="0"/>
          <w:sz w:val="36"/>
          <w:szCs w:val="36"/>
          <w:lang w:val="en-US" w:eastAsia="zh-CN"/>
        </w:rPr>
        <w:t>4</w:t>
      </w:r>
      <w:r>
        <w:rPr>
          <w:rFonts w:hint="eastAsia" w:ascii="仿宋_GB2312" w:hAnsi="宋体" w:cs="宋体"/>
          <w:b/>
          <w:bCs/>
          <w:kern w:val="0"/>
          <w:sz w:val="36"/>
          <w:szCs w:val="36"/>
        </w:rPr>
        <w:t>部分：小儿</w:t>
      </w:r>
      <w:r>
        <w:rPr>
          <w:rFonts w:hint="eastAsia" w:ascii="仿宋_GB2312" w:hAnsi="宋体" w:cs="宋体"/>
          <w:b/>
          <w:bCs/>
          <w:kern w:val="0"/>
          <w:sz w:val="36"/>
          <w:szCs w:val="36"/>
          <w:lang w:val="en-US" w:eastAsia="zh-CN"/>
        </w:rPr>
        <w:t>推拿疗法</w:t>
      </w:r>
    </w:p>
    <w:p w14:paraId="6DC35AF6">
      <w:pPr>
        <w:spacing w:after="312" w:afterLines="100"/>
        <w:jc w:val="center"/>
        <w:rPr>
          <w:rFonts w:ascii="仿宋_GB2312" w:hAnsi="宋体" w:cs="宋体"/>
          <w:b/>
          <w:bCs/>
          <w:kern w:val="0"/>
          <w:sz w:val="36"/>
          <w:szCs w:val="36"/>
        </w:rPr>
      </w:pPr>
      <w:r>
        <w:rPr>
          <w:rFonts w:hint="eastAsia" w:ascii="仿宋_GB2312" w:hAnsi="宋体" w:cs="宋体"/>
          <w:b/>
          <w:bCs/>
          <w:kern w:val="0"/>
          <w:sz w:val="36"/>
          <w:szCs w:val="36"/>
        </w:rPr>
        <w:t>编制说明</w:t>
      </w:r>
    </w:p>
    <w:p w14:paraId="5B0C1E74">
      <w:pPr>
        <w:spacing w:line="400" w:lineRule="exact"/>
        <w:ind w:firstLine="480" w:firstLineChars="200"/>
        <w:rPr>
          <w:rFonts w:ascii="仿宋" w:hAnsi="仿宋" w:eastAsia="仿宋"/>
          <w:sz w:val="24"/>
          <w:szCs w:val="24"/>
        </w:rPr>
      </w:pPr>
      <w:r>
        <w:rPr>
          <w:rFonts w:hint="eastAsia" w:ascii="仿宋" w:hAnsi="仿宋" w:eastAsia="仿宋"/>
          <w:sz w:val="24"/>
          <w:szCs w:val="24"/>
        </w:rPr>
        <w:t>《国际中医技术操作规范 儿科 第</w:t>
      </w:r>
      <w:r>
        <w:rPr>
          <w:rFonts w:hint="eastAsia" w:ascii="仿宋" w:hAnsi="仿宋" w:eastAsia="仿宋"/>
          <w:sz w:val="24"/>
          <w:szCs w:val="24"/>
          <w:lang w:val="en-US" w:eastAsia="zh-CN"/>
        </w:rPr>
        <w:t>4</w:t>
      </w:r>
      <w:r>
        <w:rPr>
          <w:rFonts w:hint="eastAsia" w:ascii="仿宋" w:hAnsi="仿宋" w:eastAsia="仿宋"/>
          <w:sz w:val="24"/>
          <w:szCs w:val="24"/>
        </w:rPr>
        <w:t>部分：小儿</w:t>
      </w:r>
      <w:r>
        <w:rPr>
          <w:rFonts w:hint="eastAsia" w:ascii="仿宋" w:hAnsi="仿宋" w:eastAsia="仿宋"/>
          <w:sz w:val="24"/>
          <w:szCs w:val="24"/>
          <w:lang w:val="en-US" w:eastAsia="zh-CN"/>
        </w:rPr>
        <w:t>推拿疗法</w:t>
      </w:r>
      <w:r>
        <w:rPr>
          <w:rFonts w:hint="eastAsia" w:ascii="仿宋" w:hAnsi="仿宋" w:eastAsia="仿宋"/>
          <w:sz w:val="24"/>
          <w:szCs w:val="24"/>
        </w:rPr>
        <w:t>》项目于2025年9月由世界中医药学会联合会国际标准制修订项目正式立项，南京中医药大学承担。2025年4月，世界中医药学会联合会（世界中联）启动将《国际中医技术操作规范 儿科 第</w:t>
      </w:r>
      <w:r>
        <w:rPr>
          <w:rFonts w:hint="eastAsia" w:ascii="仿宋" w:hAnsi="仿宋" w:eastAsia="仿宋"/>
          <w:sz w:val="24"/>
          <w:szCs w:val="24"/>
          <w:lang w:val="en-US" w:eastAsia="zh-CN"/>
        </w:rPr>
        <w:t>4</w:t>
      </w:r>
      <w:r>
        <w:rPr>
          <w:rFonts w:hint="eastAsia" w:ascii="仿宋" w:hAnsi="仿宋" w:eastAsia="仿宋"/>
          <w:sz w:val="24"/>
          <w:szCs w:val="24"/>
        </w:rPr>
        <w:t>部分：小儿</w:t>
      </w:r>
      <w:r>
        <w:rPr>
          <w:rFonts w:hint="eastAsia" w:ascii="仿宋" w:hAnsi="仿宋" w:eastAsia="仿宋"/>
          <w:sz w:val="24"/>
          <w:szCs w:val="24"/>
          <w:lang w:val="en-US" w:eastAsia="zh-CN"/>
        </w:rPr>
        <w:t>推拿疗法</w:t>
      </w:r>
      <w:r>
        <w:rPr>
          <w:rFonts w:hint="eastAsia" w:ascii="仿宋" w:hAnsi="仿宋" w:eastAsia="仿宋"/>
          <w:sz w:val="24"/>
          <w:szCs w:val="24"/>
        </w:rPr>
        <w:t>》国家标准转化为国际组织标准的工作，于2025年4月底成立了小儿</w:t>
      </w:r>
      <w:r>
        <w:rPr>
          <w:rFonts w:hint="eastAsia" w:ascii="仿宋" w:hAnsi="仿宋" w:eastAsia="仿宋"/>
          <w:sz w:val="24"/>
          <w:szCs w:val="24"/>
          <w:lang w:val="en-US" w:eastAsia="zh-CN"/>
        </w:rPr>
        <w:t>推拿疗法</w:t>
      </w:r>
      <w:r>
        <w:rPr>
          <w:rFonts w:hint="eastAsia" w:ascii="仿宋" w:hAnsi="仿宋" w:eastAsia="仿宋"/>
          <w:sz w:val="24"/>
          <w:szCs w:val="24"/>
        </w:rPr>
        <w:t>项目工作组，成员来自中国（包括中国台湾）、新加坡、马来西亚、澳大利亚、美国等国家和地区。项目工作组按照统一要求，开展了文献研究、专家问卷调查、专家论证会等工作，并在多次系统分析研究的基础上，按照世界中医药学会联合会国际标准化文件编写规则，完成了起草阶段工作，形成了</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的专家指导组审核稿，包括：前言、引言、范围、规范性引用文件、术语和定义、</w:t>
      </w:r>
      <w:r>
        <w:rPr>
          <w:rFonts w:hint="eastAsia" w:ascii="仿宋" w:hAnsi="仿宋" w:eastAsia="仿宋"/>
          <w:sz w:val="24"/>
          <w:szCs w:val="24"/>
          <w:lang w:val="en-US" w:eastAsia="zh-CN"/>
        </w:rPr>
        <w:t>操作步骤与要求</w:t>
      </w:r>
      <w:r>
        <w:rPr>
          <w:rFonts w:hint="eastAsia" w:ascii="仿宋" w:hAnsi="仿宋" w:eastAsia="仿宋"/>
          <w:sz w:val="24"/>
          <w:szCs w:val="24"/>
        </w:rPr>
        <w:t>、注意事项和禁忌、附录及参考文献等部分。经专家指导组审核通过后，形成送审稿，于2025年12月提交世界中医药学会联合会国际标准部组织审查。</w:t>
      </w:r>
    </w:p>
    <w:p w14:paraId="74EBABB1">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现就</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编制情况作如下说明。</w:t>
      </w:r>
    </w:p>
    <w:p w14:paraId="1F95B6B3">
      <w:pPr>
        <w:pStyle w:val="3"/>
        <w:spacing w:before="0" w:after="0" w:line="400" w:lineRule="exact"/>
        <w:rPr>
          <w:rFonts w:hint="eastAsia" w:ascii="黑体" w:hAnsi="黑体" w:eastAsia="黑体"/>
          <w:sz w:val="24"/>
          <w:szCs w:val="24"/>
        </w:rPr>
      </w:pPr>
      <w:r>
        <w:rPr>
          <w:rFonts w:hint="eastAsia" w:ascii="黑体" w:hAnsi="黑体" w:eastAsia="黑体"/>
          <w:sz w:val="24"/>
          <w:szCs w:val="24"/>
        </w:rPr>
        <w:t>一、工作简况</w:t>
      </w:r>
    </w:p>
    <w:p w14:paraId="518FF34B">
      <w:pPr>
        <w:spacing w:line="400" w:lineRule="exact"/>
        <w:rPr>
          <w:rFonts w:hint="eastAsia" w:ascii="仿宋" w:hAnsi="仿宋" w:eastAsia="仿宋"/>
          <w:sz w:val="24"/>
          <w:szCs w:val="24"/>
        </w:rPr>
      </w:pPr>
      <w:r>
        <w:rPr>
          <w:rFonts w:hint="eastAsia" w:ascii="仿宋" w:hAnsi="仿宋" w:eastAsia="仿宋"/>
          <w:b/>
          <w:sz w:val="24"/>
          <w:szCs w:val="24"/>
        </w:rPr>
        <w:t xml:space="preserve">（一）任务来源 </w:t>
      </w:r>
    </w:p>
    <w:p w14:paraId="784B9317">
      <w:pPr>
        <w:spacing w:line="400" w:lineRule="exact"/>
        <w:ind w:firstLine="480" w:firstLineChars="200"/>
        <w:rPr>
          <w:rFonts w:ascii="仿宋" w:hAnsi="仿宋" w:eastAsia="仿宋"/>
          <w:sz w:val="24"/>
          <w:szCs w:val="24"/>
        </w:rPr>
      </w:pPr>
      <w:r>
        <w:rPr>
          <w:rFonts w:hint="eastAsia" w:ascii="仿宋" w:hAnsi="仿宋" w:eastAsia="仿宋"/>
          <w:sz w:val="24"/>
          <w:szCs w:val="24"/>
        </w:rPr>
        <w:t>2021年11月国家标准化管理委员会发布《中医技术操作规范 儿科 第</w:t>
      </w:r>
      <w:r>
        <w:rPr>
          <w:rFonts w:hint="eastAsia" w:ascii="仿宋" w:hAnsi="仿宋" w:eastAsia="仿宋"/>
          <w:sz w:val="24"/>
          <w:szCs w:val="24"/>
          <w:lang w:val="en-US" w:eastAsia="zh-CN"/>
        </w:rPr>
        <w:t>4</w:t>
      </w:r>
      <w:r>
        <w:rPr>
          <w:rFonts w:hint="eastAsia" w:ascii="仿宋" w:hAnsi="仿宋" w:eastAsia="仿宋"/>
          <w:sz w:val="24"/>
          <w:szCs w:val="24"/>
        </w:rPr>
        <w:t>部分：</w:t>
      </w:r>
      <w:r>
        <w:rPr>
          <w:rFonts w:hint="eastAsia" w:ascii="仿宋" w:hAnsi="仿宋" w:eastAsia="仿宋"/>
          <w:sz w:val="24"/>
          <w:szCs w:val="24"/>
          <w:lang w:eastAsia="zh-CN"/>
        </w:rPr>
        <w:t>小儿推拿疗法</w:t>
      </w:r>
      <w:r>
        <w:rPr>
          <w:rFonts w:hint="eastAsia" w:ascii="仿宋" w:hAnsi="仿宋" w:eastAsia="仿宋"/>
          <w:sz w:val="24"/>
          <w:szCs w:val="24"/>
        </w:rPr>
        <w:t>》（GB/Z 40893.</w:t>
      </w:r>
      <w:r>
        <w:rPr>
          <w:rFonts w:hint="eastAsia" w:ascii="仿宋" w:hAnsi="仿宋" w:eastAsia="仿宋"/>
          <w:sz w:val="24"/>
          <w:szCs w:val="24"/>
          <w:lang w:val="en-US" w:eastAsia="zh-CN"/>
        </w:rPr>
        <w:t>4</w:t>
      </w:r>
      <w:r>
        <w:rPr>
          <w:rFonts w:hint="eastAsia" w:ascii="仿宋" w:hAnsi="仿宋" w:eastAsia="仿宋"/>
          <w:sz w:val="24"/>
          <w:szCs w:val="24"/>
        </w:rPr>
        <w:t>-2021），作为指导性技术文件。该标准旨在规范</w:t>
      </w:r>
      <w:r>
        <w:rPr>
          <w:rFonts w:hint="eastAsia" w:ascii="仿宋" w:hAnsi="仿宋" w:eastAsia="仿宋"/>
          <w:sz w:val="24"/>
          <w:szCs w:val="24"/>
          <w:lang w:val="en-US" w:eastAsia="zh-CN"/>
        </w:rPr>
        <w:t>小儿推拿</w:t>
      </w:r>
      <w:r>
        <w:rPr>
          <w:rFonts w:hint="eastAsia" w:ascii="仿宋" w:hAnsi="仿宋" w:eastAsia="仿宋"/>
          <w:sz w:val="24"/>
          <w:szCs w:val="24"/>
        </w:rPr>
        <w:t>的操作步骤与要求，并明确注意事项与禁忌。2025年4月，世界中联计划将该国家标准转化为国际组织标准。照SCM 1.1-2021《标准化工作导则  第1部分：标准制修订与发布》要求，在世界中医药学会联合会国际标准部及专家指导组指导下，于2025年4月底成立了</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项目工作组，成员来自中国（包括中国台湾）、新加坡、马来西亚、澳大利亚、美国5个国家。2025年9月，本项目作为世界中联国际标准制修订项目正式立项，项目承担及起草单位为南京中医药大学，项目负责人</w:t>
      </w:r>
      <w:r>
        <w:rPr>
          <w:rFonts w:hint="eastAsia" w:ascii="仿宋" w:hAnsi="仿宋" w:eastAsia="仿宋"/>
          <w:sz w:val="24"/>
          <w:szCs w:val="24"/>
          <w:lang w:val="en-US" w:eastAsia="zh-CN"/>
        </w:rPr>
        <w:t>李江全</w:t>
      </w:r>
      <w:r>
        <w:rPr>
          <w:rFonts w:hint="eastAsia" w:ascii="仿宋" w:hAnsi="仿宋" w:eastAsia="仿宋"/>
          <w:sz w:val="24"/>
          <w:szCs w:val="24"/>
        </w:rPr>
        <w:t>，项目计划2025年年底完成。</w:t>
      </w:r>
    </w:p>
    <w:p w14:paraId="23EDDE10">
      <w:pPr>
        <w:spacing w:line="400" w:lineRule="exact"/>
        <w:ind w:firstLine="420"/>
        <w:rPr>
          <w:rFonts w:ascii="仿宋" w:hAnsi="仿宋" w:eastAsia="仿宋"/>
          <w:sz w:val="24"/>
          <w:szCs w:val="24"/>
        </w:rPr>
      </w:pPr>
      <w:r>
        <w:rPr>
          <w:rFonts w:hint="eastAsia" w:ascii="仿宋" w:hAnsi="仿宋" w:eastAsia="仿宋"/>
          <w:sz w:val="24"/>
          <w:szCs w:val="24"/>
        </w:rPr>
        <w:t>本标准的转化工作由世界中医药学会联合会统一指导、管理和监督，由国内多名中医</w:t>
      </w:r>
      <w:r>
        <w:rPr>
          <w:rFonts w:hint="eastAsia" w:ascii="仿宋" w:hAnsi="仿宋" w:eastAsia="仿宋"/>
          <w:sz w:val="24"/>
          <w:szCs w:val="24"/>
          <w:lang w:val="en-US" w:eastAsia="zh-CN"/>
        </w:rPr>
        <w:t>儿科</w:t>
      </w:r>
      <w:r>
        <w:rPr>
          <w:rFonts w:hint="eastAsia" w:ascii="仿宋" w:hAnsi="仿宋" w:eastAsia="仿宋"/>
          <w:sz w:val="24"/>
          <w:szCs w:val="24"/>
        </w:rPr>
        <w:t>、中西医结合儿科</w:t>
      </w:r>
      <w:r>
        <w:rPr>
          <w:rFonts w:hint="eastAsia" w:ascii="仿宋" w:hAnsi="仿宋" w:eastAsia="仿宋"/>
          <w:sz w:val="24"/>
          <w:szCs w:val="24"/>
          <w:lang w:eastAsia="zh-CN"/>
        </w:rPr>
        <w:t>、</w:t>
      </w:r>
      <w:r>
        <w:rPr>
          <w:rFonts w:hint="eastAsia" w:ascii="仿宋" w:hAnsi="仿宋" w:eastAsia="仿宋"/>
          <w:sz w:val="24"/>
          <w:szCs w:val="24"/>
          <w:lang w:val="en-US" w:eastAsia="zh-CN"/>
        </w:rPr>
        <w:t>小儿推拿</w:t>
      </w:r>
      <w:r>
        <w:rPr>
          <w:rFonts w:hint="eastAsia" w:ascii="仿宋" w:hAnsi="仿宋" w:eastAsia="仿宋"/>
          <w:sz w:val="24"/>
          <w:szCs w:val="24"/>
        </w:rPr>
        <w:t>专家提供技术指导，世界中联国际标准部负责项目执行督导，确保标准研制符合世界中医药学会联合会国际标准制修订管理办法等相关规范。</w:t>
      </w:r>
    </w:p>
    <w:p w14:paraId="0CD0D6A9">
      <w:pPr>
        <w:spacing w:line="400" w:lineRule="exact"/>
        <w:rPr>
          <w:rFonts w:hint="eastAsia" w:ascii="仿宋" w:hAnsi="仿宋" w:eastAsia="仿宋"/>
          <w:sz w:val="24"/>
          <w:szCs w:val="24"/>
        </w:rPr>
      </w:pPr>
      <w:r>
        <w:rPr>
          <w:rFonts w:hint="eastAsia" w:ascii="仿宋" w:hAnsi="仿宋" w:eastAsia="仿宋"/>
          <w:b/>
          <w:sz w:val="24"/>
          <w:szCs w:val="24"/>
        </w:rPr>
        <w:t>（二）起草单位</w:t>
      </w:r>
    </w:p>
    <w:p w14:paraId="43913838">
      <w:pPr>
        <w:spacing w:line="400" w:lineRule="exact"/>
        <w:ind w:firstLine="480" w:firstLineChars="200"/>
        <w:rPr>
          <w:rFonts w:ascii="仿宋" w:hAnsi="仿宋" w:eastAsia="仿宋"/>
          <w:sz w:val="24"/>
          <w:szCs w:val="24"/>
        </w:rPr>
      </w:pPr>
      <w:r>
        <w:rPr>
          <w:rFonts w:hint="eastAsia" w:ascii="仿宋" w:hAnsi="仿宋" w:eastAsia="仿宋"/>
          <w:sz w:val="24"/>
          <w:szCs w:val="24"/>
        </w:rPr>
        <w:t>主要起草单位：南京中医药大学附属医院。</w:t>
      </w:r>
    </w:p>
    <w:p w14:paraId="382A60FF">
      <w:pPr>
        <w:spacing w:line="400" w:lineRule="exact"/>
        <w:ind w:firstLine="480" w:firstLineChars="200"/>
        <w:rPr>
          <w:rFonts w:ascii="仿宋" w:hAnsi="仿宋" w:eastAsia="仿宋"/>
          <w:sz w:val="24"/>
          <w:szCs w:val="24"/>
        </w:rPr>
      </w:pPr>
      <w:r>
        <w:rPr>
          <w:rFonts w:hint="eastAsia" w:ascii="仿宋" w:hAnsi="仿宋" w:eastAsia="仿宋"/>
          <w:sz w:val="24"/>
          <w:szCs w:val="24"/>
        </w:rPr>
        <w:t>参与起草单位：南京市浦口区中医院，新加坡中医研究院，马来西亚柔佛慈善中医院，澳大利亚奋进自然健康学院，厦门长庚医院。</w:t>
      </w:r>
    </w:p>
    <w:p w14:paraId="655ED7CD">
      <w:pPr>
        <w:spacing w:line="400" w:lineRule="exact"/>
        <w:rPr>
          <w:rFonts w:hint="eastAsia" w:ascii="仿宋" w:hAnsi="仿宋" w:eastAsia="仿宋"/>
          <w:sz w:val="24"/>
          <w:szCs w:val="24"/>
        </w:rPr>
      </w:pPr>
      <w:r>
        <w:rPr>
          <w:rFonts w:hint="eastAsia" w:ascii="仿宋" w:hAnsi="仿宋" w:eastAsia="仿宋"/>
          <w:b/>
          <w:sz w:val="24"/>
          <w:szCs w:val="24"/>
        </w:rPr>
        <w:t>（三）标准起草相关专家</w:t>
      </w:r>
    </w:p>
    <w:p w14:paraId="7CE507B9">
      <w:pPr>
        <w:spacing w:line="400" w:lineRule="exact"/>
        <w:ind w:firstLine="480" w:firstLineChars="200"/>
        <w:rPr>
          <w:rFonts w:hint="eastAsia" w:ascii="仿宋" w:hAnsi="仿宋" w:eastAsia="仿宋"/>
          <w:color w:val="7030A0"/>
          <w:sz w:val="24"/>
          <w:szCs w:val="24"/>
        </w:rPr>
      </w:pPr>
      <w:r>
        <w:rPr>
          <w:rFonts w:hint="eastAsia" w:ascii="仿宋" w:hAnsi="仿宋" w:eastAsia="仿宋" w:cs="Calibri"/>
          <w:sz w:val="24"/>
          <w:szCs w:val="24"/>
        </w:rPr>
        <w:t>本指南在儿科专家指导组的指导下编制。起草人员根据参与情况，分为主要起草人、参加起草人（以上为项目工作组成员）和咨询认证专家。相关人员信息及所做工作如下。</w:t>
      </w:r>
    </w:p>
    <w:p w14:paraId="3DA001D2">
      <w:pPr>
        <w:spacing w:line="400" w:lineRule="exact"/>
        <w:rPr>
          <w:rFonts w:hint="eastAsia" w:ascii="仿宋" w:hAnsi="仿宋" w:eastAsia="仿宋"/>
          <w:b/>
          <w:sz w:val="24"/>
          <w:szCs w:val="24"/>
        </w:rPr>
      </w:pPr>
      <w:r>
        <w:rPr>
          <w:rFonts w:ascii="仿宋" w:hAnsi="仿宋" w:eastAsia="仿宋"/>
          <w:b/>
          <w:sz w:val="24"/>
          <w:szCs w:val="24"/>
        </w:rPr>
        <w:t xml:space="preserve">1  </w:t>
      </w:r>
      <w:r>
        <w:rPr>
          <w:rFonts w:hint="eastAsia" w:ascii="仿宋" w:hAnsi="仿宋" w:eastAsia="仿宋"/>
          <w:b/>
          <w:sz w:val="24"/>
          <w:szCs w:val="24"/>
        </w:rPr>
        <w:t>主要起草人</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4"/>
        <w:gridCol w:w="851"/>
        <w:gridCol w:w="1275"/>
        <w:gridCol w:w="2156"/>
        <w:gridCol w:w="3983"/>
      </w:tblGrid>
      <w:tr w14:paraId="3587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32E65CA8">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851" w:type="dxa"/>
            <w:noWrap w:val="0"/>
            <w:vAlign w:val="center"/>
          </w:tcPr>
          <w:p w14:paraId="05514BC9">
            <w:pPr>
              <w:jc w:val="center"/>
              <w:rPr>
                <w:rFonts w:ascii="仿宋" w:hAnsi="仿宋" w:eastAsia="仿宋"/>
                <w:szCs w:val="21"/>
              </w:rPr>
            </w:pPr>
            <w:r>
              <w:rPr>
                <w:rFonts w:hint="eastAsia" w:ascii="仿宋" w:hAnsi="仿宋" w:eastAsia="仿宋"/>
                <w:szCs w:val="21"/>
              </w:rPr>
              <w:t>学位</w:t>
            </w:r>
          </w:p>
        </w:tc>
        <w:tc>
          <w:tcPr>
            <w:tcW w:w="1275" w:type="dxa"/>
            <w:noWrap w:val="0"/>
            <w:vAlign w:val="center"/>
          </w:tcPr>
          <w:p w14:paraId="25E5BCD6">
            <w:pPr>
              <w:jc w:val="center"/>
              <w:rPr>
                <w:rFonts w:ascii="仿宋" w:hAnsi="仿宋" w:eastAsia="仿宋"/>
                <w:szCs w:val="21"/>
              </w:rPr>
            </w:pPr>
            <w:r>
              <w:rPr>
                <w:rFonts w:hint="eastAsia" w:ascii="仿宋" w:hAnsi="仿宋" w:eastAsia="仿宋"/>
                <w:szCs w:val="21"/>
              </w:rPr>
              <w:t>职  称</w:t>
            </w:r>
          </w:p>
        </w:tc>
        <w:tc>
          <w:tcPr>
            <w:tcW w:w="2156" w:type="dxa"/>
            <w:noWrap w:val="0"/>
            <w:vAlign w:val="center"/>
          </w:tcPr>
          <w:p w14:paraId="6C19AA70">
            <w:pPr>
              <w:jc w:val="center"/>
              <w:rPr>
                <w:rFonts w:ascii="仿宋" w:hAnsi="仿宋" w:eastAsia="仿宋"/>
                <w:szCs w:val="21"/>
              </w:rPr>
            </w:pPr>
            <w:r>
              <w:rPr>
                <w:rFonts w:hint="eastAsia" w:ascii="仿宋" w:hAnsi="仿宋" w:eastAsia="仿宋"/>
              </w:rPr>
              <w:t>单  位</w:t>
            </w:r>
          </w:p>
        </w:tc>
        <w:tc>
          <w:tcPr>
            <w:tcW w:w="3983" w:type="dxa"/>
            <w:noWrap w:val="0"/>
            <w:vAlign w:val="center"/>
          </w:tcPr>
          <w:p w14:paraId="52055400">
            <w:pPr>
              <w:ind w:right="-134" w:rightChars="-64"/>
              <w:jc w:val="center"/>
              <w:rPr>
                <w:rFonts w:ascii="仿宋" w:hAnsi="仿宋" w:eastAsia="仿宋"/>
                <w:szCs w:val="21"/>
              </w:rPr>
            </w:pPr>
            <w:r>
              <w:rPr>
                <w:rFonts w:hint="eastAsia" w:ascii="仿宋" w:hAnsi="仿宋" w:eastAsia="仿宋"/>
                <w:szCs w:val="21"/>
              </w:rPr>
              <w:t>承担工作</w:t>
            </w:r>
          </w:p>
        </w:tc>
      </w:tr>
      <w:tr w14:paraId="1DF6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7D817167">
            <w:pPr>
              <w:jc w:val="center"/>
              <w:rPr>
                <w:rFonts w:hint="eastAsia" w:ascii="仿宋" w:hAnsi="仿宋" w:eastAsia="仿宋"/>
                <w:szCs w:val="21"/>
                <w:lang w:eastAsia="zh-CN"/>
              </w:rPr>
            </w:pPr>
            <w:r>
              <w:rPr>
                <w:rFonts w:hint="eastAsia" w:ascii="仿宋" w:hAnsi="仿宋" w:eastAsia="仿宋"/>
                <w:szCs w:val="21"/>
                <w:lang w:val="en-US" w:eastAsia="zh-CN"/>
              </w:rPr>
              <w:t>李江全</w:t>
            </w:r>
          </w:p>
        </w:tc>
        <w:tc>
          <w:tcPr>
            <w:tcW w:w="851" w:type="dxa"/>
            <w:noWrap w:val="0"/>
            <w:vAlign w:val="center"/>
          </w:tcPr>
          <w:p w14:paraId="34C2CE51">
            <w:pPr>
              <w:jc w:val="center"/>
              <w:rPr>
                <w:rFonts w:hint="eastAsia" w:ascii="仿宋" w:hAnsi="仿宋" w:eastAsia="仿宋"/>
                <w:szCs w:val="21"/>
                <w:lang w:eastAsia="zh-CN"/>
              </w:rPr>
            </w:pPr>
            <w:r>
              <w:rPr>
                <w:rFonts w:hint="eastAsia" w:ascii="仿宋" w:hAnsi="仿宋" w:eastAsia="仿宋"/>
                <w:szCs w:val="21"/>
                <w:lang w:val="en-US" w:eastAsia="zh-CN"/>
              </w:rPr>
              <w:t>博士</w:t>
            </w:r>
          </w:p>
        </w:tc>
        <w:tc>
          <w:tcPr>
            <w:tcW w:w="1275" w:type="dxa"/>
            <w:noWrap w:val="0"/>
            <w:vAlign w:val="center"/>
          </w:tcPr>
          <w:p w14:paraId="13E3B6B3">
            <w:pPr>
              <w:jc w:val="left"/>
              <w:rPr>
                <w:rFonts w:ascii="仿宋" w:hAnsi="仿宋" w:eastAsia="仿宋"/>
                <w:szCs w:val="21"/>
              </w:rPr>
            </w:pPr>
            <w:r>
              <w:rPr>
                <w:rFonts w:hint="eastAsia" w:ascii="仿宋" w:hAnsi="仿宋" w:eastAsia="仿宋"/>
                <w:szCs w:val="21"/>
                <w:lang w:val="en-US" w:eastAsia="zh-CN"/>
              </w:rPr>
              <w:t>副</w:t>
            </w:r>
            <w:r>
              <w:rPr>
                <w:rFonts w:hint="eastAsia" w:ascii="仿宋" w:hAnsi="仿宋" w:eastAsia="仿宋"/>
                <w:szCs w:val="21"/>
              </w:rPr>
              <w:t>教授、主任</w:t>
            </w:r>
            <w:r>
              <w:rPr>
                <w:rFonts w:hint="eastAsia" w:ascii="仿宋" w:hAnsi="仿宋" w:eastAsia="仿宋"/>
                <w:szCs w:val="21"/>
                <w:lang w:val="en-US" w:eastAsia="zh-CN"/>
              </w:rPr>
              <w:t>中</w:t>
            </w:r>
            <w:r>
              <w:rPr>
                <w:rFonts w:hint="eastAsia" w:ascii="仿宋" w:hAnsi="仿宋" w:eastAsia="仿宋"/>
                <w:szCs w:val="21"/>
              </w:rPr>
              <w:t>医师，</w:t>
            </w:r>
            <w:r>
              <w:rPr>
                <w:rFonts w:hint="eastAsia" w:ascii="仿宋" w:hAnsi="仿宋" w:eastAsia="仿宋"/>
                <w:szCs w:val="21"/>
                <w:lang w:val="en-US" w:eastAsia="zh-CN"/>
              </w:rPr>
              <w:t>硕</w:t>
            </w:r>
            <w:r>
              <w:rPr>
                <w:rFonts w:hint="eastAsia" w:ascii="仿宋" w:hAnsi="仿宋" w:eastAsia="仿宋"/>
                <w:szCs w:val="21"/>
              </w:rPr>
              <w:t>导</w:t>
            </w:r>
          </w:p>
        </w:tc>
        <w:tc>
          <w:tcPr>
            <w:tcW w:w="2156" w:type="dxa"/>
            <w:noWrap w:val="0"/>
            <w:vAlign w:val="center"/>
          </w:tcPr>
          <w:p w14:paraId="1F5FC516">
            <w:pPr>
              <w:jc w:val="left"/>
              <w:rPr>
                <w:rFonts w:ascii="仿宋" w:hAnsi="仿宋" w:eastAsia="仿宋"/>
                <w:szCs w:val="21"/>
              </w:rPr>
            </w:pPr>
            <w:r>
              <w:rPr>
                <w:rFonts w:hint="eastAsia" w:ascii="仿宋" w:hAnsi="仿宋" w:eastAsia="仿宋"/>
                <w:szCs w:val="21"/>
              </w:rPr>
              <w:t>南京中医药大学附属医院</w:t>
            </w:r>
          </w:p>
        </w:tc>
        <w:tc>
          <w:tcPr>
            <w:tcW w:w="3983" w:type="dxa"/>
            <w:noWrap w:val="0"/>
            <w:vAlign w:val="center"/>
          </w:tcPr>
          <w:p w14:paraId="64735249">
            <w:pPr>
              <w:jc w:val="left"/>
              <w:rPr>
                <w:rFonts w:ascii="仿宋" w:hAnsi="仿宋" w:eastAsia="仿宋"/>
                <w:szCs w:val="21"/>
              </w:rPr>
            </w:pP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w:t>
            </w:r>
            <w:r>
              <w:rPr>
                <w:rFonts w:hint="eastAsia" w:ascii="Courier New" w:hAnsi="Courier New" w:eastAsia="仿宋" w:cs="Courier New"/>
                <w:szCs w:val="21"/>
                <w:lang w:val="en-US" w:eastAsia="zh-CN"/>
              </w:rPr>
              <w:t>4</w:t>
            </w:r>
            <w:r>
              <w:rPr>
                <w:rFonts w:hint="eastAsia" w:ascii="Courier New" w:hAnsi="Courier New" w:eastAsia="仿宋" w:cs="Courier New"/>
                <w:szCs w:val="21"/>
              </w:rPr>
              <w:t>部分：</w:t>
            </w:r>
            <w:r>
              <w:rPr>
                <w:rFonts w:hint="eastAsia" w:ascii="仿宋" w:hAnsi="仿宋" w:eastAsia="仿宋" w:cs="仿宋"/>
                <w:szCs w:val="21"/>
                <w:lang w:eastAsia="zh-CN"/>
              </w:rPr>
              <w:t>小儿推拿疗法</w:t>
            </w:r>
            <w:r>
              <w:rPr>
                <w:rFonts w:hint="eastAsia" w:ascii="仿宋" w:hAnsi="仿宋" w:eastAsia="仿宋"/>
                <w:szCs w:val="21"/>
              </w:rPr>
              <w:t>》编制负责人，参与起草、修改草案，组织申报、实施、总结。</w:t>
            </w:r>
          </w:p>
        </w:tc>
      </w:tr>
      <w:tr w14:paraId="6C2F3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3F6DCE54">
            <w:pPr>
              <w:jc w:val="center"/>
              <w:rPr>
                <w:rFonts w:hint="eastAsia" w:ascii="仿宋" w:hAnsi="仿宋" w:eastAsia="仿宋"/>
                <w:kern w:val="2"/>
                <w:sz w:val="21"/>
                <w:szCs w:val="21"/>
                <w:lang w:val="en-US" w:eastAsia="zh-CN" w:bidi="ar-SA"/>
              </w:rPr>
            </w:pPr>
            <w:r>
              <w:rPr>
                <w:rFonts w:hint="eastAsia" w:ascii="仿宋" w:hAnsi="仿宋" w:eastAsia="仿宋"/>
                <w:lang w:val="en-US" w:eastAsia="zh-CN"/>
              </w:rPr>
              <w:t>顾蕴烨</w:t>
            </w:r>
          </w:p>
        </w:tc>
        <w:tc>
          <w:tcPr>
            <w:tcW w:w="851" w:type="dxa"/>
            <w:noWrap w:val="0"/>
            <w:vAlign w:val="center"/>
          </w:tcPr>
          <w:p w14:paraId="3CEE43A5">
            <w:pPr>
              <w:jc w:val="center"/>
              <w:rPr>
                <w:rFonts w:hint="eastAsia" w:ascii="仿宋" w:hAnsi="仿宋" w:eastAsia="仿宋"/>
                <w:kern w:val="2"/>
                <w:sz w:val="21"/>
                <w:szCs w:val="21"/>
                <w:lang w:val="en-US" w:eastAsia="zh-CN" w:bidi="ar-SA"/>
              </w:rPr>
            </w:pPr>
            <w:r>
              <w:rPr>
                <w:rFonts w:hint="eastAsia" w:ascii="仿宋" w:hAnsi="仿宋" w:eastAsia="仿宋"/>
              </w:rPr>
              <w:t>硕士生</w:t>
            </w:r>
          </w:p>
        </w:tc>
        <w:tc>
          <w:tcPr>
            <w:tcW w:w="1275" w:type="dxa"/>
            <w:noWrap w:val="0"/>
            <w:vAlign w:val="center"/>
          </w:tcPr>
          <w:p w14:paraId="3DBC03D4">
            <w:pPr>
              <w:rPr>
                <w:rFonts w:hint="eastAsia" w:ascii="仿宋" w:hAnsi="仿宋" w:eastAsia="仿宋"/>
                <w:kern w:val="2"/>
                <w:sz w:val="21"/>
                <w:szCs w:val="21"/>
                <w:lang w:val="en-US" w:eastAsia="zh-CN" w:bidi="ar-SA"/>
              </w:rPr>
            </w:pPr>
            <w:r>
              <w:rPr>
                <w:rFonts w:hint="eastAsia" w:ascii="仿宋" w:hAnsi="仿宋" w:eastAsia="仿宋"/>
              </w:rPr>
              <w:t>研究生</w:t>
            </w:r>
          </w:p>
        </w:tc>
        <w:tc>
          <w:tcPr>
            <w:tcW w:w="2156" w:type="dxa"/>
            <w:noWrap w:val="0"/>
            <w:vAlign w:val="center"/>
          </w:tcPr>
          <w:p w14:paraId="52D17502">
            <w:pPr>
              <w:rPr>
                <w:rFonts w:hint="eastAsia" w:ascii="仿宋" w:hAnsi="仿宋" w:eastAsia="仿宋"/>
                <w:kern w:val="2"/>
                <w:sz w:val="21"/>
                <w:szCs w:val="21"/>
                <w:lang w:val="en-US" w:eastAsia="zh-CN" w:bidi="ar-SA"/>
              </w:rPr>
            </w:pPr>
            <w:r>
              <w:rPr>
                <w:rFonts w:hint="eastAsia" w:ascii="仿宋" w:hAnsi="仿宋" w:eastAsia="仿宋"/>
                <w:szCs w:val="21"/>
              </w:rPr>
              <w:t>南京中医药大学附属医院</w:t>
            </w:r>
          </w:p>
        </w:tc>
        <w:tc>
          <w:tcPr>
            <w:tcW w:w="3983" w:type="dxa"/>
            <w:noWrap w:val="0"/>
            <w:vAlign w:val="center"/>
          </w:tcPr>
          <w:p w14:paraId="4AB192A7">
            <w:pPr>
              <w:rPr>
                <w:rFonts w:hint="eastAsia" w:ascii="仿宋" w:hAnsi="仿宋" w:eastAsia="仿宋"/>
                <w:kern w:val="2"/>
                <w:sz w:val="21"/>
                <w:szCs w:val="21"/>
                <w:lang w:val="en-US" w:eastAsia="zh-CN" w:bidi="ar-SA"/>
              </w:rPr>
            </w:pPr>
            <w:r>
              <w:rPr>
                <w:rFonts w:hint="eastAsia" w:ascii="仿宋" w:hAnsi="仿宋" w:eastAsia="仿宋"/>
              </w:rPr>
              <w:t>参与文献研究。参加《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w:t>
            </w:r>
            <w:r>
              <w:rPr>
                <w:rFonts w:hint="eastAsia" w:ascii="Courier New" w:hAnsi="Courier New" w:eastAsia="仿宋" w:cs="Courier New"/>
                <w:szCs w:val="21"/>
                <w:lang w:val="en-US" w:eastAsia="zh-CN"/>
              </w:rPr>
              <w:t>4</w:t>
            </w:r>
            <w:r>
              <w:rPr>
                <w:rFonts w:hint="eastAsia" w:ascii="Courier New" w:hAnsi="Courier New" w:eastAsia="仿宋" w:cs="Courier New"/>
                <w:szCs w:val="21"/>
              </w:rPr>
              <w:t>部分：</w:t>
            </w:r>
            <w:r>
              <w:rPr>
                <w:rFonts w:hint="eastAsia" w:ascii="仿宋" w:hAnsi="仿宋" w:eastAsia="仿宋" w:cs="仿宋"/>
                <w:szCs w:val="21"/>
                <w:lang w:eastAsia="zh-CN"/>
              </w:rPr>
              <w:t>小儿推拿疗法</w:t>
            </w:r>
            <w:r>
              <w:rPr>
                <w:rFonts w:hint="eastAsia" w:ascii="仿宋" w:hAnsi="仿宋" w:eastAsia="仿宋"/>
              </w:rPr>
              <w:t>》起草、修改，起草编制说明，</w:t>
            </w:r>
            <w:r>
              <w:rPr>
                <w:rFonts w:hint="eastAsia" w:ascii="仿宋" w:hAnsi="仿宋" w:eastAsia="仿宋"/>
                <w:szCs w:val="21"/>
              </w:rPr>
              <w:t>参与工作讨论等。</w:t>
            </w:r>
          </w:p>
        </w:tc>
      </w:tr>
      <w:tr w14:paraId="200E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noWrap w:val="0"/>
            <w:vAlign w:val="center"/>
          </w:tcPr>
          <w:p w14:paraId="65A159DF">
            <w:pPr>
              <w:tabs>
                <w:tab w:val="left" w:pos="900"/>
              </w:tabs>
              <w:autoSpaceDN w:val="0"/>
              <w:adjustRightInd w:val="0"/>
              <w:jc w:val="center"/>
              <w:rPr>
                <w:rFonts w:hint="eastAsia" w:ascii="仿宋" w:hAnsi="仿宋" w:eastAsia="仿宋"/>
                <w:kern w:val="2"/>
                <w:sz w:val="21"/>
                <w:szCs w:val="21"/>
                <w:lang w:val="en-US" w:eastAsia="zh-CN" w:bidi="ar-SA"/>
              </w:rPr>
            </w:pPr>
            <w:r>
              <w:rPr>
                <w:rFonts w:hint="eastAsia" w:ascii="仿宋" w:hAnsi="仿宋" w:eastAsia="仿宋"/>
                <w:szCs w:val="21"/>
              </w:rPr>
              <w:t>汪受传</w:t>
            </w:r>
          </w:p>
        </w:tc>
        <w:tc>
          <w:tcPr>
            <w:tcW w:w="851" w:type="dxa"/>
            <w:noWrap w:val="0"/>
            <w:vAlign w:val="center"/>
          </w:tcPr>
          <w:p w14:paraId="668553BB">
            <w:pPr>
              <w:jc w:val="center"/>
              <w:rPr>
                <w:rFonts w:hint="eastAsia" w:ascii="仿宋" w:hAnsi="仿宋" w:eastAsia="仿宋"/>
                <w:kern w:val="2"/>
                <w:sz w:val="21"/>
                <w:szCs w:val="21"/>
                <w:lang w:val="en-US" w:eastAsia="zh-CN" w:bidi="ar-SA"/>
              </w:rPr>
            </w:pPr>
            <w:r>
              <w:rPr>
                <w:rFonts w:hint="eastAsia" w:ascii="仿宋" w:hAnsi="仿宋" w:eastAsia="仿宋"/>
                <w:szCs w:val="21"/>
                <w:lang w:val="en-US" w:eastAsia="zh-CN"/>
              </w:rPr>
              <w:t>硕士</w:t>
            </w:r>
          </w:p>
        </w:tc>
        <w:tc>
          <w:tcPr>
            <w:tcW w:w="1275" w:type="dxa"/>
            <w:noWrap w:val="0"/>
            <w:vAlign w:val="center"/>
          </w:tcPr>
          <w:p w14:paraId="66C9B480">
            <w:pPr>
              <w:tabs>
                <w:tab w:val="left" w:pos="900"/>
              </w:tabs>
              <w:autoSpaceDN w:val="0"/>
              <w:adjustRightInd w:val="0"/>
              <w:jc w:val="left"/>
              <w:rPr>
                <w:rFonts w:hint="eastAsia" w:ascii="仿宋" w:hAnsi="仿宋" w:eastAsia="仿宋"/>
                <w:kern w:val="2"/>
                <w:sz w:val="21"/>
                <w:szCs w:val="21"/>
                <w:lang w:val="en-US" w:eastAsia="zh-CN" w:bidi="ar-SA"/>
              </w:rPr>
            </w:pPr>
            <w:r>
              <w:rPr>
                <w:rFonts w:hint="eastAsia" w:ascii="仿宋" w:hAnsi="仿宋" w:eastAsia="仿宋"/>
                <w:szCs w:val="21"/>
              </w:rPr>
              <w:t>教授、主任</w:t>
            </w:r>
            <w:r>
              <w:rPr>
                <w:rFonts w:hint="eastAsia" w:ascii="仿宋" w:hAnsi="仿宋" w:eastAsia="仿宋"/>
                <w:szCs w:val="21"/>
                <w:lang w:val="en-US" w:eastAsia="zh-CN"/>
              </w:rPr>
              <w:t>中</w:t>
            </w:r>
            <w:r>
              <w:rPr>
                <w:rFonts w:hint="eastAsia" w:ascii="仿宋" w:hAnsi="仿宋" w:eastAsia="仿宋"/>
                <w:szCs w:val="21"/>
              </w:rPr>
              <w:t>医师，</w:t>
            </w:r>
            <w:r>
              <w:rPr>
                <w:rFonts w:hint="eastAsia" w:ascii="仿宋" w:hAnsi="仿宋" w:eastAsia="仿宋"/>
                <w:szCs w:val="21"/>
                <w:lang w:val="en-US" w:eastAsia="zh-CN"/>
              </w:rPr>
              <w:t>博导</w:t>
            </w:r>
          </w:p>
        </w:tc>
        <w:tc>
          <w:tcPr>
            <w:tcW w:w="2156" w:type="dxa"/>
            <w:noWrap w:val="0"/>
            <w:vAlign w:val="center"/>
          </w:tcPr>
          <w:p w14:paraId="6205F10B">
            <w:pPr>
              <w:tabs>
                <w:tab w:val="left" w:pos="900"/>
              </w:tabs>
              <w:autoSpaceDN w:val="0"/>
              <w:adjustRightInd w:val="0"/>
              <w:jc w:val="left"/>
              <w:rPr>
                <w:rFonts w:hint="eastAsia" w:ascii="仿宋" w:hAnsi="仿宋" w:eastAsia="仿宋"/>
                <w:kern w:val="2"/>
                <w:sz w:val="21"/>
                <w:szCs w:val="21"/>
                <w:lang w:val="en-US" w:eastAsia="zh-CN" w:bidi="ar-SA"/>
              </w:rPr>
            </w:pPr>
            <w:r>
              <w:rPr>
                <w:rFonts w:hint="eastAsia" w:ascii="仿宋" w:hAnsi="仿宋" w:eastAsia="仿宋"/>
                <w:szCs w:val="21"/>
              </w:rPr>
              <w:t>南京中医药大学附属医院</w:t>
            </w:r>
          </w:p>
        </w:tc>
        <w:tc>
          <w:tcPr>
            <w:tcW w:w="3983" w:type="dxa"/>
            <w:noWrap w:val="0"/>
            <w:vAlign w:val="center"/>
          </w:tcPr>
          <w:p w14:paraId="4E0C7919">
            <w:pPr>
              <w:rPr>
                <w:rFonts w:hint="eastAsia" w:ascii="仿宋" w:hAnsi="仿宋" w:eastAsia="仿宋"/>
                <w:kern w:val="2"/>
                <w:sz w:val="21"/>
                <w:szCs w:val="21"/>
                <w:lang w:val="en-US" w:eastAsia="zh-CN" w:bidi="ar-SA"/>
              </w:rPr>
            </w:pPr>
            <w:r>
              <w:rPr>
                <w:rFonts w:hint="eastAsia" w:ascii="仿宋" w:hAnsi="仿宋" w:eastAsia="仿宋"/>
              </w:rPr>
              <w:t>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w:t>
            </w:r>
            <w:r>
              <w:rPr>
                <w:rFonts w:hint="eastAsia" w:ascii="Courier New" w:hAnsi="Courier New" w:eastAsia="仿宋" w:cs="Courier New"/>
                <w:szCs w:val="21"/>
                <w:lang w:val="en-US" w:eastAsia="zh-CN"/>
              </w:rPr>
              <w:t>4</w:t>
            </w:r>
            <w:r>
              <w:rPr>
                <w:rFonts w:hint="eastAsia" w:ascii="Courier New" w:hAnsi="Courier New" w:eastAsia="仿宋" w:cs="Courier New"/>
                <w:szCs w:val="21"/>
              </w:rPr>
              <w:t>部分：</w:t>
            </w:r>
            <w:r>
              <w:rPr>
                <w:rFonts w:hint="eastAsia" w:ascii="仿宋" w:hAnsi="仿宋" w:eastAsia="仿宋" w:cs="仿宋"/>
              </w:rPr>
              <w:t>小儿</w:t>
            </w:r>
            <w:r>
              <w:rPr>
                <w:rFonts w:hint="eastAsia" w:ascii="仿宋" w:hAnsi="仿宋" w:eastAsia="仿宋" w:cs="仿宋"/>
                <w:lang w:val="en-US" w:eastAsia="zh-CN"/>
              </w:rPr>
              <w:t>推拿疗法</w:t>
            </w:r>
            <w:r>
              <w:rPr>
                <w:rFonts w:hint="eastAsia" w:ascii="仿宋" w:hAnsi="仿宋" w:eastAsia="仿宋"/>
              </w:rPr>
              <w:t>》修改</w:t>
            </w:r>
            <w:r>
              <w:rPr>
                <w:rFonts w:hint="eastAsia" w:ascii="仿宋" w:hAnsi="仿宋" w:eastAsia="仿宋"/>
                <w:szCs w:val="21"/>
              </w:rPr>
              <w:t>，参与工作讨论等。</w:t>
            </w:r>
          </w:p>
        </w:tc>
      </w:tr>
      <w:tr w14:paraId="6C43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984" w:type="dxa"/>
            <w:noWrap w:val="0"/>
            <w:vAlign w:val="center"/>
          </w:tcPr>
          <w:p w14:paraId="760A5238">
            <w:pPr>
              <w:tabs>
                <w:tab w:val="left" w:pos="900"/>
              </w:tabs>
              <w:autoSpaceDN w:val="0"/>
              <w:adjustRightInd w:val="0"/>
              <w:jc w:val="center"/>
              <w:rPr>
                <w:rFonts w:hint="eastAsia" w:ascii="仿宋" w:hAnsi="仿宋" w:eastAsia="仿宋"/>
                <w:kern w:val="2"/>
                <w:sz w:val="21"/>
                <w:szCs w:val="21"/>
                <w:lang w:val="en-US" w:eastAsia="zh-CN" w:bidi="ar-SA"/>
              </w:rPr>
            </w:pPr>
            <w:r>
              <w:rPr>
                <w:rFonts w:hint="eastAsia" w:ascii="仿宋" w:hAnsi="仿宋" w:eastAsia="仿宋"/>
                <w:szCs w:val="21"/>
              </w:rPr>
              <w:t>高兰英</w:t>
            </w:r>
          </w:p>
        </w:tc>
        <w:tc>
          <w:tcPr>
            <w:tcW w:w="851" w:type="dxa"/>
            <w:noWrap w:val="0"/>
            <w:vAlign w:val="center"/>
          </w:tcPr>
          <w:p w14:paraId="47C4A94B">
            <w:pPr>
              <w:jc w:val="center"/>
              <w:rPr>
                <w:rFonts w:hint="eastAsia" w:ascii="仿宋" w:hAnsi="仿宋" w:eastAsia="仿宋"/>
                <w:kern w:val="2"/>
                <w:sz w:val="21"/>
                <w:szCs w:val="21"/>
                <w:lang w:val="en-US" w:eastAsia="zh-CN" w:bidi="ar-SA"/>
              </w:rPr>
            </w:pPr>
            <w:r>
              <w:rPr>
                <w:rFonts w:hint="eastAsia" w:ascii="仿宋" w:hAnsi="仿宋" w:eastAsia="仿宋"/>
                <w:szCs w:val="21"/>
              </w:rPr>
              <w:t>学士</w:t>
            </w:r>
          </w:p>
        </w:tc>
        <w:tc>
          <w:tcPr>
            <w:tcW w:w="1275" w:type="dxa"/>
            <w:noWrap w:val="0"/>
            <w:vAlign w:val="center"/>
          </w:tcPr>
          <w:p w14:paraId="1AC7AC12">
            <w:pPr>
              <w:tabs>
                <w:tab w:val="left" w:pos="900"/>
              </w:tabs>
              <w:autoSpaceDN w:val="0"/>
              <w:adjustRightInd w:val="0"/>
              <w:jc w:val="left"/>
              <w:rPr>
                <w:rFonts w:hint="eastAsia" w:ascii="仿宋" w:hAnsi="仿宋" w:eastAsia="仿宋"/>
                <w:kern w:val="2"/>
                <w:sz w:val="21"/>
                <w:szCs w:val="21"/>
                <w:lang w:val="en-US" w:eastAsia="zh-CN" w:bidi="ar-SA"/>
              </w:rPr>
            </w:pPr>
            <w:r>
              <w:rPr>
                <w:rFonts w:hint="eastAsia" w:ascii="仿宋" w:hAnsi="仿宋" w:eastAsia="仿宋"/>
                <w:szCs w:val="21"/>
              </w:rPr>
              <w:t>副主任医师</w:t>
            </w:r>
          </w:p>
        </w:tc>
        <w:tc>
          <w:tcPr>
            <w:tcW w:w="2156" w:type="dxa"/>
            <w:noWrap w:val="0"/>
            <w:vAlign w:val="center"/>
          </w:tcPr>
          <w:p w14:paraId="72864CC4">
            <w:pPr>
              <w:tabs>
                <w:tab w:val="left" w:pos="900"/>
              </w:tabs>
              <w:autoSpaceDN w:val="0"/>
              <w:adjustRightInd w:val="0"/>
              <w:jc w:val="left"/>
              <w:rPr>
                <w:rFonts w:hint="eastAsia" w:ascii="仿宋" w:hAnsi="仿宋" w:eastAsia="仿宋"/>
                <w:kern w:val="2"/>
                <w:sz w:val="21"/>
                <w:szCs w:val="21"/>
                <w:lang w:val="en-US" w:eastAsia="zh-CN" w:bidi="ar-SA"/>
              </w:rPr>
            </w:pPr>
            <w:r>
              <w:rPr>
                <w:rFonts w:hint="eastAsia" w:ascii="仿宋" w:hAnsi="仿宋" w:eastAsia="仿宋"/>
                <w:szCs w:val="21"/>
              </w:rPr>
              <w:t>南京市浦口区中医院</w:t>
            </w:r>
          </w:p>
        </w:tc>
        <w:tc>
          <w:tcPr>
            <w:tcW w:w="3983" w:type="dxa"/>
            <w:noWrap w:val="0"/>
            <w:vAlign w:val="center"/>
          </w:tcPr>
          <w:p w14:paraId="13BAA2DE">
            <w:pPr>
              <w:rPr>
                <w:rFonts w:hint="eastAsia" w:ascii="仿宋" w:hAnsi="仿宋" w:eastAsia="仿宋"/>
                <w:kern w:val="2"/>
                <w:sz w:val="21"/>
                <w:szCs w:val="22"/>
                <w:lang w:val="en-US" w:eastAsia="zh-CN" w:bidi="ar-SA"/>
              </w:rPr>
            </w:pPr>
            <w:r>
              <w:rPr>
                <w:rFonts w:hint="eastAsia" w:ascii="仿宋" w:hAnsi="仿宋" w:eastAsia="仿宋"/>
              </w:rPr>
              <w:t>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w:t>
            </w:r>
            <w:r>
              <w:rPr>
                <w:rFonts w:hint="eastAsia" w:ascii="Courier New" w:hAnsi="Courier New" w:eastAsia="仿宋" w:cs="Courier New"/>
                <w:szCs w:val="21"/>
                <w:lang w:val="en-US" w:eastAsia="zh-CN"/>
              </w:rPr>
              <w:t>4</w:t>
            </w:r>
            <w:r>
              <w:rPr>
                <w:rFonts w:hint="eastAsia" w:ascii="Courier New" w:hAnsi="Courier New" w:eastAsia="仿宋" w:cs="Courier New"/>
                <w:szCs w:val="21"/>
              </w:rPr>
              <w:t>部分：</w:t>
            </w:r>
            <w:r>
              <w:rPr>
                <w:rFonts w:hint="eastAsia" w:ascii="仿宋" w:hAnsi="仿宋" w:eastAsia="仿宋" w:cs="仿宋"/>
              </w:rPr>
              <w:t>小儿</w:t>
            </w:r>
            <w:r>
              <w:rPr>
                <w:rFonts w:hint="eastAsia" w:ascii="仿宋" w:hAnsi="仿宋" w:eastAsia="仿宋" w:cs="仿宋"/>
                <w:lang w:val="en-US" w:eastAsia="zh-CN"/>
              </w:rPr>
              <w:t>推拿疗法</w:t>
            </w:r>
            <w:r>
              <w:rPr>
                <w:rFonts w:hint="eastAsia" w:ascii="仿宋" w:hAnsi="仿宋" w:eastAsia="仿宋"/>
              </w:rPr>
              <w:t>》修改</w:t>
            </w:r>
            <w:r>
              <w:rPr>
                <w:rFonts w:hint="eastAsia" w:ascii="仿宋" w:hAnsi="仿宋" w:eastAsia="仿宋"/>
                <w:szCs w:val="21"/>
              </w:rPr>
              <w:t>，参与工作讨论等。</w:t>
            </w:r>
          </w:p>
        </w:tc>
      </w:tr>
      <w:tr w14:paraId="5A1BA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3B31904B">
            <w:pPr>
              <w:jc w:val="center"/>
              <w:rPr>
                <w:rFonts w:hint="eastAsia" w:ascii="仿宋" w:hAnsi="仿宋" w:eastAsia="仿宋"/>
                <w:kern w:val="2"/>
                <w:sz w:val="21"/>
                <w:szCs w:val="21"/>
                <w:lang w:val="en-US" w:eastAsia="zh-CN" w:bidi="ar-SA"/>
              </w:rPr>
            </w:pPr>
            <w:r>
              <w:rPr>
                <w:rFonts w:hint="eastAsia" w:ascii="仿宋" w:hAnsi="仿宋" w:eastAsia="仿宋"/>
                <w:szCs w:val="21"/>
                <w:lang w:val="en-US" w:eastAsia="zh-CN"/>
              </w:rPr>
              <w:t>陈秀珍</w:t>
            </w:r>
          </w:p>
        </w:tc>
        <w:tc>
          <w:tcPr>
            <w:tcW w:w="851" w:type="dxa"/>
            <w:noWrap w:val="0"/>
            <w:vAlign w:val="center"/>
          </w:tcPr>
          <w:p w14:paraId="5FABB8E8">
            <w:pPr>
              <w:jc w:val="center"/>
              <w:rPr>
                <w:rFonts w:hint="eastAsia" w:ascii="仿宋" w:hAnsi="仿宋" w:eastAsia="仿宋"/>
                <w:kern w:val="2"/>
                <w:sz w:val="21"/>
                <w:szCs w:val="21"/>
                <w:lang w:val="en-US" w:eastAsia="zh-CN" w:bidi="ar-SA"/>
              </w:rPr>
            </w:pPr>
            <w:r>
              <w:rPr>
                <w:rFonts w:hint="eastAsia" w:ascii="仿宋" w:hAnsi="仿宋" w:eastAsia="仿宋"/>
                <w:szCs w:val="21"/>
                <w:lang w:val="en-US" w:eastAsia="zh-CN"/>
              </w:rPr>
              <w:t>硕士</w:t>
            </w:r>
          </w:p>
        </w:tc>
        <w:tc>
          <w:tcPr>
            <w:tcW w:w="1275" w:type="dxa"/>
            <w:noWrap w:val="0"/>
            <w:vAlign w:val="center"/>
          </w:tcPr>
          <w:p w14:paraId="0F44FC5F">
            <w:pPr>
              <w:jc w:val="left"/>
              <w:rPr>
                <w:rFonts w:hint="eastAsia" w:ascii="仿宋" w:hAnsi="仿宋" w:eastAsia="仿宋"/>
                <w:kern w:val="2"/>
                <w:sz w:val="21"/>
                <w:szCs w:val="21"/>
                <w:lang w:val="en-US" w:eastAsia="zh-CN" w:bidi="ar-SA"/>
              </w:rPr>
            </w:pPr>
            <w:r>
              <w:rPr>
                <w:rFonts w:hint="eastAsia" w:ascii="仿宋" w:hAnsi="仿宋" w:eastAsia="仿宋"/>
                <w:szCs w:val="21"/>
                <w:lang w:val="en-US" w:eastAsia="zh-CN"/>
              </w:rPr>
              <w:t>主任中医师</w:t>
            </w:r>
          </w:p>
        </w:tc>
        <w:tc>
          <w:tcPr>
            <w:tcW w:w="2156" w:type="dxa"/>
            <w:noWrap w:val="0"/>
            <w:vAlign w:val="center"/>
          </w:tcPr>
          <w:p w14:paraId="47F92E3D">
            <w:pPr>
              <w:jc w:val="left"/>
              <w:rPr>
                <w:rFonts w:hint="eastAsia" w:ascii="仿宋" w:hAnsi="仿宋" w:eastAsia="仿宋"/>
                <w:kern w:val="2"/>
                <w:sz w:val="21"/>
                <w:szCs w:val="21"/>
                <w:lang w:val="en-US" w:eastAsia="zh-CN" w:bidi="ar-SA"/>
              </w:rPr>
            </w:pPr>
            <w:r>
              <w:rPr>
                <w:rFonts w:hint="eastAsia" w:ascii="仿宋" w:hAnsi="仿宋" w:eastAsia="仿宋"/>
                <w:szCs w:val="21"/>
              </w:rPr>
              <w:t>南京中医药大学附属医院</w:t>
            </w:r>
          </w:p>
        </w:tc>
        <w:tc>
          <w:tcPr>
            <w:tcW w:w="3983" w:type="dxa"/>
            <w:noWrap w:val="0"/>
            <w:vAlign w:val="center"/>
          </w:tcPr>
          <w:p w14:paraId="4EEFD6EC">
            <w:pPr>
              <w:jc w:val="left"/>
              <w:rPr>
                <w:rFonts w:hint="eastAsia" w:ascii="仿宋" w:hAnsi="仿宋" w:eastAsia="仿宋"/>
                <w:kern w:val="2"/>
                <w:sz w:val="21"/>
                <w:szCs w:val="21"/>
                <w:lang w:val="en-US" w:eastAsia="zh-CN" w:bidi="ar-SA"/>
              </w:rPr>
            </w:pPr>
            <w:r>
              <w:rPr>
                <w:rFonts w:hint="eastAsia" w:ascii="仿宋" w:hAnsi="仿宋" w:eastAsia="仿宋"/>
                <w:szCs w:val="21"/>
              </w:rPr>
              <w:t xml:space="preserve">参加《国际中医技术操作规范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w:t>
            </w:r>
            <w:r>
              <w:rPr>
                <w:rFonts w:hint="eastAsia" w:ascii="Courier New" w:hAnsi="Courier New" w:eastAsia="仿宋" w:cs="Courier New"/>
                <w:szCs w:val="21"/>
                <w:lang w:val="en-US" w:eastAsia="zh-CN"/>
              </w:rPr>
              <w:t>4</w:t>
            </w:r>
            <w:r>
              <w:rPr>
                <w:rFonts w:hint="eastAsia" w:ascii="Courier New" w:hAnsi="Courier New" w:eastAsia="仿宋" w:cs="Courier New"/>
                <w:szCs w:val="21"/>
              </w:rPr>
              <w:t>部分：</w:t>
            </w:r>
            <w:r>
              <w:rPr>
                <w:rFonts w:hint="eastAsia" w:ascii="仿宋" w:hAnsi="仿宋" w:eastAsia="仿宋" w:cs="仿宋"/>
                <w:szCs w:val="21"/>
                <w:lang w:eastAsia="zh-CN"/>
              </w:rPr>
              <w:t>小儿推拿疗法</w:t>
            </w:r>
            <w:r>
              <w:rPr>
                <w:rFonts w:hint="eastAsia" w:ascii="仿宋" w:hAnsi="仿宋" w:eastAsia="仿宋"/>
                <w:szCs w:val="21"/>
              </w:rPr>
              <w:t>》起草、修改，参与工作讨论等。</w:t>
            </w:r>
          </w:p>
        </w:tc>
      </w:tr>
      <w:tr w14:paraId="6534E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84" w:type="dxa"/>
            <w:noWrap w:val="0"/>
            <w:vAlign w:val="center"/>
          </w:tcPr>
          <w:p w14:paraId="01359785">
            <w:pPr>
              <w:jc w:val="center"/>
              <w:rPr>
                <w:rFonts w:hint="eastAsia" w:ascii="仿宋" w:hAnsi="仿宋" w:eastAsia="仿宋"/>
                <w:kern w:val="2"/>
                <w:sz w:val="21"/>
                <w:szCs w:val="21"/>
                <w:lang w:val="en-US" w:eastAsia="zh-CN" w:bidi="ar-SA"/>
              </w:rPr>
            </w:pPr>
            <w:r>
              <w:rPr>
                <w:rFonts w:hint="eastAsia" w:ascii="仿宋" w:hAnsi="仿宋" w:eastAsia="仿宋"/>
                <w:szCs w:val="21"/>
              </w:rPr>
              <w:t>王  雷</w:t>
            </w:r>
          </w:p>
        </w:tc>
        <w:tc>
          <w:tcPr>
            <w:tcW w:w="851" w:type="dxa"/>
            <w:noWrap w:val="0"/>
            <w:vAlign w:val="center"/>
          </w:tcPr>
          <w:p w14:paraId="556CA541">
            <w:pPr>
              <w:jc w:val="center"/>
              <w:rPr>
                <w:rFonts w:hint="eastAsia" w:ascii="仿宋" w:hAnsi="仿宋" w:eastAsia="仿宋"/>
                <w:kern w:val="2"/>
                <w:sz w:val="21"/>
                <w:szCs w:val="21"/>
                <w:lang w:val="en-US" w:eastAsia="zh-CN" w:bidi="ar-SA"/>
              </w:rPr>
            </w:pPr>
            <w:r>
              <w:rPr>
                <w:rFonts w:hint="eastAsia" w:ascii="仿宋" w:hAnsi="仿宋" w:eastAsia="仿宋"/>
                <w:szCs w:val="21"/>
              </w:rPr>
              <w:t>硕士</w:t>
            </w:r>
          </w:p>
        </w:tc>
        <w:tc>
          <w:tcPr>
            <w:tcW w:w="1275" w:type="dxa"/>
            <w:noWrap w:val="0"/>
            <w:vAlign w:val="center"/>
          </w:tcPr>
          <w:p w14:paraId="6F403953">
            <w:pPr>
              <w:jc w:val="left"/>
              <w:rPr>
                <w:rFonts w:hint="eastAsia" w:ascii="仿宋" w:hAnsi="仿宋" w:eastAsia="仿宋"/>
                <w:kern w:val="0"/>
                <w:sz w:val="21"/>
                <w:szCs w:val="21"/>
                <w:lang w:val="en-US" w:eastAsia="zh-CN" w:bidi="ar-SA"/>
              </w:rPr>
            </w:pPr>
            <w:r>
              <w:rPr>
                <w:rFonts w:hint="eastAsia" w:ascii="仿宋" w:hAnsi="仿宋" w:eastAsia="仿宋"/>
                <w:kern w:val="0"/>
                <w:szCs w:val="21"/>
              </w:rPr>
              <w:t>主治中医师</w:t>
            </w:r>
          </w:p>
        </w:tc>
        <w:tc>
          <w:tcPr>
            <w:tcW w:w="2156" w:type="dxa"/>
            <w:noWrap w:val="0"/>
            <w:vAlign w:val="center"/>
          </w:tcPr>
          <w:p w14:paraId="48F9FB06">
            <w:pPr>
              <w:jc w:val="left"/>
              <w:rPr>
                <w:rFonts w:hint="eastAsia" w:ascii="仿宋" w:hAnsi="仿宋" w:eastAsia="仿宋"/>
                <w:kern w:val="2"/>
                <w:sz w:val="21"/>
                <w:szCs w:val="21"/>
                <w:lang w:val="en-US" w:eastAsia="zh-CN" w:bidi="ar-SA"/>
              </w:rPr>
            </w:pPr>
            <w:r>
              <w:rPr>
                <w:rFonts w:hint="eastAsia" w:ascii="仿宋" w:hAnsi="仿宋" w:eastAsia="仿宋"/>
                <w:szCs w:val="21"/>
              </w:rPr>
              <w:t>南京中医药大学附属医院</w:t>
            </w:r>
          </w:p>
        </w:tc>
        <w:tc>
          <w:tcPr>
            <w:tcW w:w="3983" w:type="dxa"/>
            <w:noWrap w:val="0"/>
            <w:vAlign w:val="center"/>
          </w:tcPr>
          <w:p w14:paraId="19AB7F9D">
            <w:pPr>
              <w:jc w:val="left"/>
              <w:rPr>
                <w:rFonts w:hint="eastAsia" w:ascii="仿宋" w:hAnsi="仿宋" w:eastAsia="仿宋"/>
                <w:kern w:val="2"/>
                <w:sz w:val="21"/>
                <w:szCs w:val="21"/>
                <w:lang w:val="en-US" w:eastAsia="zh-CN" w:bidi="ar-SA"/>
              </w:rPr>
            </w:pPr>
            <w:r>
              <w:rPr>
                <w:rFonts w:ascii="仿宋" w:hAnsi="仿宋" w:eastAsia="仿宋"/>
                <w:szCs w:val="21"/>
              </w:rPr>
              <w:t>参加</w:t>
            </w:r>
            <w:r>
              <w:rPr>
                <w:rFonts w:hint="eastAsia" w:ascii="仿宋" w:hAnsi="仿宋" w:eastAsia="仿宋"/>
                <w:szCs w:val="21"/>
              </w:rPr>
              <w:t xml:space="preserve">《国际中医技术操作规范  </w:t>
            </w:r>
            <w:r>
              <w:rPr>
                <w:rFonts w:hint="eastAsia" w:ascii="仿宋" w:hAnsi="仿宋" w:eastAsia="仿宋" w:cs="仿宋"/>
                <w:szCs w:val="21"/>
              </w:rPr>
              <w:t>儿科</w:t>
            </w:r>
            <w:r>
              <w:rPr>
                <w:rFonts w:hint="eastAsia" w:ascii="Courier New" w:hAnsi="Courier New" w:eastAsia="仿宋" w:cs="Courier New"/>
                <w:szCs w:val="21"/>
              </w:rPr>
              <w:t xml:space="preserve">  第</w:t>
            </w:r>
            <w:r>
              <w:rPr>
                <w:rFonts w:hint="eastAsia" w:ascii="Courier New" w:hAnsi="Courier New" w:eastAsia="仿宋" w:cs="Courier New"/>
                <w:szCs w:val="21"/>
                <w:lang w:val="en-US" w:eastAsia="zh-CN"/>
              </w:rPr>
              <w:t>4</w:t>
            </w:r>
            <w:r>
              <w:rPr>
                <w:rFonts w:hint="eastAsia" w:ascii="Courier New" w:hAnsi="Courier New" w:eastAsia="仿宋" w:cs="Courier New"/>
                <w:szCs w:val="21"/>
              </w:rPr>
              <w:t>部分：</w:t>
            </w:r>
            <w:r>
              <w:rPr>
                <w:rFonts w:hint="eastAsia" w:ascii="仿宋" w:hAnsi="仿宋" w:eastAsia="仿宋" w:cs="仿宋"/>
                <w:szCs w:val="21"/>
                <w:lang w:eastAsia="zh-CN"/>
              </w:rPr>
              <w:t>小儿推拿疗法</w:t>
            </w:r>
            <w:r>
              <w:rPr>
                <w:rFonts w:hint="eastAsia" w:ascii="仿宋" w:hAnsi="仿宋" w:eastAsia="仿宋"/>
                <w:szCs w:val="21"/>
              </w:rPr>
              <w:t>》起草，参与工作讨论等。</w:t>
            </w:r>
          </w:p>
        </w:tc>
      </w:tr>
    </w:tbl>
    <w:p w14:paraId="456E30C4">
      <w:pPr>
        <w:spacing w:line="360" w:lineRule="auto"/>
        <w:rPr>
          <w:rFonts w:hint="eastAsia" w:ascii="仿宋" w:hAnsi="仿宋" w:eastAsia="仿宋"/>
          <w:b/>
          <w:color w:val="7030A0"/>
          <w:sz w:val="24"/>
          <w:szCs w:val="24"/>
        </w:rPr>
      </w:pPr>
      <w:r>
        <w:rPr>
          <w:rFonts w:ascii="仿宋" w:hAnsi="仿宋" w:eastAsia="仿宋"/>
          <w:b/>
          <w:sz w:val="24"/>
          <w:szCs w:val="24"/>
        </w:rPr>
        <w:t xml:space="preserve">2  </w:t>
      </w:r>
      <w:r>
        <w:rPr>
          <w:rFonts w:hint="eastAsia" w:ascii="仿宋" w:hAnsi="仿宋" w:eastAsia="仿宋"/>
          <w:b/>
          <w:sz w:val="24"/>
          <w:szCs w:val="24"/>
        </w:rPr>
        <w:t>参加起草人</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815"/>
        <w:gridCol w:w="1263"/>
        <w:gridCol w:w="2160"/>
        <w:gridCol w:w="3985"/>
      </w:tblGrid>
      <w:tr w14:paraId="28A2B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70C21281">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815" w:type="dxa"/>
            <w:noWrap w:val="0"/>
            <w:vAlign w:val="center"/>
          </w:tcPr>
          <w:p w14:paraId="7D828153">
            <w:pPr>
              <w:jc w:val="center"/>
              <w:rPr>
                <w:rFonts w:ascii="仿宋" w:hAnsi="仿宋" w:eastAsia="仿宋"/>
                <w:szCs w:val="21"/>
              </w:rPr>
            </w:pPr>
            <w:r>
              <w:rPr>
                <w:rFonts w:hint="eastAsia" w:ascii="仿宋" w:hAnsi="仿宋" w:eastAsia="仿宋"/>
                <w:szCs w:val="21"/>
              </w:rPr>
              <w:t>学位</w:t>
            </w:r>
          </w:p>
        </w:tc>
        <w:tc>
          <w:tcPr>
            <w:tcW w:w="1263" w:type="dxa"/>
            <w:noWrap w:val="0"/>
            <w:vAlign w:val="center"/>
          </w:tcPr>
          <w:p w14:paraId="6ADC2B7E">
            <w:pPr>
              <w:jc w:val="center"/>
              <w:rPr>
                <w:rFonts w:ascii="仿宋" w:hAnsi="仿宋" w:eastAsia="仿宋"/>
                <w:szCs w:val="21"/>
              </w:rPr>
            </w:pPr>
            <w:r>
              <w:rPr>
                <w:rFonts w:hint="eastAsia" w:ascii="仿宋" w:hAnsi="仿宋" w:eastAsia="仿宋"/>
                <w:szCs w:val="21"/>
              </w:rPr>
              <w:t>职  称</w:t>
            </w:r>
          </w:p>
        </w:tc>
        <w:tc>
          <w:tcPr>
            <w:tcW w:w="2160" w:type="dxa"/>
            <w:noWrap w:val="0"/>
            <w:vAlign w:val="center"/>
          </w:tcPr>
          <w:p w14:paraId="6A17F7A9">
            <w:pPr>
              <w:jc w:val="center"/>
              <w:rPr>
                <w:rFonts w:ascii="仿宋" w:hAnsi="仿宋" w:eastAsia="仿宋"/>
                <w:szCs w:val="21"/>
              </w:rPr>
            </w:pPr>
            <w:r>
              <w:rPr>
                <w:rFonts w:hint="eastAsia" w:ascii="仿宋" w:hAnsi="仿宋" w:eastAsia="仿宋"/>
              </w:rPr>
              <w:t>单  位</w:t>
            </w:r>
          </w:p>
        </w:tc>
        <w:tc>
          <w:tcPr>
            <w:tcW w:w="3985" w:type="dxa"/>
            <w:noWrap w:val="0"/>
            <w:vAlign w:val="center"/>
          </w:tcPr>
          <w:p w14:paraId="3E6786D5">
            <w:pPr>
              <w:jc w:val="center"/>
              <w:rPr>
                <w:rFonts w:ascii="仿宋" w:hAnsi="仿宋" w:eastAsia="仿宋"/>
                <w:szCs w:val="21"/>
              </w:rPr>
            </w:pPr>
            <w:r>
              <w:rPr>
                <w:rFonts w:hint="eastAsia" w:ascii="仿宋" w:hAnsi="仿宋" w:eastAsia="仿宋"/>
                <w:szCs w:val="21"/>
              </w:rPr>
              <w:t>承担工作</w:t>
            </w:r>
          </w:p>
        </w:tc>
      </w:tr>
      <w:tr w14:paraId="279E8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11C26522">
            <w:pPr>
              <w:tabs>
                <w:tab w:val="left" w:pos="900"/>
              </w:tabs>
              <w:autoSpaceDN w:val="0"/>
              <w:adjustRightInd w:val="0"/>
              <w:jc w:val="center"/>
              <w:rPr>
                <w:rFonts w:hint="default" w:ascii="仿宋" w:hAnsi="仿宋" w:eastAsia="仿宋"/>
                <w:szCs w:val="21"/>
                <w:lang w:val="en-US" w:eastAsia="zh-CN"/>
              </w:rPr>
            </w:pPr>
            <w:r>
              <w:rPr>
                <w:rFonts w:hint="eastAsia" w:ascii="仿宋" w:hAnsi="仿宋" w:eastAsia="仿宋"/>
                <w:szCs w:val="21"/>
                <w:lang w:val="en-US" w:eastAsia="zh-CN"/>
              </w:rPr>
              <w:t>许珍育</w:t>
            </w:r>
          </w:p>
        </w:tc>
        <w:tc>
          <w:tcPr>
            <w:tcW w:w="815" w:type="dxa"/>
            <w:noWrap w:val="0"/>
            <w:vAlign w:val="center"/>
          </w:tcPr>
          <w:p w14:paraId="6D711F60">
            <w:pPr>
              <w:jc w:val="center"/>
              <w:rPr>
                <w:rFonts w:hint="eastAsia" w:ascii="仿宋" w:hAnsi="仿宋" w:eastAsia="仿宋"/>
                <w:color w:val="FF0000"/>
                <w:szCs w:val="21"/>
                <w:lang w:eastAsia="zh-CN"/>
              </w:rPr>
            </w:pPr>
            <w:r>
              <w:rPr>
                <w:rFonts w:hint="eastAsia" w:ascii="仿宋" w:hAnsi="仿宋" w:eastAsia="仿宋"/>
                <w:szCs w:val="21"/>
                <w:lang w:val="en-US" w:eastAsia="zh-CN"/>
              </w:rPr>
              <w:t>硕士</w:t>
            </w:r>
          </w:p>
        </w:tc>
        <w:tc>
          <w:tcPr>
            <w:tcW w:w="1263" w:type="dxa"/>
            <w:noWrap w:val="0"/>
            <w:vAlign w:val="center"/>
          </w:tcPr>
          <w:p w14:paraId="09DA4539">
            <w:pPr>
              <w:tabs>
                <w:tab w:val="left" w:pos="900"/>
              </w:tabs>
              <w:autoSpaceDN w:val="0"/>
              <w:adjustRightInd w:val="0"/>
              <w:jc w:val="left"/>
              <w:rPr>
                <w:rFonts w:hint="eastAsia" w:ascii="仿宋" w:hAnsi="仿宋" w:eastAsia="仿宋"/>
                <w:szCs w:val="21"/>
                <w:lang w:eastAsia="zh-CN"/>
              </w:rPr>
            </w:pPr>
            <w:r>
              <w:rPr>
                <w:rFonts w:hint="eastAsia" w:ascii="仿宋" w:hAnsi="仿宋" w:eastAsia="仿宋"/>
                <w:szCs w:val="21"/>
                <w:lang w:val="en-US" w:eastAsia="zh-CN"/>
              </w:rPr>
              <w:t>主任医师</w:t>
            </w:r>
          </w:p>
        </w:tc>
        <w:tc>
          <w:tcPr>
            <w:tcW w:w="2160" w:type="dxa"/>
            <w:noWrap w:val="0"/>
            <w:vAlign w:val="center"/>
          </w:tcPr>
          <w:p w14:paraId="52D8482E">
            <w:pPr>
              <w:tabs>
                <w:tab w:val="left" w:pos="900"/>
              </w:tabs>
              <w:autoSpaceDN w:val="0"/>
              <w:adjustRightInd w:val="0"/>
              <w:jc w:val="left"/>
              <w:rPr>
                <w:rFonts w:hint="default" w:ascii="仿宋" w:hAnsi="仿宋" w:eastAsia="仿宋"/>
                <w:szCs w:val="21"/>
                <w:lang w:val="en-US" w:eastAsia="zh-CN"/>
              </w:rPr>
            </w:pPr>
            <w:r>
              <w:rPr>
                <w:rFonts w:hint="eastAsia" w:ascii="仿宋" w:hAnsi="仿宋" w:eastAsia="仿宋"/>
                <w:szCs w:val="21"/>
                <w:lang w:val="en-US" w:eastAsia="zh-CN"/>
              </w:rPr>
              <w:t>新加坡育国中医诊疗所</w:t>
            </w:r>
          </w:p>
        </w:tc>
        <w:tc>
          <w:tcPr>
            <w:tcW w:w="3985" w:type="dxa"/>
            <w:noWrap w:val="0"/>
            <w:vAlign w:val="center"/>
          </w:tcPr>
          <w:p w14:paraId="54B86271">
            <w:pPr>
              <w:rPr>
                <w:rFonts w:ascii="仿宋" w:hAnsi="仿宋" w:eastAsia="仿宋"/>
                <w:szCs w:val="21"/>
              </w:rPr>
            </w:pPr>
            <w:r>
              <w:rPr>
                <w:rFonts w:hint="eastAsia" w:ascii="仿宋" w:hAnsi="仿宋" w:eastAsia="仿宋"/>
                <w:szCs w:val="21"/>
              </w:rPr>
              <w:t>接受专家问卷调查，参与工作讨论。</w:t>
            </w:r>
          </w:p>
        </w:tc>
      </w:tr>
      <w:tr w14:paraId="52839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5A27AEF3">
            <w:pPr>
              <w:tabs>
                <w:tab w:val="left" w:pos="900"/>
              </w:tabs>
              <w:autoSpaceDN w:val="0"/>
              <w:adjustRightInd w:val="0"/>
              <w:jc w:val="center"/>
              <w:rPr>
                <w:rFonts w:ascii="仿宋" w:hAnsi="仿宋" w:eastAsia="仿宋"/>
                <w:szCs w:val="21"/>
              </w:rPr>
            </w:pPr>
            <w:r>
              <w:rPr>
                <w:rFonts w:hint="eastAsia" w:ascii="仿宋" w:hAnsi="仿宋" w:eastAsia="仿宋"/>
                <w:szCs w:val="21"/>
              </w:rPr>
              <w:t>林文贤</w:t>
            </w:r>
          </w:p>
        </w:tc>
        <w:tc>
          <w:tcPr>
            <w:tcW w:w="815" w:type="dxa"/>
            <w:noWrap w:val="0"/>
            <w:vAlign w:val="center"/>
          </w:tcPr>
          <w:p w14:paraId="04564C07">
            <w:pPr>
              <w:jc w:val="center"/>
              <w:rPr>
                <w:rFonts w:ascii="仿宋" w:hAnsi="仿宋" w:eastAsia="仿宋"/>
                <w:color w:val="FF0000"/>
                <w:szCs w:val="21"/>
              </w:rPr>
            </w:pPr>
            <w:r>
              <w:rPr>
                <w:rFonts w:hint="eastAsia" w:ascii="仿宋" w:hAnsi="仿宋" w:eastAsia="仿宋"/>
                <w:color w:val="000000"/>
                <w:szCs w:val="21"/>
              </w:rPr>
              <w:t>硕士</w:t>
            </w:r>
          </w:p>
        </w:tc>
        <w:tc>
          <w:tcPr>
            <w:tcW w:w="1263" w:type="dxa"/>
            <w:noWrap w:val="0"/>
            <w:vAlign w:val="center"/>
          </w:tcPr>
          <w:p w14:paraId="125A127A">
            <w:pPr>
              <w:tabs>
                <w:tab w:val="left" w:pos="900"/>
              </w:tabs>
              <w:autoSpaceDN w:val="0"/>
              <w:adjustRightInd w:val="0"/>
              <w:jc w:val="left"/>
              <w:rPr>
                <w:rFonts w:ascii="仿宋" w:hAnsi="仿宋" w:eastAsia="仿宋"/>
                <w:szCs w:val="21"/>
              </w:rPr>
            </w:pPr>
            <w:r>
              <w:rPr>
                <w:rFonts w:hint="eastAsia" w:ascii="仿宋" w:hAnsi="仿宋" w:eastAsia="仿宋"/>
                <w:szCs w:val="21"/>
              </w:rPr>
              <w:t>中医师</w:t>
            </w:r>
          </w:p>
        </w:tc>
        <w:tc>
          <w:tcPr>
            <w:tcW w:w="2160" w:type="dxa"/>
            <w:noWrap w:val="0"/>
            <w:vAlign w:val="center"/>
          </w:tcPr>
          <w:p w14:paraId="0BD22070">
            <w:pPr>
              <w:tabs>
                <w:tab w:val="left" w:pos="900"/>
              </w:tabs>
              <w:autoSpaceDN w:val="0"/>
              <w:adjustRightInd w:val="0"/>
              <w:jc w:val="left"/>
              <w:rPr>
                <w:rFonts w:hint="eastAsia" w:ascii="仿宋" w:hAnsi="仿宋" w:eastAsia="仿宋"/>
                <w:szCs w:val="21"/>
              </w:rPr>
            </w:pPr>
            <w:r>
              <w:rPr>
                <w:rFonts w:hint="eastAsia" w:ascii="仿宋" w:hAnsi="仿宋" w:eastAsia="仿宋"/>
                <w:szCs w:val="21"/>
              </w:rPr>
              <w:t>马来西亚</w:t>
            </w:r>
          </w:p>
          <w:p w14:paraId="4AB4CDCD">
            <w:pPr>
              <w:tabs>
                <w:tab w:val="left" w:pos="900"/>
              </w:tabs>
              <w:autoSpaceDN w:val="0"/>
              <w:adjustRightInd w:val="0"/>
              <w:jc w:val="left"/>
              <w:rPr>
                <w:rFonts w:hint="eastAsia" w:ascii="仿宋" w:hAnsi="仿宋" w:eastAsia="仿宋"/>
                <w:szCs w:val="21"/>
              </w:rPr>
            </w:pPr>
            <w:r>
              <w:rPr>
                <w:rFonts w:hint="eastAsia" w:ascii="仿宋" w:hAnsi="仿宋" w:eastAsia="仿宋"/>
                <w:szCs w:val="21"/>
              </w:rPr>
              <w:t>柔佛中华慈善中医院</w:t>
            </w:r>
          </w:p>
        </w:tc>
        <w:tc>
          <w:tcPr>
            <w:tcW w:w="3985" w:type="dxa"/>
            <w:noWrap w:val="0"/>
            <w:vAlign w:val="center"/>
          </w:tcPr>
          <w:p w14:paraId="6EB6C82B">
            <w:pPr>
              <w:rPr>
                <w:rFonts w:ascii="仿宋" w:hAnsi="仿宋" w:eastAsia="仿宋"/>
                <w:szCs w:val="21"/>
              </w:rPr>
            </w:pPr>
            <w:r>
              <w:rPr>
                <w:rFonts w:hint="eastAsia" w:ascii="仿宋" w:hAnsi="仿宋" w:eastAsia="仿宋"/>
                <w:szCs w:val="21"/>
              </w:rPr>
              <w:t>接受专家问卷调查，参与工作讨论。</w:t>
            </w:r>
          </w:p>
        </w:tc>
      </w:tr>
      <w:tr w14:paraId="4D2A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51E0169A">
            <w:pPr>
              <w:tabs>
                <w:tab w:val="left" w:pos="900"/>
              </w:tabs>
              <w:autoSpaceDN w:val="0"/>
              <w:adjustRightInd w:val="0"/>
              <w:jc w:val="center"/>
              <w:rPr>
                <w:rFonts w:ascii="仿宋" w:hAnsi="仿宋" w:eastAsia="仿宋"/>
                <w:color w:val="000000"/>
                <w:szCs w:val="21"/>
              </w:rPr>
            </w:pPr>
            <w:r>
              <w:rPr>
                <w:rFonts w:hint="eastAsia" w:ascii="仿宋" w:hAnsi="仿宋" w:eastAsia="仿宋"/>
                <w:color w:val="000000"/>
                <w:szCs w:val="21"/>
              </w:rPr>
              <w:t>乔木林</w:t>
            </w:r>
          </w:p>
        </w:tc>
        <w:tc>
          <w:tcPr>
            <w:tcW w:w="815" w:type="dxa"/>
            <w:noWrap w:val="0"/>
            <w:vAlign w:val="center"/>
          </w:tcPr>
          <w:p w14:paraId="5AC73A90">
            <w:pPr>
              <w:jc w:val="center"/>
              <w:rPr>
                <w:rFonts w:ascii="仿宋" w:hAnsi="仿宋" w:eastAsia="仿宋"/>
                <w:color w:val="000000"/>
                <w:szCs w:val="21"/>
              </w:rPr>
            </w:pPr>
            <w:r>
              <w:rPr>
                <w:rFonts w:hint="eastAsia" w:ascii="仿宋" w:hAnsi="仿宋" w:eastAsia="仿宋"/>
                <w:color w:val="000000"/>
                <w:szCs w:val="21"/>
              </w:rPr>
              <w:t>硕士</w:t>
            </w:r>
          </w:p>
        </w:tc>
        <w:tc>
          <w:tcPr>
            <w:tcW w:w="1263" w:type="dxa"/>
            <w:noWrap w:val="0"/>
            <w:vAlign w:val="center"/>
          </w:tcPr>
          <w:p w14:paraId="1F67EF96">
            <w:pPr>
              <w:tabs>
                <w:tab w:val="left" w:pos="900"/>
              </w:tabs>
              <w:autoSpaceDN w:val="0"/>
              <w:adjustRightInd w:val="0"/>
              <w:jc w:val="left"/>
              <w:rPr>
                <w:rFonts w:ascii="仿宋" w:hAnsi="仿宋" w:eastAsia="仿宋"/>
                <w:szCs w:val="21"/>
              </w:rPr>
            </w:pPr>
            <w:r>
              <w:rPr>
                <w:rFonts w:hint="eastAsia" w:ascii="仿宋" w:hAnsi="仿宋" w:eastAsia="仿宋"/>
                <w:szCs w:val="21"/>
              </w:rPr>
              <w:t>教授</w:t>
            </w:r>
          </w:p>
        </w:tc>
        <w:tc>
          <w:tcPr>
            <w:tcW w:w="2160" w:type="dxa"/>
            <w:noWrap w:val="0"/>
            <w:vAlign w:val="center"/>
          </w:tcPr>
          <w:p w14:paraId="0D82F10D">
            <w:pPr>
              <w:tabs>
                <w:tab w:val="left" w:pos="900"/>
              </w:tabs>
              <w:autoSpaceDN w:val="0"/>
              <w:adjustRightInd w:val="0"/>
              <w:jc w:val="left"/>
              <w:rPr>
                <w:rFonts w:hint="eastAsia" w:ascii="仿宋" w:hAnsi="仿宋" w:eastAsia="仿宋"/>
                <w:szCs w:val="21"/>
              </w:rPr>
            </w:pPr>
            <w:r>
              <w:rPr>
                <w:rFonts w:hint="eastAsia" w:ascii="仿宋" w:hAnsi="仿宋" w:eastAsia="仿宋"/>
                <w:szCs w:val="21"/>
              </w:rPr>
              <w:t>澳大利亚</w:t>
            </w:r>
          </w:p>
          <w:p w14:paraId="5368FC91">
            <w:pPr>
              <w:tabs>
                <w:tab w:val="left" w:pos="900"/>
              </w:tabs>
              <w:autoSpaceDN w:val="0"/>
              <w:adjustRightInd w:val="0"/>
              <w:jc w:val="left"/>
              <w:rPr>
                <w:rFonts w:ascii="仿宋" w:hAnsi="仿宋" w:eastAsia="仿宋"/>
                <w:szCs w:val="21"/>
              </w:rPr>
            </w:pPr>
            <w:r>
              <w:rPr>
                <w:rFonts w:hint="eastAsia" w:ascii="仿宋" w:hAnsi="仿宋" w:eastAsia="仿宋"/>
                <w:szCs w:val="21"/>
              </w:rPr>
              <w:t>奋进自然健康学院</w:t>
            </w:r>
          </w:p>
        </w:tc>
        <w:tc>
          <w:tcPr>
            <w:tcW w:w="3985" w:type="dxa"/>
            <w:noWrap w:val="0"/>
            <w:vAlign w:val="center"/>
          </w:tcPr>
          <w:p w14:paraId="4A5C330F">
            <w:pPr>
              <w:rPr>
                <w:rFonts w:ascii="仿宋" w:hAnsi="仿宋" w:eastAsia="仿宋"/>
                <w:szCs w:val="21"/>
              </w:rPr>
            </w:pPr>
            <w:r>
              <w:rPr>
                <w:rFonts w:hint="eastAsia" w:ascii="仿宋" w:hAnsi="仿宋" w:eastAsia="仿宋"/>
                <w:szCs w:val="21"/>
              </w:rPr>
              <w:t>接受专家问卷调查，参与工作讨论。</w:t>
            </w:r>
          </w:p>
        </w:tc>
      </w:tr>
      <w:tr w14:paraId="162A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477A4571">
            <w:pPr>
              <w:tabs>
                <w:tab w:val="left" w:pos="900"/>
              </w:tabs>
              <w:autoSpaceDN w:val="0"/>
              <w:adjustRightInd w:val="0"/>
              <w:jc w:val="center"/>
              <w:rPr>
                <w:rFonts w:ascii="仿宋" w:hAnsi="仿宋" w:eastAsia="仿宋"/>
                <w:szCs w:val="21"/>
              </w:rPr>
            </w:pPr>
            <w:r>
              <w:rPr>
                <w:rFonts w:hint="eastAsia" w:ascii="仿宋" w:hAnsi="仿宋" w:eastAsia="仿宋"/>
                <w:szCs w:val="21"/>
              </w:rPr>
              <w:t>闵楷家</w:t>
            </w:r>
          </w:p>
        </w:tc>
        <w:tc>
          <w:tcPr>
            <w:tcW w:w="815" w:type="dxa"/>
            <w:noWrap w:val="0"/>
            <w:vAlign w:val="center"/>
          </w:tcPr>
          <w:p w14:paraId="1EE59981">
            <w:pPr>
              <w:jc w:val="center"/>
              <w:rPr>
                <w:rFonts w:ascii="仿宋" w:hAnsi="仿宋" w:eastAsia="仿宋"/>
                <w:color w:val="000000"/>
                <w:szCs w:val="21"/>
              </w:rPr>
            </w:pPr>
            <w:r>
              <w:rPr>
                <w:rFonts w:hint="eastAsia" w:ascii="仿宋" w:hAnsi="仿宋" w:eastAsia="仿宋"/>
                <w:color w:val="000000"/>
                <w:szCs w:val="21"/>
              </w:rPr>
              <w:t>博士</w:t>
            </w:r>
          </w:p>
        </w:tc>
        <w:tc>
          <w:tcPr>
            <w:tcW w:w="1263" w:type="dxa"/>
            <w:noWrap w:val="0"/>
            <w:vAlign w:val="center"/>
          </w:tcPr>
          <w:p w14:paraId="641A73C3">
            <w:pPr>
              <w:tabs>
                <w:tab w:val="left" w:pos="900"/>
              </w:tabs>
              <w:autoSpaceDN w:val="0"/>
              <w:adjustRightInd w:val="0"/>
              <w:jc w:val="left"/>
              <w:rPr>
                <w:rFonts w:ascii="仿宋" w:hAnsi="仿宋" w:eastAsia="仿宋"/>
                <w:szCs w:val="21"/>
              </w:rPr>
            </w:pPr>
            <w:r>
              <w:rPr>
                <w:rFonts w:hint="eastAsia" w:ascii="仿宋" w:hAnsi="仿宋" w:eastAsia="仿宋"/>
                <w:szCs w:val="21"/>
              </w:rPr>
              <w:t>教授</w:t>
            </w:r>
          </w:p>
        </w:tc>
        <w:tc>
          <w:tcPr>
            <w:tcW w:w="2160" w:type="dxa"/>
            <w:noWrap w:val="0"/>
            <w:vAlign w:val="center"/>
          </w:tcPr>
          <w:p w14:paraId="0A4FF265">
            <w:pPr>
              <w:tabs>
                <w:tab w:val="left" w:pos="900"/>
              </w:tabs>
              <w:autoSpaceDN w:val="0"/>
              <w:adjustRightInd w:val="0"/>
              <w:jc w:val="left"/>
              <w:rPr>
                <w:rFonts w:ascii="仿宋" w:hAnsi="仿宋" w:eastAsia="仿宋"/>
                <w:szCs w:val="21"/>
              </w:rPr>
            </w:pPr>
            <w:r>
              <w:rPr>
                <w:rFonts w:hint="eastAsia" w:ascii="仿宋" w:hAnsi="仿宋" w:eastAsia="仿宋"/>
                <w:szCs w:val="21"/>
                <w:lang w:val="en-US" w:eastAsia="zh-CN"/>
              </w:rPr>
              <w:t>美国</w:t>
            </w:r>
            <w:r>
              <w:rPr>
                <w:rFonts w:hint="eastAsia" w:ascii="仿宋" w:hAnsi="仿宋" w:eastAsia="仿宋"/>
                <w:szCs w:val="21"/>
              </w:rPr>
              <w:t>加州国际医药大学</w:t>
            </w:r>
          </w:p>
        </w:tc>
        <w:tc>
          <w:tcPr>
            <w:tcW w:w="3985" w:type="dxa"/>
            <w:noWrap w:val="0"/>
            <w:vAlign w:val="center"/>
          </w:tcPr>
          <w:p w14:paraId="540A9637">
            <w:pPr>
              <w:rPr>
                <w:rFonts w:ascii="仿宋" w:hAnsi="仿宋" w:eastAsia="仿宋"/>
                <w:szCs w:val="21"/>
              </w:rPr>
            </w:pPr>
            <w:r>
              <w:rPr>
                <w:rFonts w:hint="eastAsia" w:ascii="仿宋" w:hAnsi="仿宋" w:eastAsia="仿宋"/>
                <w:szCs w:val="21"/>
              </w:rPr>
              <w:t>接受专家问卷调查，参与工作讨论。</w:t>
            </w:r>
          </w:p>
        </w:tc>
      </w:tr>
      <w:tr w14:paraId="1A06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wAfter w:w="0" w:type="auto"/>
          <w:trHeight w:val="795" w:hRule="atLeast"/>
          <w:jc w:val="center"/>
        </w:trPr>
        <w:tc>
          <w:tcPr>
            <w:tcW w:w="1008" w:type="dxa"/>
            <w:noWrap w:val="0"/>
            <w:vAlign w:val="center"/>
          </w:tcPr>
          <w:p w14:paraId="756AD019">
            <w:pPr>
              <w:tabs>
                <w:tab w:val="left" w:pos="900"/>
              </w:tabs>
              <w:autoSpaceDN w:val="0"/>
              <w:adjustRightInd w:val="0"/>
              <w:jc w:val="center"/>
              <w:rPr>
                <w:rFonts w:ascii="仿宋" w:hAnsi="仿宋" w:eastAsia="仿宋"/>
                <w:szCs w:val="21"/>
              </w:rPr>
            </w:pPr>
            <w:r>
              <w:rPr>
                <w:rFonts w:hint="eastAsia" w:ascii="仿宋" w:hAnsi="仿宋" w:eastAsia="仿宋"/>
                <w:szCs w:val="21"/>
              </w:rPr>
              <w:t>张雅婷</w:t>
            </w:r>
          </w:p>
        </w:tc>
        <w:tc>
          <w:tcPr>
            <w:tcW w:w="815" w:type="dxa"/>
            <w:noWrap w:val="0"/>
            <w:vAlign w:val="center"/>
          </w:tcPr>
          <w:p w14:paraId="2D5A349B">
            <w:pPr>
              <w:jc w:val="center"/>
              <w:rPr>
                <w:rFonts w:hint="eastAsia" w:ascii="仿宋" w:hAnsi="仿宋" w:eastAsia="仿宋"/>
                <w:szCs w:val="21"/>
              </w:rPr>
            </w:pPr>
            <w:r>
              <w:rPr>
                <w:rFonts w:hint="eastAsia" w:ascii="仿宋" w:hAnsi="仿宋" w:eastAsia="仿宋"/>
                <w:szCs w:val="21"/>
              </w:rPr>
              <w:t>博士</w:t>
            </w:r>
          </w:p>
        </w:tc>
        <w:tc>
          <w:tcPr>
            <w:tcW w:w="1263" w:type="dxa"/>
            <w:noWrap w:val="0"/>
            <w:vAlign w:val="center"/>
          </w:tcPr>
          <w:p w14:paraId="33A58F6F">
            <w:pPr>
              <w:tabs>
                <w:tab w:val="left" w:pos="900"/>
              </w:tabs>
              <w:autoSpaceDN w:val="0"/>
              <w:adjustRightInd w:val="0"/>
              <w:jc w:val="left"/>
              <w:rPr>
                <w:rFonts w:hint="eastAsia" w:ascii="仿宋" w:hAnsi="仿宋" w:eastAsia="仿宋"/>
                <w:szCs w:val="21"/>
              </w:rPr>
            </w:pPr>
            <w:r>
              <w:rPr>
                <w:rFonts w:hint="eastAsia" w:ascii="仿宋" w:hAnsi="仿宋" w:eastAsia="仿宋"/>
                <w:szCs w:val="21"/>
              </w:rPr>
              <w:t>副主任</w:t>
            </w:r>
          </w:p>
          <w:p w14:paraId="3FA6E128">
            <w:pPr>
              <w:tabs>
                <w:tab w:val="left" w:pos="900"/>
              </w:tabs>
              <w:autoSpaceDN w:val="0"/>
              <w:adjustRightInd w:val="0"/>
              <w:jc w:val="left"/>
              <w:rPr>
                <w:rFonts w:ascii="仿宋" w:hAnsi="仿宋" w:eastAsia="仿宋"/>
                <w:szCs w:val="21"/>
              </w:rPr>
            </w:pPr>
            <w:r>
              <w:rPr>
                <w:rFonts w:hint="eastAsia" w:ascii="仿宋" w:hAnsi="仿宋" w:eastAsia="仿宋"/>
                <w:szCs w:val="21"/>
              </w:rPr>
              <w:t>中医师</w:t>
            </w:r>
          </w:p>
        </w:tc>
        <w:tc>
          <w:tcPr>
            <w:tcW w:w="2160" w:type="dxa"/>
            <w:noWrap w:val="0"/>
            <w:vAlign w:val="center"/>
          </w:tcPr>
          <w:p w14:paraId="460FB4F9">
            <w:pPr>
              <w:tabs>
                <w:tab w:val="left" w:pos="900"/>
              </w:tabs>
              <w:autoSpaceDN w:val="0"/>
              <w:adjustRightInd w:val="0"/>
              <w:jc w:val="left"/>
              <w:rPr>
                <w:rFonts w:ascii="仿宋" w:hAnsi="仿宋" w:eastAsia="仿宋"/>
                <w:szCs w:val="21"/>
              </w:rPr>
            </w:pPr>
            <w:r>
              <w:rPr>
                <w:rFonts w:hint="eastAsia" w:ascii="仿宋" w:hAnsi="仿宋" w:eastAsia="仿宋"/>
                <w:szCs w:val="21"/>
              </w:rPr>
              <w:t>厦门市长庚医院</w:t>
            </w:r>
          </w:p>
        </w:tc>
        <w:tc>
          <w:tcPr>
            <w:tcW w:w="3985" w:type="dxa"/>
            <w:noWrap w:val="0"/>
            <w:vAlign w:val="center"/>
          </w:tcPr>
          <w:p w14:paraId="2BE596BA">
            <w:pPr>
              <w:rPr>
                <w:rFonts w:hint="eastAsia" w:ascii="仿宋" w:hAnsi="仿宋" w:eastAsia="仿宋"/>
                <w:szCs w:val="21"/>
              </w:rPr>
            </w:pPr>
            <w:r>
              <w:rPr>
                <w:rFonts w:hint="eastAsia" w:ascii="仿宋" w:hAnsi="仿宋" w:eastAsia="仿宋"/>
                <w:szCs w:val="21"/>
              </w:rPr>
              <w:t>接受专家问卷调查，参与工作讨论。</w:t>
            </w:r>
          </w:p>
        </w:tc>
      </w:tr>
    </w:tbl>
    <w:p w14:paraId="2DC6CA34">
      <w:pPr>
        <w:spacing w:line="360" w:lineRule="auto"/>
        <w:rPr>
          <w:rFonts w:hint="eastAsia" w:ascii="仿宋" w:hAnsi="仿宋" w:eastAsia="仿宋"/>
          <w:b/>
          <w:sz w:val="24"/>
          <w:szCs w:val="24"/>
        </w:rPr>
      </w:pPr>
      <w:r>
        <w:rPr>
          <w:rFonts w:ascii="仿宋" w:hAnsi="仿宋" w:eastAsia="仿宋"/>
          <w:b/>
          <w:sz w:val="24"/>
          <w:szCs w:val="24"/>
        </w:rPr>
        <w:t xml:space="preserve">3  </w:t>
      </w:r>
      <w:r>
        <w:rPr>
          <w:rFonts w:hint="eastAsia" w:ascii="仿宋" w:hAnsi="仿宋" w:eastAsia="仿宋"/>
          <w:b/>
          <w:sz w:val="24"/>
          <w:szCs w:val="24"/>
        </w:rPr>
        <w:t>咨询认证专家</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2"/>
        <w:gridCol w:w="787"/>
        <w:gridCol w:w="1281"/>
        <w:gridCol w:w="3949"/>
        <w:gridCol w:w="2225"/>
      </w:tblGrid>
      <w:tr w14:paraId="37AF5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DB9C85D">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787" w:type="dxa"/>
            <w:noWrap w:val="0"/>
            <w:vAlign w:val="center"/>
          </w:tcPr>
          <w:p w14:paraId="4DAE757E">
            <w:pPr>
              <w:jc w:val="center"/>
              <w:rPr>
                <w:rFonts w:ascii="仿宋" w:hAnsi="仿宋" w:eastAsia="仿宋"/>
                <w:szCs w:val="21"/>
              </w:rPr>
            </w:pPr>
            <w:r>
              <w:rPr>
                <w:rFonts w:hint="eastAsia" w:ascii="仿宋" w:hAnsi="仿宋" w:eastAsia="仿宋"/>
                <w:szCs w:val="21"/>
              </w:rPr>
              <w:t>学位</w:t>
            </w:r>
          </w:p>
        </w:tc>
        <w:tc>
          <w:tcPr>
            <w:tcW w:w="1281" w:type="dxa"/>
            <w:noWrap w:val="0"/>
            <w:vAlign w:val="center"/>
          </w:tcPr>
          <w:p w14:paraId="2F5D2A34">
            <w:pPr>
              <w:jc w:val="center"/>
              <w:rPr>
                <w:rFonts w:ascii="仿宋" w:hAnsi="仿宋" w:eastAsia="仿宋"/>
                <w:szCs w:val="21"/>
              </w:rPr>
            </w:pPr>
            <w:r>
              <w:rPr>
                <w:rFonts w:hint="eastAsia" w:ascii="仿宋" w:hAnsi="仿宋" w:eastAsia="仿宋"/>
                <w:szCs w:val="21"/>
              </w:rPr>
              <w:t>职  称</w:t>
            </w:r>
          </w:p>
        </w:tc>
        <w:tc>
          <w:tcPr>
            <w:tcW w:w="3949" w:type="dxa"/>
            <w:noWrap w:val="0"/>
            <w:vAlign w:val="center"/>
          </w:tcPr>
          <w:p w14:paraId="11D06691">
            <w:pPr>
              <w:jc w:val="center"/>
              <w:rPr>
                <w:rFonts w:ascii="仿宋" w:hAnsi="仿宋" w:eastAsia="仿宋"/>
                <w:szCs w:val="21"/>
              </w:rPr>
            </w:pPr>
            <w:r>
              <w:rPr>
                <w:rFonts w:hint="eastAsia" w:ascii="仿宋" w:hAnsi="仿宋" w:eastAsia="仿宋"/>
              </w:rPr>
              <w:t>单  位</w:t>
            </w:r>
          </w:p>
        </w:tc>
        <w:tc>
          <w:tcPr>
            <w:tcW w:w="2225" w:type="dxa"/>
            <w:noWrap w:val="0"/>
            <w:vAlign w:val="center"/>
          </w:tcPr>
          <w:p w14:paraId="289A519B">
            <w:pPr>
              <w:jc w:val="center"/>
              <w:rPr>
                <w:rFonts w:ascii="仿宋" w:hAnsi="仿宋" w:eastAsia="仿宋"/>
                <w:szCs w:val="21"/>
              </w:rPr>
            </w:pPr>
            <w:r>
              <w:rPr>
                <w:rFonts w:hint="eastAsia" w:ascii="仿宋" w:hAnsi="仿宋" w:eastAsia="仿宋"/>
                <w:szCs w:val="21"/>
              </w:rPr>
              <w:t>承担工作</w:t>
            </w:r>
          </w:p>
        </w:tc>
      </w:tr>
      <w:tr w14:paraId="578D1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A8B2A82">
            <w:pPr>
              <w:jc w:val="center"/>
              <w:rPr>
                <w:rFonts w:hint="eastAsia" w:ascii="仿宋" w:hAnsi="仿宋" w:eastAsia="仿宋" w:cs="Times New Roman"/>
                <w:szCs w:val="21"/>
              </w:rPr>
            </w:pPr>
            <w:r>
              <w:rPr>
                <w:rFonts w:hint="eastAsia" w:ascii="仿宋" w:hAnsi="仿宋" w:eastAsia="仿宋" w:cs="Times New Roman"/>
                <w:szCs w:val="21"/>
                <w:lang w:val="en-US" w:eastAsia="zh-CN"/>
              </w:rPr>
              <w:t>于娟</w:t>
            </w:r>
          </w:p>
        </w:tc>
        <w:tc>
          <w:tcPr>
            <w:tcW w:w="787" w:type="dxa"/>
            <w:noWrap w:val="0"/>
            <w:vAlign w:val="center"/>
          </w:tcPr>
          <w:p w14:paraId="13422E29">
            <w:pPr>
              <w:jc w:val="center"/>
              <w:rPr>
                <w:rFonts w:hint="eastAsia" w:ascii="仿宋" w:hAnsi="仿宋" w:eastAsia="仿宋"/>
                <w:szCs w:val="21"/>
                <w:lang w:val="en-US" w:eastAsia="zh-CN"/>
              </w:rPr>
            </w:pPr>
            <w:r>
              <w:rPr>
                <w:rFonts w:hint="eastAsia" w:ascii="仿宋" w:hAnsi="仿宋" w:eastAsia="仿宋"/>
                <w:szCs w:val="21"/>
                <w:lang w:val="en-US" w:eastAsia="zh-CN"/>
              </w:rPr>
              <w:t>博士</w:t>
            </w:r>
          </w:p>
        </w:tc>
        <w:tc>
          <w:tcPr>
            <w:tcW w:w="1281" w:type="dxa"/>
            <w:noWrap w:val="0"/>
            <w:vAlign w:val="center"/>
          </w:tcPr>
          <w:p w14:paraId="42F5D4B8">
            <w:pPr>
              <w:jc w:val="center"/>
              <w:rPr>
                <w:rFonts w:hint="eastAsia" w:ascii="仿宋" w:hAnsi="仿宋" w:eastAsia="仿宋"/>
                <w:szCs w:val="21"/>
              </w:rPr>
            </w:pPr>
            <w:r>
              <w:rPr>
                <w:rFonts w:hint="eastAsia" w:ascii="仿宋" w:hAnsi="仿宋" w:eastAsia="仿宋"/>
              </w:rPr>
              <w:t>教授、主任医师，博导</w:t>
            </w:r>
          </w:p>
        </w:tc>
        <w:tc>
          <w:tcPr>
            <w:tcW w:w="3949" w:type="dxa"/>
            <w:noWrap w:val="0"/>
            <w:vAlign w:val="center"/>
          </w:tcPr>
          <w:p w14:paraId="10781C6F">
            <w:pPr>
              <w:jc w:val="center"/>
              <w:rPr>
                <w:rFonts w:hint="default" w:ascii="仿宋" w:hAnsi="仿宋" w:eastAsia="仿宋"/>
                <w:lang w:val="en-US" w:eastAsia="zh-CN"/>
              </w:rPr>
            </w:pPr>
            <w:r>
              <w:rPr>
                <w:rFonts w:hint="eastAsia" w:ascii="仿宋" w:hAnsi="仿宋" w:eastAsia="仿宋"/>
                <w:lang w:val="en-US" w:eastAsia="zh-CN"/>
              </w:rPr>
              <w:t>山东中医药大学附属医院</w:t>
            </w:r>
          </w:p>
        </w:tc>
        <w:tc>
          <w:tcPr>
            <w:tcW w:w="2225" w:type="dxa"/>
            <w:noWrap w:val="0"/>
            <w:vAlign w:val="center"/>
          </w:tcPr>
          <w:p w14:paraId="5A850E6C">
            <w:pPr>
              <w:jc w:val="center"/>
              <w:rPr>
                <w:rFonts w:hint="eastAsia" w:ascii="仿宋" w:hAnsi="仿宋" w:eastAsia="仿宋"/>
                <w:szCs w:val="21"/>
              </w:rPr>
            </w:pPr>
            <w:r>
              <w:rPr>
                <w:rFonts w:hint="eastAsia" w:ascii="仿宋" w:hAnsi="仿宋" w:eastAsia="仿宋"/>
                <w:szCs w:val="21"/>
              </w:rPr>
              <w:t>接受专家问卷调查。</w:t>
            </w:r>
          </w:p>
        </w:tc>
      </w:tr>
      <w:tr w14:paraId="38290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1D5439E">
            <w:pPr>
              <w:jc w:val="center"/>
              <w:rPr>
                <w:rFonts w:hint="eastAsia" w:ascii="仿宋" w:hAnsi="仿宋" w:eastAsia="仿宋" w:cs="Times New Roman"/>
                <w:szCs w:val="21"/>
              </w:rPr>
            </w:pPr>
            <w:r>
              <w:rPr>
                <w:rFonts w:hint="eastAsia" w:ascii="仿宋" w:hAnsi="仿宋" w:eastAsia="仿宋" w:cs="Times New Roman"/>
                <w:szCs w:val="21"/>
                <w:lang w:val="en-US" w:eastAsia="zh-CN"/>
              </w:rPr>
              <w:t>李敏</w:t>
            </w:r>
          </w:p>
        </w:tc>
        <w:tc>
          <w:tcPr>
            <w:tcW w:w="787" w:type="dxa"/>
            <w:noWrap w:val="0"/>
            <w:vAlign w:val="center"/>
          </w:tcPr>
          <w:p w14:paraId="10CBF30F">
            <w:pPr>
              <w:jc w:val="center"/>
              <w:rPr>
                <w:rFonts w:hint="eastAsia" w:ascii="仿宋" w:hAnsi="仿宋" w:eastAsia="仿宋"/>
                <w:szCs w:val="21"/>
                <w:lang w:val="en-US" w:eastAsia="zh-CN"/>
              </w:rPr>
            </w:pPr>
            <w:r>
              <w:rPr>
                <w:rFonts w:hint="eastAsia" w:ascii="仿宋" w:hAnsi="仿宋" w:eastAsia="仿宋"/>
                <w:szCs w:val="21"/>
                <w:lang w:val="en-US" w:eastAsia="zh-CN"/>
              </w:rPr>
              <w:t>博士</w:t>
            </w:r>
          </w:p>
        </w:tc>
        <w:tc>
          <w:tcPr>
            <w:tcW w:w="1281" w:type="dxa"/>
            <w:noWrap w:val="0"/>
            <w:vAlign w:val="center"/>
          </w:tcPr>
          <w:p w14:paraId="027D2C79">
            <w:pPr>
              <w:jc w:val="center"/>
              <w:rPr>
                <w:rFonts w:hint="eastAsia" w:ascii="仿宋" w:hAnsi="仿宋" w:eastAsia="仿宋"/>
                <w:szCs w:val="21"/>
              </w:rPr>
            </w:pPr>
            <w:r>
              <w:rPr>
                <w:rFonts w:hint="eastAsia" w:ascii="仿宋" w:hAnsi="仿宋" w:eastAsia="仿宋"/>
              </w:rPr>
              <w:t>教授、主任医师，博导</w:t>
            </w:r>
          </w:p>
        </w:tc>
        <w:tc>
          <w:tcPr>
            <w:tcW w:w="3949" w:type="dxa"/>
            <w:noWrap w:val="0"/>
            <w:vAlign w:val="center"/>
          </w:tcPr>
          <w:p w14:paraId="452A8F72">
            <w:pPr>
              <w:jc w:val="center"/>
              <w:rPr>
                <w:rFonts w:hint="default" w:ascii="仿宋" w:hAnsi="仿宋" w:eastAsia="仿宋"/>
                <w:lang w:val="en-US" w:eastAsia="zh-CN"/>
              </w:rPr>
            </w:pPr>
            <w:r>
              <w:rPr>
                <w:rFonts w:hint="eastAsia" w:ascii="仿宋" w:hAnsi="仿宋" w:eastAsia="仿宋"/>
                <w:lang w:val="en-US" w:eastAsia="zh-CN"/>
              </w:rPr>
              <w:t>首都医科大学附属北京中医医院</w:t>
            </w:r>
          </w:p>
        </w:tc>
        <w:tc>
          <w:tcPr>
            <w:tcW w:w="2225" w:type="dxa"/>
            <w:noWrap w:val="0"/>
            <w:vAlign w:val="center"/>
          </w:tcPr>
          <w:p w14:paraId="381BAF69">
            <w:pPr>
              <w:jc w:val="center"/>
              <w:rPr>
                <w:rFonts w:hint="eastAsia" w:ascii="仿宋" w:hAnsi="仿宋" w:eastAsia="仿宋"/>
                <w:szCs w:val="21"/>
              </w:rPr>
            </w:pPr>
            <w:r>
              <w:rPr>
                <w:rFonts w:hint="eastAsia" w:ascii="仿宋" w:hAnsi="仿宋" w:eastAsia="仿宋"/>
                <w:szCs w:val="21"/>
              </w:rPr>
              <w:t>接受专家问卷调查。</w:t>
            </w:r>
          </w:p>
        </w:tc>
      </w:tr>
      <w:tr w14:paraId="6B918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7BE1E3E">
            <w:pPr>
              <w:jc w:val="center"/>
              <w:rPr>
                <w:rFonts w:hint="eastAsia" w:ascii="仿宋" w:hAnsi="仿宋" w:eastAsia="仿宋" w:cs="Times New Roman"/>
                <w:szCs w:val="21"/>
              </w:rPr>
            </w:pPr>
            <w:r>
              <w:rPr>
                <w:rFonts w:hint="eastAsia" w:ascii="仿宋" w:hAnsi="仿宋" w:eastAsia="仿宋" w:cs="Times New Roman"/>
                <w:szCs w:val="21"/>
                <w:lang w:val="en-US" w:eastAsia="zh-CN"/>
              </w:rPr>
              <w:t>姚笑</w:t>
            </w:r>
          </w:p>
        </w:tc>
        <w:tc>
          <w:tcPr>
            <w:tcW w:w="787" w:type="dxa"/>
            <w:noWrap w:val="0"/>
            <w:vAlign w:val="center"/>
          </w:tcPr>
          <w:p w14:paraId="0296A75C">
            <w:pPr>
              <w:jc w:val="center"/>
              <w:rPr>
                <w:rFonts w:hint="eastAsia" w:ascii="仿宋" w:hAnsi="仿宋" w:eastAsia="仿宋"/>
                <w:szCs w:val="21"/>
                <w:lang w:val="en-US" w:eastAsia="zh-CN"/>
              </w:rPr>
            </w:pPr>
            <w:r>
              <w:rPr>
                <w:rFonts w:hint="eastAsia" w:ascii="仿宋" w:hAnsi="仿宋" w:eastAsia="仿宋"/>
                <w:szCs w:val="21"/>
                <w:lang w:val="en-US" w:eastAsia="zh-CN"/>
              </w:rPr>
              <w:t>硕士</w:t>
            </w:r>
          </w:p>
        </w:tc>
        <w:tc>
          <w:tcPr>
            <w:tcW w:w="1281" w:type="dxa"/>
            <w:noWrap w:val="0"/>
            <w:vAlign w:val="center"/>
          </w:tcPr>
          <w:p w14:paraId="779890A8">
            <w:pPr>
              <w:jc w:val="center"/>
              <w:rPr>
                <w:rFonts w:hint="eastAsia" w:ascii="仿宋" w:hAnsi="仿宋" w:eastAsia="仿宋"/>
                <w:szCs w:val="21"/>
              </w:rPr>
            </w:pPr>
            <w:r>
              <w:rPr>
                <w:rFonts w:hint="eastAsia" w:ascii="仿宋" w:hAnsi="仿宋" w:eastAsia="仿宋"/>
              </w:rPr>
              <w:t>教授、主任医师，</w:t>
            </w:r>
            <w:r>
              <w:rPr>
                <w:rFonts w:hint="eastAsia" w:ascii="仿宋" w:hAnsi="仿宋" w:eastAsia="仿宋"/>
                <w:lang w:val="en-US" w:eastAsia="zh-CN"/>
              </w:rPr>
              <w:t>硕</w:t>
            </w:r>
            <w:r>
              <w:rPr>
                <w:rFonts w:hint="eastAsia" w:ascii="仿宋" w:hAnsi="仿宋" w:eastAsia="仿宋"/>
              </w:rPr>
              <w:t>导</w:t>
            </w:r>
          </w:p>
        </w:tc>
        <w:tc>
          <w:tcPr>
            <w:tcW w:w="3949" w:type="dxa"/>
            <w:noWrap w:val="0"/>
            <w:vAlign w:val="center"/>
          </w:tcPr>
          <w:p w14:paraId="4FB562EA">
            <w:pPr>
              <w:jc w:val="center"/>
              <w:rPr>
                <w:rFonts w:hint="default" w:ascii="仿宋" w:hAnsi="仿宋" w:eastAsia="仿宋"/>
                <w:lang w:val="en-US" w:eastAsia="zh-CN"/>
              </w:rPr>
            </w:pPr>
            <w:r>
              <w:rPr>
                <w:rFonts w:hint="eastAsia" w:ascii="仿宋" w:hAnsi="仿宋" w:eastAsia="仿宋"/>
                <w:szCs w:val="21"/>
                <w:lang w:val="en-US" w:eastAsia="zh-CN"/>
              </w:rPr>
              <w:t>山东中医药大学附属医院</w:t>
            </w:r>
          </w:p>
        </w:tc>
        <w:tc>
          <w:tcPr>
            <w:tcW w:w="2225" w:type="dxa"/>
            <w:noWrap w:val="0"/>
            <w:vAlign w:val="center"/>
          </w:tcPr>
          <w:p w14:paraId="28635EA8">
            <w:pPr>
              <w:jc w:val="center"/>
              <w:rPr>
                <w:rFonts w:hint="eastAsia" w:ascii="仿宋" w:hAnsi="仿宋" w:eastAsia="仿宋"/>
                <w:szCs w:val="21"/>
              </w:rPr>
            </w:pPr>
            <w:r>
              <w:rPr>
                <w:rFonts w:hint="eastAsia" w:ascii="仿宋" w:hAnsi="仿宋" w:eastAsia="仿宋"/>
                <w:szCs w:val="21"/>
              </w:rPr>
              <w:t>接受专家问卷调查。</w:t>
            </w:r>
          </w:p>
        </w:tc>
      </w:tr>
      <w:tr w14:paraId="0CE4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577FA7EC">
            <w:pPr>
              <w:jc w:val="center"/>
              <w:rPr>
                <w:rFonts w:hint="eastAsia" w:ascii="仿宋" w:hAnsi="仿宋" w:eastAsia="仿宋" w:cs="Times New Roman"/>
                <w:szCs w:val="21"/>
              </w:rPr>
            </w:pPr>
            <w:r>
              <w:rPr>
                <w:rFonts w:hint="eastAsia" w:ascii="仿宋" w:hAnsi="仿宋" w:eastAsia="仿宋" w:cs="Times New Roman"/>
                <w:szCs w:val="21"/>
                <w:lang w:val="en-US" w:eastAsia="zh-CN"/>
              </w:rPr>
              <w:t>陈红</w:t>
            </w:r>
          </w:p>
        </w:tc>
        <w:tc>
          <w:tcPr>
            <w:tcW w:w="787" w:type="dxa"/>
            <w:noWrap w:val="0"/>
            <w:vAlign w:val="center"/>
          </w:tcPr>
          <w:p w14:paraId="65378486">
            <w:pPr>
              <w:jc w:val="center"/>
              <w:rPr>
                <w:rFonts w:hint="eastAsia" w:ascii="仿宋" w:hAnsi="仿宋" w:eastAsia="仿宋"/>
                <w:szCs w:val="21"/>
                <w:lang w:val="en-US" w:eastAsia="zh-CN"/>
              </w:rPr>
            </w:pPr>
            <w:r>
              <w:rPr>
                <w:rFonts w:hint="eastAsia" w:ascii="仿宋" w:hAnsi="仿宋" w:eastAsia="仿宋"/>
                <w:szCs w:val="21"/>
                <w:lang w:val="en-US" w:eastAsia="zh-CN"/>
              </w:rPr>
              <w:t>本科</w:t>
            </w:r>
          </w:p>
        </w:tc>
        <w:tc>
          <w:tcPr>
            <w:tcW w:w="1281" w:type="dxa"/>
            <w:noWrap w:val="0"/>
            <w:vAlign w:val="center"/>
          </w:tcPr>
          <w:p w14:paraId="1696010C">
            <w:pPr>
              <w:jc w:val="center"/>
              <w:rPr>
                <w:rFonts w:hint="eastAsia" w:ascii="仿宋" w:hAnsi="仿宋" w:eastAsia="仿宋"/>
                <w:szCs w:val="21"/>
              </w:rPr>
            </w:pPr>
            <w:r>
              <w:rPr>
                <w:rFonts w:hint="eastAsia" w:ascii="仿宋" w:hAnsi="仿宋" w:eastAsia="仿宋"/>
                <w:szCs w:val="21"/>
              </w:rPr>
              <w:t>主任医师，</w:t>
            </w:r>
            <w:r>
              <w:rPr>
                <w:rFonts w:hint="eastAsia" w:ascii="仿宋" w:hAnsi="仿宋" w:eastAsia="仿宋"/>
                <w:szCs w:val="21"/>
                <w:lang w:val="en-US" w:eastAsia="zh-CN"/>
              </w:rPr>
              <w:t>硕</w:t>
            </w:r>
            <w:r>
              <w:rPr>
                <w:rFonts w:hint="eastAsia" w:ascii="仿宋" w:hAnsi="仿宋" w:eastAsia="仿宋"/>
                <w:szCs w:val="21"/>
              </w:rPr>
              <w:t>导</w:t>
            </w:r>
          </w:p>
        </w:tc>
        <w:tc>
          <w:tcPr>
            <w:tcW w:w="3949" w:type="dxa"/>
            <w:noWrap w:val="0"/>
            <w:vAlign w:val="center"/>
          </w:tcPr>
          <w:p w14:paraId="6578F613">
            <w:pPr>
              <w:jc w:val="center"/>
              <w:rPr>
                <w:rFonts w:hint="default" w:ascii="仿宋" w:hAnsi="仿宋" w:eastAsia="仿宋"/>
                <w:lang w:val="en-US" w:eastAsia="zh-CN"/>
              </w:rPr>
            </w:pPr>
            <w:r>
              <w:rPr>
                <w:rFonts w:hint="eastAsia" w:ascii="仿宋" w:hAnsi="仿宋" w:eastAsia="仿宋"/>
                <w:lang w:val="en-US" w:eastAsia="zh-CN"/>
              </w:rPr>
              <w:t>北京中医药大学东直门医院</w:t>
            </w:r>
          </w:p>
        </w:tc>
        <w:tc>
          <w:tcPr>
            <w:tcW w:w="2225" w:type="dxa"/>
            <w:noWrap w:val="0"/>
            <w:vAlign w:val="center"/>
          </w:tcPr>
          <w:p w14:paraId="15A9CC2A">
            <w:pPr>
              <w:jc w:val="center"/>
              <w:rPr>
                <w:rFonts w:hint="eastAsia" w:ascii="仿宋" w:hAnsi="仿宋" w:eastAsia="仿宋"/>
                <w:szCs w:val="21"/>
              </w:rPr>
            </w:pPr>
            <w:r>
              <w:rPr>
                <w:rFonts w:hint="eastAsia" w:ascii="仿宋" w:hAnsi="仿宋" w:eastAsia="仿宋"/>
                <w:szCs w:val="21"/>
              </w:rPr>
              <w:t>接受专家问卷调查。</w:t>
            </w:r>
          </w:p>
        </w:tc>
      </w:tr>
      <w:tr w14:paraId="3F3B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EEF4355">
            <w:pPr>
              <w:jc w:val="center"/>
              <w:rPr>
                <w:rFonts w:hint="eastAsia" w:ascii="仿宋" w:hAnsi="仿宋" w:eastAsia="仿宋" w:cs="Times New Roman"/>
                <w:szCs w:val="21"/>
              </w:rPr>
            </w:pPr>
            <w:r>
              <w:rPr>
                <w:rFonts w:hint="eastAsia" w:ascii="仿宋" w:hAnsi="仿宋" w:eastAsia="仿宋" w:cs="Times New Roman"/>
                <w:szCs w:val="21"/>
                <w:lang w:val="en-US" w:eastAsia="zh-CN"/>
              </w:rPr>
              <w:t>王建红</w:t>
            </w:r>
          </w:p>
        </w:tc>
        <w:tc>
          <w:tcPr>
            <w:tcW w:w="787" w:type="dxa"/>
            <w:noWrap w:val="0"/>
            <w:vAlign w:val="center"/>
          </w:tcPr>
          <w:p w14:paraId="37EFF910">
            <w:pPr>
              <w:jc w:val="center"/>
              <w:rPr>
                <w:rFonts w:hint="eastAsia" w:ascii="仿宋" w:hAnsi="仿宋" w:eastAsia="仿宋"/>
                <w:szCs w:val="21"/>
                <w:lang w:val="en-US" w:eastAsia="zh-CN"/>
              </w:rPr>
            </w:pPr>
            <w:r>
              <w:rPr>
                <w:rFonts w:hint="eastAsia" w:ascii="仿宋" w:hAnsi="仿宋" w:eastAsia="仿宋"/>
                <w:szCs w:val="21"/>
                <w:lang w:val="en-US" w:eastAsia="zh-CN"/>
              </w:rPr>
              <w:t>本科</w:t>
            </w:r>
          </w:p>
        </w:tc>
        <w:tc>
          <w:tcPr>
            <w:tcW w:w="1281" w:type="dxa"/>
            <w:noWrap w:val="0"/>
            <w:vAlign w:val="center"/>
          </w:tcPr>
          <w:p w14:paraId="21672459">
            <w:pPr>
              <w:jc w:val="center"/>
              <w:rPr>
                <w:rFonts w:hint="eastAsia" w:ascii="仿宋" w:hAnsi="仿宋" w:eastAsia="仿宋"/>
                <w:szCs w:val="21"/>
              </w:rPr>
            </w:pPr>
            <w:r>
              <w:rPr>
                <w:rFonts w:hint="eastAsia" w:ascii="仿宋" w:hAnsi="仿宋" w:eastAsia="仿宋"/>
                <w:szCs w:val="21"/>
              </w:rPr>
              <w:t>主任医师</w:t>
            </w:r>
          </w:p>
        </w:tc>
        <w:tc>
          <w:tcPr>
            <w:tcW w:w="3949" w:type="dxa"/>
            <w:noWrap w:val="0"/>
            <w:vAlign w:val="center"/>
          </w:tcPr>
          <w:p w14:paraId="23AE117A">
            <w:pPr>
              <w:jc w:val="center"/>
              <w:rPr>
                <w:rFonts w:hint="default" w:ascii="仿宋" w:hAnsi="仿宋" w:eastAsia="仿宋"/>
                <w:lang w:val="en-US" w:eastAsia="zh-CN"/>
              </w:rPr>
            </w:pPr>
            <w:r>
              <w:rPr>
                <w:rFonts w:hint="eastAsia" w:ascii="仿宋" w:hAnsi="仿宋" w:eastAsia="仿宋"/>
                <w:szCs w:val="21"/>
                <w:lang w:val="en-US" w:eastAsia="zh-CN"/>
              </w:rPr>
              <w:t>山西省河东中医少儿推拿学校</w:t>
            </w:r>
          </w:p>
        </w:tc>
        <w:tc>
          <w:tcPr>
            <w:tcW w:w="2225" w:type="dxa"/>
            <w:noWrap w:val="0"/>
            <w:vAlign w:val="center"/>
          </w:tcPr>
          <w:p w14:paraId="05EB4710">
            <w:pPr>
              <w:jc w:val="center"/>
              <w:rPr>
                <w:rFonts w:hint="eastAsia" w:ascii="仿宋" w:hAnsi="仿宋" w:eastAsia="仿宋"/>
                <w:szCs w:val="21"/>
              </w:rPr>
            </w:pPr>
            <w:r>
              <w:rPr>
                <w:rFonts w:hint="eastAsia" w:ascii="仿宋" w:hAnsi="仿宋" w:eastAsia="仿宋"/>
                <w:szCs w:val="21"/>
              </w:rPr>
              <w:t>接受专家问卷调查。</w:t>
            </w:r>
          </w:p>
        </w:tc>
      </w:tr>
      <w:tr w14:paraId="2BE2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27D598E">
            <w:pPr>
              <w:jc w:val="center"/>
              <w:rPr>
                <w:rFonts w:hint="eastAsia" w:ascii="仿宋" w:hAnsi="仿宋" w:eastAsia="仿宋" w:cs="Times New Roman"/>
                <w:szCs w:val="21"/>
              </w:rPr>
            </w:pPr>
            <w:r>
              <w:rPr>
                <w:rFonts w:hint="eastAsia" w:ascii="仿宋" w:hAnsi="仿宋" w:eastAsia="仿宋" w:cs="Times New Roman"/>
                <w:szCs w:val="21"/>
                <w:lang w:val="en-US" w:eastAsia="zh-CN"/>
              </w:rPr>
              <w:t>许丽</w:t>
            </w:r>
          </w:p>
        </w:tc>
        <w:tc>
          <w:tcPr>
            <w:tcW w:w="787" w:type="dxa"/>
            <w:noWrap w:val="0"/>
            <w:vAlign w:val="center"/>
          </w:tcPr>
          <w:p w14:paraId="3DB88E95">
            <w:pPr>
              <w:jc w:val="center"/>
              <w:rPr>
                <w:rFonts w:hint="eastAsia" w:ascii="仿宋" w:hAnsi="仿宋" w:eastAsia="仿宋"/>
                <w:szCs w:val="21"/>
                <w:lang w:val="en-US" w:eastAsia="zh-CN"/>
              </w:rPr>
            </w:pPr>
            <w:r>
              <w:rPr>
                <w:rFonts w:hint="eastAsia" w:ascii="仿宋" w:hAnsi="仿宋" w:eastAsia="仿宋"/>
                <w:szCs w:val="21"/>
                <w:lang w:val="en-US" w:eastAsia="zh-CN"/>
              </w:rPr>
              <w:t>硕士</w:t>
            </w:r>
          </w:p>
        </w:tc>
        <w:tc>
          <w:tcPr>
            <w:tcW w:w="1281" w:type="dxa"/>
            <w:noWrap w:val="0"/>
            <w:vAlign w:val="center"/>
          </w:tcPr>
          <w:p w14:paraId="34B91288">
            <w:pPr>
              <w:jc w:val="center"/>
              <w:rPr>
                <w:rFonts w:hint="eastAsia" w:ascii="仿宋" w:hAnsi="仿宋" w:eastAsia="仿宋"/>
                <w:szCs w:val="21"/>
              </w:rPr>
            </w:pPr>
            <w:r>
              <w:rPr>
                <w:rFonts w:hint="eastAsia" w:ascii="仿宋" w:hAnsi="仿宋" w:eastAsia="仿宋"/>
                <w:kern w:val="0"/>
                <w:szCs w:val="21"/>
              </w:rPr>
              <w:t>教授、</w:t>
            </w:r>
            <w:r>
              <w:rPr>
                <w:rFonts w:hint="eastAsia" w:ascii="仿宋" w:hAnsi="仿宋" w:eastAsia="仿宋"/>
                <w:kern w:val="0"/>
                <w:szCs w:val="21"/>
                <w:lang w:val="en-US" w:eastAsia="zh-CN"/>
              </w:rPr>
              <w:t>副</w:t>
            </w:r>
            <w:r>
              <w:rPr>
                <w:rFonts w:hint="eastAsia" w:ascii="仿宋" w:hAnsi="仿宋" w:eastAsia="仿宋"/>
                <w:kern w:val="0"/>
                <w:szCs w:val="21"/>
              </w:rPr>
              <w:t>主任医师，</w:t>
            </w:r>
            <w:r>
              <w:rPr>
                <w:rFonts w:hint="eastAsia" w:ascii="仿宋" w:hAnsi="仿宋" w:eastAsia="仿宋"/>
                <w:kern w:val="0"/>
                <w:szCs w:val="21"/>
                <w:lang w:val="en-US" w:eastAsia="zh-CN"/>
              </w:rPr>
              <w:t>硕</w:t>
            </w:r>
            <w:r>
              <w:rPr>
                <w:rFonts w:hint="eastAsia" w:ascii="仿宋" w:hAnsi="仿宋" w:eastAsia="仿宋"/>
                <w:kern w:val="0"/>
                <w:szCs w:val="21"/>
              </w:rPr>
              <w:t>导</w:t>
            </w:r>
          </w:p>
        </w:tc>
        <w:tc>
          <w:tcPr>
            <w:tcW w:w="3949" w:type="dxa"/>
            <w:noWrap w:val="0"/>
            <w:vAlign w:val="center"/>
          </w:tcPr>
          <w:p w14:paraId="51B69124">
            <w:pPr>
              <w:jc w:val="center"/>
              <w:rPr>
                <w:rFonts w:hint="default" w:ascii="仿宋" w:hAnsi="仿宋" w:eastAsia="仿宋"/>
                <w:lang w:val="en-US" w:eastAsia="zh-CN"/>
              </w:rPr>
            </w:pPr>
            <w:r>
              <w:rPr>
                <w:rFonts w:hint="eastAsia" w:ascii="仿宋" w:hAnsi="仿宋" w:eastAsia="仿宋"/>
                <w:szCs w:val="21"/>
                <w:lang w:val="en-US" w:eastAsia="zh-CN"/>
              </w:rPr>
              <w:t>浙江中医药大学</w:t>
            </w:r>
          </w:p>
        </w:tc>
        <w:tc>
          <w:tcPr>
            <w:tcW w:w="2225" w:type="dxa"/>
            <w:noWrap w:val="0"/>
            <w:vAlign w:val="center"/>
          </w:tcPr>
          <w:p w14:paraId="33BA2522">
            <w:pPr>
              <w:jc w:val="center"/>
              <w:rPr>
                <w:rFonts w:hint="eastAsia" w:ascii="仿宋" w:hAnsi="仿宋" w:eastAsia="仿宋"/>
                <w:szCs w:val="21"/>
              </w:rPr>
            </w:pPr>
            <w:r>
              <w:rPr>
                <w:rFonts w:hint="eastAsia" w:ascii="仿宋" w:hAnsi="仿宋" w:eastAsia="仿宋"/>
                <w:szCs w:val="21"/>
              </w:rPr>
              <w:t>接受专家问卷调查。</w:t>
            </w:r>
          </w:p>
        </w:tc>
      </w:tr>
      <w:tr w14:paraId="3760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9FE9215">
            <w:pPr>
              <w:jc w:val="center"/>
              <w:rPr>
                <w:rFonts w:hint="default" w:ascii="仿宋" w:hAnsi="仿宋" w:eastAsia="仿宋" w:cs="Times New Roman"/>
                <w:szCs w:val="21"/>
                <w:lang w:val="en-US"/>
              </w:rPr>
            </w:pPr>
            <w:r>
              <w:rPr>
                <w:rFonts w:hint="eastAsia" w:ascii="仿宋" w:hAnsi="仿宋" w:eastAsia="仿宋" w:cs="Times New Roman"/>
                <w:szCs w:val="21"/>
                <w:lang w:val="en-US" w:eastAsia="zh-CN"/>
              </w:rPr>
              <w:t>布赫巴雅尔</w:t>
            </w:r>
          </w:p>
        </w:tc>
        <w:tc>
          <w:tcPr>
            <w:tcW w:w="787" w:type="dxa"/>
            <w:noWrap w:val="0"/>
            <w:vAlign w:val="center"/>
          </w:tcPr>
          <w:p w14:paraId="094DC968">
            <w:pPr>
              <w:jc w:val="center"/>
              <w:rPr>
                <w:rFonts w:hint="eastAsia" w:ascii="仿宋" w:hAnsi="仿宋" w:eastAsia="仿宋"/>
                <w:szCs w:val="21"/>
                <w:lang w:val="en-US" w:eastAsia="zh-CN"/>
              </w:rPr>
            </w:pPr>
            <w:r>
              <w:rPr>
                <w:rFonts w:hint="eastAsia" w:ascii="仿宋" w:hAnsi="仿宋" w:eastAsia="仿宋"/>
                <w:szCs w:val="21"/>
                <w:lang w:val="en-US" w:eastAsia="zh-CN"/>
              </w:rPr>
              <w:t>本科</w:t>
            </w:r>
          </w:p>
        </w:tc>
        <w:tc>
          <w:tcPr>
            <w:tcW w:w="1281" w:type="dxa"/>
            <w:noWrap w:val="0"/>
            <w:vAlign w:val="center"/>
          </w:tcPr>
          <w:p w14:paraId="17787DC3">
            <w:pPr>
              <w:jc w:val="center"/>
              <w:rPr>
                <w:rFonts w:hint="default" w:ascii="仿宋" w:hAnsi="仿宋" w:eastAsia="仿宋"/>
                <w:szCs w:val="21"/>
                <w:lang w:val="en-US" w:eastAsia="zh-CN"/>
              </w:rPr>
            </w:pPr>
            <w:r>
              <w:rPr>
                <w:rFonts w:hint="eastAsia" w:ascii="仿宋" w:hAnsi="仿宋" w:eastAsia="仿宋"/>
                <w:kern w:val="0"/>
                <w:szCs w:val="21"/>
                <w:lang w:val="en-US" w:eastAsia="zh-CN"/>
              </w:rPr>
              <w:t>教授、</w:t>
            </w:r>
            <w:r>
              <w:rPr>
                <w:rFonts w:hint="eastAsia" w:ascii="仿宋" w:hAnsi="仿宋" w:eastAsia="仿宋"/>
                <w:kern w:val="0"/>
                <w:szCs w:val="21"/>
              </w:rPr>
              <w:t>主任医师</w:t>
            </w:r>
            <w:r>
              <w:rPr>
                <w:rFonts w:hint="eastAsia" w:ascii="仿宋" w:hAnsi="仿宋" w:eastAsia="仿宋"/>
                <w:kern w:val="0"/>
                <w:szCs w:val="21"/>
                <w:lang w:eastAsia="zh-CN"/>
              </w:rPr>
              <w:t>，</w:t>
            </w:r>
            <w:r>
              <w:rPr>
                <w:rFonts w:hint="eastAsia" w:ascii="仿宋" w:hAnsi="仿宋" w:eastAsia="仿宋"/>
                <w:kern w:val="0"/>
                <w:szCs w:val="21"/>
                <w:lang w:val="en-US" w:eastAsia="zh-CN"/>
              </w:rPr>
              <w:t>硕导</w:t>
            </w:r>
          </w:p>
        </w:tc>
        <w:tc>
          <w:tcPr>
            <w:tcW w:w="3949" w:type="dxa"/>
            <w:noWrap w:val="0"/>
            <w:vAlign w:val="center"/>
          </w:tcPr>
          <w:p w14:paraId="79E8F8AE">
            <w:pPr>
              <w:jc w:val="center"/>
              <w:rPr>
                <w:rFonts w:hint="default" w:ascii="仿宋" w:hAnsi="仿宋" w:eastAsia="仿宋"/>
                <w:lang w:val="en-US" w:eastAsia="zh-CN"/>
              </w:rPr>
            </w:pPr>
            <w:r>
              <w:rPr>
                <w:rFonts w:hint="eastAsia" w:ascii="仿宋" w:hAnsi="仿宋" w:eastAsia="仿宋"/>
                <w:lang w:val="en-US" w:eastAsia="zh-CN"/>
              </w:rPr>
              <w:t>包头医学院第二附属医院</w:t>
            </w:r>
          </w:p>
        </w:tc>
        <w:tc>
          <w:tcPr>
            <w:tcW w:w="2225" w:type="dxa"/>
            <w:noWrap w:val="0"/>
            <w:vAlign w:val="center"/>
          </w:tcPr>
          <w:p w14:paraId="79FC0B04">
            <w:pPr>
              <w:jc w:val="center"/>
              <w:rPr>
                <w:rFonts w:hint="eastAsia" w:ascii="仿宋" w:hAnsi="仿宋" w:eastAsia="仿宋"/>
                <w:szCs w:val="21"/>
              </w:rPr>
            </w:pPr>
            <w:r>
              <w:rPr>
                <w:rFonts w:hint="eastAsia" w:ascii="仿宋" w:hAnsi="仿宋" w:eastAsia="仿宋"/>
                <w:szCs w:val="21"/>
              </w:rPr>
              <w:t>接受专家问卷调查。</w:t>
            </w:r>
          </w:p>
        </w:tc>
      </w:tr>
      <w:tr w14:paraId="41CD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1B057C5">
            <w:pPr>
              <w:jc w:val="center"/>
              <w:rPr>
                <w:rFonts w:hint="eastAsia" w:ascii="仿宋" w:hAnsi="仿宋" w:eastAsia="仿宋" w:cs="Times New Roman"/>
                <w:szCs w:val="21"/>
              </w:rPr>
            </w:pPr>
            <w:r>
              <w:rPr>
                <w:rFonts w:hint="eastAsia" w:ascii="仿宋" w:hAnsi="仿宋" w:eastAsia="仿宋" w:cs="Times New Roman"/>
                <w:szCs w:val="21"/>
                <w:lang w:val="en-US" w:eastAsia="zh-Hans"/>
              </w:rPr>
              <w:t>薛征</w:t>
            </w:r>
          </w:p>
        </w:tc>
        <w:tc>
          <w:tcPr>
            <w:tcW w:w="787" w:type="dxa"/>
            <w:noWrap w:val="0"/>
            <w:vAlign w:val="center"/>
          </w:tcPr>
          <w:p w14:paraId="28DBD874">
            <w:pPr>
              <w:jc w:val="center"/>
              <w:rPr>
                <w:rFonts w:hint="eastAsia" w:ascii="仿宋" w:hAnsi="仿宋" w:eastAsia="仿宋"/>
                <w:szCs w:val="21"/>
                <w:lang w:val="en-US" w:eastAsia="zh-CN"/>
              </w:rPr>
            </w:pPr>
            <w:r>
              <w:rPr>
                <w:rFonts w:hint="eastAsia" w:ascii="仿宋" w:hAnsi="仿宋" w:eastAsia="仿宋"/>
                <w:szCs w:val="21"/>
                <w:lang w:val="en-US" w:eastAsia="zh-CN"/>
              </w:rPr>
              <w:t>博士</w:t>
            </w:r>
          </w:p>
        </w:tc>
        <w:tc>
          <w:tcPr>
            <w:tcW w:w="1281" w:type="dxa"/>
            <w:noWrap w:val="0"/>
            <w:vAlign w:val="center"/>
          </w:tcPr>
          <w:p w14:paraId="4E705D9F">
            <w:pPr>
              <w:jc w:val="center"/>
              <w:rPr>
                <w:rFonts w:hint="eastAsia" w:ascii="仿宋" w:hAnsi="仿宋" w:eastAsia="仿宋"/>
                <w:szCs w:val="21"/>
              </w:rPr>
            </w:pPr>
            <w:r>
              <w:rPr>
                <w:rFonts w:hint="eastAsia" w:ascii="仿宋" w:hAnsi="仿宋" w:eastAsia="仿宋"/>
                <w:szCs w:val="21"/>
              </w:rPr>
              <w:t>教授、主任医师，博导</w:t>
            </w:r>
          </w:p>
        </w:tc>
        <w:tc>
          <w:tcPr>
            <w:tcW w:w="3949" w:type="dxa"/>
            <w:noWrap w:val="0"/>
            <w:vAlign w:val="center"/>
          </w:tcPr>
          <w:p w14:paraId="28C91CD1">
            <w:pPr>
              <w:jc w:val="center"/>
              <w:rPr>
                <w:rFonts w:hint="default" w:ascii="仿宋" w:hAnsi="仿宋" w:eastAsia="仿宋"/>
                <w:lang w:val="en-US" w:eastAsia="zh-CN"/>
              </w:rPr>
            </w:pPr>
            <w:r>
              <w:rPr>
                <w:rFonts w:hint="eastAsia" w:ascii="仿宋" w:hAnsi="仿宋" w:eastAsia="仿宋"/>
                <w:szCs w:val="21"/>
                <w:lang w:val="en-US" w:eastAsia="zh-CN"/>
              </w:rPr>
              <w:t>上海市中医院</w:t>
            </w:r>
          </w:p>
        </w:tc>
        <w:tc>
          <w:tcPr>
            <w:tcW w:w="2225" w:type="dxa"/>
            <w:noWrap w:val="0"/>
            <w:vAlign w:val="center"/>
          </w:tcPr>
          <w:p w14:paraId="26F68412">
            <w:pPr>
              <w:jc w:val="center"/>
              <w:rPr>
                <w:rFonts w:hint="eastAsia" w:ascii="仿宋" w:hAnsi="仿宋" w:eastAsia="仿宋"/>
                <w:szCs w:val="21"/>
              </w:rPr>
            </w:pPr>
            <w:r>
              <w:rPr>
                <w:rFonts w:hint="eastAsia" w:ascii="仿宋" w:hAnsi="仿宋" w:eastAsia="仿宋"/>
                <w:szCs w:val="21"/>
              </w:rPr>
              <w:t>接受专家问卷调查。</w:t>
            </w:r>
          </w:p>
        </w:tc>
      </w:tr>
      <w:tr w14:paraId="681F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4BFF2C7">
            <w:pPr>
              <w:jc w:val="center"/>
              <w:rPr>
                <w:rFonts w:hint="eastAsia" w:ascii="仿宋" w:hAnsi="仿宋" w:eastAsia="仿宋" w:cs="Times New Roman"/>
                <w:szCs w:val="21"/>
              </w:rPr>
            </w:pPr>
            <w:r>
              <w:rPr>
                <w:rFonts w:hint="eastAsia" w:ascii="仿宋" w:hAnsi="仿宋" w:eastAsia="仿宋" w:cs="Times New Roman"/>
                <w:szCs w:val="21"/>
                <w:lang w:val="en-US" w:eastAsia="zh-Hans"/>
              </w:rPr>
              <w:t>王权午</w:t>
            </w:r>
          </w:p>
        </w:tc>
        <w:tc>
          <w:tcPr>
            <w:tcW w:w="787" w:type="dxa"/>
            <w:noWrap w:val="0"/>
            <w:vAlign w:val="center"/>
          </w:tcPr>
          <w:p w14:paraId="4D66D783">
            <w:pPr>
              <w:jc w:val="center"/>
              <w:rPr>
                <w:rFonts w:hint="eastAsia" w:ascii="仿宋" w:hAnsi="仿宋" w:eastAsia="仿宋"/>
                <w:szCs w:val="21"/>
                <w:lang w:val="en-US" w:eastAsia="zh-CN"/>
              </w:rPr>
            </w:pPr>
            <w:r>
              <w:rPr>
                <w:rFonts w:hint="eastAsia" w:ascii="仿宋" w:hAnsi="仿宋" w:eastAsia="仿宋"/>
                <w:szCs w:val="21"/>
                <w:lang w:val="en-US" w:eastAsia="zh-CN"/>
              </w:rPr>
              <w:t>硕士</w:t>
            </w:r>
          </w:p>
        </w:tc>
        <w:tc>
          <w:tcPr>
            <w:tcW w:w="1281" w:type="dxa"/>
            <w:noWrap w:val="0"/>
            <w:vAlign w:val="center"/>
          </w:tcPr>
          <w:p w14:paraId="360D9D24">
            <w:pPr>
              <w:jc w:val="center"/>
              <w:rPr>
                <w:rFonts w:hint="eastAsia" w:ascii="仿宋" w:hAnsi="仿宋" w:eastAsia="仿宋"/>
                <w:szCs w:val="21"/>
              </w:rPr>
            </w:pPr>
            <w:r>
              <w:rPr>
                <w:rFonts w:hint="eastAsia" w:ascii="仿宋" w:hAnsi="仿宋" w:eastAsia="仿宋"/>
                <w:szCs w:val="21"/>
                <w:lang w:val="en-US" w:eastAsia="zh-CN"/>
              </w:rPr>
              <w:t>副</w:t>
            </w:r>
            <w:r>
              <w:rPr>
                <w:rFonts w:hint="eastAsia" w:ascii="仿宋" w:hAnsi="仿宋" w:eastAsia="仿宋"/>
                <w:szCs w:val="21"/>
              </w:rPr>
              <w:t>教授、</w:t>
            </w:r>
            <w:r>
              <w:rPr>
                <w:rFonts w:hint="eastAsia" w:ascii="仿宋" w:hAnsi="仿宋" w:eastAsia="仿宋"/>
                <w:szCs w:val="21"/>
                <w:lang w:val="en-US" w:eastAsia="zh-CN"/>
              </w:rPr>
              <w:t>副</w:t>
            </w:r>
            <w:r>
              <w:rPr>
                <w:rFonts w:hint="eastAsia" w:ascii="仿宋" w:hAnsi="仿宋" w:eastAsia="仿宋"/>
                <w:szCs w:val="21"/>
              </w:rPr>
              <w:t>主任医师</w:t>
            </w:r>
          </w:p>
        </w:tc>
        <w:tc>
          <w:tcPr>
            <w:tcW w:w="3949" w:type="dxa"/>
            <w:noWrap w:val="0"/>
            <w:vAlign w:val="center"/>
          </w:tcPr>
          <w:p w14:paraId="4E49B95C">
            <w:pPr>
              <w:jc w:val="center"/>
              <w:rPr>
                <w:rFonts w:hint="default" w:ascii="仿宋" w:hAnsi="仿宋" w:eastAsia="仿宋"/>
                <w:lang w:val="en-US" w:eastAsia="zh-CN"/>
              </w:rPr>
            </w:pPr>
            <w:r>
              <w:rPr>
                <w:rFonts w:hint="eastAsia" w:ascii="仿宋" w:hAnsi="仿宋" w:eastAsia="仿宋"/>
                <w:lang w:val="en-US" w:eastAsia="zh-CN"/>
              </w:rPr>
              <w:t>长春中医药大学附属医院</w:t>
            </w:r>
          </w:p>
        </w:tc>
        <w:tc>
          <w:tcPr>
            <w:tcW w:w="2225" w:type="dxa"/>
            <w:noWrap w:val="0"/>
            <w:vAlign w:val="center"/>
          </w:tcPr>
          <w:p w14:paraId="06848E16">
            <w:pPr>
              <w:jc w:val="center"/>
              <w:rPr>
                <w:rFonts w:hint="eastAsia" w:ascii="仿宋" w:hAnsi="仿宋" w:eastAsia="仿宋"/>
                <w:szCs w:val="21"/>
              </w:rPr>
            </w:pPr>
            <w:r>
              <w:rPr>
                <w:rFonts w:hint="eastAsia" w:ascii="仿宋" w:hAnsi="仿宋" w:eastAsia="仿宋"/>
                <w:szCs w:val="21"/>
              </w:rPr>
              <w:t>接受专家问卷调查。</w:t>
            </w:r>
          </w:p>
        </w:tc>
      </w:tr>
      <w:tr w14:paraId="0D094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987384E">
            <w:pPr>
              <w:jc w:val="center"/>
              <w:rPr>
                <w:rFonts w:hint="eastAsia" w:ascii="仿宋" w:hAnsi="仿宋" w:eastAsia="仿宋" w:cs="Times New Roman"/>
                <w:szCs w:val="21"/>
              </w:rPr>
            </w:pPr>
            <w:r>
              <w:rPr>
                <w:rFonts w:hint="eastAsia" w:ascii="仿宋" w:hAnsi="仿宋" w:eastAsia="仿宋" w:cs="Times New Roman"/>
                <w:szCs w:val="21"/>
                <w:lang w:val="en-US" w:eastAsia="zh-CN"/>
              </w:rPr>
              <w:t>何 丽</w:t>
            </w:r>
          </w:p>
        </w:tc>
        <w:tc>
          <w:tcPr>
            <w:tcW w:w="787" w:type="dxa"/>
            <w:noWrap w:val="0"/>
            <w:vAlign w:val="center"/>
          </w:tcPr>
          <w:p w14:paraId="6E60329A">
            <w:pPr>
              <w:jc w:val="center"/>
              <w:rPr>
                <w:rFonts w:hint="eastAsia" w:ascii="仿宋" w:hAnsi="仿宋" w:eastAsia="仿宋"/>
                <w:szCs w:val="21"/>
              </w:rPr>
            </w:pPr>
            <w:r>
              <w:rPr>
                <w:rFonts w:hint="eastAsia" w:ascii="仿宋" w:hAnsi="仿宋" w:eastAsia="仿宋"/>
              </w:rPr>
              <w:t>博士</w:t>
            </w:r>
          </w:p>
        </w:tc>
        <w:tc>
          <w:tcPr>
            <w:tcW w:w="1281" w:type="dxa"/>
            <w:noWrap w:val="0"/>
            <w:vAlign w:val="center"/>
          </w:tcPr>
          <w:p w14:paraId="58513382">
            <w:pPr>
              <w:jc w:val="center"/>
              <w:rPr>
                <w:rFonts w:hint="eastAsia" w:ascii="仿宋" w:hAnsi="仿宋" w:eastAsia="仿宋"/>
                <w:szCs w:val="21"/>
              </w:rPr>
            </w:pPr>
            <w:r>
              <w:rPr>
                <w:rFonts w:hint="eastAsia" w:ascii="仿宋" w:hAnsi="仿宋" w:eastAsia="仿宋"/>
                <w:szCs w:val="21"/>
              </w:rPr>
              <w:t>主任医师，博导</w:t>
            </w:r>
          </w:p>
        </w:tc>
        <w:tc>
          <w:tcPr>
            <w:tcW w:w="3949" w:type="dxa"/>
            <w:noWrap w:val="0"/>
            <w:vAlign w:val="center"/>
          </w:tcPr>
          <w:p w14:paraId="6F2B2573">
            <w:pPr>
              <w:jc w:val="center"/>
              <w:rPr>
                <w:rFonts w:hint="eastAsia" w:ascii="仿宋" w:hAnsi="仿宋" w:eastAsia="仿宋"/>
              </w:rPr>
            </w:pPr>
            <w:r>
              <w:rPr>
                <w:rFonts w:hint="eastAsia" w:ascii="仿宋" w:hAnsi="仿宋" w:eastAsia="仿宋"/>
                <w:lang w:val="en-US" w:eastAsia="zh-CN"/>
              </w:rPr>
              <w:t>上海</w:t>
            </w:r>
            <w:r>
              <w:rPr>
                <w:rFonts w:hint="eastAsia" w:ascii="仿宋" w:hAnsi="仿宋" w:eastAsia="仿宋"/>
              </w:rPr>
              <w:t>交通大学附属上海市儿童医院</w:t>
            </w:r>
          </w:p>
        </w:tc>
        <w:tc>
          <w:tcPr>
            <w:tcW w:w="2225" w:type="dxa"/>
            <w:noWrap w:val="0"/>
            <w:vAlign w:val="center"/>
          </w:tcPr>
          <w:p w14:paraId="4A5A159F">
            <w:pPr>
              <w:jc w:val="center"/>
              <w:rPr>
                <w:rFonts w:hint="eastAsia" w:ascii="仿宋" w:hAnsi="仿宋" w:eastAsia="仿宋"/>
                <w:szCs w:val="21"/>
              </w:rPr>
            </w:pPr>
            <w:r>
              <w:rPr>
                <w:rFonts w:hint="eastAsia" w:ascii="仿宋" w:hAnsi="仿宋" w:eastAsia="仿宋"/>
                <w:szCs w:val="21"/>
              </w:rPr>
              <w:t>接受专家问卷调查。</w:t>
            </w:r>
          </w:p>
        </w:tc>
      </w:tr>
      <w:tr w14:paraId="246AD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16119ED">
            <w:pPr>
              <w:jc w:val="center"/>
              <w:rPr>
                <w:rFonts w:hint="eastAsia" w:ascii="仿宋" w:hAnsi="仿宋" w:eastAsia="仿宋" w:cs="Times New Roman"/>
                <w:szCs w:val="21"/>
              </w:rPr>
            </w:pPr>
            <w:r>
              <w:rPr>
                <w:rFonts w:hint="eastAsia" w:ascii="仿宋" w:hAnsi="仿宋" w:eastAsia="仿宋" w:cs="Times New Roman"/>
                <w:szCs w:val="21"/>
                <w:lang w:val="en-US" w:eastAsia="zh-CN"/>
              </w:rPr>
              <w:t>马志明</w:t>
            </w:r>
          </w:p>
        </w:tc>
        <w:tc>
          <w:tcPr>
            <w:tcW w:w="787" w:type="dxa"/>
            <w:noWrap w:val="0"/>
            <w:vAlign w:val="center"/>
          </w:tcPr>
          <w:p w14:paraId="73E2237D">
            <w:pPr>
              <w:jc w:val="center"/>
              <w:rPr>
                <w:rFonts w:hint="eastAsia" w:ascii="仿宋" w:hAnsi="仿宋" w:eastAsia="仿宋"/>
                <w:szCs w:val="21"/>
                <w:lang w:val="en-US" w:eastAsia="zh-CN"/>
              </w:rPr>
            </w:pPr>
            <w:r>
              <w:rPr>
                <w:rFonts w:hint="eastAsia" w:ascii="仿宋" w:hAnsi="仿宋" w:eastAsia="仿宋"/>
                <w:szCs w:val="21"/>
                <w:lang w:val="en-US" w:eastAsia="zh-CN"/>
              </w:rPr>
              <w:t>本科</w:t>
            </w:r>
          </w:p>
        </w:tc>
        <w:tc>
          <w:tcPr>
            <w:tcW w:w="1281" w:type="dxa"/>
            <w:noWrap w:val="0"/>
            <w:vAlign w:val="center"/>
          </w:tcPr>
          <w:p w14:paraId="00500782">
            <w:pPr>
              <w:jc w:val="center"/>
              <w:rPr>
                <w:rFonts w:hint="eastAsia" w:ascii="仿宋" w:hAnsi="仿宋" w:eastAsia="仿宋"/>
                <w:szCs w:val="21"/>
              </w:rPr>
            </w:pPr>
            <w:r>
              <w:rPr>
                <w:rFonts w:hint="eastAsia" w:ascii="仿宋" w:hAnsi="仿宋" w:eastAsia="仿宋"/>
                <w:kern w:val="0"/>
                <w:szCs w:val="21"/>
              </w:rPr>
              <w:t>主任医师</w:t>
            </w:r>
          </w:p>
        </w:tc>
        <w:tc>
          <w:tcPr>
            <w:tcW w:w="3949" w:type="dxa"/>
            <w:noWrap w:val="0"/>
            <w:vAlign w:val="center"/>
          </w:tcPr>
          <w:p w14:paraId="5DAFFE40">
            <w:pPr>
              <w:jc w:val="center"/>
              <w:rPr>
                <w:rFonts w:hint="default" w:ascii="仿宋" w:hAnsi="仿宋" w:eastAsia="仿宋"/>
                <w:lang w:val="en-US" w:eastAsia="zh-CN"/>
              </w:rPr>
            </w:pPr>
            <w:r>
              <w:rPr>
                <w:rFonts w:hint="eastAsia" w:ascii="仿宋" w:hAnsi="仿宋" w:eastAsia="仿宋"/>
                <w:lang w:val="en-US" w:eastAsia="zh-CN"/>
              </w:rPr>
              <w:t>泰兴市人民医院</w:t>
            </w:r>
          </w:p>
        </w:tc>
        <w:tc>
          <w:tcPr>
            <w:tcW w:w="2225" w:type="dxa"/>
            <w:noWrap w:val="0"/>
            <w:vAlign w:val="center"/>
          </w:tcPr>
          <w:p w14:paraId="43AA5053">
            <w:pPr>
              <w:jc w:val="center"/>
              <w:rPr>
                <w:rFonts w:hint="eastAsia" w:ascii="仿宋" w:hAnsi="仿宋" w:eastAsia="仿宋"/>
                <w:szCs w:val="21"/>
              </w:rPr>
            </w:pPr>
            <w:r>
              <w:rPr>
                <w:rFonts w:hint="eastAsia" w:ascii="仿宋" w:hAnsi="仿宋" w:eastAsia="仿宋"/>
                <w:szCs w:val="21"/>
              </w:rPr>
              <w:t>接受专家问卷调查。</w:t>
            </w:r>
          </w:p>
        </w:tc>
      </w:tr>
      <w:tr w14:paraId="2DC1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10E3A96">
            <w:pPr>
              <w:jc w:val="center"/>
              <w:rPr>
                <w:rFonts w:hint="eastAsia" w:ascii="仿宋" w:hAnsi="仿宋" w:eastAsia="仿宋" w:cs="Times New Roman"/>
                <w:szCs w:val="21"/>
              </w:rPr>
            </w:pPr>
            <w:r>
              <w:rPr>
                <w:rFonts w:hint="eastAsia" w:ascii="仿宋" w:hAnsi="仿宋" w:eastAsia="仿宋" w:cs="Times New Roman"/>
                <w:szCs w:val="21"/>
                <w:lang w:val="en-US" w:eastAsia="zh-CN"/>
              </w:rPr>
              <w:t>吴云川</w:t>
            </w:r>
          </w:p>
        </w:tc>
        <w:tc>
          <w:tcPr>
            <w:tcW w:w="787" w:type="dxa"/>
            <w:noWrap w:val="0"/>
            <w:vAlign w:val="center"/>
          </w:tcPr>
          <w:p w14:paraId="1870B4A2">
            <w:pPr>
              <w:jc w:val="center"/>
              <w:rPr>
                <w:rFonts w:hint="eastAsia" w:ascii="仿宋" w:hAnsi="仿宋" w:eastAsia="仿宋"/>
                <w:szCs w:val="21"/>
                <w:lang w:val="en-US" w:eastAsia="zh-CN"/>
              </w:rPr>
            </w:pPr>
            <w:r>
              <w:rPr>
                <w:rFonts w:hint="eastAsia" w:ascii="仿宋" w:hAnsi="仿宋" w:eastAsia="仿宋"/>
                <w:szCs w:val="21"/>
                <w:lang w:val="en-US" w:eastAsia="zh-CN"/>
              </w:rPr>
              <w:t>博士</w:t>
            </w:r>
          </w:p>
        </w:tc>
        <w:tc>
          <w:tcPr>
            <w:tcW w:w="1281" w:type="dxa"/>
            <w:noWrap w:val="0"/>
            <w:vAlign w:val="center"/>
          </w:tcPr>
          <w:p w14:paraId="67A62E48">
            <w:pPr>
              <w:jc w:val="center"/>
              <w:rPr>
                <w:rFonts w:hint="eastAsia" w:ascii="仿宋" w:hAnsi="仿宋" w:eastAsia="仿宋"/>
                <w:szCs w:val="21"/>
              </w:rPr>
            </w:pPr>
            <w:r>
              <w:rPr>
                <w:rFonts w:hint="eastAsia" w:ascii="仿宋" w:hAnsi="仿宋" w:eastAsia="仿宋"/>
                <w:kern w:val="0"/>
                <w:szCs w:val="21"/>
                <w:lang w:val="en-US" w:eastAsia="zh-CN"/>
              </w:rPr>
              <w:t>教授，</w:t>
            </w:r>
            <w:r>
              <w:rPr>
                <w:rFonts w:hint="eastAsia" w:ascii="仿宋" w:hAnsi="仿宋" w:eastAsia="仿宋"/>
                <w:kern w:val="0"/>
                <w:szCs w:val="21"/>
              </w:rPr>
              <w:t>主任医师，</w:t>
            </w:r>
            <w:r>
              <w:rPr>
                <w:rFonts w:hint="eastAsia" w:ascii="仿宋" w:hAnsi="仿宋" w:eastAsia="仿宋"/>
                <w:kern w:val="0"/>
                <w:szCs w:val="21"/>
                <w:lang w:val="en-US" w:eastAsia="zh-CN"/>
              </w:rPr>
              <w:t>硕</w:t>
            </w:r>
            <w:r>
              <w:rPr>
                <w:rFonts w:hint="eastAsia" w:ascii="仿宋" w:hAnsi="仿宋" w:eastAsia="仿宋"/>
                <w:kern w:val="0"/>
                <w:szCs w:val="21"/>
              </w:rPr>
              <w:t>导</w:t>
            </w:r>
          </w:p>
        </w:tc>
        <w:tc>
          <w:tcPr>
            <w:tcW w:w="3949" w:type="dxa"/>
            <w:noWrap w:val="0"/>
            <w:vAlign w:val="center"/>
          </w:tcPr>
          <w:p w14:paraId="562D8EE3">
            <w:pPr>
              <w:jc w:val="center"/>
              <w:rPr>
                <w:rFonts w:hint="eastAsia" w:ascii="仿宋" w:hAnsi="仿宋" w:eastAsia="仿宋"/>
              </w:rPr>
            </w:pPr>
            <w:r>
              <w:rPr>
                <w:rFonts w:hint="eastAsia" w:ascii="仿宋" w:hAnsi="仿宋" w:eastAsia="仿宋"/>
                <w:szCs w:val="21"/>
              </w:rPr>
              <w:t>南京中医药大学附属医院</w:t>
            </w:r>
          </w:p>
        </w:tc>
        <w:tc>
          <w:tcPr>
            <w:tcW w:w="2225" w:type="dxa"/>
            <w:noWrap w:val="0"/>
            <w:vAlign w:val="center"/>
          </w:tcPr>
          <w:p w14:paraId="663A37A3">
            <w:pPr>
              <w:jc w:val="center"/>
              <w:rPr>
                <w:rFonts w:hint="eastAsia" w:ascii="仿宋" w:hAnsi="仿宋" w:eastAsia="仿宋"/>
                <w:szCs w:val="21"/>
              </w:rPr>
            </w:pPr>
            <w:r>
              <w:rPr>
                <w:rFonts w:hint="eastAsia" w:ascii="仿宋" w:hAnsi="仿宋" w:eastAsia="仿宋"/>
                <w:szCs w:val="21"/>
              </w:rPr>
              <w:t>接受专家问卷调查。</w:t>
            </w:r>
          </w:p>
        </w:tc>
      </w:tr>
      <w:tr w14:paraId="31006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89D96BB">
            <w:pPr>
              <w:jc w:val="center"/>
              <w:rPr>
                <w:rFonts w:hint="eastAsia" w:ascii="仿宋" w:hAnsi="仿宋" w:eastAsia="仿宋" w:cs="Times New Roman"/>
                <w:szCs w:val="21"/>
              </w:rPr>
            </w:pPr>
            <w:r>
              <w:rPr>
                <w:rFonts w:hint="eastAsia" w:ascii="仿宋" w:hAnsi="仿宋" w:eastAsia="仿宋" w:cs="Times New Roman"/>
                <w:szCs w:val="21"/>
                <w:lang w:val="en-US" w:eastAsia="zh-CN"/>
              </w:rPr>
              <w:t>王宇峰</w:t>
            </w:r>
          </w:p>
        </w:tc>
        <w:tc>
          <w:tcPr>
            <w:tcW w:w="787" w:type="dxa"/>
            <w:noWrap w:val="0"/>
            <w:vAlign w:val="center"/>
          </w:tcPr>
          <w:p w14:paraId="36B24B70">
            <w:pPr>
              <w:jc w:val="center"/>
              <w:rPr>
                <w:rFonts w:hint="eastAsia" w:ascii="仿宋" w:hAnsi="仿宋" w:eastAsia="仿宋"/>
                <w:szCs w:val="21"/>
                <w:lang w:val="en-US" w:eastAsia="zh-CN"/>
              </w:rPr>
            </w:pPr>
            <w:r>
              <w:rPr>
                <w:rFonts w:hint="eastAsia" w:ascii="仿宋" w:hAnsi="仿宋" w:eastAsia="仿宋"/>
                <w:szCs w:val="21"/>
                <w:lang w:val="en-US" w:eastAsia="zh-CN"/>
              </w:rPr>
              <w:t>博士</w:t>
            </w:r>
          </w:p>
        </w:tc>
        <w:tc>
          <w:tcPr>
            <w:tcW w:w="1281" w:type="dxa"/>
            <w:noWrap w:val="0"/>
            <w:vAlign w:val="center"/>
          </w:tcPr>
          <w:p w14:paraId="058757B0">
            <w:pPr>
              <w:jc w:val="center"/>
              <w:rPr>
                <w:rFonts w:hint="default" w:ascii="仿宋" w:hAnsi="仿宋" w:eastAsia="仿宋"/>
                <w:szCs w:val="21"/>
                <w:lang w:val="en-US" w:eastAsia="zh-CN"/>
              </w:rPr>
            </w:pPr>
            <w:r>
              <w:rPr>
                <w:rFonts w:hint="eastAsia" w:ascii="仿宋" w:hAnsi="仿宋" w:eastAsia="仿宋"/>
                <w:szCs w:val="21"/>
                <w:lang w:val="en-US" w:eastAsia="zh-CN"/>
              </w:rPr>
              <w:t>教授，</w:t>
            </w:r>
            <w:r>
              <w:rPr>
                <w:rFonts w:hint="eastAsia" w:ascii="仿宋" w:hAnsi="仿宋" w:eastAsia="仿宋"/>
                <w:szCs w:val="21"/>
              </w:rPr>
              <w:t>主任医师</w:t>
            </w:r>
            <w:r>
              <w:rPr>
                <w:rFonts w:hint="eastAsia" w:ascii="仿宋" w:hAnsi="仿宋" w:eastAsia="仿宋"/>
                <w:szCs w:val="21"/>
                <w:lang w:eastAsia="zh-CN"/>
              </w:rPr>
              <w:t>，</w:t>
            </w:r>
            <w:r>
              <w:rPr>
                <w:rFonts w:hint="eastAsia" w:ascii="仿宋" w:hAnsi="仿宋" w:eastAsia="仿宋"/>
                <w:szCs w:val="21"/>
                <w:lang w:val="en-US" w:eastAsia="zh-CN"/>
              </w:rPr>
              <w:t>博导</w:t>
            </w:r>
          </w:p>
        </w:tc>
        <w:tc>
          <w:tcPr>
            <w:tcW w:w="3949" w:type="dxa"/>
            <w:noWrap w:val="0"/>
            <w:vAlign w:val="center"/>
          </w:tcPr>
          <w:p w14:paraId="36ABBA19">
            <w:pPr>
              <w:jc w:val="center"/>
              <w:rPr>
                <w:rFonts w:hint="default" w:ascii="仿宋" w:hAnsi="仿宋" w:eastAsia="仿宋"/>
                <w:lang w:val="en-US" w:eastAsia="zh-CN"/>
              </w:rPr>
            </w:pPr>
            <w:r>
              <w:rPr>
                <w:rFonts w:hint="eastAsia" w:ascii="仿宋" w:hAnsi="仿宋" w:eastAsia="仿宋"/>
                <w:lang w:val="en-US" w:eastAsia="zh-CN"/>
              </w:rPr>
              <w:t>长春中医药大学</w:t>
            </w:r>
          </w:p>
        </w:tc>
        <w:tc>
          <w:tcPr>
            <w:tcW w:w="2225" w:type="dxa"/>
            <w:noWrap w:val="0"/>
            <w:vAlign w:val="center"/>
          </w:tcPr>
          <w:p w14:paraId="618D81EF">
            <w:pPr>
              <w:jc w:val="center"/>
              <w:rPr>
                <w:rFonts w:hint="eastAsia" w:ascii="仿宋" w:hAnsi="仿宋" w:eastAsia="仿宋"/>
                <w:szCs w:val="21"/>
              </w:rPr>
            </w:pPr>
            <w:r>
              <w:rPr>
                <w:rFonts w:hint="eastAsia" w:ascii="仿宋" w:hAnsi="仿宋" w:eastAsia="仿宋"/>
                <w:szCs w:val="21"/>
              </w:rPr>
              <w:t>接受专家问卷调查。</w:t>
            </w:r>
          </w:p>
        </w:tc>
      </w:tr>
      <w:tr w14:paraId="073B8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6BE09FA">
            <w:pPr>
              <w:jc w:val="center"/>
              <w:rPr>
                <w:rFonts w:hint="eastAsia" w:ascii="仿宋" w:hAnsi="仿宋" w:eastAsia="仿宋" w:cs="Times New Roman"/>
                <w:szCs w:val="21"/>
              </w:rPr>
            </w:pPr>
            <w:r>
              <w:rPr>
                <w:rFonts w:hint="eastAsia" w:ascii="仿宋" w:hAnsi="仿宋" w:eastAsia="仿宋" w:cs="Times New Roman"/>
                <w:szCs w:val="21"/>
                <w:lang w:val="en-US" w:eastAsia="zh-CN"/>
              </w:rPr>
              <w:t>刘德华</w:t>
            </w:r>
          </w:p>
        </w:tc>
        <w:tc>
          <w:tcPr>
            <w:tcW w:w="787" w:type="dxa"/>
            <w:noWrap w:val="0"/>
            <w:vAlign w:val="center"/>
          </w:tcPr>
          <w:p w14:paraId="3C74D248">
            <w:pPr>
              <w:jc w:val="center"/>
              <w:rPr>
                <w:rFonts w:hint="eastAsia" w:ascii="仿宋" w:hAnsi="仿宋" w:eastAsia="仿宋"/>
                <w:szCs w:val="21"/>
                <w:lang w:val="en-US" w:eastAsia="zh-CN"/>
              </w:rPr>
            </w:pPr>
            <w:r>
              <w:rPr>
                <w:rFonts w:hint="eastAsia" w:ascii="仿宋" w:hAnsi="仿宋" w:eastAsia="仿宋"/>
                <w:szCs w:val="21"/>
                <w:lang w:val="en-US" w:eastAsia="zh-CN"/>
              </w:rPr>
              <w:t>本科</w:t>
            </w:r>
          </w:p>
        </w:tc>
        <w:tc>
          <w:tcPr>
            <w:tcW w:w="1281" w:type="dxa"/>
            <w:noWrap w:val="0"/>
            <w:vAlign w:val="center"/>
          </w:tcPr>
          <w:p w14:paraId="46B69D7D">
            <w:pPr>
              <w:jc w:val="center"/>
              <w:rPr>
                <w:rFonts w:hint="eastAsia" w:ascii="仿宋" w:hAnsi="仿宋" w:eastAsia="仿宋"/>
                <w:szCs w:val="21"/>
                <w:lang w:val="en-US" w:eastAsia="zh-CN"/>
              </w:rPr>
            </w:pPr>
            <w:r>
              <w:rPr>
                <w:rFonts w:hint="eastAsia" w:ascii="仿宋" w:hAnsi="仿宋" w:eastAsia="仿宋"/>
                <w:szCs w:val="21"/>
                <w:lang w:val="en-US" w:eastAsia="zh-CN"/>
              </w:rPr>
              <w:t>主任医师</w:t>
            </w:r>
          </w:p>
        </w:tc>
        <w:tc>
          <w:tcPr>
            <w:tcW w:w="3949" w:type="dxa"/>
            <w:noWrap w:val="0"/>
            <w:vAlign w:val="center"/>
          </w:tcPr>
          <w:p w14:paraId="1589D2CD">
            <w:pPr>
              <w:jc w:val="center"/>
              <w:rPr>
                <w:rFonts w:hint="eastAsia" w:ascii="仿宋" w:hAnsi="仿宋" w:eastAsia="仿宋"/>
              </w:rPr>
            </w:pPr>
            <w:r>
              <w:rPr>
                <w:rFonts w:hint="eastAsia" w:ascii="仿宋" w:hAnsi="仿宋" w:eastAsia="仿宋"/>
                <w:szCs w:val="21"/>
              </w:rPr>
              <w:t>南京中医药大学附属医院</w:t>
            </w:r>
          </w:p>
        </w:tc>
        <w:tc>
          <w:tcPr>
            <w:tcW w:w="2225" w:type="dxa"/>
            <w:noWrap w:val="0"/>
            <w:vAlign w:val="center"/>
          </w:tcPr>
          <w:p w14:paraId="4660CE95">
            <w:pPr>
              <w:jc w:val="center"/>
              <w:rPr>
                <w:rFonts w:hint="eastAsia" w:ascii="仿宋" w:hAnsi="仿宋" w:eastAsia="仿宋"/>
                <w:szCs w:val="21"/>
              </w:rPr>
            </w:pPr>
            <w:r>
              <w:rPr>
                <w:rFonts w:hint="eastAsia" w:ascii="仿宋" w:hAnsi="仿宋" w:eastAsia="仿宋"/>
                <w:szCs w:val="21"/>
              </w:rPr>
              <w:t>接受专家问卷调查。</w:t>
            </w:r>
          </w:p>
        </w:tc>
      </w:tr>
      <w:tr w14:paraId="1BC7D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722A80B">
            <w:pPr>
              <w:jc w:val="center"/>
              <w:rPr>
                <w:rFonts w:hint="eastAsia" w:ascii="仿宋" w:hAnsi="仿宋" w:eastAsia="仿宋" w:cs="Times New Roman"/>
                <w:szCs w:val="21"/>
              </w:rPr>
            </w:pPr>
            <w:r>
              <w:rPr>
                <w:rFonts w:hint="eastAsia" w:ascii="仿宋" w:hAnsi="仿宋" w:eastAsia="仿宋" w:cs="Times New Roman"/>
                <w:szCs w:val="21"/>
                <w:lang w:val="en-US" w:eastAsia="zh-CN"/>
              </w:rPr>
              <w:t>陈秀珍</w:t>
            </w:r>
          </w:p>
        </w:tc>
        <w:tc>
          <w:tcPr>
            <w:tcW w:w="787" w:type="dxa"/>
            <w:noWrap w:val="0"/>
            <w:vAlign w:val="center"/>
          </w:tcPr>
          <w:p w14:paraId="066CA4D6">
            <w:pPr>
              <w:jc w:val="center"/>
              <w:rPr>
                <w:rFonts w:hint="eastAsia" w:ascii="仿宋" w:hAnsi="仿宋" w:eastAsia="仿宋"/>
                <w:szCs w:val="21"/>
              </w:rPr>
            </w:pPr>
            <w:r>
              <w:rPr>
                <w:rFonts w:hint="eastAsia" w:ascii="仿宋" w:hAnsi="仿宋" w:eastAsia="仿宋"/>
                <w:szCs w:val="21"/>
                <w:lang w:val="en-US" w:eastAsia="zh-CN"/>
              </w:rPr>
              <w:t>硕士</w:t>
            </w:r>
          </w:p>
        </w:tc>
        <w:tc>
          <w:tcPr>
            <w:tcW w:w="1281" w:type="dxa"/>
            <w:noWrap w:val="0"/>
            <w:vAlign w:val="center"/>
          </w:tcPr>
          <w:p w14:paraId="7BA62D74">
            <w:pPr>
              <w:jc w:val="center"/>
              <w:rPr>
                <w:rFonts w:hint="eastAsia" w:ascii="仿宋" w:hAnsi="仿宋" w:eastAsia="仿宋"/>
                <w:szCs w:val="21"/>
              </w:rPr>
            </w:pPr>
            <w:r>
              <w:rPr>
                <w:rFonts w:hint="eastAsia" w:ascii="仿宋" w:hAnsi="仿宋" w:eastAsia="仿宋"/>
                <w:szCs w:val="21"/>
                <w:lang w:val="en-US" w:eastAsia="zh-CN"/>
              </w:rPr>
              <w:t>主任中医师</w:t>
            </w:r>
          </w:p>
        </w:tc>
        <w:tc>
          <w:tcPr>
            <w:tcW w:w="3949" w:type="dxa"/>
            <w:noWrap w:val="0"/>
            <w:vAlign w:val="center"/>
          </w:tcPr>
          <w:p w14:paraId="2EA4F894">
            <w:pPr>
              <w:jc w:val="center"/>
              <w:rPr>
                <w:rFonts w:hint="eastAsia" w:ascii="仿宋" w:hAnsi="仿宋" w:eastAsia="仿宋"/>
              </w:rPr>
            </w:pPr>
            <w:r>
              <w:rPr>
                <w:rFonts w:hint="eastAsia" w:ascii="仿宋" w:hAnsi="仿宋" w:eastAsia="仿宋"/>
                <w:szCs w:val="21"/>
              </w:rPr>
              <w:t>南京中医药大学附属医院</w:t>
            </w:r>
          </w:p>
        </w:tc>
        <w:tc>
          <w:tcPr>
            <w:tcW w:w="2225" w:type="dxa"/>
            <w:noWrap w:val="0"/>
            <w:vAlign w:val="center"/>
          </w:tcPr>
          <w:p w14:paraId="59DAA4BC">
            <w:pPr>
              <w:jc w:val="center"/>
              <w:rPr>
                <w:rFonts w:hint="eastAsia" w:ascii="仿宋" w:hAnsi="仿宋" w:eastAsia="仿宋"/>
                <w:szCs w:val="21"/>
              </w:rPr>
            </w:pPr>
            <w:r>
              <w:rPr>
                <w:rFonts w:hint="eastAsia" w:ascii="仿宋" w:hAnsi="仿宋" w:eastAsia="仿宋"/>
                <w:szCs w:val="21"/>
              </w:rPr>
              <w:t>接受专家问卷调查。</w:t>
            </w:r>
          </w:p>
        </w:tc>
      </w:tr>
      <w:tr w14:paraId="4BE68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1A238424">
            <w:pPr>
              <w:jc w:val="center"/>
              <w:rPr>
                <w:rFonts w:hint="eastAsia" w:ascii="仿宋" w:hAnsi="仿宋" w:eastAsia="仿宋" w:cs="Times New Roman"/>
                <w:szCs w:val="21"/>
              </w:rPr>
            </w:pPr>
            <w:r>
              <w:rPr>
                <w:rFonts w:hint="eastAsia" w:ascii="仿宋" w:hAnsi="仿宋" w:eastAsia="仿宋" w:cs="Times New Roman"/>
                <w:szCs w:val="21"/>
                <w:lang w:val="en-US" w:eastAsia="zh-CN"/>
              </w:rPr>
              <w:t>马丙祥</w:t>
            </w:r>
          </w:p>
        </w:tc>
        <w:tc>
          <w:tcPr>
            <w:tcW w:w="787" w:type="dxa"/>
            <w:noWrap w:val="0"/>
            <w:vAlign w:val="center"/>
          </w:tcPr>
          <w:p w14:paraId="23F524CA">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37579D49">
            <w:pPr>
              <w:jc w:val="center"/>
              <w:rPr>
                <w:rFonts w:hint="eastAsia" w:ascii="仿宋" w:hAnsi="仿宋" w:eastAsia="仿宋"/>
                <w:szCs w:val="21"/>
              </w:rPr>
            </w:pPr>
            <w:r>
              <w:rPr>
                <w:rFonts w:hint="eastAsia" w:ascii="仿宋" w:hAnsi="仿宋" w:eastAsia="仿宋"/>
                <w:szCs w:val="21"/>
              </w:rPr>
              <w:t>教授、主任医师，博导</w:t>
            </w:r>
          </w:p>
        </w:tc>
        <w:tc>
          <w:tcPr>
            <w:tcW w:w="3949" w:type="dxa"/>
            <w:noWrap w:val="0"/>
            <w:vAlign w:val="center"/>
          </w:tcPr>
          <w:p w14:paraId="1539C8B3">
            <w:pPr>
              <w:jc w:val="center"/>
              <w:rPr>
                <w:rFonts w:hint="eastAsia" w:ascii="仿宋" w:hAnsi="仿宋" w:eastAsia="仿宋"/>
              </w:rPr>
            </w:pPr>
            <w:r>
              <w:rPr>
                <w:rFonts w:hint="eastAsia" w:ascii="仿宋" w:hAnsi="仿宋" w:eastAsia="仿宋"/>
              </w:rPr>
              <w:t>河南中医药大学第一附属医院</w:t>
            </w:r>
            <w:r>
              <w:rPr>
                <w:rFonts w:hint="eastAsia" w:ascii="仿宋" w:hAnsi="仿宋" w:eastAsia="仿宋"/>
                <w:szCs w:val="21"/>
              </w:rPr>
              <w:t>儿科医院</w:t>
            </w:r>
          </w:p>
        </w:tc>
        <w:tc>
          <w:tcPr>
            <w:tcW w:w="2225" w:type="dxa"/>
            <w:noWrap w:val="0"/>
            <w:vAlign w:val="center"/>
          </w:tcPr>
          <w:p w14:paraId="63E5C2DD">
            <w:pPr>
              <w:jc w:val="center"/>
              <w:rPr>
                <w:rFonts w:hint="eastAsia" w:ascii="仿宋" w:hAnsi="仿宋" w:eastAsia="仿宋"/>
                <w:szCs w:val="21"/>
              </w:rPr>
            </w:pPr>
            <w:r>
              <w:rPr>
                <w:rFonts w:hint="eastAsia" w:ascii="仿宋" w:hAnsi="仿宋" w:eastAsia="仿宋"/>
                <w:szCs w:val="21"/>
              </w:rPr>
              <w:t>接受专家问卷调查。</w:t>
            </w:r>
          </w:p>
        </w:tc>
      </w:tr>
      <w:tr w14:paraId="4F857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7C926FC">
            <w:pPr>
              <w:jc w:val="center"/>
              <w:rPr>
                <w:rFonts w:hint="eastAsia" w:ascii="仿宋" w:hAnsi="仿宋" w:eastAsia="仿宋" w:cs="Times New Roman"/>
                <w:szCs w:val="21"/>
              </w:rPr>
            </w:pPr>
            <w:r>
              <w:rPr>
                <w:rFonts w:hint="eastAsia" w:ascii="仿宋" w:hAnsi="仿宋" w:eastAsia="仿宋" w:cs="Times New Roman"/>
                <w:szCs w:val="21"/>
                <w:lang w:val="en-US" w:eastAsia="zh-CN"/>
              </w:rPr>
              <w:t>汪受传</w:t>
            </w:r>
          </w:p>
        </w:tc>
        <w:tc>
          <w:tcPr>
            <w:tcW w:w="787" w:type="dxa"/>
            <w:noWrap w:val="0"/>
            <w:vAlign w:val="center"/>
          </w:tcPr>
          <w:p w14:paraId="2D171BB7">
            <w:pPr>
              <w:jc w:val="center"/>
              <w:rPr>
                <w:rFonts w:hint="eastAsia" w:ascii="仿宋" w:hAnsi="仿宋" w:eastAsia="仿宋"/>
                <w:szCs w:val="21"/>
                <w:lang w:val="en-US" w:eastAsia="zh-CN"/>
              </w:rPr>
            </w:pPr>
            <w:r>
              <w:rPr>
                <w:rFonts w:hint="eastAsia" w:ascii="仿宋" w:hAnsi="仿宋" w:eastAsia="仿宋"/>
                <w:szCs w:val="21"/>
                <w:lang w:val="en-US" w:eastAsia="zh-CN"/>
              </w:rPr>
              <w:t>硕士</w:t>
            </w:r>
          </w:p>
        </w:tc>
        <w:tc>
          <w:tcPr>
            <w:tcW w:w="1281" w:type="dxa"/>
            <w:noWrap w:val="0"/>
            <w:vAlign w:val="center"/>
          </w:tcPr>
          <w:p w14:paraId="7D0C9E01">
            <w:pPr>
              <w:jc w:val="center"/>
              <w:rPr>
                <w:rFonts w:hint="eastAsia" w:ascii="仿宋" w:hAnsi="仿宋" w:eastAsia="仿宋"/>
                <w:szCs w:val="21"/>
              </w:rPr>
            </w:pPr>
            <w:r>
              <w:rPr>
                <w:rFonts w:hint="eastAsia" w:ascii="仿宋" w:hAnsi="仿宋" w:eastAsia="仿宋"/>
                <w:szCs w:val="21"/>
              </w:rPr>
              <w:t>教授、主任医师，</w:t>
            </w:r>
            <w:r>
              <w:rPr>
                <w:rFonts w:hint="eastAsia" w:ascii="仿宋" w:hAnsi="仿宋" w:eastAsia="仿宋"/>
              </w:rPr>
              <w:t>博导</w:t>
            </w:r>
          </w:p>
        </w:tc>
        <w:tc>
          <w:tcPr>
            <w:tcW w:w="3949" w:type="dxa"/>
            <w:noWrap w:val="0"/>
            <w:vAlign w:val="center"/>
          </w:tcPr>
          <w:p w14:paraId="073A5A2A">
            <w:pPr>
              <w:jc w:val="center"/>
              <w:rPr>
                <w:rFonts w:hint="eastAsia" w:ascii="仿宋" w:hAnsi="仿宋" w:eastAsia="仿宋"/>
              </w:rPr>
            </w:pPr>
            <w:r>
              <w:rPr>
                <w:rFonts w:hint="eastAsia" w:ascii="仿宋" w:hAnsi="仿宋" w:eastAsia="仿宋"/>
                <w:szCs w:val="21"/>
              </w:rPr>
              <w:t>南京中医药大学附属医院</w:t>
            </w:r>
          </w:p>
        </w:tc>
        <w:tc>
          <w:tcPr>
            <w:tcW w:w="2225" w:type="dxa"/>
            <w:noWrap w:val="0"/>
            <w:vAlign w:val="center"/>
          </w:tcPr>
          <w:p w14:paraId="6B4073D6">
            <w:pPr>
              <w:jc w:val="center"/>
              <w:rPr>
                <w:rFonts w:hint="eastAsia" w:ascii="仿宋" w:hAnsi="仿宋" w:eastAsia="仿宋"/>
                <w:szCs w:val="21"/>
              </w:rPr>
            </w:pPr>
            <w:r>
              <w:rPr>
                <w:rFonts w:hint="eastAsia" w:ascii="仿宋" w:hAnsi="仿宋" w:eastAsia="仿宋"/>
                <w:szCs w:val="21"/>
              </w:rPr>
              <w:t>接受专家问卷调查。</w:t>
            </w:r>
          </w:p>
        </w:tc>
      </w:tr>
      <w:tr w14:paraId="549CA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C86AC59">
            <w:pPr>
              <w:jc w:val="center"/>
              <w:rPr>
                <w:rFonts w:hint="eastAsia" w:ascii="仿宋" w:hAnsi="仿宋" w:eastAsia="仿宋" w:cs="Times New Roman"/>
                <w:szCs w:val="21"/>
              </w:rPr>
            </w:pPr>
            <w:r>
              <w:rPr>
                <w:rFonts w:hint="eastAsia" w:ascii="仿宋" w:hAnsi="仿宋" w:eastAsia="仿宋" w:cs="Times New Roman"/>
                <w:szCs w:val="21"/>
                <w:lang w:val="en-US" w:eastAsia="zh-CN"/>
              </w:rPr>
              <w:t>韩新民</w:t>
            </w:r>
          </w:p>
        </w:tc>
        <w:tc>
          <w:tcPr>
            <w:tcW w:w="787" w:type="dxa"/>
            <w:noWrap w:val="0"/>
            <w:vAlign w:val="center"/>
          </w:tcPr>
          <w:p w14:paraId="5AF1A00F">
            <w:pPr>
              <w:jc w:val="center"/>
              <w:rPr>
                <w:rFonts w:hint="eastAsia" w:ascii="仿宋" w:hAnsi="仿宋" w:eastAsia="仿宋"/>
                <w:szCs w:val="21"/>
              </w:rPr>
            </w:pPr>
            <w:r>
              <w:rPr>
                <w:rFonts w:hint="eastAsia" w:ascii="仿宋" w:hAnsi="仿宋" w:eastAsia="仿宋"/>
              </w:rPr>
              <w:t>博士</w:t>
            </w:r>
          </w:p>
        </w:tc>
        <w:tc>
          <w:tcPr>
            <w:tcW w:w="1281" w:type="dxa"/>
            <w:noWrap w:val="0"/>
            <w:vAlign w:val="center"/>
          </w:tcPr>
          <w:p w14:paraId="5286AB54">
            <w:pPr>
              <w:jc w:val="center"/>
              <w:rPr>
                <w:rFonts w:hint="eastAsia" w:ascii="仿宋" w:hAnsi="仿宋" w:eastAsia="仿宋"/>
                <w:szCs w:val="21"/>
              </w:rPr>
            </w:pPr>
            <w:r>
              <w:rPr>
                <w:rFonts w:hint="eastAsia" w:ascii="仿宋" w:hAnsi="仿宋" w:eastAsia="仿宋"/>
                <w:szCs w:val="21"/>
              </w:rPr>
              <w:t>教授、主任医师，</w:t>
            </w:r>
            <w:r>
              <w:rPr>
                <w:rFonts w:hint="eastAsia" w:ascii="仿宋" w:hAnsi="仿宋" w:eastAsia="仿宋"/>
              </w:rPr>
              <w:t>博导</w:t>
            </w:r>
          </w:p>
        </w:tc>
        <w:tc>
          <w:tcPr>
            <w:tcW w:w="3949" w:type="dxa"/>
            <w:noWrap w:val="0"/>
            <w:vAlign w:val="center"/>
          </w:tcPr>
          <w:p w14:paraId="18DB8894">
            <w:pPr>
              <w:jc w:val="center"/>
              <w:rPr>
                <w:rFonts w:hint="eastAsia" w:ascii="仿宋" w:hAnsi="仿宋" w:eastAsia="仿宋"/>
              </w:rPr>
            </w:pPr>
            <w:r>
              <w:rPr>
                <w:rFonts w:hint="eastAsia" w:ascii="仿宋" w:hAnsi="仿宋" w:eastAsia="仿宋"/>
                <w:szCs w:val="21"/>
              </w:rPr>
              <w:t>南京中医药大学附属医院</w:t>
            </w:r>
          </w:p>
        </w:tc>
        <w:tc>
          <w:tcPr>
            <w:tcW w:w="2225" w:type="dxa"/>
            <w:noWrap w:val="0"/>
            <w:vAlign w:val="center"/>
          </w:tcPr>
          <w:p w14:paraId="54DC1563">
            <w:pPr>
              <w:jc w:val="center"/>
              <w:rPr>
                <w:rFonts w:hint="eastAsia" w:ascii="仿宋" w:hAnsi="仿宋" w:eastAsia="仿宋"/>
                <w:szCs w:val="21"/>
              </w:rPr>
            </w:pPr>
            <w:r>
              <w:rPr>
                <w:rFonts w:hint="eastAsia" w:ascii="仿宋" w:hAnsi="仿宋" w:eastAsia="仿宋"/>
                <w:szCs w:val="21"/>
              </w:rPr>
              <w:t>接受专家问卷调查。</w:t>
            </w:r>
          </w:p>
        </w:tc>
      </w:tr>
      <w:tr w14:paraId="376E3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B9B1ECC">
            <w:pPr>
              <w:jc w:val="center"/>
              <w:rPr>
                <w:rFonts w:hint="eastAsia" w:ascii="仿宋" w:hAnsi="仿宋" w:eastAsia="仿宋" w:cs="Times New Roman"/>
                <w:szCs w:val="21"/>
              </w:rPr>
            </w:pPr>
            <w:r>
              <w:rPr>
                <w:rFonts w:hint="eastAsia" w:ascii="仿宋" w:hAnsi="仿宋" w:eastAsia="仿宋" w:cs="Times New Roman"/>
                <w:szCs w:val="21"/>
                <w:lang w:val="en-US" w:eastAsia="zh-CN"/>
              </w:rPr>
              <w:t>赵  霞</w:t>
            </w:r>
          </w:p>
        </w:tc>
        <w:tc>
          <w:tcPr>
            <w:tcW w:w="787" w:type="dxa"/>
            <w:noWrap w:val="0"/>
            <w:vAlign w:val="center"/>
          </w:tcPr>
          <w:p w14:paraId="1621C9C5">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6139ED22">
            <w:pPr>
              <w:jc w:val="center"/>
              <w:rPr>
                <w:rFonts w:hint="eastAsia" w:ascii="仿宋" w:hAnsi="仿宋" w:eastAsia="仿宋"/>
                <w:szCs w:val="21"/>
              </w:rPr>
            </w:pPr>
            <w:r>
              <w:rPr>
                <w:rFonts w:hint="eastAsia" w:ascii="仿宋" w:hAnsi="仿宋" w:eastAsia="仿宋"/>
                <w:szCs w:val="21"/>
              </w:rPr>
              <w:t>教授、主任医师，</w:t>
            </w:r>
            <w:r>
              <w:rPr>
                <w:rFonts w:hint="eastAsia" w:ascii="仿宋" w:hAnsi="仿宋" w:eastAsia="仿宋"/>
              </w:rPr>
              <w:t>博导</w:t>
            </w:r>
          </w:p>
        </w:tc>
        <w:tc>
          <w:tcPr>
            <w:tcW w:w="3949" w:type="dxa"/>
            <w:noWrap w:val="0"/>
            <w:vAlign w:val="center"/>
          </w:tcPr>
          <w:p w14:paraId="011034F2">
            <w:pPr>
              <w:jc w:val="center"/>
              <w:rPr>
                <w:rFonts w:hint="eastAsia" w:ascii="仿宋" w:hAnsi="仿宋" w:eastAsia="仿宋"/>
              </w:rPr>
            </w:pPr>
            <w:r>
              <w:rPr>
                <w:rFonts w:hint="eastAsia" w:ascii="仿宋" w:hAnsi="仿宋" w:eastAsia="仿宋"/>
                <w:szCs w:val="21"/>
              </w:rPr>
              <w:t>南京中医药大学附属医院</w:t>
            </w:r>
          </w:p>
        </w:tc>
        <w:tc>
          <w:tcPr>
            <w:tcW w:w="2225" w:type="dxa"/>
            <w:noWrap w:val="0"/>
            <w:vAlign w:val="center"/>
          </w:tcPr>
          <w:p w14:paraId="726E0851">
            <w:pPr>
              <w:jc w:val="center"/>
              <w:rPr>
                <w:rFonts w:hint="eastAsia" w:ascii="仿宋" w:hAnsi="仿宋" w:eastAsia="仿宋"/>
                <w:szCs w:val="21"/>
              </w:rPr>
            </w:pPr>
            <w:r>
              <w:rPr>
                <w:rFonts w:hint="eastAsia" w:ascii="仿宋" w:hAnsi="仿宋" w:eastAsia="仿宋"/>
                <w:szCs w:val="21"/>
              </w:rPr>
              <w:t>接受专家问卷调查。</w:t>
            </w:r>
          </w:p>
        </w:tc>
      </w:tr>
      <w:tr w14:paraId="2ACE5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6D166B6">
            <w:pPr>
              <w:jc w:val="center"/>
              <w:rPr>
                <w:rFonts w:hint="eastAsia" w:ascii="仿宋" w:hAnsi="仿宋" w:eastAsia="仿宋" w:cs="Times New Roman"/>
                <w:szCs w:val="21"/>
              </w:rPr>
            </w:pPr>
            <w:r>
              <w:rPr>
                <w:rFonts w:hint="eastAsia" w:ascii="仿宋" w:hAnsi="仿宋" w:eastAsia="仿宋" w:cs="Times New Roman"/>
                <w:szCs w:val="21"/>
                <w:lang w:val="en-US" w:eastAsia="zh-CN"/>
              </w:rPr>
              <w:t>王明明</w:t>
            </w:r>
          </w:p>
        </w:tc>
        <w:tc>
          <w:tcPr>
            <w:tcW w:w="787" w:type="dxa"/>
            <w:noWrap w:val="0"/>
            <w:vAlign w:val="center"/>
          </w:tcPr>
          <w:p w14:paraId="26D5D82A">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3B30FE34">
            <w:pPr>
              <w:jc w:val="center"/>
              <w:rPr>
                <w:rFonts w:hint="eastAsia" w:ascii="仿宋" w:hAnsi="仿宋" w:eastAsia="仿宋"/>
                <w:szCs w:val="21"/>
              </w:rPr>
            </w:pPr>
            <w:r>
              <w:rPr>
                <w:rFonts w:hint="eastAsia" w:ascii="仿宋" w:hAnsi="仿宋" w:eastAsia="仿宋"/>
                <w:szCs w:val="21"/>
              </w:rPr>
              <w:t>教授，硕导</w:t>
            </w:r>
          </w:p>
        </w:tc>
        <w:tc>
          <w:tcPr>
            <w:tcW w:w="3949" w:type="dxa"/>
            <w:noWrap w:val="0"/>
            <w:vAlign w:val="center"/>
          </w:tcPr>
          <w:p w14:paraId="50DC24C5">
            <w:pPr>
              <w:jc w:val="center"/>
              <w:rPr>
                <w:rFonts w:hint="eastAsia" w:ascii="仿宋" w:hAnsi="仿宋" w:eastAsia="仿宋"/>
              </w:rPr>
            </w:pPr>
            <w:r>
              <w:rPr>
                <w:rFonts w:hint="eastAsia" w:ascii="仿宋" w:hAnsi="仿宋" w:eastAsia="仿宋"/>
                <w:szCs w:val="21"/>
              </w:rPr>
              <w:t>南京中医药大学附属医院</w:t>
            </w:r>
          </w:p>
        </w:tc>
        <w:tc>
          <w:tcPr>
            <w:tcW w:w="2225" w:type="dxa"/>
            <w:noWrap w:val="0"/>
            <w:vAlign w:val="center"/>
          </w:tcPr>
          <w:p w14:paraId="7EC2562D">
            <w:pPr>
              <w:jc w:val="center"/>
              <w:rPr>
                <w:rFonts w:hint="eastAsia" w:ascii="仿宋" w:hAnsi="仿宋" w:eastAsia="仿宋"/>
                <w:szCs w:val="21"/>
              </w:rPr>
            </w:pPr>
            <w:r>
              <w:rPr>
                <w:rFonts w:hint="eastAsia" w:ascii="仿宋" w:hAnsi="仿宋" w:eastAsia="仿宋"/>
                <w:szCs w:val="21"/>
              </w:rPr>
              <w:t>参加专家论证会。</w:t>
            </w:r>
          </w:p>
        </w:tc>
      </w:tr>
      <w:tr w14:paraId="51992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8388120">
            <w:pPr>
              <w:jc w:val="center"/>
              <w:rPr>
                <w:rFonts w:hint="eastAsia" w:ascii="仿宋" w:hAnsi="仿宋" w:eastAsia="仿宋" w:cs="Times New Roman"/>
                <w:szCs w:val="21"/>
              </w:rPr>
            </w:pPr>
            <w:r>
              <w:rPr>
                <w:rFonts w:hint="eastAsia" w:ascii="仿宋" w:hAnsi="仿宋" w:eastAsia="仿宋" w:cs="Times New Roman"/>
                <w:szCs w:val="21"/>
                <w:lang w:val="en-US" w:eastAsia="zh-CN"/>
              </w:rPr>
              <w:t>陈四文</w:t>
            </w:r>
          </w:p>
        </w:tc>
        <w:tc>
          <w:tcPr>
            <w:tcW w:w="787" w:type="dxa"/>
            <w:noWrap w:val="0"/>
            <w:vAlign w:val="center"/>
          </w:tcPr>
          <w:p w14:paraId="37414A2C">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3E4E310E">
            <w:pPr>
              <w:jc w:val="center"/>
              <w:rPr>
                <w:rFonts w:hint="eastAsia" w:ascii="仿宋" w:hAnsi="仿宋" w:eastAsia="仿宋"/>
                <w:szCs w:val="21"/>
              </w:rPr>
            </w:pPr>
            <w:r>
              <w:rPr>
                <w:rFonts w:hint="eastAsia" w:ascii="仿宋" w:hAnsi="仿宋" w:eastAsia="仿宋"/>
                <w:kern w:val="0"/>
                <w:szCs w:val="21"/>
              </w:rPr>
              <w:t>教授、主任医师，博导</w:t>
            </w:r>
          </w:p>
        </w:tc>
        <w:tc>
          <w:tcPr>
            <w:tcW w:w="3949" w:type="dxa"/>
            <w:noWrap w:val="0"/>
            <w:vAlign w:val="center"/>
          </w:tcPr>
          <w:p w14:paraId="3EF6D262">
            <w:pPr>
              <w:jc w:val="center"/>
              <w:rPr>
                <w:rFonts w:hint="eastAsia" w:ascii="仿宋" w:hAnsi="仿宋" w:eastAsia="仿宋"/>
              </w:rPr>
            </w:pPr>
            <w:r>
              <w:rPr>
                <w:rFonts w:hint="eastAsia" w:ascii="仿宋" w:hAnsi="仿宋" w:eastAsia="仿宋"/>
              </w:rPr>
              <w:t>厦门市中医院</w:t>
            </w:r>
          </w:p>
        </w:tc>
        <w:tc>
          <w:tcPr>
            <w:tcW w:w="2225" w:type="dxa"/>
            <w:noWrap w:val="0"/>
            <w:vAlign w:val="center"/>
          </w:tcPr>
          <w:p w14:paraId="0DD5A4F7">
            <w:pPr>
              <w:jc w:val="center"/>
              <w:rPr>
                <w:rFonts w:hint="eastAsia" w:ascii="仿宋" w:hAnsi="仿宋" w:eastAsia="仿宋"/>
                <w:szCs w:val="21"/>
              </w:rPr>
            </w:pPr>
            <w:r>
              <w:rPr>
                <w:rFonts w:hint="eastAsia" w:ascii="仿宋" w:hAnsi="仿宋" w:eastAsia="仿宋"/>
                <w:szCs w:val="21"/>
              </w:rPr>
              <w:t>接受专家问卷调查。</w:t>
            </w:r>
          </w:p>
        </w:tc>
      </w:tr>
      <w:tr w14:paraId="458C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EFB173E">
            <w:pPr>
              <w:jc w:val="center"/>
              <w:rPr>
                <w:rFonts w:hint="eastAsia" w:ascii="仿宋" w:hAnsi="仿宋" w:eastAsia="仿宋" w:cs="Times New Roman"/>
                <w:szCs w:val="21"/>
              </w:rPr>
            </w:pPr>
            <w:r>
              <w:rPr>
                <w:rFonts w:hint="eastAsia" w:ascii="仿宋" w:hAnsi="仿宋" w:eastAsia="仿宋" w:cs="Times New Roman"/>
                <w:szCs w:val="21"/>
                <w:lang w:val="en-US" w:eastAsia="zh-CN"/>
              </w:rPr>
              <w:t>张雅婷</w:t>
            </w:r>
          </w:p>
        </w:tc>
        <w:tc>
          <w:tcPr>
            <w:tcW w:w="787" w:type="dxa"/>
            <w:noWrap w:val="0"/>
            <w:vAlign w:val="center"/>
          </w:tcPr>
          <w:p w14:paraId="30B86141">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1E963E9F">
            <w:pPr>
              <w:jc w:val="center"/>
              <w:rPr>
                <w:rFonts w:hint="eastAsia" w:ascii="仿宋" w:hAnsi="仿宋" w:eastAsia="仿宋"/>
                <w:szCs w:val="21"/>
              </w:rPr>
            </w:pPr>
            <w:r>
              <w:rPr>
                <w:rFonts w:hint="eastAsia" w:ascii="仿宋" w:hAnsi="仿宋" w:eastAsia="仿宋"/>
                <w:szCs w:val="21"/>
              </w:rPr>
              <w:t>副主任医师</w:t>
            </w:r>
          </w:p>
        </w:tc>
        <w:tc>
          <w:tcPr>
            <w:tcW w:w="3949" w:type="dxa"/>
            <w:noWrap w:val="0"/>
            <w:vAlign w:val="center"/>
          </w:tcPr>
          <w:p w14:paraId="3FA6BFF8">
            <w:pPr>
              <w:jc w:val="center"/>
              <w:rPr>
                <w:rFonts w:hint="eastAsia" w:ascii="仿宋" w:hAnsi="仿宋" w:eastAsia="仿宋"/>
              </w:rPr>
            </w:pPr>
            <w:r>
              <w:rPr>
                <w:rFonts w:hint="eastAsia" w:ascii="仿宋" w:hAnsi="仿宋" w:eastAsia="仿宋"/>
              </w:rPr>
              <w:t>厦门长庚医院</w:t>
            </w:r>
          </w:p>
        </w:tc>
        <w:tc>
          <w:tcPr>
            <w:tcW w:w="2225" w:type="dxa"/>
            <w:noWrap w:val="0"/>
            <w:vAlign w:val="center"/>
          </w:tcPr>
          <w:p w14:paraId="5467910F">
            <w:pPr>
              <w:jc w:val="center"/>
              <w:rPr>
                <w:rFonts w:hint="eastAsia" w:ascii="仿宋" w:hAnsi="仿宋" w:eastAsia="仿宋"/>
                <w:szCs w:val="21"/>
              </w:rPr>
            </w:pPr>
            <w:r>
              <w:rPr>
                <w:rFonts w:hint="eastAsia" w:ascii="仿宋" w:hAnsi="仿宋" w:eastAsia="仿宋"/>
                <w:szCs w:val="21"/>
              </w:rPr>
              <w:t>接受专家问卷调查。</w:t>
            </w:r>
          </w:p>
        </w:tc>
      </w:tr>
      <w:tr w14:paraId="559A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970B5D0">
            <w:pPr>
              <w:jc w:val="center"/>
              <w:rPr>
                <w:rFonts w:hint="eastAsia" w:ascii="仿宋" w:hAnsi="仿宋" w:eastAsia="仿宋" w:cs="Times New Roman"/>
                <w:szCs w:val="21"/>
              </w:rPr>
            </w:pPr>
            <w:r>
              <w:rPr>
                <w:rFonts w:hint="eastAsia" w:ascii="仿宋" w:hAnsi="仿宋" w:eastAsia="仿宋" w:cs="Times New Roman"/>
                <w:szCs w:val="21"/>
                <w:lang w:val="en-US" w:eastAsia="zh-CN"/>
              </w:rPr>
              <w:t>吴佳盛</w:t>
            </w:r>
          </w:p>
        </w:tc>
        <w:tc>
          <w:tcPr>
            <w:tcW w:w="787" w:type="dxa"/>
            <w:noWrap w:val="0"/>
            <w:vAlign w:val="center"/>
          </w:tcPr>
          <w:p w14:paraId="6E7738CC">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441D3196">
            <w:pPr>
              <w:jc w:val="center"/>
              <w:rPr>
                <w:rFonts w:hint="eastAsia" w:ascii="仿宋" w:hAnsi="仿宋" w:eastAsia="仿宋"/>
                <w:szCs w:val="21"/>
              </w:rPr>
            </w:pPr>
            <w:r>
              <w:rPr>
                <w:rFonts w:hint="eastAsia" w:ascii="仿宋" w:hAnsi="仿宋" w:eastAsia="仿宋"/>
                <w:szCs w:val="21"/>
              </w:rPr>
              <w:t>主任医师</w:t>
            </w:r>
          </w:p>
        </w:tc>
        <w:tc>
          <w:tcPr>
            <w:tcW w:w="3949" w:type="dxa"/>
            <w:noWrap w:val="0"/>
            <w:vAlign w:val="center"/>
          </w:tcPr>
          <w:p w14:paraId="5CC87725">
            <w:pPr>
              <w:jc w:val="center"/>
              <w:rPr>
                <w:rFonts w:hint="eastAsia" w:ascii="仿宋" w:hAnsi="仿宋" w:eastAsia="仿宋"/>
              </w:rPr>
            </w:pPr>
            <w:r>
              <w:rPr>
                <w:rFonts w:hint="eastAsia" w:ascii="仿宋" w:hAnsi="仿宋" w:eastAsia="仿宋"/>
              </w:rPr>
              <w:t>新加坡中医师公会、新加坡中医研究院</w:t>
            </w:r>
          </w:p>
        </w:tc>
        <w:tc>
          <w:tcPr>
            <w:tcW w:w="2225" w:type="dxa"/>
            <w:noWrap w:val="0"/>
            <w:vAlign w:val="center"/>
          </w:tcPr>
          <w:p w14:paraId="5DA32995">
            <w:pPr>
              <w:jc w:val="center"/>
              <w:rPr>
                <w:rFonts w:hint="eastAsia" w:ascii="仿宋" w:hAnsi="仿宋" w:eastAsia="仿宋"/>
                <w:szCs w:val="21"/>
              </w:rPr>
            </w:pPr>
            <w:r>
              <w:rPr>
                <w:rFonts w:hint="eastAsia" w:ascii="仿宋" w:hAnsi="仿宋" w:eastAsia="仿宋"/>
                <w:szCs w:val="21"/>
              </w:rPr>
              <w:t>接受专家问卷调查。</w:t>
            </w:r>
          </w:p>
        </w:tc>
      </w:tr>
      <w:tr w14:paraId="060A2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7525EA39">
            <w:pPr>
              <w:jc w:val="center"/>
              <w:rPr>
                <w:rFonts w:hint="eastAsia" w:ascii="仿宋" w:hAnsi="仿宋" w:eastAsia="仿宋" w:cs="Times New Roman"/>
                <w:szCs w:val="21"/>
              </w:rPr>
            </w:pPr>
            <w:r>
              <w:rPr>
                <w:rFonts w:hint="eastAsia" w:ascii="仿宋" w:hAnsi="仿宋" w:eastAsia="仿宋" w:cs="Times New Roman"/>
                <w:szCs w:val="21"/>
                <w:lang w:val="en-US" w:eastAsia="zh-CN"/>
              </w:rPr>
              <w:t>郑秀芬</w:t>
            </w:r>
          </w:p>
        </w:tc>
        <w:tc>
          <w:tcPr>
            <w:tcW w:w="787" w:type="dxa"/>
            <w:noWrap w:val="0"/>
            <w:vAlign w:val="center"/>
          </w:tcPr>
          <w:p w14:paraId="49A23226">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5E9AD813">
            <w:pPr>
              <w:jc w:val="center"/>
              <w:rPr>
                <w:rFonts w:hint="eastAsia" w:ascii="仿宋" w:hAnsi="仿宋" w:eastAsia="仿宋"/>
                <w:szCs w:val="21"/>
              </w:rPr>
            </w:pPr>
            <w:r>
              <w:rPr>
                <w:rFonts w:hint="eastAsia" w:ascii="仿宋" w:hAnsi="仿宋" w:eastAsia="仿宋"/>
                <w:szCs w:val="21"/>
              </w:rPr>
              <w:t>副教授</w:t>
            </w:r>
          </w:p>
        </w:tc>
        <w:tc>
          <w:tcPr>
            <w:tcW w:w="3949" w:type="dxa"/>
            <w:noWrap w:val="0"/>
            <w:vAlign w:val="center"/>
          </w:tcPr>
          <w:p w14:paraId="541CED5C">
            <w:pPr>
              <w:jc w:val="center"/>
              <w:rPr>
                <w:rFonts w:hint="eastAsia" w:ascii="仿宋" w:hAnsi="仿宋" w:eastAsia="仿宋"/>
              </w:rPr>
            </w:pPr>
            <w:r>
              <w:rPr>
                <w:rFonts w:hint="eastAsia" w:ascii="仿宋" w:hAnsi="仿宋" w:eastAsia="仿宋"/>
              </w:rPr>
              <w:t>马来西亚拉曼大学</w:t>
            </w:r>
          </w:p>
        </w:tc>
        <w:tc>
          <w:tcPr>
            <w:tcW w:w="2225" w:type="dxa"/>
            <w:noWrap w:val="0"/>
            <w:vAlign w:val="center"/>
          </w:tcPr>
          <w:p w14:paraId="0FF08292">
            <w:pPr>
              <w:jc w:val="center"/>
              <w:rPr>
                <w:rFonts w:hint="eastAsia" w:ascii="仿宋" w:hAnsi="仿宋" w:eastAsia="仿宋"/>
                <w:szCs w:val="21"/>
              </w:rPr>
            </w:pPr>
            <w:r>
              <w:rPr>
                <w:rFonts w:hint="eastAsia" w:ascii="仿宋" w:hAnsi="仿宋" w:eastAsia="仿宋"/>
                <w:szCs w:val="21"/>
              </w:rPr>
              <w:t>接受专家问卷调查。</w:t>
            </w:r>
          </w:p>
        </w:tc>
      </w:tr>
      <w:tr w14:paraId="0CE07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39E53043">
            <w:pPr>
              <w:jc w:val="center"/>
              <w:rPr>
                <w:rFonts w:hint="eastAsia" w:ascii="仿宋" w:hAnsi="仿宋" w:eastAsia="仿宋" w:cs="Times New Roman"/>
                <w:szCs w:val="21"/>
              </w:rPr>
            </w:pPr>
            <w:r>
              <w:rPr>
                <w:rFonts w:hint="eastAsia" w:ascii="仿宋" w:hAnsi="仿宋" w:eastAsia="仿宋" w:cs="Times New Roman"/>
                <w:szCs w:val="21"/>
                <w:lang w:val="en-US" w:eastAsia="zh-CN"/>
              </w:rPr>
              <w:t>林文贤</w:t>
            </w:r>
          </w:p>
        </w:tc>
        <w:tc>
          <w:tcPr>
            <w:tcW w:w="787" w:type="dxa"/>
            <w:noWrap w:val="0"/>
            <w:vAlign w:val="center"/>
          </w:tcPr>
          <w:p w14:paraId="2954273A">
            <w:pPr>
              <w:jc w:val="center"/>
              <w:rPr>
                <w:rFonts w:hint="eastAsia" w:ascii="仿宋" w:hAnsi="仿宋" w:eastAsia="仿宋"/>
                <w:szCs w:val="21"/>
              </w:rPr>
            </w:pPr>
            <w:r>
              <w:rPr>
                <w:rFonts w:hint="eastAsia" w:ascii="仿宋" w:hAnsi="仿宋" w:eastAsia="仿宋"/>
                <w:szCs w:val="21"/>
              </w:rPr>
              <w:t>硕士</w:t>
            </w:r>
          </w:p>
        </w:tc>
        <w:tc>
          <w:tcPr>
            <w:tcW w:w="1281" w:type="dxa"/>
            <w:noWrap w:val="0"/>
            <w:vAlign w:val="center"/>
          </w:tcPr>
          <w:p w14:paraId="208258F4">
            <w:pPr>
              <w:jc w:val="center"/>
              <w:rPr>
                <w:rFonts w:hint="eastAsia" w:ascii="仿宋" w:hAnsi="仿宋" w:eastAsia="仿宋"/>
                <w:szCs w:val="21"/>
              </w:rPr>
            </w:pPr>
            <w:r>
              <w:rPr>
                <w:rFonts w:hint="eastAsia" w:ascii="仿宋" w:hAnsi="仿宋" w:eastAsia="仿宋"/>
                <w:szCs w:val="21"/>
              </w:rPr>
              <w:t>主任医师</w:t>
            </w:r>
          </w:p>
        </w:tc>
        <w:tc>
          <w:tcPr>
            <w:tcW w:w="3949" w:type="dxa"/>
            <w:noWrap w:val="0"/>
            <w:vAlign w:val="center"/>
          </w:tcPr>
          <w:p w14:paraId="4EAAE0F4">
            <w:pPr>
              <w:jc w:val="center"/>
              <w:rPr>
                <w:rFonts w:hint="eastAsia" w:ascii="仿宋" w:hAnsi="仿宋" w:eastAsia="仿宋"/>
              </w:rPr>
            </w:pPr>
            <w:r>
              <w:rPr>
                <w:rFonts w:hint="eastAsia" w:ascii="仿宋" w:hAnsi="仿宋" w:eastAsia="仿宋"/>
              </w:rPr>
              <w:t>马来西亚中华慈善中医院</w:t>
            </w:r>
          </w:p>
        </w:tc>
        <w:tc>
          <w:tcPr>
            <w:tcW w:w="2225" w:type="dxa"/>
            <w:noWrap w:val="0"/>
            <w:vAlign w:val="center"/>
          </w:tcPr>
          <w:p w14:paraId="5B68F875">
            <w:pPr>
              <w:jc w:val="center"/>
              <w:rPr>
                <w:rFonts w:hint="eastAsia" w:ascii="仿宋" w:hAnsi="仿宋" w:eastAsia="仿宋"/>
                <w:szCs w:val="21"/>
              </w:rPr>
            </w:pPr>
            <w:r>
              <w:rPr>
                <w:rFonts w:hint="eastAsia" w:ascii="仿宋" w:hAnsi="仿宋" w:eastAsia="仿宋"/>
                <w:szCs w:val="21"/>
              </w:rPr>
              <w:t>接受专家问卷调查。</w:t>
            </w:r>
          </w:p>
        </w:tc>
      </w:tr>
      <w:tr w14:paraId="5DBF3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B64969B">
            <w:pPr>
              <w:jc w:val="center"/>
              <w:rPr>
                <w:rFonts w:hint="eastAsia" w:ascii="仿宋" w:hAnsi="仿宋" w:eastAsia="仿宋" w:cs="Times New Roman"/>
                <w:szCs w:val="21"/>
              </w:rPr>
            </w:pPr>
            <w:r>
              <w:rPr>
                <w:rFonts w:hint="eastAsia" w:ascii="仿宋" w:hAnsi="仿宋" w:eastAsia="仿宋" w:cs="Times New Roman"/>
                <w:szCs w:val="21"/>
                <w:lang w:val="en-US" w:eastAsia="zh-CN"/>
              </w:rPr>
              <w:t>卢  青</w:t>
            </w:r>
          </w:p>
        </w:tc>
        <w:tc>
          <w:tcPr>
            <w:tcW w:w="787" w:type="dxa"/>
            <w:noWrap w:val="0"/>
            <w:vAlign w:val="center"/>
          </w:tcPr>
          <w:p w14:paraId="66C469F1">
            <w:pPr>
              <w:jc w:val="center"/>
              <w:rPr>
                <w:rFonts w:hint="eastAsia" w:ascii="仿宋" w:hAnsi="仿宋" w:eastAsia="仿宋"/>
                <w:szCs w:val="21"/>
              </w:rPr>
            </w:pPr>
            <w:r>
              <w:rPr>
                <w:rFonts w:hint="eastAsia" w:ascii="仿宋" w:hAnsi="仿宋" w:eastAsia="仿宋"/>
                <w:szCs w:val="21"/>
              </w:rPr>
              <w:t>硕士</w:t>
            </w:r>
          </w:p>
        </w:tc>
        <w:tc>
          <w:tcPr>
            <w:tcW w:w="1281" w:type="dxa"/>
            <w:noWrap w:val="0"/>
            <w:vAlign w:val="center"/>
          </w:tcPr>
          <w:p w14:paraId="7B9EA523">
            <w:pPr>
              <w:jc w:val="center"/>
              <w:rPr>
                <w:rFonts w:hint="eastAsia" w:ascii="仿宋" w:hAnsi="仿宋" w:eastAsia="仿宋"/>
                <w:szCs w:val="21"/>
              </w:rPr>
            </w:pPr>
            <w:r>
              <w:rPr>
                <w:rFonts w:hint="eastAsia" w:ascii="仿宋" w:hAnsi="仿宋" w:eastAsia="仿宋"/>
                <w:szCs w:val="21"/>
              </w:rPr>
              <w:t>主任医师，临床教授</w:t>
            </w:r>
          </w:p>
        </w:tc>
        <w:tc>
          <w:tcPr>
            <w:tcW w:w="3949" w:type="dxa"/>
            <w:noWrap w:val="0"/>
            <w:vAlign w:val="center"/>
          </w:tcPr>
          <w:p w14:paraId="35373DA1">
            <w:pPr>
              <w:jc w:val="center"/>
              <w:rPr>
                <w:rFonts w:ascii="仿宋" w:hAnsi="仿宋" w:eastAsia="仿宋"/>
              </w:rPr>
            </w:pPr>
            <w:r>
              <w:rPr>
                <w:rFonts w:hint="eastAsia" w:ascii="仿宋" w:hAnsi="仿宋" w:eastAsia="仿宋"/>
              </w:rPr>
              <w:t>澳大利亚奋进自然疗法学院</w:t>
            </w:r>
          </w:p>
          <w:p w14:paraId="06884972">
            <w:pPr>
              <w:jc w:val="center"/>
              <w:rPr>
                <w:rFonts w:hint="eastAsia" w:ascii="仿宋" w:hAnsi="仿宋" w:eastAsia="仿宋"/>
              </w:rPr>
            </w:pPr>
            <w:r>
              <w:rPr>
                <w:rFonts w:hint="eastAsia" w:ascii="仿宋" w:hAnsi="仿宋" w:eastAsia="仿宋"/>
              </w:rPr>
              <w:t>卢氏中医针灸诊所主任</w:t>
            </w:r>
          </w:p>
        </w:tc>
        <w:tc>
          <w:tcPr>
            <w:tcW w:w="2225" w:type="dxa"/>
            <w:noWrap w:val="0"/>
            <w:vAlign w:val="center"/>
          </w:tcPr>
          <w:p w14:paraId="33DC33CF">
            <w:pPr>
              <w:jc w:val="center"/>
              <w:rPr>
                <w:rFonts w:hint="eastAsia" w:ascii="仿宋" w:hAnsi="仿宋" w:eastAsia="仿宋"/>
                <w:szCs w:val="21"/>
              </w:rPr>
            </w:pPr>
            <w:r>
              <w:rPr>
                <w:rFonts w:hint="eastAsia" w:ascii="仿宋" w:hAnsi="仿宋" w:eastAsia="仿宋"/>
                <w:szCs w:val="21"/>
              </w:rPr>
              <w:t>接受专家问卷调查。</w:t>
            </w:r>
          </w:p>
        </w:tc>
      </w:tr>
      <w:tr w14:paraId="3BAB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060F5D38">
            <w:pPr>
              <w:jc w:val="center"/>
              <w:rPr>
                <w:rFonts w:hint="eastAsia" w:ascii="仿宋" w:hAnsi="仿宋" w:eastAsia="仿宋" w:cs="Times New Roman"/>
                <w:szCs w:val="21"/>
              </w:rPr>
            </w:pPr>
            <w:r>
              <w:rPr>
                <w:rFonts w:hint="eastAsia" w:ascii="仿宋" w:hAnsi="仿宋" w:eastAsia="仿宋" w:cs="Times New Roman"/>
                <w:szCs w:val="21"/>
                <w:lang w:val="en-US" w:eastAsia="zh-CN"/>
              </w:rPr>
              <w:t>乔木林</w:t>
            </w:r>
          </w:p>
        </w:tc>
        <w:tc>
          <w:tcPr>
            <w:tcW w:w="787" w:type="dxa"/>
            <w:noWrap w:val="0"/>
            <w:vAlign w:val="center"/>
          </w:tcPr>
          <w:p w14:paraId="04E618F7">
            <w:pPr>
              <w:jc w:val="center"/>
              <w:rPr>
                <w:rFonts w:hint="eastAsia" w:ascii="仿宋" w:hAnsi="仿宋" w:eastAsia="仿宋"/>
                <w:szCs w:val="21"/>
              </w:rPr>
            </w:pPr>
            <w:r>
              <w:rPr>
                <w:rFonts w:hint="eastAsia" w:ascii="仿宋" w:hAnsi="仿宋" w:eastAsia="仿宋"/>
                <w:szCs w:val="21"/>
              </w:rPr>
              <w:t>硕士</w:t>
            </w:r>
          </w:p>
        </w:tc>
        <w:tc>
          <w:tcPr>
            <w:tcW w:w="1281" w:type="dxa"/>
            <w:noWrap w:val="0"/>
            <w:vAlign w:val="center"/>
          </w:tcPr>
          <w:p w14:paraId="79B6847A">
            <w:pPr>
              <w:jc w:val="center"/>
              <w:rPr>
                <w:rFonts w:hint="eastAsia" w:ascii="仿宋" w:hAnsi="仿宋" w:eastAsia="仿宋"/>
                <w:szCs w:val="21"/>
              </w:rPr>
            </w:pPr>
            <w:r>
              <w:rPr>
                <w:rFonts w:hint="eastAsia" w:ascii="仿宋" w:hAnsi="仿宋" w:eastAsia="仿宋"/>
                <w:szCs w:val="21"/>
              </w:rPr>
              <w:t>教授</w:t>
            </w:r>
          </w:p>
        </w:tc>
        <w:tc>
          <w:tcPr>
            <w:tcW w:w="3949" w:type="dxa"/>
            <w:noWrap w:val="0"/>
            <w:vAlign w:val="center"/>
          </w:tcPr>
          <w:p w14:paraId="1E54E8B4">
            <w:pPr>
              <w:jc w:val="center"/>
              <w:rPr>
                <w:rFonts w:ascii="仿宋" w:hAnsi="仿宋" w:eastAsia="仿宋"/>
              </w:rPr>
            </w:pPr>
            <w:r>
              <w:rPr>
                <w:rFonts w:ascii="仿宋" w:hAnsi="仿宋" w:eastAsia="仿宋"/>
              </w:rPr>
              <w:t>Endeavour College of Natural Health, Australia</w:t>
            </w:r>
            <w:r>
              <w:rPr>
                <w:rFonts w:hint="eastAsia" w:ascii="仿宋" w:hAnsi="仿宋" w:eastAsia="仿宋"/>
              </w:rPr>
              <w:t>；</w:t>
            </w:r>
          </w:p>
          <w:p w14:paraId="18B8711C">
            <w:pPr>
              <w:jc w:val="center"/>
              <w:rPr>
                <w:rFonts w:hint="eastAsia" w:ascii="仿宋" w:hAnsi="仿宋" w:eastAsia="仿宋"/>
              </w:rPr>
            </w:pPr>
            <w:r>
              <w:rPr>
                <w:rFonts w:ascii="仿宋" w:hAnsi="仿宋" w:eastAsia="仿宋"/>
              </w:rPr>
              <w:t>Hui Cui Chinese Medicine &amp; Acupuncture Center</w:t>
            </w:r>
          </w:p>
        </w:tc>
        <w:tc>
          <w:tcPr>
            <w:tcW w:w="2225" w:type="dxa"/>
            <w:noWrap w:val="0"/>
            <w:vAlign w:val="center"/>
          </w:tcPr>
          <w:p w14:paraId="1EF26625">
            <w:pPr>
              <w:jc w:val="center"/>
              <w:rPr>
                <w:rFonts w:hint="eastAsia" w:ascii="仿宋" w:hAnsi="仿宋" w:eastAsia="仿宋"/>
                <w:szCs w:val="21"/>
              </w:rPr>
            </w:pPr>
            <w:r>
              <w:rPr>
                <w:rFonts w:hint="eastAsia" w:ascii="仿宋" w:hAnsi="仿宋" w:eastAsia="仿宋"/>
                <w:szCs w:val="21"/>
              </w:rPr>
              <w:t>接受专家问卷调查。</w:t>
            </w:r>
          </w:p>
        </w:tc>
      </w:tr>
      <w:tr w14:paraId="7DCC3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676DAC23">
            <w:pPr>
              <w:jc w:val="center"/>
              <w:rPr>
                <w:rFonts w:hint="eastAsia" w:ascii="仿宋" w:hAnsi="仿宋" w:eastAsia="仿宋" w:cs="Times New Roman"/>
                <w:szCs w:val="21"/>
              </w:rPr>
            </w:pPr>
            <w:r>
              <w:rPr>
                <w:rFonts w:hint="eastAsia" w:ascii="仿宋" w:hAnsi="仿宋" w:eastAsia="仿宋" w:cs="Times New Roman"/>
                <w:szCs w:val="21"/>
                <w:lang w:val="en-US" w:eastAsia="zh-CN"/>
              </w:rPr>
              <w:t>闵楷家</w:t>
            </w:r>
          </w:p>
        </w:tc>
        <w:tc>
          <w:tcPr>
            <w:tcW w:w="787" w:type="dxa"/>
            <w:noWrap w:val="0"/>
            <w:vAlign w:val="center"/>
          </w:tcPr>
          <w:p w14:paraId="07ACD540">
            <w:pPr>
              <w:jc w:val="center"/>
              <w:rPr>
                <w:rFonts w:hint="eastAsia" w:ascii="仿宋" w:hAnsi="仿宋" w:eastAsia="仿宋"/>
                <w:szCs w:val="21"/>
              </w:rPr>
            </w:pPr>
            <w:r>
              <w:rPr>
                <w:rFonts w:hint="eastAsia" w:ascii="仿宋" w:hAnsi="仿宋" w:eastAsia="仿宋"/>
                <w:szCs w:val="21"/>
              </w:rPr>
              <w:t>博士</w:t>
            </w:r>
          </w:p>
        </w:tc>
        <w:tc>
          <w:tcPr>
            <w:tcW w:w="1281" w:type="dxa"/>
            <w:noWrap w:val="0"/>
            <w:vAlign w:val="center"/>
          </w:tcPr>
          <w:p w14:paraId="7113D0AC">
            <w:pPr>
              <w:jc w:val="center"/>
              <w:rPr>
                <w:rFonts w:hint="eastAsia" w:ascii="仿宋" w:hAnsi="仿宋" w:eastAsia="仿宋"/>
                <w:szCs w:val="21"/>
              </w:rPr>
            </w:pPr>
            <w:r>
              <w:rPr>
                <w:rFonts w:hint="eastAsia" w:ascii="仿宋" w:hAnsi="仿宋" w:eastAsia="仿宋"/>
                <w:szCs w:val="21"/>
              </w:rPr>
              <w:t>客座教授</w:t>
            </w:r>
          </w:p>
        </w:tc>
        <w:tc>
          <w:tcPr>
            <w:tcW w:w="3949" w:type="dxa"/>
            <w:noWrap w:val="0"/>
            <w:vAlign w:val="center"/>
          </w:tcPr>
          <w:p w14:paraId="129D17B2">
            <w:pPr>
              <w:jc w:val="center"/>
              <w:rPr>
                <w:rFonts w:hint="eastAsia" w:ascii="仿宋" w:hAnsi="仿宋" w:eastAsia="仿宋"/>
              </w:rPr>
            </w:pPr>
            <w:r>
              <w:rPr>
                <w:rFonts w:hint="eastAsia" w:ascii="仿宋" w:hAnsi="仿宋" w:eastAsia="仿宋"/>
              </w:rPr>
              <w:t>美国加州国际医药大学</w:t>
            </w:r>
          </w:p>
        </w:tc>
        <w:tc>
          <w:tcPr>
            <w:tcW w:w="2225" w:type="dxa"/>
            <w:noWrap w:val="0"/>
            <w:vAlign w:val="center"/>
          </w:tcPr>
          <w:p w14:paraId="43302BA5">
            <w:pPr>
              <w:jc w:val="center"/>
              <w:rPr>
                <w:rFonts w:hint="eastAsia" w:ascii="仿宋" w:hAnsi="仿宋" w:eastAsia="仿宋"/>
                <w:szCs w:val="21"/>
              </w:rPr>
            </w:pPr>
            <w:r>
              <w:rPr>
                <w:rFonts w:hint="eastAsia" w:ascii="仿宋" w:hAnsi="仿宋" w:eastAsia="仿宋"/>
                <w:szCs w:val="21"/>
              </w:rPr>
              <w:t>接受专家问卷调查。</w:t>
            </w:r>
          </w:p>
        </w:tc>
      </w:tr>
      <w:tr w14:paraId="0482C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220DAEA3">
            <w:pPr>
              <w:jc w:val="center"/>
              <w:rPr>
                <w:rFonts w:hint="eastAsia" w:ascii="仿宋" w:hAnsi="仿宋" w:eastAsia="仿宋" w:cs="Times New Roman"/>
                <w:szCs w:val="21"/>
              </w:rPr>
            </w:pPr>
            <w:r>
              <w:rPr>
                <w:rFonts w:hint="eastAsia" w:ascii="仿宋" w:hAnsi="仿宋" w:eastAsia="仿宋" w:cs="Times New Roman"/>
                <w:szCs w:val="21"/>
                <w:lang w:val="en-US" w:eastAsia="zh-CN"/>
              </w:rPr>
              <w:t>许珍育</w:t>
            </w:r>
          </w:p>
        </w:tc>
        <w:tc>
          <w:tcPr>
            <w:tcW w:w="787" w:type="dxa"/>
            <w:noWrap w:val="0"/>
            <w:vAlign w:val="center"/>
          </w:tcPr>
          <w:p w14:paraId="62D776CE">
            <w:pPr>
              <w:jc w:val="center"/>
              <w:rPr>
                <w:rFonts w:hint="eastAsia" w:ascii="仿宋" w:hAnsi="仿宋" w:eastAsia="仿宋"/>
                <w:szCs w:val="21"/>
              </w:rPr>
            </w:pPr>
            <w:r>
              <w:rPr>
                <w:rFonts w:hint="eastAsia" w:ascii="仿宋" w:hAnsi="仿宋" w:eastAsia="仿宋"/>
                <w:szCs w:val="21"/>
                <w:lang w:val="en-US" w:eastAsia="zh-CN"/>
              </w:rPr>
              <w:t>硕士</w:t>
            </w:r>
          </w:p>
        </w:tc>
        <w:tc>
          <w:tcPr>
            <w:tcW w:w="1281" w:type="dxa"/>
            <w:noWrap w:val="0"/>
            <w:vAlign w:val="center"/>
          </w:tcPr>
          <w:p w14:paraId="4096F7BF">
            <w:pPr>
              <w:tabs>
                <w:tab w:val="left" w:pos="900"/>
              </w:tabs>
              <w:autoSpaceDN w:val="0"/>
              <w:adjustRightInd w:val="0"/>
              <w:jc w:val="center"/>
              <w:rPr>
                <w:rFonts w:hint="eastAsia" w:ascii="仿宋" w:hAnsi="仿宋" w:eastAsia="仿宋"/>
                <w:szCs w:val="21"/>
              </w:rPr>
            </w:pPr>
            <w:r>
              <w:rPr>
                <w:rFonts w:hint="eastAsia" w:ascii="仿宋" w:hAnsi="仿宋" w:eastAsia="仿宋"/>
                <w:szCs w:val="21"/>
                <w:lang w:val="en-US" w:eastAsia="zh-CN"/>
              </w:rPr>
              <w:t>主任医师</w:t>
            </w:r>
          </w:p>
        </w:tc>
        <w:tc>
          <w:tcPr>
            <w:tcW w:w="3949" w:type="dxa"/>
            <w:noWrap w:val="0"/>
            <w:vAlign w:val="center"/>
          </w:tcPr>
          <w:p w14:paraId="11BE2DC6">
            <w:pPr>
              <w:tabs>
                <w:tab w:val="left" w:pos="900"/>
              </w:tabs>
              <w:autoSpaceDN w:val="0"/>
              <w:adjustRightInd w:val="0"/>
              <w:jc w:val="center"/>
              <w:rPr>
                <w:rFonts w:hint="eastAsia" w:ascii="仿宋" w:hAnsi="仿宋" w:eastAsia="仿宋"/>
              </w:rPr>
            </w:pPr>
            <w:r>
              <w:rPr>
                <w:rFonts w:hint="eastAsia" w:ascii="仿宋" w:hAnsi="仿宋" w:eastAsia="仿宋"/>
                <w:szCs w:val="21"/>
                <w:lang w:val="en-US" w:eastAsia="zh-CN"/>
              </w:rPr>
              <w:t>育国中医诊疗所</w:t>
            </w:r>
          </w:p>
        </w:tc>
        <w:tc>
          <w:tcPr>
            <w:tcW w:w="2225" w:type="dxa"/>
            <w:noWrap w:val="0"/>
            <w:vAlign w:val="center"/>
          </w:tcPr>
          <w:p w14:paraId="4D8B6CC1">
            <w:pPr>
              <w:jc w:val="center"/>
              <w:rPr>
                <w:rFonts w:hint="eastAsia" w:ascii="仿宋" w:hAnsi="仿宋" w:eastAsia="仿宋"/>
                <w:szCs w:val="21"/>
              </w:rPr>
            </w:pPr>
            <w:r>
              <w:rPr>
                <w:rFonts w:hint="eastAsia" w:ascii="仿宋" w:hAnsi="仿宋" w:eastAsia="仿宋"/>
                <w:szCs w:val="21"/>
              </w:rPr>
              <w:t>接受专家问卷调查。</w:t>
            </w:r>
          </w:p>
        </w:tc>
      </w:tr>
      <w:tr w14:paraId="0EA7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022" w:type="dxa"/>
            <w:noWrap w:val="0"/>
            <w:vAlign w:val="center"/>
          </w:tcPr>
          <w:p w14:paraId="416AFB5F">
            <w:pPr>
              <w:jc w:val="center"/>
              <w:rPr>
                <w:rFonts w:hint="eastAsia" w:ascii="仿宋" w:hAnsi="仿宋" w:eastAsia="仿宋" w:cs="Times New Roman"/>
                <w:szCs w:val="21"/>
              </w:rPr>
            </w:pPr>
            <w:r>
              <w:rPr>
                <w:rFonts w:hint="eastAsia" w:ascii="仿宋" w:hAnsi="仿宋" w:eastAsia="仿宋" w:cs="Times New Roman"/>
                <w:szCs w:val="21"/>
                <w:lang w:val="en-US" w:eastAsia="zh-CN"/>
              </w:rPr>
              <w:t>徐伟英</w:t>
            </w:r>
          </w:p>
        </w:tc>
        <w:tc>
          <w:tcPr>
            <w:tcW w:w="787" w:type="dxa"/>
            <w:noWrap w:val="0"/>
            <w:vAlign w:val="center"/>
          </w:tcPr>
          <w:p w14:paraId="5BFF8150">
            <w:pPr>
              <w:jc w:val="center"/>
              <w:rPr>
                <w:rFonts w:hint="eastAsia" w:ascii="仿宋" w:hAnsi="仿宋" w:eastAsia="仿宋"/>
                <w:szCs w:val="21"/>
                <w:lang w:val="en-US" w:eastAsia="zh-CN"/>
              </w:rPr>
            </w:pPr>
            <w:r>
              <w:rPr>
                <w:rFonts w:hint="eastAsia" w:ascii="仿宋" w:hAnsi="仿宋" w:eastAsia="仿宋"/>
                <w:szCs w:val="21"/>
                <w:lang w:val="en-US" w:eastAsia="zh-CN"/>
              </w:rPr>
              <w:t>博士</w:t>
            </w:r>
          </w:p>
        </w:tc>
        <w:tc>
          <w:tcPr>
            <w:tcW w:w="1281" w:type="dxa"/>
            <w:noWrap w:val="0"/>
            <w:vAlign w:val="center"/>
          </w:tcPr>
          <w:p w14:paraId="6C83AEF8">
            <w:pPr>
              <w:jc w:val="center"/>
              <w:rPr>
                <w:rFonts w:hint="eastAsia" w:ascii="仿宋" w:hAnsi="仿宋" w:eastAsia="仿宋"/>
                <w:szCs w:val="21"/>
              </w:rPr>
            </w:pPr>
            <w:r>
              <w:rPr>
                <w:rFonts w:hint="eastAsia" w:ascii="仿宋" w:hAnsi="仿宋" w:eastAsia="仿宋"/>
                <w:kern w:val="0"/>
                <w:szCs w:val="21"/>
              </w:rPr>
              <w:t>教授、主任医师</w:t>
            </w:r>
          </w:p>
        </w:tc>
        <w:tc>
          <w:tcPr>
            <w:tcW w:w="3949" w:type="dxa"/>
            <w:noWrap w:val="0"/>
            <w:vAlign w:val="center"/>
          </w:tcPr>
          <w:p w14:paraId="13DBC7CA">
            <w:pPr>
              <w:jc w:val="center"/>
              <w:rPr>
                <w:rFonts w:hint="default" w:ascii="仿宋" w:hAnsi="仿宋" w:eastAsia="仿宋"/>
                <w:lang w:val="en-US" w:eastAsia="zh-CN"/>
              </w:rPr>
            </w:pPr>
            <w:r>
              <w:rPr>
                <w:rFonts w:hint="eastAsia" w:ascii="仿宋" w:hAnsi="仿宋" w:eastAsia="仿宋"/>
                <w:lang w:val="en-US" w:eastAsia="zh-CN"/>
              </w:rPr>
              <w:t>澳门科技大学中医药学院</w:t>
            </w:r>
          </w:p>
        </w:tc>
        <w:tc>
          <w:tcPr>
            <w:tcW w:w="2225" w:type="dxa"/>
            <w:noWrap w:val="0"/>
            <w:vAlign w:val="center"/>
          </w:tcPr>
          <w:p w14:paraId="4F483159">
            <w:pPr>
              <w:jc w:val="center"/>
              <w:rPr>
                <w:rFonts w:hint="eastAsia" w:ascii="仿宋" w:hAnsi="仿宋" w:eastAsia="仿宋"/>
                <w:szCs w:val="21"/>
              </w:rPr>
            </w:pPr>
            <w:r>
              <w:rPr>
                <w:rFonts w:hint="eastAsia" w:ascii="仿宋" w:hAnsi="仿宋" w:eastAsia="仿宋"/>
                <w:szCs w:val="21"/>
              </w:rPr>
              <w:t>接受专家问卷调查。</w:t>
            </w:r>
          </w:p>
        </w:tc>
      </w:tr>
    </w:tbl>
    <w:p w14:paraId="51FC70D2">
      <w:pPr>
        <w:spacing w:line="360" w:lineRule="auto"/>
        <w:rPr>
          <w:rFonts w:hint="eastAsia" w:ascii="仿宋" w:hAnsi="仿宋" w:eastAsia="仿宋"/>
          <w:b/>
          <w:sz w:val="24"/>
          <w:szCs w:val="24"/>
        </w:rPr>
      </w:pPr>
      <w:r>
        <w:rPr>
          <w:rFonts w:hint="eastAsia" w:ascii="仿宋" w:hAnsi="仿宋" w:eastAsia="仿宋"/>
          <w:b/>
          <w:sz w:val="24"/>
          <w:szCs w:val="24"/>
        </w:rPr>
        <w:t>4</w:t>
      </w:r>
      <w:r>
        <w:rPr>
          <w:rFonts w:ascii="仿宋" w:hAnsi="仿宋" w:eastAsia="仿宋"/>
          <w:b/>
          <w:sz w:val="24"/>
          <w:szCs w:val="24"/>
        </w:rPr>
        <w:t xml:space="preserve">  </w:t>
      </w:r>
      <w:r>
        <w:rPr>
          <w:rFonts w:hint="eastAsia" w:ascii="仿宋" w:hAnsi="仿宋" w:eastAsia="仿宋"/>
          <w:b/>
          <w:sz w:val="24"/>
          <w:szCs w:val="24"/>
        </w:rPr>
        <w:t>专家指导组专家</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3"/>
        <w:gridCol w:w="703"/>
        <w:gridCol w:w="1354"/>
        <w:gridCol w:w="2994"/>
        <w:gridCol w:w="3260"/>
      </w:tblGrid>
      <w:tr w14:paraId="3EB47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86EC923">
            <w:pPr>
              <w:jc w:val="center"/>
              <w:rPr>
                <w:rFonts w:ascii="仿宋" w:hAnsi="仿宋" w:eastAsia="仿宋"/>
                <w:szCs w:val="21"/>
              </w:rPr>
            </w:pPr>
            <w:r>
              <w:rPr>
                <w:rFonts w:hint="eastAsia" w:ascii="仿宋" w:hAnsi="仿宋" w:eastAsia="仿宋"/>
                <w:szCs w:val="21"/>
              </w:rPr>
              <w:t>姓</w:t>
            </w:r>
            <w:r>
              <w:rPr>
                <w:rFonts w:ascii="仿宋" w:hAnsi="仿宋" w:eastAsia="仿宋"/>
                <w:szCs w:val="21"/>
              </w:rPr>
              <w:t xml:space="preserve">  </w:t>
            </w:r>
            <w:r>
              <w:rPr>
                <w:rFonts w:hint="eastAsia" w:ascii="仿宋" w:hAnsi="仿宋" w:eastAsia="仿宋"/>
                <w:szCs w:val="21"/>
              </w:rPr>
              <w:t>名</w:t>
            </w:r>
          </w:p>
        </w:tc>
        <w:tc>
          <w:tcPr>
            <w:tcW w:w="703" w:type="dxa"/>
            <w:noWrap w:val="0"/>
            <w:vAlign w:val="center"/>
          </w:tcPr>
          <w:p w14:paraId="3627FC7A">
            <w:pPr>
              <w:jc w:val="center"/>
              <w:rPr>
                <w:rFonts w:ascii="仿宋" w:hAnsi="仿宋" w:eastAsia="仿宋"/>
                <w:szCs w:val="21"/>
              </w:rPr>
            </w:pPr>
            <w:r>
              <w:rPr>
                <w:rFonts w:hint="eastAsia" w:ascii="仿宋" w:hAnsi="仿宋" w:eastAsia="仿宋"/>
                <w:szCs w:val="21"/>
              </w:rPr>
              <w:t>学位</w:t>
            </w:r>
          </w:p>
        </w:tc>
        <w:tc>
          <w:tcPr>
            <w:tcW w:w="1354" w:type="dxa"/>
            <w:noWrap w:val="0"/>
            <w:vAlign w:val="center"/>
          </w:tcPr>
          <w:p w14:paraId="760F31AA">
            <w:pPr>
              <w:jc w:val="center"/>
              <w:rPr>
                <w:rFonts w:ascii="仿宋" w:hAnsi="仿宋" w:eastAsia="仿宋"/>
                <w:szCs w:val="21"/>
              </w:rPr>
            </w:pPr>
            <w:r>
              <w:rPr>
                <w:rFonts w:hint="eastAsia" w:ascii="仿宋" w:hAnsi="仿宋" w:eastAsia="仿宋"/>
                <w:szCs w:val="21"/>
              </w:rPr>
              <w:t>职  称</w:t>
            </w:r>
          </w:p>
        </w:tc>
        <w:tc>
          <w:tcPr>
            <w:tcW w:w="2994" w:type="dxa"/>
            <w:noWrap w:val="0"/>
            <w:vAlign w:val="center"/>
          </w:tcPr>
          <w:p w14:paraId="5F074D4E">
            <w:pPr>
              <w:jc w:val="center"/>
              <w:rPr>
                <w:rFonts w:ascii="仿宋" w:hAnsi="仿宋" w:eastAsia="仿宋"/>
                <w:szCs w:val="21"/>
              </w:rPr>
            </w:pPr>
            <w:r>
              <w:rPr>
                <w:rFonts w:hint="eastAsia" w:ascii="仿宋" w:hAnsi="仿宋" w:eastAsia="仿宋"/>
              </w:rPr>
              <w:t>单  位</w:t>
            </w:r>
          </w:p>
        </w:tc>
        <w:tc>
          <w:tcPr>
            <w:tcW w:w="3260" w:type="dxa"/>
            <w:noWrap w:val="0"/>
            <w:vAlign w:val="center"/>
          </w:tcPr>
          <w:p w14:paraId="45CC2308">
            <w:pPr>
              <w:jc w:val="center"/>
              <w:rPr>
                <w:rFonts w:ascii="仿宋" w:hAnsi="仿宋" w:eastAsia="仿宋"/>
                <w:szCs w:val="21"/>
              </w:rPr>
            </w:pPr>
            <w:r>
              <w:rPr>
                <w:rFonts w:hint="eastAsia" w:ascii="仿宋" w:hAnsi="仿宋" w:eastAsia="仿宋"/>
                <w:szCs w:val="21"/>
              </w:rPr>
              <w:t>承担工作</w:t>
            </w:r>
          </w:p>
        </w:tc>
      </w:tr>
      <w:tr w14:paraId="6EFD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D478EAB">
            <w:pPr>
              <w:jc w:val="center"/>
              <w:rPr>
                <w:rFonts w:hint="eastAsia" w:ascii="仿宋" w:hAnsi="仿宋" w:eastAsia="仿宋"/>
                <w:szCs w:val="21"/>
              </w:rPr>
            </w:pPr>
            <w:r>
              <w:rPr>
                <w:rFonts w:hint="eastAsia" w:ascii="仿宋" w:hAnsi="仿宋" w:eastAsia="仿宋"/>
                <w:szCs w:val="21"/>
              </w:rPr>
              <w:t>丁  樱</w:t>
            </w:r>
          </w:p>
        </w:tc>
        <w:tc>
          <w:tcPr>
            <w:tcW w:w="703" w:type="dxa"/>
            <w:noWrap w:val="0"/>
            <w:vAlign w:val="center"/>
          </w:tcPr>
          <w:p w14:paraId="044334E3">
            <w:pPr>
              <w:jc w:val="center"/>
              <w:rPr>
                <w:rFonts w:hint="eastAsia" w:ascii="仿宋" w:hAnsi="仿宋" w:eastAsia="仿宋"/>
                <w:szCs w:val="21"/>
              </w:rPr>
            </w:pPr>
            <w:r>
              <w:rPr>
                <w:rFonts w:hint="eastAsia" w:ascii="仿宋" w:hAnsi="仿宋" w:eastAsia="仿宋"/>
                <w:szCs w:val="21"/>
              </w:rPr>
              <w:t>学士</w:t>
            </w:r>
          </w:p>
        </w:tc>
        <w:tc>
          <w:tcPr>
            <w:tcW w:w="1354" w:type="dxa"/>
            <w:noWrap w:val="0"/>
            <w:vAlign w:val="center"/>
          </w:tcPr>
          <w:p w14:paraId="4EB99476">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1E57821F">
            <w:pPr>
              <w:jc w:val="center"/>
              <w:rPr>
                <w:rFonts w:hint="eastAsia" w:ascii="仿宋" w:hAnsi="仿宋" w:eastAsia="仿宋"/>
                <w:szCs w:val="21"/>
              </w:rPr>
            </w:pPr>
            <w:r>
              <w:rPr>
                <w:rFonts w:hint="eastAsia" w:ascii="仿宋" w:hAnsi="仿宋" w:eastAsia="仿宋"/>
                <w:szCs w:val="21"/>
              </w:rPr>
              <w:t>河南中医药大学</w:t>
            </w:r>
          </w:p>
          <w:p w14:paraId="4B22D2D2">
            <w:pPr>
              <w:jc w:val="center"/>
              <w:rPr>
                <w:rFonts w:hint="eastAsia" w:ascii="仿宋" w:hAnsi="仿宋" w:eastAsia="仿宋"/>
              </w:rPr>
            </w:pPr>
            <w:r>
              <w:rPr>
                <w:rFonts w:hint="eastAsia" w:ascii="仿宋" w:hAnsi="仿宋" w:eastAsia="仿宋"/>
                <w:szCs w:val="21"/>
              </w:rPr>
              <w:t>第一附属医院儿科医院</w:t>
            </w:r>
          </w:p>
        </w:tc>
        <w:tc>
          <w:tcPr>
            <w:tcW w:w="3260" w:type="dxa"/>
            <w:noWrap w:val="0"/>
            <w:vAlign w:val="center"/>
          </w:tcPr>
          <w:p w14:paraId="72F745A4">
            <w:pPr>
              <w:jc w:val="center"/>
              <w:rPr>
                <w:rFonts w:hint="eastAsia" w:ascii="仿宋" w:hAnsi="仿宋" w:eastAsia="仿宋"/>
                <w:szCs w:val="21"/>
              </w:rPr>
            </w:pPr>
            <w:r>
              <w:rPr>
                <w:rFonts w:hint="eastAsia" w:ascii="仿宋" w:hAnsi="仿宋" w:eastAsia="仿宋"/>
                <w:szCs w:val="21"/>
              </w:rPr>
              <w:t>指导标准制订，参加专家论证会。</w:t>
            </w:r>
          </w:p>
        </w:tc>
      </w:tr>
      <w:tr w14:paraId="13BE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EB3B93D">
            <w:pPr>
              <w:jc w:val="center"/>
              <w:rPr>
                <w:rFonts w:hint="eastAsia" w:ascii="仿宋" w:hAnsi="仿宋" w:eastAsia="仿宋"/>
                <w:szCs w:val="21"/>
              </w:rPr>
            </w:pPr>
            <w:r>
              <w:rPr>
                <w:rFonts w:hint="eastAsia" w:ascii="仿宋" w:hAnsi="仿宋" w:eastAsia="仿宋"/>
                <w:szCs w:val="21"/>
              </w:rPr>
              <w:t>万力生</w:t>
            </w:r>
          </w:p>
        </w:tc>
        <w:tc>
          <w:tcPr>
            <w:tcW w:w="703" w:type="dxa"/>
            <w:noWrap w:val="0"/>
            <w:vAlign w:val="center"/>
          </w:tcPr>
          <w:p w14:paraId="3979A436">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5E076F3C">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1D8FE775">
            <w:pPr>
              <w:jc w:val="center"/>
              <w:rPr>
                <w:rFonts w:hint="eastAsia" w:ascii="仿宋" w:hAnsi="仿宋" w:eastAsia="仿宋"/>
              </w:rPr>
            </w:pPr>
            <w:r>
              <w:rPr>
                <w:rFonts w:hint="eastAsia" w:ascii="仿宋" w:hAnsi="仿宋" w:eastAsia="仿宋"/>
              </w:rPr>
              <w:t>深圳市中医院</w:t>
            </w:r>
          </w:p>
        </w:tc>
        <w:tc>
          <w:tcPr>
            <w:tcW w:w="3260" w:type="dxa"/>
            <w:noWrap w:val="0"/>
            <w:vAlign w:val="center"/>
          </w:tcPr>
          <w:p w14:paraId="2012A991">
            <w:pPr>
              <w:jc w:val="center"/>
              <w:rPr>
                <w:rFonts w:hint="eastAsia" w:ascii="仿宋" w:hAnsi="仿宋" w:eastAsia="仿宋"/>
                <w:szCs w:val="21"/>
              </w:rPr>
            </w:pPr>
            <w:r>
              <w:rPr>
                <w:rFonts w:hint="eastAsia" w:ascii="仿宋" w:hAnsi="仿宋" w:eastAsia="仿宋"/>
                <w:szCs w:val="21"/>
              </w:rPr>
              <w:t>指导标准制订，参加专家论证会。</w:t>
            </w:r>
          </w:p>
        </w:tc>
      </w:tr>
      <w:tr w14:paraId="3A315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2C8370A">
            <w:pPr>
              <w:jc w:val="center"/>
              <w:rPr>
                <w:rFonts w:hint="eastAsia" w:ascii="仿宋" w:hAnsi="仿宋" w:eastAsia="仿宋"/>
                <w:szCs w:val="21"/>
              </w:rPr>
            </w:pPr>
            <w:r>
              <w:rPr>
                <w:rFonts w:hint="eastAsia" w:ascii="仿宋" w:hAnsi="仿宋" w:eastAsia="仿宋"/>
                <w:szCs w:val="21"/>
              </w:rPr>
              <w:t>马  融</w:t>
            </w:r>
          </w:p>
        </w:tc>
        <w:tc>
          <w:tcPr>
            <w:tcW w:w="703" w:type="dxa"/>
            <w:noWrap w:val="0"/>
            <w:vAlign w:val="center"/>
          </w:tcPr>
          <w:p w14:paraId="3E30957E">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2489AD9E">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259B7B03">
            <w:pPr>
              <w:jc w:val="center"/>
              <w:rPr>
                <w:rFonts w:hint="eastAsia" w:ascii="仿宋" w:hAnsi="仿宋" w:eastAsia="仿宋"/>
              </w:rPr>
            </w:pPr>
            <w:r>
              <w:rPr>
                <w:rFonts w:hint="eastAsia" w:ascii="仿宋" w:hAnsi="仿宋" w:eastAsia="仿宋"/>
              </w:rPr>
              <w:t>天津中医药大学</w:t>
            </w:r>
          </w:p>
          <w:p w14:paraId="70AE8F54">
            <w:pPr>
              <w:jc w:val="center"/>
              <w:rPr>
                <w:rFonts w:hint="eastAsia" w:ascii="仿宋" w:hAnsi="仿宋" w:eastAsia="仿宋"/>
              </w:rPr>
            </w:pPr>
            <w:r>
              <w:rPr>
                <w:rFonts w:hint="eastAsia" w:ascii="仿宋" w:hAnsi="仿宋" w:eastAsia="仿宋"/>
              </w:rPr>
              <w:t>第一附属医院</w:t>
            </w:r>
          </w:p>
        </w:tc>
        <w:tc>
          <w:tcPr>
            <w:tcW w:w="3260" w:type="dxa"/>
            <w:noWrap w:val="0"/>
            <w:vAlign w:val="center"/>
          </w:tcPr>
          <w:p w14:paraId="348B89D8">
            <w:pPr>
              <w:jc w:val="center"/>
              <w:rPr>
                <w:rFonts w:hint="eastAsia" w:ascii="仿宋" w:hAnsi="仿宋" w:eastAsia="仿宋"/>
                <w:szCs w:val="21"/>
              </w:rPr>
            </w:pPr>
            <w:r>
              <w:rPr>
                <w:rFonts w:hint="eastAsia" w:ascii="仿宋" w:hAnsi="仿宋" w:eastAsia="仿宋"/>
                <w:szCs w:val="21"/>
              </w:rPr>
              <w:t>指导标准制订，参加专家论证会。</w:t>
            </w:r>
          </w:p>
        </w:tc>
      </w:tr>
      <w:tr w14:paraId="1054E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D2A2779">
            <w:pPr>
              <w:jc w:val="center"/>
              <w:rPr>
                <w:rFonts w:hint="eastAsia" w:ascii="仿宋" w:hAnsi="仿宋" w:eastAsia="仿宋"/>
                <w:szCs w:val="21"/>
              </w:rPr>
            </w:pPr>
            <w:r>
              <w:rPr>
                <w:rFonts w:hint="eastAsia" w:ascii="仿宋" w:hAnsi="仿宋" w:eastAsia="仿宋"/>
                <w:szCs w:val="21"/>
              </w:rPr>
              <w:t>王有鹏</w:t>
            </w:r>
          </w:p>
        </w:tc>
        <w:tc>
          <w:tcPr>
            <w:tcW w:w="703" w:type="dxa"/>
            <w:noWrap w:val="0"/>
            <w:vAlign w:val="center"/>
          </w:tcPr>
          <w:p w14:paraId="2F5E1656">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77FDDAE1">
            <w:pPr>
              <w:jc w:val="center"/>
              <w:rPr>
                <w:rFonts w:hint="eastAsia" w:ascii="仿宋" w:hAnsi="仿宋" w:eastAsia="仿宋"/>
                <w:szCs w:val="21"/>
              </w:rPr>
            </w:pPr>
            <w:r>
              <w:rPr>
                <w:rFonts w:hint="eastAsia" w:ascii="仿宋" w:hAnsi="仿宋" w:eastAsia="仿宋"/>
                <w:szCs w:val="21"/>
              </w:rPr>
              <w:t>教授、主任医师，博导</w:t>
            </w:r>
          </w:p>
        </w:tc>
        <w:tc>
          <w:tcPr>
            <w:tcW w:w="2994" w:type="dxa"/>
            <w:noWrap w:val="0"/>
            <w:vAlign w:val="center"/>
          </w:tcPr>
          <w:p w14:paraId="35EE979B">
            <w:pPr>
              <w:jc w:val="center"/>
              <w:rPr>
                <w:rFonts w:hint="eastAsia" w:ascii="仿宋" w:hAnsi="仿宋" w:eastAsia="仿宋"/>
              </w:rPr>
            </w:pPr>
            <w:r>
              <w:rPr>
                <w:rFonts w:hint="eastAsia" w:ascii="仿宋" w:hAnsi="仿宋" w:eastAsia="仿宋"/>
              </w:rPr>
              <w:t>黑龙江中医药大学</w:t>
            </w:r>
          </w:p>
          <w:p w14:paraId="332DEB65">
            <w:pPr>
              <w:jc w:val="center"/>
              <w:rPr>
                <w:rFonts w:hint="eastAsia" w:ascii="仿宋" w:hAnsi="仿宋" w:eastAsia="仿宋"/>
              </w:rPr>
            </w:pPr>
            <w:r>
              <w:rPr>
                <w:rFonts w:hint="eastAsia" w:ascii="仿宋" w:hAnsi="仿宋" w:eastAsia="仿宋"/>
              </w:rPr>
              <w:t>附属第二医院</w:t>
            </w:r>
          </w:p>
        </w:tc>
        <w:tc>
          <w:tcPr>
            <w:tcW w:w="3260" w:type="dxa"/>
            <w:noWrap w:val="0"/>
            <w:vAlign w:val="center"/>
          </w:tcPr>
          <w:p w14:paraId="4D274246">
            <w:pPr>
              <w:jc w:val="center"/>
              <w:rPr>
                <w:rFonts w:hint="eastAsia" w:ascii="仿宋" w:hAnsi="仿宋" w:eastAsia="仿宋"/>
                <w:szCs w:val="21"/>
              </w:rPr>
            </w:pPr>
            <w:r>
              <w:rPr>
                <w:rFonts w:hint="eastAsia" w:ascii="仿宋" w:hAnsi="仿宋" w:eastAsia="仿宋"/>
                <w:szCs w:val="21"/>
              </w:rPr>
              <w:t>指导标准制订，参加专家论证会。</w:t>
            </w:r>
          </w:p>
        </w:tc>
      </w:tr>
      <w:tr w14:paraId="5D9B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DBAA064">
            <w:pPr>
              <w:jc w:val="center"/>
              <w:rPr>
                <w:rFonts w:hint="eastAsia" w:ascii="仿宋" w:hAnsi="仿宋" w:eastAsia="仿宋"/>
                <w:szCs w:val="21"/>
              </w:rPr>
            </w:pPr>
            <w:r>
              <w:rPr>
                <w:rFonts w:hint="eastAsia" w:ascii="仿宋" w:hAnsi="仿宋" w:eastAsia="仿宋"/>
                <w:szCs w:val="21"/>
              </w:rPr>
              <w:t>王丽丽</w:t>
            </w:r>
          </w:p>
        </w:tc>
        <w:tc>
          <w:tcPr>
            <w:tcW w:w="703" w:type="dxa"/>
            <w:noWrap w:val="0"/>
            <w:vAlign w:val="center"/>
          </w:tcPr>
          <w:p w14:paraId="64CEFA1F">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598244C9">
            <w:pPr>
              <w:jc w:val="center"/>
              <w:rPr>
                <w:rFonts w:ascii="仿宋" w:hAnsi="仿宋" w:eastAsia="仿宋"/>
                <w:szCs w:val="21"/>
              </w:rPr>
            </w:pPr>
            <w:r>
              <w:rPr>
                <w:rFonts w:hint="eastAsia" w:ascii="仿宋" w:hAnsi="仿宋" w:eastAsia="仿宋"/>
                <w:szCs w:val="21"/>
              </w:rPr>
              <w:t>副编审</w:t>
            </w:r>
          </w:p>
        </w:tc>
        <w:tc>
          <w:tcPr>
            <w:tcW w:w="2994" w:type="dxa"/>
            <w:noWrap w:val="0"/>
            <w:vAlign w:val="center"/>
          </w:tcPr>
          <w:p w14:paraId="62AF3B8B">
            <w:pPr>
              <w:jc w:val="center"/>
              <w:rPr>
                <w:rFonts w:hint="eastAsia" w:ascii="仿宋" w:hAnsi="仿宋" w:eastAsia="仿宋" w:cs="Calibri"/>
                <w:szCs w:val="21"/>
              </w:rPr>
            </w:pPr>
            <w:r>
              <w:rPr>
                <w:rFonts w:hint="eastAsia" w:ascii="仿宋" w:hAnsi="仿宋" w:eastAsia="仿宋" w:cs="Calibri"/>
                <w:szCs w:val="21"/>
              </w:rPr>
              <w:t>世界中医药学会联合会</w:t>
            </w:r>
          </w:p>
          <w:p w14:paraId="1AA97116">
            <w:pPr>
              <w:jc w:val="center"/>
              <w:rPr>
                <w:rFonts w:hint="eastAsia" w:ascii="仿宋" w:hAnsi="仿宋" w:eastAsia="仿宋"/>
              </w:rPr>
            </w:pPr>
            <w:r>
              <w:rPr>
                <w:rFonts w:hint="eastAsia" w:ascii="仿宋" w:hAnsi="仿宋" w:eastAsia="仿宋" w:cs="Calibri"/>
                <w:szCs w:val="21"/>
              </w:rPr>
              <w:t>国际标准部</w:t>
            </w:r>
          </w:p>
        </w:tc>
        <w:tc>
          <w:tcPr>
            <w:tcW w:w="3260" w:type="dxa"/>
            <w:noWrap w:val="0"/>
            <w:vAlign w:val="center"/>
          </w:tcPr>
          <w:p w14:paraId="0ED38724">
            <w:pPr>
              <w:jc w:val="center"/>
              <w:rPr>
                <w:rFonts w:hint="eastAsia" w:ascii="仿宋" w:hAnsi="仿宋" w:eastAsia="仿宋"/>
                <w:szCs w:val="21"/>
              </w:rPr>
            </w:pPr>
            <w:r>
              <w:rPr>
                <w:rFonts w:hint="eastAsia" w:ascii="仿宋" w:hAnsi="仿宋" w:eastAsia="仿宋"/>
                <w:szCs w:val="21"/>
              </w:rPr>
              <w:t>指导标准制订，参加专家论证会。</w:t>
            </w:r>
          </w:p>
        </w:tc>
      </w:tr>
      <w:tr w14:paraId="59290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6CA5E5D">
            <w:pPr>
              <w:jc w:val="center"/>
              <w:rPr>
                <w:rFonts w:hint="eastAsia" w:ascii="仿宋" w:hAnsi="仿宋" w:eastAsia="仿宋"/>
                <w:szCs w:val="21"/>
              </w:rPr>
            </w:pPr>
            <w:r>
              <w:rPr>
                <w:rFonts w:hint="eastAsia" w:ascii="仿宋" w:hAnsi="仿宋" w:eastAsia="仿宋"/>
                <w:szCs w:val="21"/>
              </w:rPr>
              <w:t>王素梅</w:t>
            </w:r>
          </w:p>
        </w:tc>
        <w:tc>
          <w:tcPr>
            <w:tcW w:w="703" w:type="dxa"/>
            <w:noWrap w:val="0"/>
            <w:vAlign w:val="center"/>
          </w:tcPr>
          <w:p w14:paraId="6855FC7A">
            <w:pPr>
              <w:jc w:val="center"/>
              <w:rPr>
                <w:rFonts w:hint="eastAsia" w:ascii="仿宋" w:hAnsi="仿宋" w:eastAsia="仿宋"/>
                <w:szCs w:val="21"/>
              </w:rPr>
            </w:pPr>
            <w:r>
              <w:rPr>
                <w:rFonts w:hint="eastAsia" w:ascii="仿宋" w:hAnsi="仿宋" w:eastAsia="仿宋"/>
                <w:szCs w:val="21"/>
              </w:rPr>
              <w:t>学士</w:t>
            </w:r>
          </w:p>
        </w:tc>
        <w:tc>
          <w:tcPr>
            <w:tcW w:w="1354" w:type="dxa"/>
            <w:noWrap w:val="0"/>
            <w:vAlign w:val="center"/>
          </w:tcPr>
          <w:p w14:paraId="428D0A54">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287E3D5A">
            <w:pPr>
              <w:jc w:val="center"/>
              <w:rPr>
                <w:rFonts w:hint="eastAsia" w:ascii="仿宋" w:hAnsi="仿宋" w:eastAsia="仿宋"/>
              </w:rPr>
            </w:pPr>
            <w:r>
              <w:rPr>
                <w:rFonts w:hint="eastAsia" w:ascii="仿宋" w:hAnsi="仿宋" w:eastAsia="仿宋"/>
                <w:szCs w:val="21"/>
              </w:rPr>
              <w:t>北京中医药大学东方医院</w:t>
            </w:r>
          </w:p>
        </w:tc>
        <w:tc>
          <w:tcPr>
            <w:tcW w:w="3260" w:type="dxa"/>
            <w:noWrap w:val="0"/>
            <w:vAlign w:val="center"/>
          </w:tcPr>
          <w:p w14:paraId="18DFDACC">
            <w:pPr>
              <w:jc w:val="center"/>
              <w:rPr>
                <w:rFonts w:hint="eastAsia" w:ascii="仿宋" w:hAnsi="仿宋" w:eastAsia="仿宋"/>
                <w:szCs w:val="21"/>
              </w:rPr>
            </w:pPr>
            <w:r>
              <w:rPr>
                <w:rFonts w:hint="eastAsia" w:ascii="仿宋" w:hAnsi="仿宋" w:eastAsia="仿宋"/>
                <w:szCs w:val="21"/>
              </w:rPr>
              <w:t>指导标准制订，参加专家论证会。</w:t>
            </w:r>
          </w:p>
        </w:tc>
      </w:tr>
      <w:tr w14:paraId="64C0E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7371ABB">
            <w:pPr>
              <w:jc w:val="center"/>
              <w:rPr>
                <w:rFonts w:hint="eastAsia" w:ascii="仿宋" w:hAnsi="仿宋" w:eastAsia="仿宋"/>
                <w:szCs w:val="21"/>
              </w:rPr>
            </w:pPr>
            <w:r>
              <w:rPr>
                <w:rFonts w:hint="eastAsia" w:ascii="仿宋" w:hAnsi="仿宋" w:eastAsia="仿宋"/>
                <w:szCs w:val="21"/>
              </w:rPr>
              <w:t>史正刚</w:t>
            </w:r>
          </w:p>
        </w:tc>
        <w:tc>
          <w:tcPr>
            <w:tcW w:w="703" w:type="dxa"/>
            <w:noWrap w:val="0"/>
            <w:vAlign w:val="center"/>
          </w:tcPr>
          <w:p w14:paraId="1A420641">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5EE08172">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56C20BFA">
            <w:pPr>
              <w:jc w:val="center"/>
              <w:rPr>
                <w:rFonts w:hint="eastAsia" w:ascii="仿宋" w:hAnsi="仿宋" w:eastAsia="仿宋"/>
              </w:rPr>
            </w:pPr>
            <w:r>
              <w:rPr>
                <w:rFonts w:hint="eastAsia" w:ascii="仿宋" w:hAnsi="仿宋" w:eastAsia="仿宋"/>
              </w:rPr>
              <w:t>甘肃中医药大学</w:t>
            </w:r>
          </w:p>
        </w:tc>
        <w:tc>
          <w:tcPr>
            <w:tcW w:w="3260" w:type="dxa"/>
            <w:noWrap w:val="0"/>
            <w:vAlign w:val="center"/>
          </w:tcPr>
          <w:p w14:paraId="6855B40D">
            <w:pPr>
              <w:jc w:val="center"/>
              <w:rPr>
                <w:rFonts w:hint="eastAsia" w:ascii="仿宋" w:hAnsi="仿宋" w:eastAsia="仿宋"/>
                <w:szCs w:val="21"/>
              </w:rPr>
            </w:pPr>
            <w:r>
              <w:rPr>
                <w:rFonts w:hint="eastAsia" w:ascii="仿宋" w:hAnsi="仿宋" w:eastAsia="仿宋"/>
                <w:szCs w:val="21"/>
              </w:rPr>
              <w:t>指导标准制订，参加专家论证会。</w:t>
            </w:r>
          </w:p>
        </w:tc>
      </w:tr>
      <w:tr w14:paraId="34E2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C873C25">
            <w:pPr>
              <w:jc w:val="center"/>
              <w:rPr>
                <w:rFonts w:hint="eastAsia" w:ascii="仿宋" w:hAnsi="仿宋" w:eastAsia="仿宋"/>
                <w:szCs w:val="21"/>
              </w:rPr>
            </w:pPr>
            <w:r>
              <w:rPr>
                <w:rFonts w:hint="eastAsia" w:ascii="仿宋" w:hAnsi="仿宋" w:eastAsia="仿宋"/>
                <w:szCs w:val="21"/>
              </w:rPr>
              <w:t>刘建忠</w:t>
            </w:r>
          </w:p>
        </w:tc>
        <w:tc>
          <w:tcPr>
            <w:tcW w:w="703" w:type="dxa"/>
            <w:noWrap w:val="0"/>
            <w:vAlign w:val="center"/>
          </w:tcPr>
          <w:p w14:paraId="6142AE66">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0C28D398">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129D4E64">
            <w:pPr>
              <w:jc w:val="center"/>
              <w:rPr>
                <w:rFonts w:hint="eastAsia" w:ascii="仿宋" w:hAnsi="仿宋" w:eastAsia="仿宋"/>
              </w:rPr>
            </w:pPr>
            <w:r>
              <w:rPr>
                <w:rFonts w:hint="eastAsia" w:ascii="仿宋" w:hAnsi="仿宋" w:eastAsia="仿宋"/>
              </w:rPr>
              <w:t>湖北中医药大学</w:t>
            </w:r>
          </w:p>
        </w:tc>
        <w:tc>
          <w:tcPr>
            <w:tcW w:w="3260" w:type="dxa"/>
            <w:noWrap w:val="0"/>
            <w:vAlign w:val="center"/>
          </w:tcPr>
          <w:p w14:paraId="73225C1F">
            <w:pPr>
              <w:jc w:val="center"/>
              <w:rPr>
                <w:rFonts w:hint="eastAsia" w:ascii="仿宋" w:hAnsi="仿宋" w:eastAsia="仿宋"/>
                <w:szCs w:val="21"/>
              </w:rPr>
            </w:pPr>
            <w:r>
              <w:rPr>
                <w:rFonts w:hint="eastAsia" w:ascii="仿宋" w:hAnsi="仿宋" w:eastAsia="仿宋"/>
                <w:szCs w:val="21"/>
              </w:rPr>
              <w:t>指导标准制订，参加专家论证会。</w:t>
            </w:r>
          </w:p>
        </w:tc>
      </w:tr>
      <w:tr w14:paraId="25B3D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4567EAFF">
            <w:pPr>
              <w:jc w:val="center"/>
              <w:rPr>
                <w:rFonts w:hint="eastAsia" w:ascii="仿宋" w:hAnsi="仿宋" w:eastAsia="仿宋"/>
                <w:szCs w:val="21"/>
              </w:rPr>
            </w:pPr>
            <w:r>
              <w:rPr>
                <w:rFonts w:hint="eastAsia" w:ascii="仿宋" w:hAnsi="仿宋" w:eastAsia="仿宋"/>
                <w:szCs w:val="21"/>
              </w:rPr>
              <w:t>张葆青</w:t>
            </w:r>
          </w:p>
        </w:tc>
        <w:tc>
          <w:tcPr>
            <w:tcW w:w="703" w:type="dxa"/>
            <w:noWrap w:val="0"/>
            <w:vAlign w:val="center"/>
          </w:tcPr>
          <w:p w14:paraId="52D72297">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4202B9BE">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287B4659">
            <w:pPr>
              <w:jc w:val="center"/>
              <w:rPr>
                <w:rFonts w:hint="eastAsia" w:ascii="仿宋" w:hAnsi="仿宋" w:eastAsia="仿宋"/>
              </w:rPr>
            </w:pPr>
            <w:r>
              <w:rPr>
                <w:rFonts w:hint="eastAsia" w:ascii="仿宋" w:hAnsi="仿宋" w:eastAsia="仿宋"/>
              </w:rPr>
              <w:t>山东中医药大学附属医院</w:t>
            </w:r>
          </w:p>
        </w:tc>
        <w:tc>
          <w:tcPr>
            <w:tcW w:w="3260" w:type="dxa"/>
            <w:noWrap w:val="0"/>
            <w:vAlign w:val="center"/>
          </w:tcPr>
          <w:p w14:paraId="5654F975">
            <w:pPr>
              <w:jc w:val="center"/>
              <w:rPr>
                <w:rFonts w:hint="eastAsia" w:ascii="仿宋" w:hAnsi="仿宋" w:eastAsia="仿宋"/>
                <w:szCs w:val="21"/>
              </w:rPr>
            </w:pPr>
            <w:r>
              <w:rPr>
                <w:rFonts w:hint="eastAsia" w:ascii="仿宋" w:hAnsi="仿宋" w:eastAsia="仿宋"/>
                <w:szCs w:val="21"/>
              </w:rPr>
              <w:t>指导标准制订，参加专家论证会。</w:t>
            </w:r>
          </w:p>
        </w:tc>
      </w:tr>
      <w:tr w14:paraId="72A60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AE7093D">
            <w:pPr>
              <w:jc w:val="center"/>
              <w:rPr>
                <w:rFonts w:hint="eastAsia" w:ascii="仿宋" w:hAnsi="仿宋" w:eastAsia="仿宋"/>
                <w:szCs w:val="21"/>
              </w:rPr>
            </w:pPr>
            <w:r>
              <w:rPr>
                <w:rFonts w:hint="eastAsia" w:ascii="仿宋" w:hAnsi="仿宋" w:eastAsia="仿宋"/>
                <w:szCs w:val="21"/>
              </w:rPr>
              <w:t>俞  建</w:t>
            </w:r>
          </w:p>
        </w:tc>
        <w:tc>
          <w:tcPr>
            <w:tcW w:w="703" w:type="dxa"/>
            <w:noWrap w:val="0"/>
            <w:vAlign w:val="center"/>
          </w:tcPr>
          <w:p w14:paraId="3DDA5215">
            <w:pPr>
              <w:jc w:val="center"/>
              <w:rPr>
                <w:rFonts w:hint="eastAsia" w:ascii="仿宋" w:hAnsi="仿宋" w:eastAsia="仿宋"/>
                <w:szCs w:val="21"/>
              </w:rPr>
            </w:pPr>
            <w:r>
              <w:rPr>
                <w:rFonts w:hint="eastAsia" w:ascii="仿宋" w:hAnsi="仿宋" w:eastAsia="仿宋"/>
                <w:szCs w:val="21"/>
              </w:rPr>
              <w:t>博士</w:t>
            </w:r>
          </w:p>
        </w:tc>
        <w:tc>
          <w:tcPr>
            <w:tcW w:w="1354" w:type="dxa"/>
            <w:noWrap w:val="0"/>
            <w:vAlign w:val="center"/>
          </w:tcPr>
          <w:p w14:paraId="354D3421">
            <w:pPr>
              <w:jc w:val="center"/>
              <w:rPr>
                <w:rFonts w:hint="eastAsia" w:ascii="仿宋" w:hAnsi="仿宋" w:eastAsia="仿宋"/>
                <w:szCs w:val="21"/>
              </w:rPr>
            </w:pPr>
            <w:r>
              <w:rPr>
                <w:rFonts w:hint="eastAsia" w:ascii="仿宋" w:hAnsi="仿宋" w:eastAsia="仿宋"/>
                <w:kern w:val="0"/>
                <w:szCs w:val="21"/>
              </w:rPr>
              <w:t>教授、主任医师，硕导</w:t>
            </w:r>
          </w:p>
        </w:tc>
        <w:tc>
          <w:tcPr>
            <w:tcW w:w="2994" w:type="dxa"/>
            <w:noWrap w:val="0"/>
            <w:vAlign w:val="center"/>
          </w:tcPr>
          <w:p w14:paraId="551E5C89">
            <w:pPr>
              <w:jc w:val="center"/>
              <w:rPr>
                <w:rFonts w:hint="eastAsia" w:ascii="仿宋" w:hAnsi="仿宋" w:eastAsia="仿宋"/>
              </w:rPr>
            </w:pPr>
            <w:r>
              <w:rPr>
                <w:rFonts w:hint="eastAsia" w:ascii="仿宋" w:hAnsi="仿宋" w:eastAsia="仿宋"/>
                <w:szCs w:val="21"/>
              </w:rPr>
              <w:t>复旦大学附属儿科医院</w:t>
            </w:r>
          </w:p>
        </w:tc>
        <w:tc>
          <w:tcPr>
            <w:tcW w:w="3260" w:type="dxa"/>
            <w:noWrap w:val="0"/>
            <w:vAlign w:val="center"/>
          </w:tcPr>
          <w:p w14:paraId="510EE759">
            <w:pPr>
              <w:jc w:val="center"/>
              <w:rPr>
                <w:rFonts w:hint="eastAsia" w:ascii="仿宋" w:hAnsi="仿宋" w:eastAsia="仿宋"/>
                <w:szCs w:val="21"/>
              </w:rPr>
            </w:pPr>
            <w:r>
              <w:rPr>
                <w:rFonts w:hint="eastAsia" w:ascii="仿宋" w:hAnsi="仿宋" w:eastAsia="仿宋"/>
                <w:szCs w:val="21"/>
              </w:rPr>
              <w:t>指导标准制订，参加专家论证会。</w:t>
            </w:r>
          </w:p>
        </w:tc>
      </w:tr>
      <w:tr w14:paraId="31CD6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8E96F7C">
            <w:pPr>
              <w:jc w:val="center"/>
              <w:rPr>
                <w:rFonts w:hint="eastAsia" w:ascii="仿宋" w:hAnsi="仿宋" w:eastAsia="仿宋"/>
                <w:szCs w:val="21"/>
              </w:rPr>
            </w:pPr>
            <w:r>
              <w:rPr>
                <w:rFonts w:hint="eastAsia" w:ascii="仿宋" w:hAnsi="仿宋" w:eastAsia="仿宋"/>
                <w:szCs w:val="21"/>
              </w:rPr>
              <w:t>虞坚尔</w:t>
            </w:r>
          </w:p>
        </w:tc>
        <w:tc>
          <w:tcPr>
            <w:tcW w:w="703" w:type="dxa"/>
            <w:noWrap w:val="0"/>
            <w:vAlign w:val="center"/>
          </w:tcPr>
          <w:p w14:paraId="7CC4A52E">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0FB639DF">
            <w:pPr>
              <w:jc w:val="center"/>
              <w:rPr>
                <w:rFonts w:hint="eastAsia" w:ascii="仿宋" w:hAnsi="仿宋" w:eastAsia="仿宋"/>
                <w:szCs w:val="21"/>
              </w:rPr>
            </w:pPr>
            <w:r>
              <w:rPr>
                <w:rFonts w:hint="eastAsia" w:ascii="仿宋" w:hAnsi="仿宋" w:eastAsia="仿宋"/>
                <w:kern w:val="0"/>
                <w:szCs w:val="21"/>
              </w:rPr>
              <w:t>教授、主任医师，博导</w:t>
            </w:r>
          </w:p>
        </w:tc>
        <w:tc>
          <w:tcPr>
            <w:tcW w:w="2994" w:type="dxa"/>
            <w:noWrap w:val="0"/>
            <w:vAlign w:val="center"/>
          </w:tcPr>
          <w:p w14:paraId="29B6F4A2">
            <w:pPr>
              <w:jc w:val="center"/>
              <w:rPr>
                <w:rFonts w:hint="eastAsia" w:ascii="仿宋" w:hAnsi="仿宋" w:eastAsia="仿宋"/>
              </w:rPr>
            </w:pPr>
            <w:r>
              <w:rPr>
                <w:rFonts w:hint="eastAsia" w:ascii="仿宋" w:hAnsi="仿宋" w:eastAsia="仿宋"/>
              </w:rPr>
              <w:t>上海市中医医院</w:t>
            </w:r>
          </w:p>
        </w:tc>
        <w:tc>
          <w:tcPr>
            <w:tcW w:w="3260" w:type="dxa"/>
            <w:noWrap w:val="0"/>
            <w:vAlign w:val="center"/>
          </w:tcPr>
          <w:p w14:paraId="7245C85A">
            <w:pPr>
              <w:jc w:val="center"/>
              <w:rPr>
                <w:rFonts w:hint="eastAsia" w:ascii="仿宋" w:hAnsi="仿宋" w:eastAsia="仿宋"/>
                <w:szCs w:val="21"/>
              </w:rPr>
            </w:pPr>
            <w:r>
              <w:rPr>
                <w:rFonts w:hint="eastAsia" w:ascii="仿宋" w:hAnsi="仿宋" w:eastAsia="仿宋"/>
                <w:szCs w:val="21"/>
              </w:rPr>
              <w:t>指导标准制订，参加专家论证会。</w:t>
            </w:r>
          </w:p>
        </w:tc>
      </w:tr>
      <w:tr w14:paraId="28EB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8C9EC26">
            <w:pPr>
              <w:jc w:val="center"/>
              <w:rPr>
                <w:rFonts w:hint="eastAsia" w:ascii="仿宋" w:hAnsi="仿宋" w:eastAsia="仿宋"/>
                <w:szCs w:val="21"/>
              </w:rPr>
            </w:pPr>
            <w:r>
              <w:rPr>
                <w:rFonts w:hint="eastAsia" w:ascii="仿宋" w:hAnsi="仿宋" w:eastAsia="仿宋"/>
                <w:szCs w:val="21"/>
              </w:rPr>
              <w:t>熊  磊</w:t>
            </w:r>
          </w:p>
        </w:tc>
        <w:tc>
          <w:tcPr>
            <w:tcW w:w="703" w:type="dxa"/>
            <w:noWrap w:val="0"/>
            <w:vAlign w:val="center"/>
          </w:tcPr>
          <w:p w14:paraId="31E1B0E1">
            <w:pPr>
              <w:jc w:val="center"/>
              <w:rPr>
                <w:rFonts w:hint="eastAsia" w:ascii="仿宋" w:hAnsi="仿宋" w:eastAsia="仿宋"/>
                <w:szCs w:val="21"/>
              </w:rPr>
            </w:pPr>
            <w:r>
              <w:rPr>
                <w:rFonts w:hint="eastAsia" w:ascii="仿宋" w:hAnsi="仿宋" w:eastAsia="仿宋"/>
                <w:szCs w:val="21"/>
              </w:rPr>
              <w:t>硕士</w:t>
            </w:r>
          </w:p>
        </w:tc>
        <w:tc>
          <w:tcPr>
            <w:tcW w:w="1354" w:type="dxa"/>
            <w:noWrap w:val="0"/>
            <w:vAlign w:val="center"/>
          </w:tcPr>
          <w:p w14:paraId="1D5EFA94">
            <w:pPr>
              <w:jc w:val="center"/>
              <w:rPr>
                <w:rFonts w:hint="eastAsia" w:ascii="仿宋" w:hAnsi="仿宋" w:eastAsia="仿宋"/>
                <w:szCs w:val="21"/>
              </w:rPr>
            </w:pPr>
            <w:r>
              <w:rPr>
                <w:rFonts w:hint="eastAsia" w:ascii="仿宋" w:hAnsi="仿宋" w:eastAsia="仿宋"/>
                <w:kern w:val="0"/>
                <w:szCs w:val="21"/>
              </w:rPr>
              <w:t>教授，博导</w:t>
            </w:r>
          </w:p>
        </w:tc>
        <w:tc>
          <w:tcPr>
            <w:tcW w:w="2994" w:type="dxa"/>
            <w:noWrap w:val="0"/>
            <w:vAlign w:val="center"/>
          </w:tcPr>
          <w:p w14:paraId="799A2E25">
            <w:pPr>
              <w:jc w:val="center"/>
              <w:rPr>
                <w:rFonts w:hint="eastAsia" w:ascii="仿宋" w:hAnsi="仿宋" w:eastAsia="仿宋"/>
              </w:rPr>
            </w:pPr>
            <w:r>
              <w:rPr>
                <w:rFonts w:hint="eastAsia" w:ascii="仿宋" w:hAnsi="仿宋" w:eastAsia="仿宋"/>
              </w:rPr>
              <w:t>云南中医药大学第一附属医院</w:t>
            </w:r>
          </w:p>
        </w:tc>
        <w:tc>
          <w:tcPr>
            <w:tcW w:w="3260" w:type="dxa"/>
            <w:noWrap w:val="0"/>
            <w:vAlign w:val="center"/>
          </w:tcPr>
          <w:p w14:paraId="78BEA204">
            <w:pPr>
              <w:jc w:val="center"/>
              <w:rPr>
                <w:rFonts w:hint="eastAsia" w:ascii="仿宋" w:hAnsi="仿宋" w:eastAsia="仿宋"/>
                <w:szCs w:val="21"/>
              </w:rPr>
            </w:pPr>
            <w:r>
              <w:rPr>
                <w:rFonts w:hint="eastAsia" w:ascii="仿宋" w:hAnsi="仿宋" w:eastAsia="仿宋"/>
                <w:szCs w:val="21"/>
              </w:rPr>
              <w:t>指导标准制订，参加专家论证会。</w:t>
            </w:r>
          </w:p>
        </w:tc>
      </w:tr>
      <w:tr w14:paraId="3D0BC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8288642">
            <w:pPr>
              <w:jc w:val="center"/>
              <w:rPr>
                <w:rFonts w:hint="eastAsia" w:ascii="仿宋" w:hAnsi="仿宋" w:eastAsia="仿宋"/>
                <w:szCs w:val="21"/>
              </w:rPr>
            </w:pPr>
            <w:r>
              <w:rPr>
                <w:rFonts w:hint="eastAsia" w:ascii="仿宋" w:hAnsi="仿宋" w:eastAsia="仿宋"/>
                <w:szCs w:val="21"/>
              </w:rPr>
              <w:t>戴启刚</w:t>
            </w:r>
          </w:p>
        </w:tc>
        <w:tc>
          <w:tcPr>
            <w:tcW w:w="703" w:type="dxa"/>
            <w:noWrap w:val="0"/>
            <w:vAlign w:val="center"/>
          </w:tcPr>
          <w:p w14:paraId="44E5F906">
            <w:pPr>
              <w:jc w:val="center"/>
              <w:rPr>
                <w:rFonts w:hint="eastAsia" w:ascii="仿宋" w:hAnsi="仿宋" w:eastAsia="仿宋"/>
                <w:szCs w:val="21"/>
              </w:rPr>
            </w:pPr>
            <w:r>
              <w:rPr>
                <w:rFonts w:hint="eastAsia" w:ascii="仿宋" w:hAnsi="仿宋" w:eastAsia="仿宋"/>
              </w:rPr>
              <w:t>博士</w:t>
            </w:r>
          </w:p>
        </w:tc>
        <w:tc>
          <w:tcPr>
            <w:tcW w:w="1354" w:type="dxa"/>
            <w:noWrap w:val="0"/>
            <w:vAlign w:val="center"/>
          </w:tcPr>
          <w:p w14:paraId="52F30FF6">
            <w:pPr>
              <w:jc w:val="center"/>
              <w:rPr>
                <w:rFonts w:hint="eastAsia" w:ascii="仿宋" w:hAnsi="仿宋" w:eastAsia="仿宋"/>
                <w:szCs w:val="21"/>
              </w:rPr>
            </w:pPr>
            <w:r>
              <w:rPr>
                <w:rFonts w:hint="eastAsia" w:ascii="仿宋" w:hAnsi="仿宋" w:eastAsia="仿宋"/>
                <w:szCs w:val="21"/>
              </w:rPr>
              <w:t>副教授，主任医师，硕导</w:t>
            </w:r>
          </w:p>
        </w:tc>
        <w:tc>
          <w:tcPr>
            <w:tcW w:w="2994" w:type="dxa"/>
            <w:noWrap w:val="0"/>
            <w:vAlign w:val="center"/>
          </w:tcPr>
          <w:p w14:paraId="6F1EF6E0">
            <w:pPr>
              <w:jc w:val="center"/>
              <w:rPr>
                <w:rFonts w:hint="eastAsia" w:ascii="仿宋" w:hAnsi="仿宋" w:eastAsia="仿宋"/>
              </w:rPr>
            </w:pPr>
            <w:r>
              <w:rPr>
                <w:rFonts w:hint="eastAsia" w:ascii="仿宋" w:hAnsi="仿宋" w:eastAsia="仿宋"/>
                <w:szCs w:val="21"/>
              </w:rPr>
              <w:t>南京中医药大学</w:t>
            </w:r>
          </w:p>
        </w:tc>
        <w:tc>
          <w:tcPr>
            <w:tcW w:w="3260" w:type="dxa"/>
            <w:noWrap w:val="0"/>
            <w:vAlign w:val="center"/>
          </w:tcPr>
          <w:p w14:paraId="0365DA35">
            <w:pPr>
              <w:jc w:val="center"/>
              <w:rPr>
                <w:rFonts w:hint="eastAsia" w:ascii="仿宋" w:hAnsi="仿宋" w:eastAsia="仿宋"/>
                <w:szCs w:val="21"/>
              </w:rPr>
            </w:pPr>
            <w:r>
              <w:rPr>
                <w:rFonts w:hint="eastAsia" w:ascii="仿宋" w:hAnsi="仿宋" w:eastAsia="仿宋"/>
                <w:szCs w:val="21"/>
              </w:rPr>
              <w:t>指导标准制订，参加专家论证会。</w:t>
            </w:r>
          </w:p>
        </w:tc>
      </w:tr>
    </w:tbl>
    <w:p w14:paraId="299C1BE3">
      <w:pPr>
        <w:spacing w:line="400" w:lineRule="exact"/>
        <w:rPr>
          <w:rFonts w:hint="eastAsia" w:ascii="仿宋" w:hAnsi="仿宋" w:eastAsia="仿宋"/>
          <w:sz w:val="24"/>
          <w:szCs w:val="24"/>
        </w:rPr>
      </w:pPr>
      <w:r>
        <w:rPr>
          <w:rFonts w:hint="eastAsia" w:ascii="仿宋" w:hAnsi="仿宋" w:eastAsia="仿宋"/>
          <w:b/>
          <w:sz w:val="24"/>
          <w:szCs w:val="24"/>
        </w:rPr>
        <w:t>（四）主要工作过程</w:t>
      </w:r>
    </w:p>
    <w:p w14:paraId="01237DE0">
      <w:pPr>
        <w:spacing w:line="400" w:lineRule="exact"/>
        <w:ind w:firstLine="470" w:firstLineChars="196"/>
        <w:rPr>
          <w:rFonts w:ascii="仿宋" w:hAnsi="仿宋" w:eastAsia="仿宋"/>
          <w:sz w:val="24"/>
          <w:szCs w:val="24"/>
        </w:rPr>
      </w:pPr>
      <w:r>
        <w:rPr>
          <w:rFonts w:hint="eastAsia" w:ascii="仿宋" w:hAnsi="仿宋" w:eastAsia="仿宋"/>
          <w:sz w:val="24"/>
          <w:szCs w:val="24"/>
        </w:rPr>
        <w:t>本标准编制过程严格遵循世界中联SCM 1.1-2021《标准化工作导则  第1部分：标准制修订与发布》的要求，确保转化工作的科学性、规范性和国际适配性。本标准的编制过程历经以下阶段：</w:t>
      </w:r>
    </w:p>
    <w:p w14:paraId="1505B057">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准备阶段（2025年4月-9月）：2025年4月，项目组组建，由</w:t>
      </w:r>
      <w:r>
        <w:rPr>
          <w:rFonts w:hint="eastAsia" w:ascii="仿宋" w:hAnsi="仿宋" w:eastAsia="仿宋"/>
          <w:sz w:val="24"/>
          <w:szCs w:val="24"/>
          <w:lang w:val="en-US" w:eastAsia="zh-CN"/>
        </w:rPr>
        <w:t>李江全主任中医师</w:t>
      </w:r>
      <w:r>
        <w:rPr>
          <w:rFonts w:hint="eastAsia" w:ascii="仿宋" w:hAnsi="仿宋" w:eastAsia="仿宋"/>
          <w:sz w:val="24"/>
          <w:szCs w:val="24"/>
        </w:rPr>
        <w:t>担任负责人。按世界中联要求撰写立项申报书及草案，5月上报立项申报书和修改草案。世界中联接收立项书和草案，邀请专家评议，8月专家意见返回，项目组讨论回复，对不接受的意见说明理由。9月世界中联发布本项目立项通知。正式转化工作从9月下旬开始，按照世界中联标准制修订要求开展。</w:t>
      </w:r>
    </w:p>
    <w:p w14:paraId="5E6E2293">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文献研究（2025年9月-10月）：系统检索</w:t>
      </w:r>
      <w:r>
        <w:rPr>
          <w:rFonts w:hint="eastAsia" w:ascii="仿宋" w:hAnsi="仿宋" w:eastAsia="仿宋"/>
          <w:sz w:val="24"/>
          <w:szCs w:val="24"/>
          <w:lang w:eastAsia="zh-CN"/>
        </w:rPr>
        <w:t>海内外</w:t>
      </w:r>
      <w:r>
        <w:rPr>
          <w:rFonts w:hint="eastAsia" w:ascii="仿宋" w:hAnsi="仿宋" w:eastAsia="仿宋"/>
          <w:sz w:val="24"/>
          <w:szCs w:val="24"/>
        </w:rPr>
        <w:t>相关标准、指南及研究文献。检索范围包括WHO、ISO/TC249发布的国际标准，《中华人民共和国药典 2025版》，世界中医药学会联合会、中华中医药学会等发布的团体标准，Indian Pediatr等国外组织机构制定的指南以及PubMed、知网等数据库中的</w:t>
      </w:r>
      <w:r>
        <w:rPr>
          <w:rFonts w:hint="eastAsia" w:ascii="仿宋" w:hAnsi="仿宋" w:eastAsia="仿宋"/>
          <w:sz w:val="24"/>
          <w:szCs w:val="24"/>
          <w:lang w:val="en-US" w:eastAsia="zh-CN"/>
        </w:rPr>
        <w:t>小儿推拿疗法</w:t>
      </w:r>
      <w:r>
        <w:rPr>
          <w:rFonts w:hint="eastAsia" w:ascii="仿宋" w:hAnsi="仿宋" w:eastAsia="仿宋"/>
          <w:sz w:val="24"/>
          <w:szCs w:val="24"/>
        </w:rPr>
        <w:t>相关研究，检索关键词包括“Pediatric”、“Child”、“Infant”、“Newborn”、“Tuina”、“massage”等，并结合中医术语如“</w:t>
      </w:r>
      <w:r>
        <w:rPr>
          <w:rFonts w:hint="eastAsia" w:ascii="仿宋" w:hAnsi="仿宋" w:eastAsia="仿宋"/>
          <w:sz w:val="24"/>
          <w:szCs w:val="24"/>
          <w:lang w:val="en-US" w:eastAsia="zh-CN"/>
        </w:rPr>
        <w:t>穴位</w:t>
      </w:r>
      <w:r>
        <w:rPr>
          <w:rFonts w:hint="eastAsia" w:ascii="仿宋" w:hAnsi="仿宋" w:eastAsia="仿宋"/>
          <w:sz w:val="24"/>
          <w:szCs w:val="24"/>
        </w:rPr>
        <w:t>”</w:t>
      </w:r>
      <w:r>
        <w:rPr>
          <w:rFonts w:hint="eastAsia" w:ascii="仿宋" w:hAnsi="仿宋" w:eastAsia="仿宋"/>
          <w:sz w:val="24"/>
          <w:szCs w:val="24"/>
          <w:lang w:val="en-US" w:eastAsia="zh-CN"/>
        </w:rPr>
        <w:t>等</w:t>
      </w:r>
      <w:r>
        <w:rPr>
          <w:rFonts w:hint="eastAsia" w:ascii="仿宋" w:hAnsi="仿宋" w:eastAsia="仿宋"/>
          <w:sz w:val="24"/>
          <w:szCs w:val="24"/>
        </w:rPr>
        <w:t>。检索结果经初筛、复筛后纳入关键证据，支持标准条文的优化与对标，为专家问卷调查提供了证据基础。</w:t>
      </w:r>
    </w:p>
    <w:p w14:paraId="15AA4296">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专家问卷调查（2025年10月-11月）：开展专家问卷调查。在原国家标准基础上，结合文献检索证据，针对与原标准差异较大的条目（如术语定义、操作步骤、</w:t>
      </w:r>
      <w:r>
        <w:rPr>
          <w:rFonts w:hint="eastAsia" w:ascii="仿宋" w:hAnsi="仿宋" w:eastAsia="仿宋"/>
          <w:sz w:val="24"/>
          <w:szCs w:val="24"/>
          <w:lang w:val="en-US" w:eastAsia="zh-CN"/>
        </w:rPr>
        <w:t>注意事项</w:t>
      </w:r>
      <w:r>
        <w:rPr>
          <w:rFonts w:hint="eastAsia" w:ascii="仿宋" w:hAnsi="仿宋" w:eastAsia="仿宋"/>
          <w:sz w:val="24"/>
          <w:szCs w:val="24"/>
        </w:rPr>
        <w:t>等），编制专家调查问卷，涵盖术语定义、操作步骤与要求、小儿推拿常用手法、附录内容等3</w:t>
      </w:r>
      <w:r>
        <w:rPr>
          <w:rFonts w:hint="eastAsia" w:ascii="仿宋" w:hAnsi="仿宋" w:eastAsia="仿宋"/>
          <w:sz w:val="24"/>
          <w:szCs w:val="24"/>
          <w:lang w:val="en-US" w:eastAsia="zh-CN"/>
        </w:rPr>
        <w:t>3</w:t>
      </w:r>
      <w:r>
        <w:rPr>
          <w:rFonts w:hint="eastAsia" w:ascii="仿宋" w:hAnsi="仿宋" w:eastAsia="仿宋"/>
          <w:sz w:val="24"/>
          <w:szCs w:val="24"/>
        </w:rPr>
        <w:t>个核心条目。向30位海内外专家发放问卷，涵盖中国（包括中国澳门、中国台湾地区）、新加坡、马来西亚、澳大利亚、美国等</w:t>
      </w:r>
      <w:r>
        <w:rPr>
          <w:rFonts w:hint="eastAsia" w:ascii="仿宋" w:hAnsi="仿宋" w:eastAsia="仿宋"/>
          <w:sz w:val="24"/>
          <w:szCs w:val="24"/>
          <w:lang w:val="en-US" w:eastAsia="zh-CN"/>
        </w:rPr>
        <w:t>7</w:t>
      </w:r>
      <w:r>
        <w:rPr>
          <w:rFonts w:hint="eastAsia" w:ascii="仿宋" w:hAnsi="仿宋" w:eastAsia="仿宋"/>
          <w:sz w:val="24"/>
          <w:szCs w:val="24"/>
        </w:rPr>
        <w:t>个国家与地区，回收答卷30份，有效答卷数为27份</w:t>
      </w:r>
      <w:r>
        <w:rPr>
          <w:rFonts w:hint="eastAsia" w:ascii="仿宋" w:hAnsi="仿宋" w:eastAsia="仿宋"/>
          <w:sz w:val="24"/>
          <w:szCs w:val="24"/>
          <w:lang w:eastAsia="zh-CN"/>
        </w:rPr>
        <w:t>，</w:t>
      </w:r>
      <w:r>
        <w:rPr>
          <w:rFonts w:hint="eastAsia" w:ascii="仿宋" w:hAnsi="仿宋" w:eastAsia="仿宋"/>
          <w:sz w:val="24"/>
          <w:szCs w:val="24"/>
        </w:rPr>
        <w:t>专家积极系数达</w:t>
      </w:r>
      <w:r>
        <w:rPr>
          <w:rFonts w:hint="eastAsia" w:ascii="仿宋" w:hAnsi="仿宋" w:eastAsia="仿宋"/>
          <w:sz w:val="24"/>
          <w:szCs w:val="24"/>
          <w:lang w:val="en-US" w:eastAsia="zh-CN"/>
        </w:rPr>
        <w:t>90</w:t>
      </w:r>
      <w:r>
        <w:rPr>
          <w:rFonts w:hint="eastAsia" w:ascii="仿宋" w:hAnsi="仿宋" w:eastAsia="仿宋"/>
          <w:sz w:val="24"/>
          <w:szCs w:val="24"/>
        </w:rPr>
        <w:t>%。经统计分析，2</w:t>
      </w:r>
      <w:r>
        <w:rPr>
          <w:rFonts w:hint="eastAsia" w:ascii="仿宋" w:hAnsi="仿宋" w:eastAsia="仿宋"/>
          <w:sz w:val="24"/>
          <w:szCs w:val="24"/>
          <w:lang w:val="en-US" w:eastAsia="zh-CN"/>
        </w:rPr>
        <w:t>1</w:t>
      </w:r>
      <w:r>
        <w:rPr>
          <w:rFonts w:hint="eastAsia" w:ascii="仿宋" w:hAnsi="仿宋" w:eastAsia="仿宋"/>
          <w:sz w:val="24"/>
          <w:szCs w:val="24"/>
        </w:rPr>
        <w:t>项内容获超过50%专家支持形成共识，</w:t>
      </w:r>
      <w:r>
        <w:rPr>
          <w:rFonts w:hint="eastAsia" w:ascii="仿宋" w:hAnsi="仿宋" w:eastAsia="仿宋"/>
          <w:sz w:val="24"/>
          <w:szCs w:val="24"/>
          <w:lang w:val="en-US" w:eastAsia="zh-CN"/>
        </w:rPr>
        <w:t>12</w:t>
      </w:r>
      <w:r>
        <w:rPr>
          <w:rFonts w:hint="eastAsia" w:ascii="仿宋" w:hAnsi="仿宋" w:eastAsia="仿宋"/>
          <w:sz w:val="24"/>
          <w:szCs w:val="24"/>
        </w:rPr>
        <w:t>项存在争议条目及开放性问题提交专家论证会重点讨论。</w:t>
      </w:r>
    </w:p>
    <w:p w14:paraId="0CF087F1">
      <w:pPr>
        <w:spacing w:line="400" w:lineRule="exact"/>
        <w:ind w:firstLine="470" w:firstLineChars="196"/>
        <w:rPr>
          <w:rFonts w:ascii="仿宋" w:hAnsi="仿宋" w:eastAsia="仿宋"/>
          <w:sz w:val="24"/>
          <w:szCs w:val="24"/>
        </w:rPr>
      </w:pPr>
      <w:r>
        <w:rPr>
          <w:rFonts w:hint="eastAsia" w:ascii="仿宋" w:hAnsi="仿宋" w:eastAsia="仿宋"/>
          <w:sz w:val="24"/>
          <w:szCs w:val="24"/>
        </w:rPr>
        <w:t>专家论证会（2025年12月3日）：召开线上与线下结合的专家论证会，汇报本项目开展以来的工作情况，重点将专家调查答卷中未达成一致的条目汇总进行讨论。会议采取“会前函审+会中论证+会后书面确认”模式，提前将提请专家讨论的问题发送给专家，包括争议条目以及项目组的初步意见，对争议条目逐项评分并充分研讨，形成一致修改意见。同时论证了开放性问题，包括地方法规限制说明、特殊人群保护、术语国际化等关键问题。</w:t>
      </w:r>
    </w:p>
    <w:p w14:paraId="52E94286">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五项目组集体研讨协调会（2025年12月13日）：小儿内治给药方法、小儿常用外治法、小儿针灸疗法、小儿推拿疗法、小儿拔罐疗法五项目组主要成员共同参加会议，总结前期工作，汇总问卷专家、论证专家的意见，统一规范标准中共性的内容，讨论确定若干争议条目，议定下一步项目研究总结、需向世界中联国际标准部提交的材料及时间节点。</w:t>
      </w:r>
    </w:p>
    <w:p w14:paraId="79D3E81F">
      <w:pPr>
        <w:spacing w:line="400" w:lineRule="exact"/>
        <w:ind w:firstLine="470" w:firstLineChars="196"/>
        <w:rPr>
          <w:rFonts w:ascii="仿宋" w:hAnsi="仿宋" w:eastAsia="仿宋"/>
          <w:sz w:val="24"/>
          <w:szCs w:val="24"/>
        </w:rPr>
      </w:pPr>
      <w:r>
        <w:rPr>
          <w:rFonts w:hint="eastAsia" w:ascii="仿宋" w:hAnsi="仿宋" w:eastAsia="仿宋"/>
          <w:sz w:val="24"/>
          <w:szCs w:val="24"/>
        </w:rPr>
        <w:t>标准修订与完善（2025年12月13日-22日）：项目组根据文献检索、专家问卷、专家论证会、专家指导组、项目组会议等意见，对草案逐条修订，形成修改对照表。</w:t>
      </w:r>
    </w:p>
    <w:p w14:paraId="476D08AB">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编制说明撰写与上报（2025年12月22日-</w:t>
      </w:r>
      <w:r>
        <w:rPr>
          <w:rFonts w:hint="eastAsia" w:ascii="仿宋" w:hAnsi="仿宋" w:eastAsia="仿宋"/>
          <w:sz w:val="24"/>
          <w:szCs w:val="24"/>
          <w:lang w:val="en-US" w:eastAsia="zh-CN"/>
        </w:rPr>
        <w:t>31</w:t>
      </w:r>
      <w:r>
        <w:rPr>
          <w:rFonts w:hint="eastAsia" w:ascii="仿宋" w:hAnsi="仿宋" w:eastAsia="仿宋"/>
          <w:sz w:val="24"/>
          <w:szCs w:val="24"/>
        </w:rPr>
        <w:t>日）：完成</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草案及编制说明，提交世界中联国际标准部审查。</w:t>
      </w:r>
    </w:p>
    <w:p w14:paraId="63BE5D66">
      <w:pPr>
        <w:spacing w:line="400" w:lineRule="exact"/>
        <w:ind w:firstLine="470" w:firstLineChars="196"/>
        <w:rPr>
          <w:rFonts w:ascii="仿宋" w:hAnsi="仿宋" w:eastAsia="仿宋"/>
          <w:sz w:val="24"/>
          <w:szCs w:val="24"/>
        </w:rPr>
      </w:pPr>
      <w:r>
        <w:rPr>
          <w:rFonts w:hint="eastAsia" w:ascii="仿宋" w:hAnsi="仿宋" w:eastAsia="仿宋"/>
          <w:sz w:val="24"/>
          <w:szCs w:val="24"/>
        </w:rPr>
        <w:t>本次标准修订的编制过程如下图所示：</w:t>
      </w:r>
    </w:p>
    <w:p w14:paraId="590C1423">
      <w:pPr>
        <w:spacing w:line="360" w:lineRule="auto"/>
        <w:ind w:left="-420" w:leftChars="-200"/>
        <w:rPr>
          <w:rFonts w:hint="eastAsia" w:ascii="Times New Roman" w:hAnsi="Times New Roman"/>
          <w:b/>
          <w:sz w:val="24"/>
          <w:szCs w:val="24"/>
        </w:rPr>
      </w:pPr>
      <w:r>
        <w:rPr>
          <w:rFonts w:hint="eastAsia" w:ascii="Times New Roman" w:hAnsi="Times New Roman"/>
          <w:b/>
          <w:sz w:val="24"/>
          <w:szCs w:val="24"/>
        </w:rPr>
        <w:t xml:space="preserve">  </w:t>
      </w:r>
    </w:p>
    <w:p w14:paraId="237290BC">
      <w:pPr>
        <w:spacing w:before="312" w:beforeLines="100" w:line="400" w:lineRule="exact"/>
        <w:rPr>
          <w:rFonts w:hint="eastAsia" w:ascii="仿宋" w:hAnsi="仿宋" w:eastAsia="仿宋"/>
          <w:sz w:val="24"/>
          <w:szCs w:val="24"/>
        </w:rPr>
      </w:pPr>
      <w:r>
        <w:rPr>
          <w:rFonts w:ascii="Times New Roman" w:hAnsi="Times New Roman"/>
          <w:b/>
          <w:sz w:val="24"/>
          <w:szCs w:val="24"/>
        </w:rPr>
        <w:br w:type="page"/>
      </w:r>
      <w:r>
        <w:rPr>
          <w:lang/>
        </w:rPr>
        <mc:AlternateContent>
          <mc:Choice Requires="wpg">
            <w:drawing>
              <wp:anchor distT="0" distB="0" distL="114300" distR="114300" simplePos="0" relativeHeight="251659264" behindDoc="0" locked="0" layoutInCell="1" allowOverlap="1">
                <wp:simplePos x="0" y="0"/>
                <wp:positionH relativeFrom="column">
                  <wp:posOffset>55245</wp:posOffset>
                </wp:positionH>
                <wp:positionV relativeFrom="paragraph">
                  <wp:posOffset>6350</wp:posOffset>
                </wp:positionV>
                <wp:extent cx="6186805" cy="6254750"/>
                <wp:effectExtent l="5080" t="5080" r="5715" b="13970"/>
                <wp:wrapSquare wrapText="bothSides"/>
                <wp:docPr id="1" name="组合 192"/>
                <wp:cNvGraphicFramePr/>
                <a:graphic xmlns:a="http://schemas.openxmlformats.org/drawingml/2006/main">
                  <a:graphicData uri="http://schemas.microsoft.com/office/word/2010/wordprocessingGroup">
                    <wpg:wgp>
                      <wpg:cNvGrpSpPr/>
                      <wpg:grpSpPr>
                        <a:xfrm>
                          <a:off x="0" y="0"/>
                          <a:ext cx="6186805" cy="6254750"/>
                          <a:chOff x="1138" y="1634"/>
                          <a:chExt cx="9743" cy="11214"/>
                        </a:xfrm>
                        <a:effectLst/>
                      </wpg:grpSpPr>
                      <wps:wsp>
                        <wps:cNvPr id="2065853655" name="文本框 35"/>
                        <wps:cNvSpPr txBox="1">
                          <a:spLocks noChangeArrowheads="1"/>
                        </wps:cNvSpPr>
                        <wps:spPr bwMode="auto">
                          <a:xfrm>
                            <a:off x="1138" y="12223"/>
                            <a:ext cx="3911" cy="625"/>
                          </a:xfrm>
                          <a:prstGeom prst="rect">
                            <a:avLst/>
                          </a:prstGeom>
                          <a:solidFill>
                            <a:srgbClr val="FFFFFF"/>
                          </a:solidFill>
                          <a:ln w="9525">
                            <a:solidFill>
                              <a:srgbClr val="000000"/>
                            </a:solidFill>
                            <a:miter lim="800000"/>
                          </a:ln>
                          <a:effectLst/>
                        </wps:spPr>
                        <wps:txbx>
                          <w:txbxContent>
                            <w:p w14:paraId="3183C02C">
                              <w:pPr>
                                <w:jc w:val="center"/>
                                <w:rPr>
                                  <w:rFonts w:ascii="仿宋" w:hAnsi="仿宋" w:eastAsia="仿宋"/>
                                </w:rPr>
                              </w:pPr>
                              <w:r>
                                <w:rPr>
                                  <w:rFonts w:hint="eastAsia" w:ascii="仿宋" w:hAnsi="仿宋" w:eastAsia="仿宋"/>
                                </w:rPr>
                                <w:t>形成国际组织标准定稿并发布实施</w:t>
                              </w:r>
                            </w:p>
                          </w:txbxContent>
                        </wps:txbx>
                        <wps:bodyPr rot="0" vert="horz" wrap="square" lIns="91440" tIns="45720" rIns="91440" bIns="45720" anchor="t" anchorCtr="0" upright="1">
                          <a:noAutofit/>
                        </wps:bodyPr>
                      </wps:wsp>
                      <wps:wsp>
                        <wps:cNvPr id="1765678853" name="直线 71"/>
                        <wps:cNvCnPr>
                          <a:cxnSpLocks noChangeShapeType="1"/>
                          <a:stCxn id="1583492487" idx="2"/>
                        </wps:cNvCnPr>
                        <wps:spPr bwMode="auto">
                          <a:xfrm flipH="1">
                            <a:off x="3824" y="11497"/>
                            <a:ext cx="4505" cy="708"/>
                          </a:xfrm>
                          <a:prstGeom prst="line">
                            <a:avLst/>
                          </a:prstGeom>
                          <a:noFill/>
                          <a:ln w="9525">
                            <a:solidFill>
                              <a:srgbClr val="000000"/>
                            </a:solidFill>
                            <a:round/>
                            <a:tailEnd type="triangle" w="med" len="med"/>
                          </a:ln>
                          <a:effectLst/>
                        </wps:spPr>
                        <wps:bodyPr/>
                      </wps:wsp>
                      <wpg:grpSp>
                        <wpg:cNvPr id="585286906" name="组合 31"/>
                        <wpg:cNvGrpSpPr/>
                        <wpg:grpSpPr>
                          <a:xfrm>
                            <a:off x="1138" y="1634"/>
                            <a:ext cx="9743" cy="7427"/>
                            <a:chOff x="0" y="0"/>
                            <a:chExt cx="60248" cy="38021"/>
                          </a:xfrm>
                          <a:effectLst/>
                        </wpg:grpSpPr>
                        <wps:wsp>
                          <wps:cNvPr id="1069975778" name="Line 4"/>
                          <wps:cNvCnPr>
                            <a:cxnSpLocks noChangeShapeType="1"/>
                          </wps:cNvCnPr>
                          <wps:spPr bwMode="auto">
                            <a:xfrm>
                              <a:off x="12673" y="2647"/>
                              <a:ext cx="10" cy="1914"/>
                            </a:xfrm>
                            <a:prstGeom prst="line">
                              <a:avLst/>
                            </a:prstGeom>
                            <a:noFill/>
                            <a:ln w="9525">
                              <a:solidFill>
                                <a:srgbClr val="000000"/>
                              </a:solidFill>
                              <a:round/>
                              <a:tailEnd type="triangle" w="med" len="med"/>
                            </a:ln>
                            <a:effectLst/>
                          </wps:spPr>
                          <wps:bodyPr/>
                        </wps:wsp>
                        <wps:wsp>
                          <wps:cNvPr id="538172148" name="Text Box 5"/>
                          <wps:cNvSpPr txBox="1">
                            <a:spLocks noChangeArrowheads="1"/>
                          </wps:cNvSpPr>
                          <wps:spPr bwMode="auto">
                            <a:xfrm>
                              <a:off x="0" y="4762"/>
                              <a:ext cx="24191" cy="2895"/>
                            </a:xfrm>
                            <a:prstGeom prst="rect">
                              <a:avLst/>
                            </a:prstGeom>
                            <a:solidFill>
                              <a:srgbClr val="FFFFFF"/>
                            </a:solidFill>
                            <a:ln w="9525">
                              <a:solidFill>
                                <a:srgbClr val="000000"/>
                              </a:solidFill>
                              <a:miter lim="800000"/>
                            </a:ln>
                            <a:effectLst/>
                          </wps:spPr>
                          <wps:txbx>
                            <w:txbxContent>
                              <w:p w14:paraId="1D3D5403">
                                <w:pPr>
                                  <w:jc w:val="center"/>
                                  <w:rPr>
                                    <w:rFonts w:hint="eastAsia" w:ascii="仿宋" w:hAnsi="仿宋" w:eastAsia="仿宋"/>
                                  </w:rPr>
                                </w:pPr>
                                <w:r>
                                  <w:rPr>
                                    <w:rFonts w:hint="eastAsia" w:ascii="仿宋" w:hAnsi="仿宋" w:eastAsia="仿宋"/>
                                  </w:rPr>
                                  <w:t>多源文献检索</w:t>
                                </w:r>
                              </w:p>
                            </w:txbxContent>
                          </wps:txbx>
                          <wps:bodyPr rot="0" vert="horz" wrap="square" lIns="91440" tIns="45720" rIns="91440" bIns="45720" anchor="ctr" anchorCtr="0" upright="1">
                            <a:noAutofit/>
                          </wps:bodyPr>
                        </wps:wsp>
                        <wps:wsp>
                          <wps:cNvPr id="612638181" name="Line 6"/>
                          <wps:cNvCnPr>
                            <a:cxnSpLocks noChangeShapeType="1"/>
                          </wps:cNvCnPr>
                          <wps:spPr bwMode="auto">
                            <a:xfrm>
                              <a:off x="24185" y="6143"/>
                              <a:ext cx="4755" cy="82"/>
                            </a:xfrm>
                            <a:prstGeom prst="line">
                              <a:avLst/>
                            </a:prstGeom>
                            <a:noFill/>
                            <a:ln w="9525">
                              <a:solidFill>
                                <a:srgbClr val="000000"/>
                              </a:solidFill>
                              <a:round/>
                              <a:tailEnd type="triangle" w="med" len="med"/>
                            </a:ln>
                            <a:effectLst/>
                          </wps:spPr>
                          <wps:bodyPr/>
                        </wps:wsp>
                        <wps:wsp>
                          <wps:cNvPr id="1751809201" name="Text Box 7"/>
                          <wps:cNvSpPr txBox="1">
                            <a:spLocks noChangeArrowheads="1"/>
                          </wps:cNvSpPr>
                          <wps:spPr bwMode="auto">
                            <a:xfrm>
                              <a:off x="29119" y="4762"/>
                              <a:ext cx="31064" cy="2870"/>
                            </a:xfrm>
                            <a:prstGeom prst="rect">
                              <a:avLst/>
                            </a:prstGeom>
                            <a:solidFill>
                              <a:srgbClr val="FFFFFF"/>
                            </a:solidFill>
                            <a:ln w="9525">
                              <a:solidFill>
                                <a:srgbClr val="000000"/>
                              </a:solidFill>
                              <a:miter lim="800000"/>
                            </a:ln>
                            <a:effectLst/>
                          </wps:spPr>
                          <wps:txbx>
                            <w:txbxContent>
                              <w:p w14:paraId="2A53CBF8">
                                <w:pPr>
                                  <w:ind w:firstLine="105" w:firstLineChars="50"/>
                                  <w:jc w:val="center"/>
                                  <w:rPr>
                                    <w:rFonts w:hint="eastAsia" w:ascii="仿宋" w:hAnsi="仿宋" w:eastAsia="仿宋"/>
                                  </w:rPr>
                                </w:pPr>
                                <w:r>
                                  <w:rPr>
                                    <w:rFonts w:hint="eastAsia" w:ascii="仿宋" w:hAnsi="仿宋" w:eastAsia="仿宋"/>
                                  </w:rPr>
                                  <w:t>国家标准及文献内容对比分析</w:t>
                                </w:r>
                              </w:p>
                            </w:txbxContent>
                          </wps:txbx>
                          <wps:bodyPr rot="0" vert="horz" wrap="square" lIns="91440" tIns="45720" rIns="91440" bIns="45720" anchor="ctr" anchorCtr="0" upright="1">
                            <a:noAutofit/>
                          </wps:bodyPr>
                        </wps:wsp>
                        <wps:wsp>
                          <wps:cNvPr id="1991092526" name="Text Box 8"/>
                          <wps:cNvSpPr txBox="1">
                            <a:spLocks noChangeArrowheads="1"/>
                          </wps:cNvSpPr>
                          <wps:spPr bwMode="auto">
                            <a:xfrm>
                              <a:off x="0" y="17145"/>
                              <a:ext cx="24265" cy="2857"/>
                            </a:xfrm>
                            <a:prstGeom prst="rect">
                              <a:avLst/>
                            </a:prstGeom>
                            <a:solidFill>
                              <a:srgbClr val="FFFFFF"/>
                            </a:solidFill>
                            <a:ln w="9525">
                              <a:solidFill>
                                <a:srgbClr val="000000"/>
                              </a:solidFill>
                              <a:miter lim="800000"/>
                            </a:ln>
                            <a:effectLst/>
                          </wps:spPr>
                          <wps:txbx>
                            <w:txbxContent>
                              <w:p w14:paraId="6DE8CD32">
                                <w:pPr>
                                  <w:jc w:val="center"/>
                                  <w:rPr>
                                    <w:rFonts w:hint="eastAsia" w:ascii="仿宋" w:hAnsi="仿宋" w:eastAsia="仿宋"/>
                                  </w:rPr>
                                </w:pPr>
                                <w:r>
                                  <w:rPr>
                                    <w:rFonts w:hint="eastAsia" w:ascii="仿宋" w:hAnsi="仿宋" w:eastAsia="仿宋"/>
                                  </w:rPr>
                                  <w:t>问卷回收并统计，汇总专家意见</w:t>
                                </w:r>
                              </w:p>
                            </w:txbxContent>
                          </wps:txbx>
                          <wps:bodyPr rot="0" vert="horz" wrap="square" lIns="91440" tIns="45720" rIns="91440" bIns="45720" anchor="ctr" anchorCtr="0" upright="1">
                            <a:noAutofit/>
                          </wps:bodyPr>
                        </wps:wsp>
                        <wps:wsp>
                          <wps:cNvPr id="2004226974" name="Line 9"/>
                          <wps:cNvCnPr>
                            <a:cxnSpLocks noChangeShapeType="1"/>
                          </wps:cNvCnPr>
                          <wps:spPr bwMode="auto">
                            <a:xfrm flipH="1">
                              <a:off x="14819" y="7632"/>
                              <a:ext cx="30520" cy="2682"/>
                            </a:xfrm>
                            <a:prstGeom prst="line">
                              <a:avLst/>
                            </a:prstGeom>
                            <a:noFill/>
                            <a:ln w="9525">
                              <a:solidFill>
                                <a:srgbClr val="000000"/>
                              </a:solidFill>
                              <a:round/>
                              <a:tailEnd type="triangle" w="med" len="med"/>
                            </a:ln>
                            <a:effectLst/>
                          </wps:spPr>
                          <wps:bodyPr/>
                        </wps:wsp>
                        <wps:wsp>
                          <wps:cNvPr id="2061637231" name="Line 10"/>
                          <wps:cNvCnPr>
                            <a:cxnSpLocks noChangeShapeType="1"/>
                          </wps:cNvCnPr>
                          <wps:spPr bwMode="auto">
                            <a:xfrm flipH="1">
                              <a:off x="14668" y="13335"/>
                              <a:ext cx="30757" cy="3827"/>
                            </a:xfrm>
                            <a:prstGeom prst="line">
                              <a:avLst/>
                            </a:prstGeom>
                            <a:noFill/>
                            <a:ln w="9525">
                              <a:solidFill>
                                <a:srgbClr val="000000"/>
                              </a:solidFill>
                              <a:round/>
                              <a:tailEnd type="triangle" w="med" len="med"/>
                            </a:ln>
                            <a:effectLst/>
                          </wps:spPr>
                          <wps:bodyPr/>
                        </wps:wsp>
                        <wps:wsp>
                          <wps:cNvPr id="167321421" name="Text Box 11"/>
                          <wps:cNvSpPr txBox="1">
                            <a:spLocks noChangeArrowheads="1"/>
                          </wps:cNvSpPr>
                          <wps:spPr bwMode="auto">
                            <a:xfrm>
                              <a:off x="29119" y="17145"/>
                              <a:ext cx="31129" cy="2859"/>
                            </a:xfrm>
                            <a:prstGeom prst="rect">
                              <a:avLst/>
                            </a:prstGeom>
                            <a:solidFill>
                              <a:srgbClr val="FFFFFF"/>
                            </a:solidFill>
                            <a:ln w="9525">
                              <a:solidFill>
                                <a:srgbClr val="000000"/>
                              </a:solidFill>
                              <a:miter lim="800000"/>
                            </a:ln>
                            <a:effectLst/>
                          </wps:spPr>
                          <wps:txbx>
                            <w:txbxContent>
                              <w:p w14:paraId="4335D417">
                                <w:pPr>
                                  <w:jc w:val="center"/>
                                  <w:rPr>
                                    <w:rFonts w:hint="eastAsia" w:ascii="仿宋" w:hAnsi="仿宋" w:eastAsia="仿宋"/>
                                  </w:rPr>
                                </w:pPr>
                                <w:r>
                                  <w:rPr>
                                    <w:rFonts w:hint="eastAsia" w:ascii="仿宋" w:hAnsi="仿宋" w:eastAsia="仿宋"/>
                                  </w:rPr>
                                  <w:t>筛选争议条目并形成征求意见函</w:t>
                                </w:r>
                              </w:p>
                            </w:txbxContent>
                          </wps:txbx>
                          <wps:bodyPr rot="0" vert="horz" wrap="square" lIns="91440" tIns="45720" rIns="91440" bIns="45720" anchor="ctr" anchorCtr="0" upright="1">
                            <a:noAutofit/>
                          </wps:bodyPr>
                        </wps:wsp>
                        <wps:wsp>
                          <wps:cNvPr id="368671248" name="Line 12"/>
                          <wps:cNvCnPr>
                            <a:cxnSpLocks noChangeShapeType="1"/>
                          </wps:cNvCnPr>
                          <wps:spPr bwMode="auto">
                            <a:xfrm flipH="1">
                              <a:off x="13335" y="20002"/>
                              <a:ext cx="33445" cy="3827"/>
                            </a:xfrm>
                            <a:prstGeom prst="line">
                              <a:avLst/>
                            </a:prstGeom>
                            <a:noFill/>
                            <a:ln w="9525">
                              <a:solidFill>
                                <a:srgbClr val="000000"/>
                              </a:solidFill>
                              <a:round/>
                              <a:tailEnd type="triangle" w="med" len="med"/>
                            </a:ln>
                            <a:effectLst/>
                          </wps:spPr>
                          <wps:bodyPr/>
                        </wps:wsp>
                        <wps:wsp>
                          <wps:cNvPr id="2139413283" name="Text Box 13"/>
                          <wps:cNvSpPr txBox="1">
                            <a:spLocks noChangeArrowheads="1"/>
                          </wps:cNvSpPr>
                          <wps:spPr bwMode="auto">
                            <a:xfrm>
                              <a:off x="0" y="23812"/>
                              <a:ext cx="24485" cy="2870"/>
                            </a:xfrm>
                            <a:prstGeom prst="rect">
                              <a:avLst/>
                            </a:prstGeom>
                            <a:solidFill>
                              <a:srgbClr val="FFFFFF"/>
                            </a:solidFill>
                            <a:ln w="9525">
                              <a:solidFill>
                                <a:srgbClr val="000000"/>
                              </a:solidFill>
                              <a:miter lim="800000"/>
                            </a:ln>
                            <a:effectLst/>
                          </wps:spPr>
                          <wps:txbx>
                            <w:txbxContent>
                              <w:p w14:paraId="78F775D9">
                                <w:pPr>
                                  <w:jc w:val="center"/>
                                  <w:rPr>
                                    <w:rFonts w:hint="eastAsia" w:ascii="仿宋" w:hAnsi="仿宋" w:eastAsia="仿宋"/>
                                  </w:rPr>
                                </w:pPr>
                                <w:r>
                                  <w:rPr>
                                    <w:rFonts w:hint="eastAsia" w:ascii="仿宋" w:hAnsi="仿宋" w:eastAsia="仿宋"/>
                                  </w:rPr>
                                  <w:t>发放征求意见函，准备专家论证会</w:t>
                                </w:r>
                              </w:p>
                              <w:p w14:paraId="4BF84D47">
                                <w:pPr>
                                  <w:jc w:val="center"/>
                                  <w:rPr>
                                    <w:rFonts w:hint="eastAsia" w:ascii="仿宋" w:hAnsi="仿宋" w:eastAsia="仿宋"/>
                                  </w:rPr>
                                </w:pPr>
                              </w:p>
                            </w:txbxContent>
                          </wps:txbx>
                          <wps:bodyPr rot="0" vert="horz" wrap="square" lIns="91440" tIns="45720" rIns="91440" bIns="45720" anchor="ctr" anchorCtr="0" upright="1">
                            <a:noAutofit/>
                          </wps:bodyPr>
                        </wps:wsp>
                        <wps:wsp>
                          <wps:cNvPr id="1235521942" name="Text Box 14"/>
                          <wps:cNvSpPr txBox="1">
                            <a:spLocks noChangeArrowheads="1"/>
                          </wps:cNvSpPr>
                          <wps:spPr bwMode="auto">
                            <a:xfrm>
                              <a:off x="0" y="10477"/>
                              <a:ext cx="24185" cy="2870"/>
                            </a:xfrm>
                            <a:prstGeom prst="rect">
                              <a:avLst/>
                            </a:prstGeom>
                            <a:solidFill>
                              <a:srgbClr val="FFFFFF"/>
                            </a:solidFill>
                            <a:ln w="9525">
                              <a:solidFill>
                                <a:srgbClr val="000000"/>
                              </a:solidFill>
                              <a:miter lim="800000"/>
                            </a:ln>
                            <a:effectLst/>
                          </wps:spPr>
                          <wps:txbx>
                            <w:txbxContent>
                              <w:p w14:paraId="3DD5AA73">
                                <w:pPr>
                                  <w:ind w:right="-120" w:rightChars="-57"/>
                                  <w:jc w:val="center"/>
                                  <w:rPr>
                                    <w:rFonts w:ascii="仿宋" w:hAnsi="仿宋" w:eastAsia="仿宋"/>
                                  </w:rPr>
                                </w:pPr>
                                <w:r>
                                  <w:rPr>
                                    <w:rFonts w:hint="eastAsia" w:ascii="仿宋" w:hAnsi="仿宋" w:eastAsia="仿宋"/>
                                  </w:rPr>
                                  <w:t>制作专家调查问卷</w:t>
                                </w:r>
                              </w:p>
                            </w:txbxContent>
                          </wps:txbx>
                          <wps:bodyPr rot="0" vert="horz" wrap="square" lIns="91440" tIns="45720" rIns="91440" bIns="45720" anchor="ctr" anchorCtr="0" upright="1">
                            <a:noAutofit/>
                          </wps:bodyPr>
                        </wps:wsp>
                        <wps:wsp>
                          <wps:cNvPr id="1332472643" name="Text Box 15"/>
                          <wps:cNvSpPr txBox="1">
                            <a:spLocks noChangeArrowheads="1"/>
                          </wps:cNvSpPr>
                          <wps:spPr bwMode="auto">
                            <a:xfrm>
                              <a:off x="28940" y="10477"/>
                              <a:ext cx="31258" cy="2870"/>
                            </a:xfrm>
                            <a:prstGeom prst="rect">
                              <a:avLst/>
                            </a:prstGeom>
                            <a:solidFill>
                              <a:srgbClr val="FFFFFF"/>
                            </a:solidFill>
                            <a:ln w="9525">
                              <a:solidFill>
                                <a:srgbClr val="000000"/>
                              </a:solidFill>
                              <a:miter lim="800000"/>
                            </a:ln>
                            <a:effectLst/>
                          </wps:spPr>
                          <wps:txbx>
                            <w:txbxContent>
                              <w:p w14:paraId="2356BA81">
                                <w:pPr>
                                  <w:jc w:val="center"/>
                                  <w:rPr>
                                    <w:rFonts w:hint="eastAsia" w:ascii="仿宋" w:hAnsi="仿宋" w:eastAsia="仿宋"/>
                                  </w:rPr>
                                </w:pPr>
                                <w:r>
                                  <w:rPr>
                                    <w:rFonts w:hint="eastAsia" w:ascii="仿宋" w:hAnsi="仿宋" w:eastAsia="仿宋"/>
                                  </w:rPr>
                                  <w:t>问卷发放，征求相关专家意见</w:t>
                                </w:r>
                              </w:p>
                            </w:txbxContent>
                          </wps:txbx>
                          <wps:bodyPr rot="0" vert="horz" wrap="square" lIns="91440" tIns="45720" rIns="91440" bIns="45720" anchor="ctr" anchorCtr="0" upright="1">
                            <a:noAutofit/>
                          </wps:bodyPr>
                        </wps:wsp>
                        <wps:wsp>
                          <wps:cNvPr id="1111402716" name="Line 16"/>
                          <wps:cNvCnPr>
                            <a:cxnSpLocks noChangeShapeType="1"/>
                          </wps:cNvCnPr>
                          <wps:spPr bwMode="auto">
                            <a:xfrm>
                              <a:off x="24265" y="18674"/>
                              <a:ext cx="4881" cy="8"/>
                            </a:xfrm>
                            <a:prstGeom prst="line">
                              <a:avLst/>
                            </a:prstGeom>
                            <a:noFill/>
                            <a:ln w="9525">
                              <a:solidFill>
                                <a:srgbClr val="000000"/>
                              </a:solidFill>
                              <a:round/>
                              <a:tailEnd type="triangle" w="med" len="med"/>
                            </a:ln>
                            <a:effectLst/>
                          </wps:spPr>
                          <wps:bodyPr/>
                        </wps:wsp>
                        <wps:wsp>
                          <wps:cNvPr id="1546072193" name="Line 17"/>
                          <wps:cNvCnPr>
                            <a:cxnSpLocks noChangeShapeType="1"/>
                            <a:stCxn id="2139413283" idx="3"/>
                          </wps:cNvCnPr>
                          <wps:spPr bwMode="auto">
                            <a:xfrm flipV="1">
                              <a:off x="24485" y="25241"/>
                              <a:ext cx="4756" cy="6"/>
                            </a:xfrm>
                            <a:prstGeom prst="line">
                              <a:avLst/>
                            </a:prstGeom>
                            <a:noFill/>
                            <a:ln w="9525">
                              <a:solidFill>
                                <a:srgbClr val="000000"/>
                              </a:solidFill>
                              <a:round/>
                              <a:tailEnd type="triangle" w="med" len="med"/>
                            </a:ln>
                            <a:effectLst/>
                          </wps:spPr>
                          <wps:bodyPr/>
                        </wps:wsp>
                        <wps:wsp>
                          <wps:cNvPr id="291503170" name="Text Box 18"/>
                          <wps:cNvSpPr txBox="1">
                            <a:spLocks noChangeArrowheads="1"/>
                          </wps:cNvSpPr>
                          <wps:spPr bwMode="auto">
                            <a:xfrm>
                              <a:off x="29241" y="23907"/>
                              <a:ext cx="30899" cy="2870"/>
                            </a:xfrm>
                            <a:prstGeom prst="rect">
                              <a:avLst/>
                            </a:prstGeom>
                            <a:solidFill>
                              <a:srgbClr val="FFFFFF"/>
                            </a:solidFill>
                            <a:ln w="9525">
                              <a:solidFill>
                                <a:srgbClr val="000000"/>
                              </a:solidFill>
                              <a:miter lim="800000"/>
                            </a:ln>
                            <a:effectLst/>
                          </wps:spPr>
                          <wps:txbx>
                            <w:txbxContent>
                              <w:p w14:paraId="788F8300">
                                <w:pPr>
                                  <w:jc w:val="center"/>
                                  <w:rPr>
                                    <w:rFonts w:ascii="仿宋" w:hAnsi="仿宋" w:eastAsia="仿宋"/>
                                  </w:rPr>
                                </w:pPr>
                                <w:r>
                                  <w:rPr>
                                    <w:rFonts w:hint="eastAsia" w:ascii="仿宋" w:hAnsi="仿宋" w:eastAsia="仿宋"/>
                                  </w:rPr>
                                  <w:t>专家论证会（集中说明与征求修改意见）</w:t>
                                </w:r>
                              </w:p>
                            </w:txbxContent>
                          </wps:txbx>
                          <wps:bodyPr rot="0" vert="horz" wrap="square" lIns="91440" tIns="45720" rIns="91440" bIns="45720" anchor="ctr" anchorCtr="0" upright="1">
                            <a:noAutofit/>
                          </wps:bodyPr>
                        </wps:wsp>
                        <wps:wsp>
                          <wps:cNvPr id="1888629549" name="Line 19"/>
                          <wps:cNvCnPr>
                            <a:cxnSpLocks noChangeShapeType="1"/>
                          </wps:cNvCnPr>
                          <wps:spPr bwMode="auto">
                            <a:xfrm flipV="1">
                              <a:off x="24265" y="11914"/>
                              <a:ext cx="4717" cy="115"/>
                            </a:xfrm>
                            <a:prstGeom prst="line">
                              <a:avLst/>
                            </a:prstGeom>
                            <a:noFill/>
                            <a:ln w="9525">
                              <a:solidFill>
                                <a:srgbClr val="000000"/>
                              </a:solidFill>
                              <a:round/>
                              <a:tailEnd type="triangle" w="med" len="med"/>
                            </a:ln>
                            <a:effectLst/>
                          </wps:spPr>
                          <wps:bodyPr/>
                        </wps:wsp>
                        <wps:wsp>
                          <wps:cNvPr id="1737523713" name="Text Box 20"/>
                          <wps:cNvSpPr txBox="1">
                            <a:spLocks noChangeArrowheads="1"/>
                          </wps:cNvSpPr>
                          <wps:spPr bwMode="auto">
                            <a:xfrm>
                              <a:off x="0" y="0"/>
                              <a:ext cx="24185" cy="2870"/>
                            </a:xfrm>
                            <a:prstGeom prst="rect">
                              <a:avLst/>
                            </a:prstGeom>
                            <a:solidFill>
                              <a:srgbClr val="FFFFFF"/>
                            </a:solidFill>
                            <a:ln w="9525">
                              <a:solidFill>
                                <a:srgbClr val="000000"/>
                              </a:solidFill>
                              <a:miter lim="800000"/>
                            </a:ln>
                            <a:effectLst/>
                          </wps:spPr>
                          <wps:txbx>
                            <w:txbxContent>
                              <w:p w14:paraId="5E378295">
                                <w:pPr>
                                  <w:jc w:val="center"/>
                                  <w:rPr>
                                    <w:rFonts w:ascii="仿宋" w:hAnsi="仿宋" w:eastAsia="仿宋"/>
                                  </w:rPr>
                                </w:pPr>
                                <w:r>
                                  <w:rPr>
                                    <w:rFonts w:hint="eastAsia" w:ascii="仿宋" w:hAnsi="仿宋" w:eastAsia="仿宋"/>
                                  </w:rPr>
                                  <w:t>文献研究与多源文献检索</w:t>
                                </w:r>
                              </w:p>
                            </w:txbxContent>
                          </wps:txbx>
                          <wps:bodyPr rot="0" vert="horz" wrap="square" lIns="91440" tIns="45720" rIns="91440" bIns="45720" anchor="ctr" anchorCtr="0" upright="1">
                            <a:noAutofit/>
                          </wps:bodyPr>
                        </wps:wsp>
                        <wps:wsp>
                          <wps:cNvPr id="117648117" name="Line 12"/>
                          <wps:cNvCnPr>
                            <a:cxnSpLocks noChangeShapeType="1"/>
                          </wps:cNvCnPr>
                          <wps:spPr bwMode="auto">
                            <a:xfrm flipH="1">
                              <a:off x="14192" y="26860"/>
                              <a:ext cx="33445" cy="3827"/>
                            </a:xfrm>
                            <a:prstGeom prst="line">
                              <a:avLst/>
                            </a:prstGeom>
                            <a:noFill/>
                            <a:ln w="9525">
                              <a:solidFill>
                                <a:srgbClr val="000000"/>
                              </a:solidFill>
                              <a:round/>
                              <a:tailEnd type="triangle" w="med" len="med"/>
                            </a:ln>
                            <a:effectLst/>
                          </wps:spPr>
                          <wps:bodyPr/>
                        </wps:wsp>
                        <wps:wsp>
                          <wps:cNvPr id="1587569273" name="Text Box 13"/>
                          <wps:cNvSpPr txBox="1">
                            <a:spLocks noChangeArrowheads="1"/>
                          </wps:cNvSpPr>
                          <wps:spPr bwMode="auto">
                            <a:xfrm>
                              <a:off x="95" y="31051"/>
                              <a:ext cx="24485" cy="2870"/>
                            </a:xfrm>
                            <a:prstGeom prst="rect">
                              <a:avLst/>
                            </a:prstGeom>
                            <a:solidFill>
                              <a:srgbClr val="FFFFFF"/>
                            </a:solidFill>
                            <a:ln w="9525">
                              <a:solidFill>
                                <a:srgbClr val="000000"/>
                              </a:solidFill>
                              <a:miter lim="800000"/>
                            </a:ln>
                            <a:effectLst/>
                          </wps:spPr>
                          <wps:txbx>
                            <w:txbxContent>
                              <w:p w14:paraId="3C4AE7D5">
                                <w:pPr>
                                  <w:jc w:val="center"/>
                                  <w:rPr>
                                    <w:rFonts w:ascii="仿宋" w:hAnsi="仿宋" w:eastAsia="仿宋"/>
                                  </w:rPr>
                                </w:pPr>
                                <w:r>
                                  <w:rPr>
                                    <w:rFonts w:hint="eastAsia" w:ascii="仿宋" w:hAnsi="仿宋" w:eastAsia="仿宋"/>
                                  </w:rPr>
                                  <w:t>汇总专家意见并形成会议纪要</w:t>
                                </w:r>
                              </w:p>
                            </w:txbxContent>
                          </wps:txbx>
                          <wps:bodyPr rot="0" vert="horz" wrap="square" lIns="91440" tIns="45720" rIns="91440" bIns="45720" anchor="ctr" anchorCtr="0" upright="1">
                            <a:noAutofit/>
                          </wps:bodyPr>
                        </wps:wsp>
                        <wps:wsp>
                          <wps:cNvPr id="1051613089" name="Line 17"/>
                          <wps:cNvCnPr>
                            <a:cxnSpLocks noChangeShapeType="1"/>
                            <a:stCxn id="1587569273" idx="3"/>
                          </wps:cNvCnPr>
                          <wps:spPr bwMode="auto">
                            <a:xfrm flipV="1">
                              <a:off x="24580" y="32480"/>
                              <a:ext cx="4757" cy="6"/>
                            </a:xfrm>
                            <a:prstGeom prst="line">
                              <a:avLst/>
                            </a:prstGeom>
                            <a:noFill/>
                            <a:ln w="9525">
                              <a:solidFill>
                                <a:srgbClr val="000000"/>
                              </a:solidFill>
                              <a:round/>
                              <a:tailEnd type="triangle" w="med" len="med"/>
                            </a:ln>
                            <a:effectLst/>
                          </wps:spPr>
                          <wps:bodyPr/>
                        </wps:wsp>
                        <wps:wsp>
                          <wps:cNvPr id="334982093" name="Text Box 18"/>
                          <wps:cNvSpPr txBox="1">
                            <a:spLocks noChangeArrowheads="1"/>
                          </wps:cNvSpPr>
                          <wps:spPr bwMode="auto">
                            <a:xfrm>
                              <a:off x="29337" y="31146"/>
                              <a:ext cx="30899" cy="2864"/>
                            </a:xfrm>
                            <a:prstGeom prst="rect">
                              <a:avLst/>
                            </a:prstGeom>
                            <a:solidFill>
                              <a:srgbClr val="FFFFFF"/>
                            </a:solidFill>
                            <a:ln w="9525">
                              <a:solidFill>
                                <a:srgbClr val="000000"/>
                              </a:solidFill>
                              <a:miter lim="800000"/>
                            </a:ln>
                            <a:effectLst/>
                          </wps:spPr>
                          <wps:txbx>
                            <w:txbxContent>
                              <w:p w14:paraId="7C2F361A">
                                <w:pPr>
                                  <w:jc w:val="center"/>
                                  <w:rPr>
                                    <w:rFonts w:ascii="仿宋" w:hAnsi="仿宋" w:eastAsia="仿宋"/>
                                  </w:rPr>
                                </w:pPr>
                                <w:r>
                                  <w:rPr>
                                    <w:rFonts w:hint="eastAsia" w:ascii="仿宋" w:hAnsi="仿宋" w:eastAsia="仿宋"/>
                                  </w:rPr>
                                  <w:t>专家指导组审核</w:t>
                                </w:r>
                              </w:p>
                            </w:txbxContent>
                          </wps:txbx>
                          <wps:bodyPr rot="0" vert="horz" wrap="square" lIns="91440" tIns="45720" rIns="91440" bIns="45720" anchor="ctr" anchorCtr="0" upright="1">
                            <a:noAutofit/>
                          </wps:bodyPr>
                        </wps:wsp>
                        <wps:wsp>
                          <wps:cNvPr id="951595155" name="Line 12"/>
                          <wps:cNvCnPr>
                            <a:cxnSpLocks noChangeShapeType="1"/>
                          </wps:cNvCnPr>
                          <wps:spPr bwMode="auto">
                            <a:xfrm flipH="1">
                              <a:off x="14478" y="34194"/>
                              <a:ext cx="33445" cy="3827"/>
                            </a:xfrm>
                            <a:prstGeom prst="line">
                              <a:avLst/>
                            </a:prstGeom>
                            <a:noFill/>
                            <a:ln w="9525">
                              <a:solidFill>
                                <a:srgbClr val="000000"/>
                              </a:solidFill>
                              <a:round/>
                              <a:tailEnd type="triangle" w="med" len="med"/>
                            </a:ln>
                            <a:effectLst/>
                          </wps:spPr>
                          <wps:bodyPr/>
                        </wps:wsp>
                      </wpg:grpSp>
                      <wps:wsp>
                        <wps:cNvPr id="182085625" name="Text Box 13"/>
                        <wps:cNvSpPr txBox="1">
                          <a:spLocks noChangeArrowheads="1"/>
                        </wps:cNvSpPr>
                        <wps:spPr bwMode="auto">
                          <a:xfrm>
                            <a:off x="1143" y="9147"/>
                            <a:ext cx="3983" cy="573"/>
                          </a:xfrm>
                          <a:prstGeom prst="rect">
                            <a:avLst/>
                          </a:prstGeom>
                          <a:solidFill>
                            <a:srgbClr val="FFFFFF"/>
                          </a:solidFill>
                          <a:ln w="9525">
                            <a:solidFill>
                              <a:srgbClr val="000000"/>
                            </a:solidFill>
                            <a:miter lim="800000"/>
                          </a:ln>
                          <a:effectLst/>
                        </wps:spPr>
                        <wps:txbx>
                          <w:txbxContent>
                            <w:p w14:paraId="3E8255DD">
                              <w:pPr>
                                <w:jc w:val="center"/>
                                <w:rPr>
                                  <w:rFonts w:ascii="仿宋" w:hAnsi="仿宋" w:eastAsia="仿宋"/>
                                </w:rPr>
                              </w:pPr>
                              <w:r>
                                <w:rPr>
                                  <w:rFonts w:hint="eastAsia" w:ascii="仿宋" w:hAnsi="仿宋" w:eastAsia="仿宋"/>
                                </w:rPr>
                                <w:t>召开项目组协调会议</w:t>
                              </w:r>
                            </w:p>
                            <w:p w14:paraId="32D28DCA">
                              <w:pPr>
                                <w:jc w:val="center"/>
                                <w:rPr>
                                  <w:rFonts w:hint="eastAsia" w:ascii="仿宋" w:hAnsi="仿宋" w:eastAsia="仿宋"/>
                                </w:rPr>
                              </w:pPr>
                            </w:p>
                            <w:p w14:paraId="285656BF">
                              <w:pPr>
                                <w:jc w:val="left"/>
                                <w:rPr>
                                  <w:rFonts w:ascii="仿宋" w:hAnsi="仿宋" w:eastAsia="仿宋"/>
                                </w:rPr>
                              </w:pPr>
                            </w:p>
                          </w:txbxContent>
                        </wps:txbx>
                        <wps:bodyPr rot="0" vert="horz" wrap="square" lIns="91440" tIns="45720" rIns="91440" bIns="45720" anchor="ctr" anchorCtr="0" upright="1">
                          <a:noAutofit/>
                        </wps:bodyPr>
                      </wps:wsp>
                      <wps:wsp>
                        <wps:cNvPr id="79282628" name="Line 17"/>
                        <wps:cNvCnPr>
                          <a:cxnSpLocks noChangeShapeType="1"/>
                        </wps:cNvCnPr>
                        <wps:spPr bwMode="auto">
                          <a:xfrm>
                            <a:off x="5125" y="9427"/>
                            <a:ext cx="712" cy="0"/>
                          </a:xfrm>
                          <a:prstGeom prst="line">
                            <a:avLst/>
                          </a:prstGeom>
                          <a:noFill/>
                          <a:ln w="9525">
                            <a:solidFill>
                              <a:srgbClr val="000000"/>
                            </a:solidFill>
                            <a:round/>
                            <a:tailEnd type="triangle" w="med" len="med"/>
                          </a:ln>
                          <a:effectLst/>
                        </wps:spPr>
                        <wps:bodyPr/>
                      </wps:wsp>
                      <wps:wsp>
                        <wps:cNvPr id="1537673530" name="Text Box 18"/>
                        <wps:cNvSpPr txBox="1">
                          <a:spLocks noChangeArrowheads="1"/>
                        </wps:cNvSpPr>
                        <wps:spPr bwMode="auto">
                          <a:xfrm>
                            <a:off x="5837" y="9147"/>
                            <a:ext cx="5026" cy="620"/>
                          </a:xfrm>
                          <a:prstGeom prst="rect">
                            <a:avLst/>
                          </a:prstGeom>
                          <a:solidFill>
                            <a:srgbClr val="FFFFFF"/>
                          </a:solidFill>
                          <a:ln w="9525">
                            <a:solidFill>
                              <a:srgbClr val="000000"/>
                            </a:solidFill>
                            <a:miter lim="800000"/>
                          </a:ln>
                          <a:effectLst/>
                        </wps:spPr>
                        <wps:txbx>
                          <w:txbxContent>
                            <w:p w14:paraId="1AC94EB9">
                              <w:pPr>
                                <w:jc w:val="center"/>
                                <w:rPr>
                                  <w:rFonts w:ascii="仿宋" w:hAnsi="仿宋" w:eastAsia="仿宋"/>
                                </w:rPr>
                              </w:pPr>
                              <w:r>
                                <w:rPr>
                                  <w:rFonts w:hint="eastAsia" w:ascii="仿宋" w:hAnsi="仿宋" w:eastAsia="仿宋"/>
                                </w:rPr>
                                <w:t>形成小儿</w:t>
                              </w:r>
                              <w:r>
                                <w:rPr>
                                  <w:rFonts w:hint="eastAsia" w:ascii="仿宋" w:hAnsi="仿宋" w:eastAsia="仿宋"/>
                                  <w:lang w:val="en-US" w:eastAsia="zh-CN"/>
                                </w:rPr>
                                <w:t>推拿疗法</w:t>
                              </w:r>
                              <w:r>
                                <w:rPr>
                                  <w:rFonts w:hint="eastAsia" w:ascii="仿宋" w:hAnsi="仿宋" w:eastAsia="仿宋"/>
                                </w:rPr>
                                <w:t>标准草案、编制说明</w:t>
                              </w:r>
                            </w:p>
                          </w:txbxContent>
                        </wps:txbx>
                        <wps:bodyPr rot="0" vert="horz" wrap="square" lIns="91440" tIns="45720" rIns="91440" bIns="45720" anchor="ctr" anchorCtr="0" upright="1">
                          <a:noAutofit/>
                        </wps:bodyPr>
                      </wps:wsp>
                      <wps:wsp>
                        <wps:cNvPr id="1577914109" name="Line 12"/>
                        <wps:cNvCnPr>
                          <a:cxnSpLocks noChangeShapeType="1"/>
                        </wps:cNvCnPr>
                        <wps:spPr bwMode="auto">
                          <a:xfrm flipH="1">
                            <a:off x="3534" y="9767"/>
                            <a:ext cx="5392" cy="1061"/>
                          </a:xfrm>
                          <a:prstGeom prst="line">
                            <a:avLst/>
                          </a:prstGeom>
                          <a:noFill/>
                          <a:ln w="9525">
                            <a:solidFill>
                              <a:srgbClr val="000000"/>
                            </a:solidFill>
                            <a:round/>
                            <a:tailEnd type="triangle" w="med" len="med"/>
                          </a:ln>
                          <a:effectLst/>
                        </wps:spPr>
                        <wps:bodyPr/>
                      </wps:wsp>
                      <wps:wsp>
                        <wps:cNvPr id="1649009730" name="Text Box 13"/>
                        <wps:cNvSpPr txBox="1">
                          <a:spLocks noChangeArrowheads="1"/>
                        </wps:cNvSpPr>
                        <wps:spPr bwMode="auto">
                          <a:xfrm>
                            <a:off x="1143" y="10877"/>
                            <a:ext cx="3907" cy="592"/>
                          </a:xfrm>
                          <a:prstGeom prst="rect">
                            <a:avLst/>
                          </a:prstGeom>
                          <a:solidFill>
                            <a:srgbClr val="FFFFFF"/>
                          </a:solidFill>
                          <a:ln w="9525">
                            <a:solidFill>
                              <a:srgbClr val="000000"/>
                            </a:solidFill>
                            <a:miter lim="800000"/>
                          </a:ln>
                          <a:effectLst/>
                        </wps:spPr>
                        <wps:txbx>
                          <w:txbxContent>
                            <w:p w14:paraId="1FAA220B">
                              <w:pPr>
                                <w:jc w:val="center"/>
                                <w:rPr>
                                  <w:rFonts w:ascii="仿宋" w:hAnsi="仿宋" w:eastAsia="仿宋"/>
                                </w:rPr>
                              </w:pPr>
                              <w:r>
                                <w:rPr>
                                  <w:rFonts w:hint="eastAsia" w:ascii="仿宋" w:hAnsi="仿宋" w:eastAsia="仿宋"/>
                                </w:rPr>
                                <w:t>呈报世界中联审核</w:t>
                              </w:r>
                            </w:p>
                          </w:txbxContent>
                        </wps:txbx>
                        <wps:bodyPr rot="0" vert="horz" wrap="square" lIns="91440" tIns="45720" rIns="91440" bIns="45720" anchor="ctr" anchorCtr="0" upright="1">
                          <a:noAutofit/>
                        </wps:bodyPr>
                      </wps:wsp>
                      <wps:wsp>
                        <wps:cNvPr id="2064607103" name="Line 17"/>
                        <wps:cNvCnPr>
                          <a:cxnSpLocks noChangeShapeType="1"/>
                          <a:endCxn id="1583492487" idx="1"/>
                        </wps:cNvCnPr>
                        <wps:spPr bwMode="auto">
                          <a:xfrm>
                            <a:off x="5050" y="11178"/>
                            <a:ext cx="797" cy="9"/>
                          </a:xfrm>
                          <a:prstGeom prst="line">
                            <a:avLst/>
                          </a:prstGeom>
                          <a:noFill/>
                          <a:ln w="9525">
                            <a:solidFill>
                              <a:srgbClr val="000000"/>
                            </a:solidFill>
                            <a:round/>
                            <a:tailEnd type="triangle" w="med" len="med"/>
                          </a:ln>
                          <a:effectLst/>
                        </wps:spPr>
                        <wps:bodyPr/>
                      </wps:wsp>
                      <wps:wsp>
                        <wps:cNvPr id="1583492487" name="Text Box 18"/>
                        <wps:cNvSpPr txBox="1">
                          <a:spLocks noChangeArrowheads="1"/>
                        </wps:cNvSpPr>
                        <wps:spPr bwMode="auto">
                          <a:xfrm>
                            <a:off x="5847" y="10877"/>
                            <a:ext cx="4963" cy="620"/>
                          </a:xfrm>
                          <a:prstGeom prst="rect">
                            <a:avLst/>
                          </a:prstGeom>
                          <a:solidFill>
                            <a:srgbClr val="FFFFFF"/>
                          </a:solidFill>
                          <a:ln w="9525">
                            <a:solidFill>
                              <a:srgbClr val="000000"/>
                            </a:solidFill>
                            <a:miter lim="800000"/>
                          </a:ln>
                          <a:effectLst/>
                        </wps:spPr>
                        <wps:txbx>
                          <w:txbxContent>
                            <w:p w14:paraId="4E138490">
                              <w:pPr>
                                <w:jc w:val="center"/>
                                <w:rPr>
                                  <w:rFonts w:ascii="仿宋" w:hAnsi="仿宋" w:eastAsia="仿宋"/>
                                </w:rPr>
                              </w:pPr>
                              <w:r>
                                <w:rPr>
                                  <w:rFonts w:hint="eastAsia" w:ascii="仿宋" w:hAnsi="仿宋" w:eastAsia="仿宋"/>
                                </w:rPr>
                                <w:t>公开征求意见并修改完善</w:t>
                              </w:r>
                            </w:p>
                          </w:txbxContent>
                        </wps:txbx>
                        <wps:bodyPr rot="0" vert="horz" wrap="square" lIns="91440" tIns="45720" rIns="91440" bIns="45720" anchor="ctr" anchorCtr="0" upright="1">
                          <a:noAutofit/>
                        </wps:bodyPr>
                      </wps:wsp>
                    </wpg:wgp>
                  </a:graphicData>
                </a:graphic>
              </wp:anchor>
            </w:drawing>
          </mc:Choice>
          <mc:Fallback>
            <w:pict>
              <v:group id="组合 192" o:spid="_x0000_s1026" o:spt="203" style="position:absolute;left:0pt;margin-left:4.35pt;margin-top:0.5pt;height:492.5pt;width:487.15pt;mso-wrap-distance-bottom:0pt;mso-wrap-distance-left:9pt;mso-wrap-distance-right:9pt;mso-wrap-distance-top:0pt;z-index:251659264;mso-width-relative:page;mso-height-relative:margin;" coordorigin="1138,1634" coordsize="9743,11214" o:gfxdata="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">
                <o:lock v:ext="edit" grouping="f" rotation="f" aspectratio="f"/>
                <v:shape id="文本框 35" o:spid="_x0000_s1026" o:spt="202" type="#_x0000_t202" style="position:absolute;left:1138;top:12223;height:625;width:3911;"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">
                  <v:fill on="t" focussize="0,0"/>
                  <v:stroke color="#000000" miterlimit="8" joinstyle="miter"/>
                  <v:imagedata o:title=""/>
                  <o:lock v:ext="edit" aspectratio="f"/>
                  <v:textbox>
                    <w:txbxContent>
                      <w:p w14:paraId="3183C02C">
                        <w:pPr>
                          <w:jc w:val="center"/>
                          <w:rPr>
                            <w:rFonts w:ascii="仿宋" w:hAnsi="仿宋" w:eastAsia="仿宋"/>
                          </w:rPr>
                        </w:pPr>
                        <w:r>
                          <w:rPr>
                            <w:rFonts w:hint="eastAsia" w:ascii="仿宋" w:hAnsi="仿宋" w:eastAsia="仿宋"/>
                          </w:rPr>
                          <w:t>形成国际组织标准定稿并发布实施</w:t>
                        </w:r>
                      </w:p>
                    </w:txbxContent>
                  </v:textbox>
                </v:shape>
                <v:line id="直线 71" o:spid="_x0000_s1026" o:spt="20" style="position:absolute;left:3824;top:11497;flip:x;height:708;width:450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">
                  <v:fill on="f" focussize="0,0"/>
                  <v:stroke color="#000000" joinstyle="round" endarrow="block"/>
                  <v:imagedata o:title=""/>
                  <o:lock v:ext="edit" aspectratio="f"/>
                </v:line>
                <v:group id="组合 31" o:spid="_x0000_s1026" o:spt="203" style="position:absolute;left:1138;top:1634;height:7427;width:9743;" coordsize="60248,38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">
                  <o:lock v:ext="edit" grouping="f" rotation="f" aspectratio="f"/>
                  <v:line id="Line 4" o:spid="_x0000_s1026" o:spt="20" style="position:absolute;left:12673;top:2647;height:1914;width:1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">
                    <v:fill on="f" focussize="0,0"/>
                    <v:stroke color="#000000" joinstyle="round" endarrow="block"/>
                    <v:imagedata o:title=""/>
                    <o:lock v:ext="edit" aspectratio="f"/>
                  </v:line>
                  <v:shape id="Text Box 5" o:spid="_x0000_s1026" o:spt="202" type="#_x0000_t202" style="position:absolute;left:0;top:4762;height:2895;width:24191;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">
                    <v:fill on="t" focussize="0,0"/>
                    <v:stroke color="#000000" miterlimit="8" joinstyle="miter"/>
                    <v:imagedata o:title=""/>
                    <o:lock v:ext="edit" aspectratio="f"/>
                    <v:textbox>
                      <w:txbxContent>
                        <w:p w14:paraId="1D3D5403">
                          <w:pPr>
                            <w:jc w:val="center"/>
                            <w:rPr>
                              <w:rFonts w:hint="eastAsia" w:ascii="仿宋" w:hAnsi="仿宋" w:eastAsia="仿宋"/>
                            </w:rPr>
                          </w:pPr>
                          <w:r>
                            <w:rPr>
                              <w:rFonts w:hint="eastAsia" w:ascii="仿宋" w:hAnsi="仿宋" w:eastAsia="仿宋"/>
                            </w:rPr>
                            <w:t>多源文献检索</w:t>
                          </w:r>
                        </w:p>
                      </w:txbxContent>
                    </v:textbox>
                  </v:shape>
                  <v:line id="Line 6" o:spid="_x0000_s1026" o:spt="20" style="position:absolute;left:24185;top:6143;height:82;width:475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">
                    <v:fill on="f" focussize="0,0"/>
                    <v:stroke color="#000000" joinstyle="round" endarrow="block"/>
                    <v:imagedata o:title=""/>
                    <o:lock v:ext="edit" aspectratio="f"/>
                  </v:line>
                  <v:shape id="Text Box 7" o:spid="_x0000_s1026" o:spt="202" type="#_x0000_t202" style="position:absolute;left:29119;top:4762;height:2870;width:31064;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">
                    <v:fill on="t" focussize="0,0"/>
                    <v:stroke color="#000000" miterlimit="8" joinstyle="miter"/>
                    <v:imagedata o:title=""/>
                    <o:lock v:ext="edit" aspectratio="f"/>
                    <v:textbox>
                      <w:txbxContent>
                        <w:p w14:paraId="2A53CBF8">
                          <w:pPr>
                            <w:ind w:firstLine="105" w:firstLineChars="50"/>
                            <w:jc w:val="center"/>
                            <w:rPr>
                              <w:rFonts w:hint="eastAsia" w:ascii="仿宋" w:hAnsi="仿宋" w:eastAsia="仿宋"/>
                            </w:rPr>
                          </w:pPr>
                          <w:r>
                            <w:rPr>
                              <w:rFonts w:hint="eastAsia" w:ascii="仿宋" w:hAnsi="仿宋" w:eastAsia="仿宋"/>
                            </w:rPr>
                            <w:t>国家标准及文献内容对比分析</w:t>
                          </w:r>
                        </w:p>
                      </w:txbxContent>
                    </v:textbox>
                  </v:shape>
                  <v:shape id="Text Box 8" o:spid="_x0000_s1026" o:spt="202" type="#_x0000_t202" style="position:absolute;left:0;top:17145;height:2857;width:2426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">
                    <v:fill on="t" focussize="0,0"/>
                    <v:stroke color="#000000" miterlimit="8" joinstyle="miter"/>
                    <v:imagedata o:title=""/>
                    <o:lock v:ext="edit" aspectratio="f"/>
                    <v:textbox>
                      <w:txbxContent>
                        <w:p w14:paraId="6DE8CD32">
                          <w:pPr>
                            <w:jc w:val="center"/>
                            <w:rPr>
                              <w:rFonts w:hint="eastAsia" w:ascii="仿宋" w:hAnsi="仿宋" w:eastAsia="仿宋"/>
                            </w:rPr>
                          </w:pPr>
                          <w:r>
                            <w:rPr>
                              <w:rFonts w:hint="eastAsia" w:ascii="仿宋" w:hAnsi="仿宋" w:eastAsia="仿宋"/>
                            </w:rPr>
                            <w:t>问卷回收并统计，汇总专家意见</w:t>
                          </w:r>
                        </w:p>
                      </w:txbxContent>
                    </v:textbox>
                  </v:shape>
                  <v:line id="Line 9" o:spid="_x0000_s1026" o:spt="20" style="position:absolute;left:14819;top:7632;flip:x;height:2682;width:30520;"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">
                    <v:fill on="f" focussize="0,0"/>
                    <v:stroke color="#000000" joinstyle="round" endarrow="block"/>
                    <v:imagedata o:title=""/>
                    <o:lock v:ext="edit" aspectratio="f"/>
                  </v:line>
                  <v:line id="Line 10" o:spid="_x0000_s1026" o:spt="20" style="position:absolute;left:14668;top:13335;flip:x;height:3827;width:3075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">
                    <v:fill on="f" focussize="0,0"/>
                    <v:stroke color="#000000" joinstyle="round" endarrow="block"/>
                    <v:imagedata o:title=""/>
                    <o:lock v:ext="edit" aspectratio="f"/>
                  </v:line>
                  <v:shape id="Text Box 11" o:spid="_x0000_s1026" o:spt="202" type="#_x0000_t202" style="position:absolute;left:29119;top:17145;height:2859;width:3112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">
                    <v:fill on="t" focussize="0,0"/>
                    <v:stroke color="#000000" miterlimit="8" joinstyle="miter"/>
                    <v:imagedata o:title=""/>
                    <o:lock v:ext="edit" aspectratio="f"/>
                    <v:textbox>
                      <w:txbxContent>
                        <w:p w14:paraId="4335D417">
                          <w:pPr>
                            <w:jc w:val="center"/>
                            <w:rPr>
                              <w:rFonts w:hint="eastAsia" w:ascii="仿宋" w:hAnsi="仿宋" w:eastAsia="仿宋"/>
                            </w:rPr>
                          </w:pPr>
                          <w:r>
                            <w:rPr>
                              <w:rFonts w:hint="eastAsia" w:ascii="仿宋" w:hAnsi="仿宋" w:eastAsia="仿宋"/>
                            </w:rPr>
                            <w:t>筛选争议条目并形成征求意见函</w:t>
                          </w:r>
                        </w:p>
                      </w:txbxContent>
                    </v:textbox>
                  </v:shape>
                  <v:line id="Line 12" o:spid="_x0000_s1026" o:spt="20" style="position:absolute;left:13335;top:20002;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">
                    <v:fill on="f" focussize="0,0"/>
                    <v:stroke color="#000000" joinstyle="round" endarrow="block"/>
                    <v:imagedata o:title=""/>
                    <o:lock v:ext="edit" aspectratio="f"/>
                  </v:line>
                  <v:shape id="Text Box 13" o:spid="_x0000_s1026" o:spt="202" type="#_x0000_t202" style="position:absolute;left:0;top:23812;height:2870;width:244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">
                    <v:fill on="t" focussize="0,0"/>
                    <v:stroke color="#000000" miterlimit="8" joinstyle="miter"/>
                    <v:imagedata o:title=""/>
                    <o:lock v:ext="edit" aspectratio="f"/>
                    <v:textbox>
                      <w:txbxContent>
                        <w:p w14:paraId="78F775D9">
                          <w:pPr>
                            <w:jc w:val="center"/>
                            <w:rPr>
                              <w:rFonts w:hint="eastAsia" w:ascii="仿宋" w:hAnsi="仿宋" w:eastAsia="仿宋"/>
                            </w:rPr>
                          </w:pPr>
                          <w:r>
                            <w:rPr>
                              <w:rFonts w:hint="eastAsia" w:ascii="仿宋" w:hAnsi="仿宋" w:eastAsia="仿宋"/>
                            </w:rPr>
                            <w:t>发放征求意见函，准备专家论证会</w:t>
                          </w:r>
                        </w:p>
                        <w:p w14:paraId="4BF84D47">
                          <w:pPr>
                            <w:jc w:val="center"/>
                            <w:rPr>
                              <w:rFonts w:hint="eastAsia" w:ascii="仿宋" w:hAnsi="仿宋" w:eastAsia="仿宋"/>
                            </w:rPr>
                          </w:pPr>
                        </w:p>
                      </w:txbxContent>
                    </v:textbox>
                  </v:shape>
                  <v:shape id="Text Box 14" o:spid="_x0000_s1026" o:spt="202" type="#_x0000_t202" style="position:absolute;left:0;top:10477;height:2870;width:241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">
                    <v:fill on="t" focussize="0,0"/>
                    <v:stroke color="#000000" miterlimit="8" joinstyle="miter"/>
                    <v:imagedata o:title=""/>
                    <o:lock v:ext="edit" aspectratio="f"/>
                    <v:textbox>
                      <w:txbxContent>
                        <w:p w14:paraId="3DD5AA73">
                          <w:pPr>
                            <w:ind w:right="-120" w:rightChars="-57"/>
                            <w:jc w:val="center"/>
                            <w:rPr>
                              <w:rFonts w:ascii="仿宋" w:hAnsi="仿宋" w:eastAsia="仿宋"/>
                            </w:rPr>
                          </w:pPr>
                          <w:r>
                            <w:rPr>
                              <w:rFonts w:hint="eastAsia" w:ascii="仿宋" w:hAnsi="仿宋" w:eastAsia="仿宋"/>
                            </w:rPr>
                            <w:t>制作专家调查问卷</w:t>
                          </w:r>
                        </w:p>
                      </w:txbxContent>
                    </v:textbox>
                  </v:shape>
                  <v:shape id="Text Box 15" o:spid="_x0000_s1026" o:spt="202" type="#_x0000_t202" style="position:absolute;left:28940;top:10477;height:2870;width:31258;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">
                    <v:fill on="t" focussize="0,0"/>
                    <v:stroke color="#000000" miterlimit="8" joinstyle="miter"/>
                    <v:imagedata o:title=""/>
                    <o:lock v:ext="edit" aspectratio="f"/>
                    <v:textbox>
                      <w:txbxContent>
                        <w:p w14:paraId="2356BA81">
                          <w:pPr>
                            <w:jc w:val="center"/>
                            <w:rPr>
                              <w:rFonts w:hint="eastAsia" w:ascii="仿宋" w:hAnsi="仿宋" w:eastAsia="仿宋"/>
                            </w:rPr>
                          </w:pPr>
                          <w:r>
                            <w:rPr>
                              <w:rFonts w:hint="eastAsia" w:ascii="仿宋" w:hAnsi="仿宋" w:eastAsia="仿宋"/>
                            </w:rPr>
                            <w:t>问卷发放，征求相关专家意见</w:t>
                          </w:r>
                        </w:p>
                      </w:txbxContent>
                    </v:textbox>
                  </v:shape>
                  <v:line id="Line 16" o:spid="_x0000_s1026" o:spt="20" style="position:absolute;left:24265;top:18674;height:8;width:4881;"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">
                    <v:fill on="f" focussize="0,0"/>
                    <v:stroke color="#000000" joinstyle="round" endarrow="block"/>
                    <v:imagedata o:title=""/>
                    <o:lock v:ext="edit" aspectratio="f"/>
                  </v:line>
                  <v:line id="Line 17" o:spid="_x0000_s1026" o:spt="20" style="position:absolute;left:24485;top:25241;flip:y;height:6;width:4756;"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">
                    <v:fill on="f" focussize="0,0"/>
                    <v:stroke color="#000000" joinstyle="round" endarrow="block"/>
                    <v:imagedata o:title=""/>
                    <o:lock v:ext="edit" aspectratio="f"/>
                  </v:line>
                  <v:shape id="Text Box 18" o:spid="_x0000_s1026" o:spt="202" type="#_x0000_t202" style="position:absolute;left:29241;top:23907;height:2870;width:3089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">
                    <v:fill on="t" focussize="0,0"/>
                    <v:stroke color="#000000" miterlimit="8" joinstyle="miter"/>
                    <v:imagedata o:title=""/>
                    <o:lock v:ext="edit" aspectratio="f"/>
                    <v:textbox>
                      <w:txbxContent>
                        <w:p w14:paraId="788F8300">
                          <w:pPr>
                            <w:jc w:val="center"/>
                            <w:rPr>
                              <w:rFonts w:ascii="仿宋" w:hAnsi="仿宋" w:eastAsia="仿宋"/>
                            </w:rPr>
                          </w:pPr>
                          <w:r>
                            <w:rPr>
                              <w:rFonts w:hint="eastAsia" w:ascii="仿宋" w:hAnsi="仿宋" w:eastAsia="仿宋"/>
                            </w:rPr>
                            <w:t>专家论证会（集中说明与征求修改意见）</w:t>
                          </w:r>
                        </w:p>
                      </w:txbxContent>
                    </v:textbox>
                  </v:shape>
                  <v:line id="Line 19" o:spid="_x0000_s1026" o:spt="20" style="position:absolute;left:24265;top:11914;flip:y;height:115;width:471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">
                    <v:fill on="f" focussize="0,0"/>
                    <v:stroke color="#000000" joinstyle="round" endarrow="block"/>
                    <v:imagedata o:title=""/>
                    <o:lock v:ext="edit" aspectratio="f"/>
                  </v:line>
                  <v:shape id="Text Box 20" o:spid="_x0000_s1026" o:spt="202" type="#_x0000_t202" style="position:absolute;left:0;top:0;height:2870;width:241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">
                    <v:fill on="t" focussize="0,0"/>
                    <v:stroke color="#000000" miterlimit="8" joinstyle="miter"/>
                    <v:imagedata o:title=""/>
                    <o:lock v:ext="edit" aspectratio="f"/>
                    <v:textbox>
                      <w:txbxContent>
                        <w:p w14:paraId="5E378295">
                          <w:pPr>
                            <w:jc w:val="center"/>
                            <w:rPr>
                              <w:rFonts w:ascii="仿宋" w:hAnsi="仿宋" w:eastAsia="仿宋"/>
                            </w:rPr>
                          </w:pPr>
                          <w:r>
                            <w:rPr>
                              <w:rFonts w:hint="eastAsia" w:ascii="仿宋" w:hAnsi="仿宋" w:eastAsia="仿宋"/>
                            </w:rPr>
                            <w:t>文献研究与多源文献检索</w:t>
                          </w:r>
                        </w:p>
                      </w:txbxContent>
                    </v:textbox>
                  </v:shape>
                  <v:line id="Line 12" o:spid="_x0000_s1026" o:spt="20" style="position:absolute;left:14192;top:26860;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">
                    <v:fill on="f" focussize="0,0"/>
                    <v:stroke color="#000000" joinstyle="round" endarrow="block"/>
                    <v:imagedata o:title=""/>
                    <o:lock v:ext="edit" aspectratio="f"/>
                  </v:line>
                  <v:shape id="Text Box 13" o:spid="_x0000_s1026" o:spt="202" type="#_x0000_t202" style="position:absolute;left:95;top:31051;height:2870;width:24485;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">
                    <v:fill on="t" focussize="0,0"/>
                    <v:stroke color="#000000" miterlimit="8" joinstyle="miter"/>
                    <v:imagedata o:title=""/>
                    <o:lock v:ext="edit" aspectratio="f"/>
                    <v:textbox>
                      <w:txbxContent>
                        <w:p w14:paraId="3C4AE7D5">
                          <w:pPr>
                            <w:jc w:val="center"/>
                            <w:rPr>
                              <w:rFonts w:ascii="仿宋" w:hAnsi="仿宋" w:eastAsia="仿宋"/>
                            </w:rPr>
                          </w:pPr>
                          <w:r>
                            <w:rPr>
                              <w:rFonts w:hint="eastAsia" w:ascii="仿宋" w:hAnsi="仿宋" w:eastAsia="仿宋"/>
                            </w:rPr>
                            <w:t>汇总专家意见并形成会议纪要</w:t>
                          </w:r>
                        </w:p>
                      </w:txbxContent>
                    </v:textbox>
                  </v:shape>
                  <v:line id="Line 17" o:spid="_x0000_s1026" o:spt="20" style="position:absolute;left:24580;top:32480;flip:y;height:6;width:475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">
                    <v:fill on="f" focussize="0,0"/>
                    <v:stroke color="#000000" joinstyle="round" endarrow="block"/>
                    <v:imagedata o:title=""/>
                    <o:lock v:ext="edit" aspectratio="f"/>
                  </v:line>
                  <v:shape id="Text Box 18" o:spid="_x0000_s1026" o:spt="202" type="#_x0000_t202" style="position:absolute;left:29337;top:31146;height:2864;width:30899;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">
                    <v:fill on="t" focussize="0,0"/>
                    <v:stroke color="#000000" miterlimit="8" joinstyle="miter"/>
                    <v:imagedata o:title=""/>
                    <o:lock v:ext="edit" aspectratio="f"/>
                    <v:textbox>
                      <w:txbxContent>
                        <w:p w14:paraId="7C2F361A">
                          <w:pPr>
                            <w:jc w:val="center"/>
                            <w:rPr>
                              <w:rFonts w:ascii="仿宋" w:hAnsi="仿宋" w:eastAsia="仿宋"/>
                            </w:rPr>
                          </w:pPr>
                          <w:r>
                            <w:rPr>
                              <w:rFonts w:hint="eastAsia" w:ascii="仿宋" w:hAnsi="仿宋" w:eastAsia="仿宋"/>
                            </w:rPr>
                            <w:t>专家指导组审核</w:t>
                          </w:r>
                        </w:p>
                      </w:txbxContent>
                    </v:textbox>
                  </v:shape>
                  <v:line id="Line 12" o:spid="_x0000_s1026" o:spt="20" style="position:absolute;left:14478;top:34194;flip:x;height:3827;width:33445;"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">
                    <v:fill on="f" focussize="0,0"/>
                    <v:stroke color="#000000" joinstyle="round" endarrow="block"/>
                    <v:imagedata o:title=""/>
                    <o:lock v:ext="edit" aspectratio="f"/>
                  </v:line>
                </v:group>
                <v:shape id="Text Box 13" o:spid="_x0000_s1026" o:spt="202" type="#_x0000_t202" style="position:absolute;left:1143;top:9147;height:573;width:3983;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">
                  <v:fill on="t" focussize="0,0"/>
                  <v:stroke color="#000000" miterlimit="8" joinstyle="miter"/>
                  <v:imagedata o:title=""/>
                  <o:lock v:ext="edit" aspectratio="f"/>
                  <v:textbox>
                    <w:txbxContent>
                      <w:p w14:paraId="3E8255DD">
                        <w:pPr>
                          <w:jc w:val="center"/>
                          <w:rPr>
                            <w:rFonts w:ascii="仿宋" w:hAnsi="仿宋" w:eastAsia="仿宋"/>
                          </w:rPr>
                        </w:pPr>
                        <w:r>
                          <w:rPr>
                            <w:rFonts w:hint="eastAsia" w:ascii="仿宋" w:hAnsi="仿宋" w:eastAsia="仿宋"/>
                          </w:rPr>
                          <w:t>召开项目组协调会议</w:t>
                        </w:r>
                      </w:p>
                      <w:p w14:paraId="32D28DCA">
                        <w:pPr>
                          <w:jc w:val="center"/>
                          <w:rPr>
                            <w:rFonts w:hint="eastAsia" w:ascii="仿宋" w:hAnsi="仿宋" w:eastAsia="仿宋"/>
                          </w:rPr>
                        </w:pPr>
                      </w:p>
                      <w:p w14:paraId="285656BF">
                        <w:pPr>
                          <w:jc w:val="left"/>
                          <w:rPr>
                            <w:rFonts w:ascii="仿宋" w:hAnsi="仿宋" w:eastAsia="仿宋"/>
                          </w:rPr>
                        </w:pPr>
                      </w:p>
                    </w:txbxContent>
                  </v:textbox>
                </v:shape>
                <v:line id="Line 17" o:spid="_x0000_s1026" o:spt="20" style="position:absolute;left:5125;top:9427;height:0;width:712;"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">
                  <v:fill on="f" focussize="0,0"/>
                  <v:stroke color="#000000" joinstyle="round" endarrow="block"/>
                  <v:imagedata o:title=""/>
                  <o:lock v:ext="edit" aspectratio="f"/>
                </v:line>
                <v:shape id="Text Box 18" o:spid="_x0000_s1026" o:spt="202" type="#_x0000_t202" style="position:absolute;left:5837;top:9147;height:620;width:5026;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">
                  <v:fill on="t" focussize="0,0"/>
                  <v:stroke color="#000000" miterlimit="8" joinstyle="miter"/>
                  <v:imagedata o:title=""/>
                  <o:lock v:ext="edit" aspectratio="f"/>
                  <v:textbox>
                    <w:txbxContent>
                      <w:p w14:paraId="1AC94EB9">
                        <w:pPr>
                          <w:jc w:val="center"/>
                          <w:rPr>
                            <w:rFonts w:ascii="仿宋" w:hAnsi="仿宋" w:eastAsia="仿宋"/>
                          </w:rPr>
                        </w:pPr>
                        <w:r>
                          <w:rPr>
                            <w:rFonts w:hint="eastAsia" w:ascii="仿宋" w:hAnsi="仿宋" w:eastAsia="仿宋"/>
                          </w:rPr>
                          <w:t>形成小儿</w:t>
                        </w:r>
                        <w:r>
                          <w:rPr>
                            <w:rFonts w:hint="eastAsia" w:ascii="仿宋" w:hAnsi="仿宋" w:eastAsia="仿宋"/>
                            <w:lang w:val="en-US" w:eastAsia="zh-CN"/>
                          </w:rPr>
                          <w:t>推拿疗法</w:t>
                        </w:r>
                        <w:r>
                          <w:rPr>
                            <w:rFonts w:hint="eastAsia" w:ascii="仿宋" w:hAnsi="仿宋" w:eastAsia="仿宋"/>
                          </w:rPr>
                          <w:t>标准草案、编制说明</w:t>
                        </w:r>
                      </w:p>
                    </w:txbxContent>
                  </v:textbox>
                </v:shape>
                <v:line id="Line 12" o:spid="_x0000_s1026" o:spt="20" style="position:absolute;left:3534;top:9767;flip:x;height:1061;width:5392;"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">
                  <v:fill on="f" focussize="0,0"/>
                  <v:stroke color="#000000" joinstyle="round" endarrow="block"/>
                  <v:imagedata o:title=""/>
                  <o:lock v:ext="edit" aspectratio="f"/>
                </v:line>
                <v:shape id="Text Box 13" o:spid="_x0000_s1026" o:spt="202" type="#_x0000_t202" style="position:absolute;left:1143;top:10877;height:592;width:3907;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">
                  <v:fill on="t" focussize="0,0"/>
                  <v:stroke color="#000000" miterlimit="8" joinstyle="miter"/>
                  <v:imagedata o:title=""/>
                  <o:lock v:ext="edit" aspectratio="f"/>
                  <v:textbox>
                    <w:txbxContent>
                      <w:p w14:paraId="1FAA220B">
                        <w:pPr>
                          <w:jc w:val="center"/>
                          <w:rPr>
                            <w:rFonts w:ascii="仿宋" w:hAnsi="仿宋" w:eastAsia="仿宋"/>
                          </w:rPr>
                        </w:pPr>
                        <w:r>
                          <w:rPr>
                            <w:rFonts w:hint="eastAsia" w:ascii="仿宋" w:hAnsi="仿宋" w:eastAsia="仿宋"/>
                          </w:rPr>
                          <w:t>呈报世界中联审核</w:t>
                        </w:r>
                      </w:p>
                    </w:txbxContent>
                  </v:textbox>
                </v:shape>
                <v:line id="Line 17" o:spid="_x0000_s1026" o:spt="20" style="position:absolute;left:5050;top:11178;height:9;width:797;" o:connectortype="straight" filled="f"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">
                  <v:fill on="f" focussize="0,0"/>
                  <v:stroke color="#000000" joinstyle="round" endarrow="block"/>
                  <v:imagedata o:title=""/>
                  <o:lock v:ext="edit" aspectratio="f"/>
                </v:line>
                <v:shape id="Text Box 18" o:spid="_x0000_s1026" o:spt="202" type="#_x0000_t202" style="position:absolute;left:5847;top:10877;height:620;width:4963;v-text-anchor:middle;" fillcolor="#FFFFFF" filled="t" stroked="t"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">
                  <v:fill on="t" focussize="0,0"/>
                  <v:stroke color="#000000" miterlimit="8" joinstyle="miter"/>
                  <v:imagedata o:title=""/>
                  <o:lock v:ext="edit" aspectratio="f"/>
                  <v:textbox>
                    <w:txbxContent>
                      <w:p w14:paraId="4E138490">
                        <w:pPr>
                          <w:jc w:val="center"/>
                          <w:rPr>
                            <w:rFonts w:ascii="仿宋" w:hAnsi="仿宋" w:eastAsia="仿宋"/>
                          </w:rPr>
                        </w:pPr>
                        <w:r>
                          <w:rPr>
                            <w:rFonts w:hint="eastAsia" w:ascii="仿宋" w:hAnsi="仿宋" w:eastAsia="仿宋"/>
                          </w:rPr>
                          <w:t>公开征求意见并修改完善</w:t>
                        </w:r>
                      </w:p>
                    </w:txbxContent>
                  </v:textbox>
                </v:shape>
                <w10:wrap type="square"/>
              </v:group>
            </w:pict>
          </mc:Fallback>
        </mc:AlternateContent>
      </w:r>
      <w:r>
        <w:rPr>
          <w:rFonts w:hint="eastAsia" w:ascii="仿宋" w:hAnsi="仿宋" w:eastAsia="仿宋"/>
          <w:sz w:val="24"/>
          <w:szCs w:val="24"/>
        </w:rPr>
        <w:t xml:space="preserve"> </w:t>
      </w:r>
    </w:p>
    <w:p w14:paraId="18815A6B">
      <w:pPr>
        <w:pStyle w:val="3"/>
        <w:spacing w:before="0" w:after="0" w:line="400" w:lineRule="exact"/>
        <w:rPr>
          <w:rFonts w:hint="eastAsia" w:ascii="黑体" w:hAnsi="黑体" w:eastAsia="黑体"/>
          <w:sz w:val="24"/>
          <w:szCs w:val="24"/>
        </w:rPr>
      </w:pPr>
      <w:r>
        <w:rPr>
          <w:rFonts w:hint="eastAsia" w:ascii="黑体" w:hAnsi="黑体" w:eastAsia="黑体"/>
          <w:sz w:val="24"/>
          <w:szCs w:val="24"/>
        </w:rPr>
        <w:t>二、标准编制原则和确定标准主要内容的论据</w:t>
      </w:r>
    </w:p>
    <w:p w14:paraId="35A53C5F">
      <w:pPr>
        <w:spacing w:line="400" w:lineRule="exact"/>
        <w:rPr>
          <w:rFonts w:ascii="仿宋" w:hAnsi="仿宋" w:eastAsia="仿宋"/>
          <w:b/>
          <w:sz w:val="24"/>
          <w:szCs w:val="24"/>
        </w:rPr>
      </w:pPr>
      <w:r>
        <w:rPr>
          <w:rFonts w:hint="eastAsia" w:ascii="仿宋" w:hAnsi="仿宋" w:eastAsia="仿宋"/>
          <w:b/>
          <w:sz w:val="24"/>
          <w:szCs w:val="24"/>
        </w:rPr>
        <w:t>（一）标准编制原则</w:t>
      </w:r>
    </w:p>
    <w:p w14:paraId="75A4B394">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本标准编制遵循“科学性、实用性、规范性、国际性”四项原则，力求达到能够为全球中医儿科</w:t>
      </w:r>
      <w:r>
        <w:rPr>
          <w:rFonts w:hint="eastAsia" w:ascii="仿宋" w:hAnsi="仿宋" w:eastAsia="仿宋"/>
          <w:bCs/>
          <w:sz w:val="24"/>
          <w:szCs w:val="24"/>
          <w:lang w:val="en-US" w:eastAsia="zh-CN"/>
        </w:rPr>
        <w:t>操作者</w:t>
      </w:r>
      <w:r>
        <w:rPr>
          <w:rFonts w:hint="eastAsia" w:ascii="仿宋" w:hAnsi="仿宋" w:eastAsia="仿宋"/>
          <w:bCs/>
          <w:sz w:val="24"/>
          <w:szCs w:val="24"/>
        </w:rPr>
        <w:t>实际应用，能被国际社会广泛接受和认可，并与国际医疗技术规范接轨的目标。</w:t>
      </w:r>
    </w:p>
    <w:p w14:paraId="5A4AE96F">
      <w:pPr>
        <w:spacing w:line="400" w:lineRule="exact"/>
        <w:rPr>
          <w:rFonts w:ascii="仿宋" w:hAnsi="仿宋" w:eastAsia="仿宋"/>
          <w:b/>
          <w:sz w:val="24"/>
          <w:szCs w:val="24"/>
        </w:rPr>
      </w:pPr>
      <w:r>
        <w:rPr>
          <w:rFonts w:hint="eastAsia" w:ascii="仿宋" w:hAnsi="仿宋" w:eastAsia="仿宋"/>
          <w:b/>
          <w:sz w:val="24"/>
          <w:szCs w:val="24"/>
        </w:rPr>
        <w:t>1  科学性</w:t>
      </w:r>
    </w:p>
    <w:p w14:paraId="55818A07">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本标准的编制通过系统文献研究，广泛检索并整合</w:t>
      </w:r>
      <w:r>
        <w:rPr>
          <w:rFonts w:hint="eastAsia" w:ascii="仿宋" w:hAnsi="仿宋" w:eastAsia="仿宋"/>
          <w:bCs/>
          <w:sz w:val="24"/>
          <w:szCs w:val="24"/>
          <w:lang w:eastAsia="zh-CN"/>
        </w:rPr>
        <w:t>海内外</w:t>
      </w:r>
      <w:r>
        <w:rPr>
          <w:rFonts w:hint="eastAsia" w:ascii="仿宋" w:hAnsi="仿宋" w:eastAsia="仿宋"/>
          <w:bCs/>
          <w:sz w:val="24"/>
          <w:szCs w:val="24"/>
        </w:rPr>
        <w:t>权威标准、指南和临床证据，包括WHO指南、</w:t>
      </w:r>
      <w:r>
        <w:rPr>
          <w:rFonts w:hint="eastAsia" w:ascii="仿宋" w:hAnsi="仿宋" w:eastAsia="仿宋"/>
          <w:sz w:val="24"/>
          <w:szCs w:val="24"/>
        </w:rPr>
        <w:t>Indian Academy of Pediatric</w:t>
      </w:r>
      <w:r>
        <w:rPr>
          <w:rFonts w:hint="eastAsia" w:ascii="仿宋" w:hAnsi="仿宋" w:eastAsia="仿宋"/>
          <w:sz w:val="24"/>
          <w:szCs w:val="24"/>
          <w:lang w:val="en-US" w:eastAsia="zh-CN"/>
        </w:rPr>
        <w:t>指南</w:t>
      </w:r>
      <w:r>
        <w:rPr>
          <w:rFonts w:hint="eastAsia" w:ascii="仿宋" w:hAnsi="仿宋" w:eastAsia="仿宋"/>
          <w:bCs/>
          <w:sz w:val="24"/>
          <w:szCs w:val="24"/>
          <w:lang w:eastAsia="zh-CN"/>
        </w:rPr>
        <w:t>、</w:t>
      </w:r>
      <w:r>
        <w:rPr>
          <w:rFonts w:hint="eastAsia" w:ascii="仿宋" w:hAnsi="仿宋" w:eastAsia="仿宋" w:cs="宋体"/>
          <w:sz w:val="24"/>
          <w:szCs w:val="24"/>
        </w:rPr>
        <w:t>WFCMS</w:t>
      </w:r>
      <w:r>
        <w:rPr>
          <w:rFonts w:hint="eastAsia" w:ascii="仿宋" w:hAnsi="仿宋" w:eastAsia="仿宋"/>
          <w:bCs/>
          <w:sz w:val="24"/>
          <w:szCs w:val="24"/>
          <w:lang w:val="en-US" w:eastAsia="zh-CN"/>
        </w:rPr>
        <w:t>规范</w:t>
      </w:r>
      <w:r>
        <w:rPr>
          <w:rFonts w:hint="eastAsia" w:ascii="仿宋" w:hAnsi="仿宋" w:eastAsia="仿宋"/>
          <w:bCs/>
          <w:sz w:val="24"/>
          <w:szCs w:val="24"/>
        </w:rPr>
        <w:t>以及《中国药典 2025版》等。同时，结合专家问卷调查（</w:t>
      </w:r>
      <w:r>
        <w:rPr>
          <w:rFonts w:hint="eastAsia" w:ascii="仿宋" w:hAnsi="仿宋" w:eastAsia="仿宋"/>
          <w:bCs/>
          <w:sz w:val="24"/>
          <w:szCs w:val="24"/>
          <w:lang w:val="en-US" w:eastAsia="zh-CN"/>
        </w:rPr>
        <w:t>2</w:t>
      </w:r>
      <w:r>
        <w:rPr>
          <w:rFonts w:hint="eastAsia" w:ascii="仿宋" w:hAnsi="仿宋" w:eastAsia="仿宋"/>
          <w:bCs/>
          <w:sz w:val="24"/>
          <w:szCs w:val="24"/>
          <w:lang w:val="en-US" w:eastAsia="zh-CN"/>
        </w:rPr>
        <w:t>7</w:t>
      </w:r>
      <w:r>
        <w:rPr>
          <w:rFonts w:hint="eastAsia" w:ascii="仿宋" w:hAnsi="仿宋" w:eastAsia="仿宋"/>
          <w:bCs/>
          <w:sz w:val="24"/>
          <w:szCs w:val="24"/>
        </w:rPr>
        <w:t>位专家）和专家论证会（13位专家）的共识意见，确保技术条目（如术语定义、操作步骤</w:t>
      </w:r>
      <w:r>
        <w:rPr>
          <w:rFonts w:hint="eastAsia" w:ascii="仿宋" w:hAnsi="仿宋" w:eastAsia="仿宋"/>
          <w:bCs/>
          <w:sz w:val="24"/>
          <w:szCs w:val="24"/>
          <w:lang w:val="en-US" w:eastAsia="zh-CN"/>
        </w:rPr>
        <w:t>与要求</w:t>
      </w:r>
      <w:r>
        <w:rPr>
          <w:rFonts w:hint="eastAsia" w:ascii="仿宋" w:hAnsi="仿宋" w:eastAsia="仿宋"/>
          <w:bCs/>
          <w:sz w:val="24"/>
          <w:szCs w:val="24"/>
        </w:rPr>
        <w:t>、</w:t>
      </w:r>
      <w:r>
        <w:rPr>
          <w:rFonts w:hint="eastAsia" w:ascii="仿宋" w:hAnsi="仿宋" w:eastAsia="仿宋"/>
          <w:sz w:val="24"/>
          <w:szCs w:val="24"/>
        </w:rPr>
        <w:t>注意事项与禁忌</w:t>
      </w:r>
      <w:r>
        <w:rPr>
          <w:rFonts w:hint="eastAsia" w:ascii="仿宋" w:hAnsi="仿宋" w:eastAsia="仿宋"/>
          <w:sz w:val="24"/>
          <w:szCs w:val="24"/>
          <w:lang w:val="en-US" w:eastAsia="zh-CN"/>
        </w:rPr>
        <w:t>等</w:t>
      </w:r>
      <w:r>
        <w:rPr>
          <w:rFonts w:hint="eastAsia" w:ascii="仿宋" w:hAnsi="仿宋" w:eastAsia="仿宋"/>
          <w:bCs/>
          <w:sz w:val="24"/>
          <w:szCs w:val="24"/>
        </w:rPr>
        <w:t>）具有可靠的证据支撑，避免主观经验偏差，促进标准内容的客观性和可验证性。专家论证会邀请中医儿科、中西医结合儿科、西医儿科、标准化专家共同参与，确保技术内容的科学严谨。</w:t>
      </w:r>
    </w:p>
    <w:p w14:paraId="2AD7DDDD">
      <w:pPr>
        <w:spacing w:line="400" w:lineRule="exact"/>
        <w:rPr>
          <w:rFonts w:ascii="仿宋" w:hAnsi="仿宋" w:eastAsia="仿宋"/>
          <w:b/>
          <w:sz w:val="24"/>
          <w:szCs w:val="24"/>
        </w:rPr>
      </w:pPr>
      <w:r>
        <w:rPr>
          <w:rFonts w:hint="eastAsia" w:ascii="仿宋" w:hAnsi="仿宋" w:eastAsia="仿宋"/>
          <w:b/>
          <w:sz w:val="24"/>
          <w:szCs w:val="24"/>
        </w:rPr>
        <w:t>2  实用性</w:t>
      </w:r>
    </w:p>
    <w:p w14:paraId="62A73A44">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本标准旨在规范全球中医儿科</w:t>
      </w:r>
      <w:r>
        <w:rPr>
          <w:rFonts w:hint="eastAsia" w:ascii="仿宋" w:hAnsi="仿宋" w:eastAsia="仿宋"/>
          <w:bCs/>
          <w:sz w:val="24"/>
          <w:szCs w:val="24"/>
          <w:lang w:val="en-US" w:eastAsia="zh-CN"/>
        </w:rPr>
        <w:t>推拿</w:t>
      </w:r>
      <w:r>
        <w:rPr>
          <w:rFonts w:hint="eastAsia" w:ascii="仿宋" w:hAnsi="仿宋" w:eastAsia="仿宋"/>
          <w:bCs/>
          <w:sz w:val="24"/>
          <w:szCs w:val="24"/>
        </w:rPr>
        <w:t>操作，直接服务于儿科临床。针对中医儿科临床实际需求，优化操作细节。基于原国家标准GB/Z 40893.</w:t>
      </w:r>
      <w:r>
        <w:rPr>
          <w:rFonts w:hint="eastAsia" w:ascii="仿宋" w:hAnsi="仿宋" w:eastAsia="仿宋"/>
          <w:bCs/>
          <w:sz w:val="24"/>
          <w:szCs w:val="24"/>
          <w:lang w:val="en-US" w:eastAsia="zh-CN"/>
        </w:rPr>
        <w:t>4</w:t>
      </w:r>
      <w:r>
        <w:rPr>
          <w:rFonts w:hint="eastAsia" w:ascii="仿宋" w:hAnsi="仿宋" w:eastAsia="仿宋"/>
          <w:bCs/>
          <w:sz w:val="24"/>
          <w:szCs w:val="24"/>
        </w:rPr>
        <w:t>-2021的框架，结合文献研究、专家共识，使标准易于操作，适用于中医医疗、教学、科研等领域，提高临床依从性和疗效保障。标准内容充分参考了原国家标准实施3年多来的临床反馈及海外推广应用经验，确保标准内容贴合临床实际，易于操作执行。</w:t>
      </w:r>
    </w:p>
    <w:p w14:paraId="047CA6F8">
      <w:pPr>
        <w:spacing w:line="400" w:lineRule="exact"/>
        <w:rPr>
          <w:rFonts w:ascii="仿宋" w:hAnsi="仿宋" w:eastAsia="仿宋"/>
          <w:b/>
          <w:sz w:val="24"/>
          <w:szCs w:val="24"/>
        </w:rPr>
      </w:pPr>
      <w:r>
        <w:rPr>
          <w:rFonts w:hint="eastAsia" w:ascii="仿宋" w:hAnsi="仿宋" w:eastAsia="仿宋"/>
          <w:b/>
          <w:sz w:val="24"/>
          <w:szCs w:val="24"/>
        </w:rPr>
        <w:t>3  规范性</w:t>
      </w:r>
    </w:p>
    <w:p w14:paraId="47634EB6">
      <w:pPr>
        <w:spacing w:line="400" w:lineRule="exact"/>
        <w:ind w:firstLine="480" w:firstLineChars="200"/>
        <w:rPr>
          <w:rFonts w:ascii="仿宋" w:hAnsi="仿宋" w:eastAsia="仿宋"/>
          <w:bCs/>
          <w:sz w:val="24"/>
          <w:szCs w:val="24"/>
        </w:rPr>
      </w:pPr>
      <w:r>
        <w:rPr>
          <w:rFonts w:hint="eastAsia" w:ascii="仿宋" w:hAnsi="仿宋" w:eastAsia="仿宋"/>
          <w:bCs/>
          <w:sz w:val="24"/>
          <w:szCs w:val="24"/>
        </w:rPr>
        <w:t>严格遵守</w:t>
      </w:r>
      <w:r>
        <w:rPr>
          <w:rFonts w:hint="eastAsia" w:ascii="仿宋" w:hAnsi="仿宋" w:eastAsia="仿宋"/>
          <w:sz w:val="24"/>
          <w:szCs w:val="24"/>
        </w:rPr>
        <w:t>世界中联</w:t>
      </w:r>
      <w:r>
        <w:rPr>
          <w:rFonts w:hint="eastAsia" w:ascii="仿宋" w:hAnsi="仿宋" w:eastAsia="仿宋"/>
          <w:bCs/>
          <w:sz w:val="24"/>
          <w:szCs w:val="24"/>
        </w:rPr>
        <w:t>SCM1.1-2021《标准化工作导则第1部分：标准制修订与发布》的程序要求，包括文献研究、专家调查、论证会和内部协调会议等环节。统一术语定义、标准化操作步骤，确保标准文本结构清晰、一致性强，便于国际组织审核和全球应用。</w:t>
      </w:r>
    </w:p>
    <w:p w14:paraId="60A5CE86">
      <w:pPr>
        <w:spacing w:line="400" w:lineRule="exact"/>
        <w:rPr>
          <w:rFonts w:ascii="仿宋" w:hAnsi="仿宋" w:eastAsia="仿宋"/>
          <w:b/>
          <w:sz w:val="24"/>
          <w:szCs w:val="24"/>
        </w:rPr>
      </w:pPr>
      <w:r>
        <w:rPr>
          <w:rFonts w:hint="eastAsia" w:ascii="仿宋" w:hAnsi="仿宋" w:eastAsia="仿宋"/>
          <w:b/>
          <w:sz w:val="24"/>
          <w:szCs w:val="24"/>
        </w:rPr>
        <w:t>4  国际适配性</w:t>
      </w:r>
    </w:p>
    <w:p w14:paraId="5FBB3FCC">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兼顾中医特色与国际法规要求，覆盖多国专家意见（包括中国、新加坡、马来西亚、澳大利亚、美国等），充分考虑不同国家法律法规、医疗体系和文化背景差异。在“范围”部分明确“本文件涉及的所有操作，操作者应遵守所在国家或地区的法律法规及执业范围要求”。在术语定义、操作步骤中吸纳WHO、</w:t>
      </w:r>
      <w:r>
        <w:rPr>
          <w:rFonts w:hint="eastAsia" w:ascii="仿宋" w:hAnsi="仿宋" w:eastAsia="仿宋" w:cs="宋体"/>
          <w:sz w:val="24"/>
          <w:szCs w:val="24"/>
        </w:rPr>
        <w:t>WFCMS</w:t>
      </w:r>
      <w:r>
        <w:rPr>
          <w:rFonts w:hint="eastAsia" w:ascii="仿宋" w:hAnsi="仿宋" w:eastAsia="仿宋"/>
          <w:bCs/>
          <w:sz w:val="24"/>
          <w:szCs w:val="24"/>
          <w:lang w:val="en-US" w:eastAsia="zh-CN"/>
        </w:rPr>
        <w:t>、</w:t>
      </w:r>
      <w:r>
        <w:rPr>
          <w:rFonts w:hint="eastAsia" w:ascii="仿宋" w:hAnsi="仿宋" w:eastAsia="仿宋"/>
          <w:sz w:val="24"/>
          <w:szCs w:val="24"/>
        </w:rPr>
        <w:t>Indian Academy of Pediatric</w:t>
      </w:r>
      <w:r>
        <w:rPr>
          <w:rFonts w:hint="eastAsia" w:ascii="仿宋" w:hAnsi="仿宋" w:eastAsia="仿宋"/>
          <w:bCs/>
          <w:sz w:val="24"/>
          <w:szCs w:val="24"/>
        </w:rPr>
        <w:t>等权威机构的技术规范，利于标准在全球范围内的推广应用，适应不同国家和地区的医疗环境，推动中医儿科技术的国际化发展。</w:t>
      </w:r>
    </w:p>
    <w:p w14:paraId="017DF422">
      <w:pPr>
        <w:spacing w:line="400" w:lineRule="exact"/>
        <w:rPr>
          <w:rFonts w:hint="eastAsia" w:ascii="仿宋" w:hAnsi="仿宋" w:eastAsia="仿宋"/>
          <w:b/>
          <w:sz w:val="24"/>
          <w:szCs w:val="24"/>
        </w:rPr>
      </w:pPr>
      <w:r>
        <w:rPr>
          <w:rFonts w:hint="eastAsia" w:ascii="仿宋" w:hAnsi="仿宋" w:eastAsia="仿宋"/>
          <w:b/>
          <w:sz w:val="24"/>
          <w:szCs w:val="24"/>
        </w:rPr>
        <w:t>（二）确定标准主要内容的方法和论据</w:t>
      </w:r>
    </w:p>
    <w:p w14:paraId="08FE8181">
      <w:pPr>
        <w:spacing w:line="400" w:lineRule="exact"/>
        <w:rPr>
          <w:rFonts w:hint="eastAsia" w:ascii="仿宋" w:hAnsi="仿宋" w:eastAsia="仿宋"/>
          <w:b/>
          <w:sz w:val="24"/>
          <w:szCs w:val="24"/>
        </w:rPr>
      </w:pPr>
      <w:r>
        <w:rPr>
          <w:rFonts w:ascii="仿宋" w:hAnsi="仿宋" w:eastAsia="仿宋"/>
          <w:b/>
          <w:sz w:val="24"/>
          <w:szCs w:val="24"/>
        </w:rPr>
        <w:t xml:space="preserve">1  </w:t>
      </w:r>
      <w:r>
        <w:rPr>
          <w:rFonts w:hint="eastAsia" w:ascii="仿宋" w:hAnsi="仿宋" w:eastAsia="仿宋"/>
          <w:b/>
          <w:sz w:val="24"/>
          <w:szCs w:val="24"/>
        </w:rPr>
        <w:t>标准的主要内容</w:t>
      </w:r>
    </w:p>
    <w:p w14:paraId="1C3CE511">
      <w:pPr>
        <w:spacing w:line="400" w:lineRule="exact"/>
        <w:ind w:firstLine="480" w:firstLineChars="200"/>
        <w:rPr>
          <w:rFonts w:ascii="仿宋" w:hAnsi="仿宋" w:eastAsia="仿宋"/>
          <w:sz w:val="24"/>
          <w:szCs w:val="24"/>
        </w:rPr>
      </w:pPr>
      <w:r>
        <w:rPr>
          <w:rFonts w:hint="eastAsia" w:ascii="仿宋" w:hAnsi="仿宋" w:eastAsia="仿宋"/>
          <w:sz w:val="24"/>
          <w:szCs w:val="24"/>
        </w:rPr>
        <w:t>本项目</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共有</w:t>
      </w:r>
      <w:r>
        <w:rPr>
          <w:rFonts w:hint="eastAsia" w:ascii="仿宋" w:hAnsi="仿宋" w:eastAsia="仿宋"/>
          <w:sz w:val="24"/>
          <w:szCs w:val="24"/>
          <w:lang w:val="en-US" w:eastAsia="zh-CN"/>
        </w:rPr>
        <w:t>11</w:t>
      </w:r>
      <w:r>
        <w:rPr>
          <w:rFonts w:hint="eastAsia" w:ascii="仿宋" w:hAnsi="仿宋" w:eastAsia="仿宋"/>
          <w:sz w:val="24"/>
          <w:szCs w:val="24"/>
        </w:rPr>
        <w:t>个组成部分：范围、规范性引用文件、术语和定义、操作步骤与要求、注意事项和禁忌、附录A（资料性）</w:t>
      </w:r>
      <w:r>
        <w:rPr>
          <w:rFonts w:hint="eastAsia" w:ascii="仿宋" w:hAnsi="仿宋" w:eastAsia="仿宋"/>
          <w:sz w:val="24"/>
          <w:szCs w:val="24"/>
          <w:lang w:val="en-US" w:eastAsia="zh-CN"/>
        </w:rPr>
        <w:t>小儿推拿常用介质</w:t>
      </w:r>
      <w:r>
        <w:rPr>
          <w:rFonts w:hint="eastAsia" w:ascii="仿宋" w:hAnsi="仿宋" w:eastAsia="仿宋"/>
          <w:sz w:val="24"/>
          <w:szCs w:val="24"/>
        </w:rPr>
        <w:t>、附录B（资料性）小儿推拿常用穴位、附录</w:t>
      </w:r>
      <w:r>
        <w:rPr>
          <w:rFonts w:hint="default" w:ascii="仿宋" w:hAnsi="仿宋" w:eastAsia="仿宋"/>
          <w:sz w:val="24"/>
          <w:szCs w:val="24"/>
          <w:lang w:val="en-US"/>
        </w:rPr>
        <w:t>C</w:t>
      </w:r>
      <w:r>
        <w:rPr>
          <w:rFonts w:hint="eastAsia" w:ascii="仿宋" w:hAnsi="仿宋" w:eastAsia="仿宋"/>
          <w:sz w:val="24"/>
          <w:szCs w:val="24"/>
        </w:rPr>
        <w:t>（资料性）小儿推拿治疗操作时间及治疗间隔与疗程、附录</w:t>
      </w:r>
      <w:r>
        <w:rPr>
          <w:rFonts w:hint="default" w:ascii="仿宋" w:hAnsi="仿宋" w:eastAsia="仿宋"/>
          <w:sz w:val="24"/>
          <w:szCs w:val="24"/>
          <w:lang w:val="en-US"/>
        </w:rPr>
        <w:t>D</w:t>
      </w:r>
      <w:r>
        <w:rPr>
          <w:rFonts w:hint="eastAsia" w:ascii="仿宋" w:hAnsi="仿宋" w:eastAsia="仿宋"/>
          <w:sz w:val="24"/>
          <w:szCs w:val="24"/>
        </w:rPr>
        <w:t>（资料性）小儿推拿疗法注意事项、附录</w:t>
      </w:r>
      <w:r>
        <w:rPr>
          <w:rFonts w:hint="default" w:ascii="仿宋" w:hAnsi="仿宋" w:eastAsia="仿宋"/>
          <w:sz w:val="24"/>
          <w:szCs w:val="24"/>
          <w:lang w:val="en-US"/>
        </w:rPr>
        <w:t>E</w:t>
      </w:r>
      <w:r>
        <w:rPr>
          <w:rFonts w:hint="eastAsia" w:ascii="仿宋" w:hAnsi="仿宋" w:eastAsia="仿宋"/>
          <w:sz w:val="24"/>
          <w:szCs w:val="24"/>
        </w:rPr>
        <w:t>（资料性）小儿推拿疗法</w:t>
      </w:r>
      <w:r>
        <w:rPr>
          <w:rFonts w:hint="eastAsia" w:ascii="仿宋" w:hAnsi="仿宋" w:eastAsia="仿宋"/>
          <w:sz w:val="24"/>
          <w:szCs w:val="24"/>
          <w:lang w:val="en-US" w:eastAsia="zh-CN"/>
        </w:rPr>
        <w:t>禁忌</w:t>
      </w:r>
      <w:r>
        <w:rPr>
          <w:rFonts w:hint="eastAsia" w:ascii="仿宋" w:hAnsi="仿宋" w:eastAsia="仿宋"/>
          <w:sz w:val="24"/>
          <w:szCs w:val="24"/>
        </w:rPr>
        <w:t>、参考文献等。</w:t>
      </w:r>
    </w:p>
    <w:p w14:paraId="0096C32A">
      <w:pPr>
        <w:spacing w:line="400" w:lineRule="exact"/>
        <w:ind w:firstLine="480" w:firstLineChars="200"/>
        <w:rPr>
          <w:rFonts w:hint="eastAsia" w:ascii="仿宋" w:hAnsi="仿宋" w:eastAsia="仿宋"/>
        </w:rPr>
      </w:pPr>
      <w:r>
        <w:rPr>
          <w:rFonts w:hint="eastAsia" w:ascii="仿宋" w:hAnsi="仿宋" w:eastAsia="仿宋"/>
          <w:sz w:val="24"/>
          <w:szCs w:val="24"/>
        </w:rPr>
        <w:t>（1）范围</w:t>
      </w:r>
    </w:p>
    <w:p w14:paraId="17240164">
      <w:pPr>
        <w:spacing w:line="400" w:lineRule="exact"/>
        <w:ind w:firstLine="480"/>
        <w:rPr>
          <w:rFonts w:hint="eastAsia" w:ascii="仿宋" w:hAnsi="仿宋" w:eastAsia="仿宋"/>
          <w:sz w:val="24"/>
          <w:szCs w:val="24"/>
        </w:rPr>
      </w:pPr>
      <w:r>
        <w:rPr>
          <w:rFonts w:hint="eastAsia" w:ascii="仿宋" w:hAnsi="仿宋" w:eastAsia="仿宋"/>
          <w:sz w:val="24"/>
          <w:szCs w:val="24"/>
        </w:rPr>
        <w:t>（2）规范性引用文件</w:t>
      </w:r>
    </w:p>
    <w:p w14:paraId="6D2C098D">
      <w:pPr>
        <w:spacing w:line="400" w:lineRule="exact"/>
        <w:ind w:firstLine="480"/>
        <w:rPr>
          <w:rFonts w:hint="eastAsia" w:ascii="仿宋" w:hAnsi="仿宋" w:eastAsia="仿宋"/>
          <w:sz w:val="24"/>
          <w:szCs w:val="24"/>
        </w:rPr>
      </w:pPr>
      <w:r>
        <w:rPr>
          <w:rFonts w:hint="eastAsia" w:ascii="仿宋" w:hAnsi="仿宋" w:eastAsia="仿宋"/>
          <w:sz w:val="24"/>
          <w:szCs w:val="24"/>
        </w:rPr>
        <w:t>（3）术语和定义</w:t>
      </w:r>
    </w:p>
    <w:p w14:paraId="56FB177C">
      <w:pPr>
        <w:spacing w:line="400" w:lineRule="exact"/>
        <w:ind w:firstLine="480"/>
        <w:rPr>
          <w:rFonts w:hint="eastAsia" w:ascii="仿宋" w:hAnsi="仿宋" w:eastAsia="仿宋"/>
          <w:sz w:val="24"/>
          <w:szCs w:val="24"/>
          <w:lang w:val="en-US" w:eastAsia="zh-CN"/>
        </w:rPr>
      </w:pPr>
      <w:r>
        <w:rPr>
          <w:rFonts w:hint="eastAsia" w:ascii="仿宋" w:hAnsi="仿宋" w:eastAsia="仿宋"/>
          <w:sz w:val="24"/>
          <w:szCs w:val="24"/>
        </w:rPr>
        <w:t>（4）操作步骤与要</w:t>
      </w:r>
      <w:r>
        <w:rPr>
          <w:rFonts w:hint="eastAsia" w:ascii="仿宋" w:hAnsi="仿宋" w:eastAsia="仿宋"/>
          <w:sz w:val="24"/>
          <w:szCs w:val="24"/>
          <w:lang w:val="en-US" w:eastAsia="zh-CN"/>
        </w:rPr>
        <w:t>求</w:t>
      </w:r>
    </w:p>
    <w:p w14:paraId="18C8A850">
      <w:pPr>
        <w:spacing w:line="400" w:lineRule="exact"/>
        <w:ind w:firstLine="480"/>
        <w:rPr>
          <w:rFonts w:ascii="仿宋" w:hAnsi="仿宋" w:eastAsia="仿宋"/>
          <w:sz w:val="24"/>
          <w:szCs w:val="24"/>
        </w:rPr>
      </w:pPr>
      <w:r>
        <w:rPr>
          <w:rFonts w:hint="eastAsia" w:ascii="仿宋" w:hAnsi="仿宋" w:eastAsia="仿宋"/>
          <w:sz w:val="24"/>
          <w:szCs w:val="24"/>
        </w:rPr>
        <w:t>（5）注意事项和禁忌</w:t>
      </w:r>
    </w:p>
    <w:p w14:paraId="521DD8DE">
      <w:pPr>
        <w:numPr>
          <w:ilvl w:val="0"/>
          <w:numId w:val="1"/>
        </w:numPr>
        <w:spacing w:line="400" w:lineRule="exact"/>
        <w:ind w:firstLine="480"/>
        <w:rPr>
          <w:rFonts w:hint="eastAsia" w:ascii="仿宋" w:hAnsi="仿宋" w:eastAsia="仿宋"/>
          <w:sz w:val="24"/>
          <w:szCs w:val="24"/>
        </w:rPr>
      </w:pPr>
      <w:r>
        <w:rPr>
          <w:rFonts w:hint="eastAsia" w:ascii="仿宋" w:hAnsi="仿宋" w:eastAsia="仿宋"/>
          <w:sz w:val="24"/>
          <w:szCs w:val="24"/>
        </w:rPr>
        <w:t>附录A（资料性）</w:t>
      </w:r>
      <w:r>
        <w:rPr>
          <w:rFonts w:hint="eastAsia" w:ascii="仿宋" w:hAnsi="仿宋" w:eastAsia="仿宋"/>
          <w:sz w:val="24"/>
          <w:szCs w:val="24"/>
          <w:lang w:val="en-US" w:eastAsia="zh-CN"/>
        </w:rPr>
        <w:t>小儿推拿常用介质</w:t>
      </w:r>
    </w:p>
    <w:p w14:paraId="76697B13">
      <w:pPr>
        <w:numPr>
          <w:ilvl w:val="0"/>
          <w:numId w:val="1"/>
        </w:numPr>
        <w:spacing w:line="400" w:lineRule="exact"/>
        <w:ind w:firstLine="480"/>
        <w:rPr>
          <w:rFonts w:ascii="仿宋" w:hAnsi="仿宋" w:eastAsia="仿宋"/>
          <w:sz w:val="24"/>
          <w:szCs w:val="24"/>
        </w:rPr>
      </w:pPr>
      <w:r>
        <w:rPr>
          <w:rFonts w:hint="eastAsia" w:ascii="仿宋" w:hAnsi="仿宋" w:eastAsia="仿宋"/>
          <w:sz w:val="24"/>
          <w:szCs w:val="24"/>
        </w:rPr>
        <w:t>附录B（资料性）小儿推拿常用穴位</w:t>
      </w:r>
    </w:p>
    <w:p w14:paraId="63518F11">
      <w:pPr>
        <w:spacing w:line="400" w:lineRule="exact"/>
        <w:ind w:firstLine="480" w:firstLineChars="200"/>
        <w:rPr>
          <w:rFonts w:ascii="仿宋" w:hAnsi="仿宋" w:eastAsia="仿宋"/>
          <w:sz w:val="24"/>
          <w:szCs w:val="24"/>
        </w:rPr>
      </w:pPr>
      <w:r>
        <w:rPr>
          <w:rFonts w:hint="eastAsia" w:ascii="仿宋" w:hAnsi="仿宋" w:eastAsia="仿宋"/>
          <w:sz w:val="24"/>
          <w:szCs w:val="24"/>
        </w:rPr>
        <w:t>（8）附录</w:t>
      </w:r>
      <w:r>
        <w:rPr>
          <w:rFonts w:hint="default" w:ascii="仿宋" w:hAnsi="仿宋" w:eastAsia="仿宋"/>
          <w:sz w:val="24"/>
          <w:szCs w:val="24"/>
          <w:lang w:val="en-US"/>
        </w:rPr>
        <w:t>C</w:t>
      </w:r>
      <w:r>
        <w:rPr>
          <w:rFonts w:hint="eastAsia" w:ascii="仿宋" w:hAnsi="仿宋" w:eastAsia="仿宋"/>
          <w:sz w:val="24"/>
          <w:szCs w:val="24"/>
        </w:rPr>
        <w:t>（资料性）小儿推拿治疗操作时间及治疗间隔与疗程</w:t>
      </w:r>
    </w:p>
    <w:p w14:paraId="4DDF0224">
      <w:pPr>
        <w:spacing w:line="400" w:lineRule="exact"/>
        <w:ind w:firstLine="480" w:firstLineChars="200"/>
        <w:rPr>
          <w:rFonts w:ascii="仿宋" w:hAnsi="仿宋" w:eastAsia="仿宋"/>
          <w:sz w:val="24"/>
          <w:szCs w:val="24"/>
        </w:rPr>
      </w:pPr>
      <w:r>
        <w:rPr>
          <w:rFonts w:hint="eastAsia" w:ascii="仿宋" w:hAnsi="仿宋" w:eastAsia="仿宋"/>
          <w:sz w:val="24"/>
          <w:szCs w:val="24"/>
        </w:rPr>
        <w:t>（9）附录</w:t>
      </w:r>
      <w:r>
        <w:rPr>
          <w:rFonts w:hint="default" w:ascii="仿宋" w:hAnsi="仿宋" w:eastAsia="仿宋"/>
          <w:sz w:val="24"/>
          <w:szCs w:val="24"/>
          <w:lang w:val="en-US"/>
        </w:rPr>
        <w:t>D</w:t>
      </w:r>
      <w:r>
        <w:rPr>
          <w:rFonts w:hint="eastAsia" w:ascii="仿宋" w:hAnsi="仿宋" w:eastAsia="仿宋"/>
          <w:sz w:val="24"/>
          <w:szCs w:val="24"/>
        </w:rPr>
        <w:t>（资料性）小儿推拿疗法注意事项</w:t>
      </w:r>
    </w:p>
    <w:p w14:paraId="00B805F4">
      <w:pPr>
        <w:spacing w:line="400" w:lineRule="exact"/>
        <w:ind w:firstLine="480" w:firstLineChars="200"/>
        <w:rPr>
          <w:rFonts w:ascii="仿宋" w:hAnsi="仿宋" w:eastAsia="仿宋"/>
          <w:sz w:val="24"/>
          <w:szCs w:val="24"/>
        </w:rPr>
      </w:pPr>
      <w:r>
        <w:rPr>
          <w:rFonts w:hint="eastAsia" w:ascii="仿宋" w:hAnsi="仿宋" w:eastAsia="仿宋"/>
          <w:sz w:val="24"/>
          <w:szCs w:val="24"/>
        </w:rPr>
        <w:t>（10）附录</w:t>
      </w:r>
      <w:r>
        <w:rPr>
          <w:rFonts w:hint="default" w:ascii="仿宋" w:hAnsi="仿宋" w:eastAsia="仿宋"/>
          <w:sz w:val="24"/>
          <w:szCs w:val="24"/>
          <w:lang w:val="en-US"/>
        </w:rPr>
        <w:t>E</w:t>
      </w:r>
      <w:r>
        <w:rPr>
          <w:rFonts w:hint="eastAsia" w:ascii="仿宋" w:hAnsi="仿宋" w:eastAsia="仿宋"/>
          <w:sz w:val="24"/>
          <w:szCs w:val="24"/>
        </w:rPr>
        <w:t>（资料性）小儿推拿疗法</w:t>
      </w:r>
      <w:r>
        <w:rPr>
          <w:rFonts w:hint="eastAsia" w:ascii="仿宋" w:hAnsi="仿宋" w:eastAsia="仿宋"/>
          <w:sz w:val="24"/>
          <w:szCs w:val="24"/>
          <w:lang w:val="en-US" w:eastAsia="zh-CN"/>
        </w:rPr>
        <w:t>禁忌</w:t>
      </w:r>
    </w:p>
    <w:p w14:paraId="088C0FFC">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（11）参考文献</w:t>
      </w:r>
    </w:p>
    <w:p w14:paraId="3C9170BE">
      <w:pPr>
        <w:spacing w:line="400" w:lineRule="exact"/>
        <w:rPr>
          <w:rFonts w:hint="eastAsia" w:ascii="仿宋" w:hAnsi="仿宋" w:eastAsia="仿宋"/>
          <w:b/>
          <w:sz w:val="24"/>
          <w:szCs w:val="24"/>
        </w:rPr>
      </w:pPr>
      <w:r>
        <w:rPr>
          <w:rFonts w:ascii="仿宋" w:hAnsi="仿宋" w:eastAsia="仿宋"/>
          <w:b/>
          <w:sz w:val="24"/>
          <w:szCs w:val="24"/>
        </w:rPr>
        <w:t xml:space="preserve">2  </w:t>
      </w:r>
      <w:r>
        <w:rPr>
          <w:rFonts w:hint="eastAsia" w:ascii="仿宋" w:hAnsi="仿宋" w:eastAsia="仿宋"/>
          <w:b/>
          <w:sz w:val="24"/>
          <w:szCs w:val="24"/>
        </w:rPr>
        <w:t>确定标准主要内容的方法</w:t>
      </w:r>
    </w:p>
    <w:p w14:paraId="0C49AD50">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1</w:t>
      </w:r>
      <w:r>
        <w:rPr>
          <w:rFonts w:hint="eastAsia" w:ascii="仿宋" w:hAnsi="仿宋" w:eastAsia="仿宋"/>
          <w:b/>
          <w:sz w:val="24"/>
          <w:szCs w:val="24"/>
        </w:rPr>
        <w:t>）文献的收集和筛选</w:t>
      </w:r>
    </w:p>
    <w:p w14:paraId="2CAFE8E6">
      <w:pPr>
        <w:spacing w:line="400" w:lineRule="exact"/>
        <w:ind w:firstLine="470" w:firstLineChars="196"/>
        <w:rPr>
          <w:rFonts w:hint="eastAsia" w:ascii="仿宋" w:hAnsi="仿宋" w:eastAsia="仿宋" w:cs="宋体"/>
          <w:sz w:val="24"/>
          <w:szCs w:val="24"/>
        </w:rPr>
      </w:pPr>
      <w:r>
        <w:rPr>
          <w:rFonts w:hint="eastAsia" w:ascii="仿宋" w:hAnsi="仿宋" w:eastAsia="仿宋" w:cs="宋体"/>
          <w:sz w:val="24"/>
          <w:szCs w:val="24"/>
        </w:rPr>
        <w:t>文献收集工作于2025年9-10月开展，旨在为国家标准向国际标准的转化提供证据支撑。项目组通过</w:t>
      </w:r>
      <w:r>
        <w:rPr>
          <w:rFonts w:hint="eastAsia" w:ascii="仿宋" w:hAnsi="仿宋" w:eastAsia="仿宋" w:cs="宋体"/>
          <w:sz w:val="24"/>
          <w:szCs w:val="24"/>
          <w:lang w:eastAsia="zh-CN"/>
        </w:rPr>
        <w:t>海内外</w:t>
      </w:r>
      <w:r>
        <w:rPr>
          <w:rFonts w:hint="eastAsia" w:ascii="仿宋" w:hAnsi="仿宋" w:eastAsia="仿宋" w:cs="宋体"/>
          <w:sz w:val="24"/>
          <w:szCs w:val="24"/>
        </w:rPr>
        <w:t>权威数据库和标准平台进行系统检索，包括国际标准（如ISO/TC249、WHO IRIS）、国内标准（如国家标准全文公开系统、全国标准信息公共服务平台）、文献数据库（如PubMed、中国知网）以及国外组织机构发布的指南和共识。检索策略采用关键词组合方式，英文关键词包括“Pediatric”、“Child”、“Infant”、“Newborn”、</w:t>
      </w:r>
      <w:r>
        <w:rPr>
          <w:rFonts w:hint="eastAsia" w:ascii="仿宋" w:hAnsi="仿宋" w:eastAsia="仿宋"/>
          <w:sz w:val="24"/>
          <w:szCs w:val="24"/>
        </w:rPr>
        <w:t>“Tuina”、“massage”</w:t>
      </w:r>
      <w:r>
        <w:rPr>
          <w:rFonts w:hint="eastAsia" w:ascii="仿宋" w:hAnsi="仿宋" w:eastAsia="仿宋"/>
          <w:sz w:val="24"/>
          <w:szCs w:val="24"/>
          <w:lang w:eastAsia="zh-CN"/>
        </w:rPr>
        <w:t>、</w:t>
      </w:r>
      <w:r>
        <w:rPr>
          <w:rFonts w:hint="eastAsia" w:ascii="仿宋" w:hAnsi="仿宋" w:eastAsia="仿宋" w:cs="宋体"/>
          <w:sz w:val="24"/>
          <w:szCs w:val="24"/>
        </w:rPr>
        <w:t>“Guideline”、“Standard”等；中文关键词包括“</w:t>
      </w:r>
      <w:r>
        <w:rPr>
          <w:rFonts w:hint="eastAsia" w:ascii="仿宋" w:hAnsi="仿宋" w:eastAsia="仿宋" w:cs="宋体"/>
          <w:sz w:val="24"/>
          <w:szCs w:val="24"/>
          <w:lang w:val="en-US" w:eastAsia="zh-CN"/>
        </w:rPr>
        <w:t>推拿</w:t>
      </w:r>
      <w:r>
        <w:rPr>
          <w:rFonts w:hint="eastAsia" w:ascii="仿宋" w:hAnsi="仿宋" w:eastAsia="仿宋" w:cs="宋体"/>
          <w:sz w:val="24"/>
          <w:szCs w:val="24"/>
        </w:rPr>
        <w:t>”、“</w:t>
      </w:r>
      <w:r>
        <w:rPr>
          <w:rFonts w:hint="eastAsia" w:ascii="仿宋" w:hAnsi="仿宋" w:eastAsia="仿宋" w:cs="宋体"/>
          <w:sz w:val="24"/>
          <w:szCs w:val="24"/>
          <w:lang w:val="en-US" w:eastAsia="zh-CN"/>
        </w:rPr>
        <w:t>按摩</w:t>
      </w:r>
      <w:r>
        <w:rPr>
          <w:rFonts w:hint="eastAsia" w:ascii="仿宋" w:hAnsi="仿宋" w:eastAsia="仿宋" w:cs="宋体"/>
          <w:sz w:val="24"/>
          <w:szCs w:val="24"/>
        </w:rPr>
        <w:t>”、“</w:t>
      </w:r>
      <w:r>
        <w:rPr>
          <w:rFonts w:hint="eastAsia" w:ascii="仿宋" w:hAnsi="仿宋" w:eastAsia="仿宋" w:cs="宋体"/>
          <w:sz w:val="24"/>
          <w:szCs w:val="24"/>
          <w:lang w:val="en-US" w:eastAsia="zh-CN"/>
        </w:rPr>
        <w:t>中医</w:t>
      </w:r>
      <w:r>
        <w:rPr>
          <w:rFonts w:hint="eastAsia" w:ascii="仿宋" w:hAnsi="仿宋" w:eastAsia="仿宋" w:cs="宋体"/>
          <w:sz w:val="24"/>
          <w:szCs w:val="24"/>
        </w:rPr>
        <w:t>”、“</w:t>
      </w:r>
      <w:r>
        <w:rPr>
          <w:rFonts w:hint="eastAsia" w:ascii="仿宋" w:hAnsi="仿宋" w:eastAsia="仿宋" w:cs="宋体"/>
          <w:sz w:val="24"/>
          <w:szCs w:val="24"/>
          <w:lang w:val="en-US" w:eastAsia="zh-CN"/>
        </w:rPr>
        <w:t>穴位</w:t>
      </w:r>
      <w:r>
        <w:rPr>
          <w:rFonts w:hint="eastAsia" w:ascii="仿宋" w:hAnsi="仿宋" w:eastAsia="仿宋" w:cs="宋体"/>
          <w:sz w:val="24"/>
          <w:szCs w:val="24"/>
        </w:rPr>
        <w:t>”、“儿科”、“儿童”等。限制条件主要为英文文献（人类、儿童0-18岁）、中文文献（2021年11月后），以确保证据的时效性和相关性。</w:t>
      </w:r>
    </w:p>
    <w:p w14:paraId="2BF276A2">
      <w:pPr>
        <w:spacing w:line="400" w:lineRule="exact"/>
        <w:ind w:firstLine="470" w:firstLineChars="196"/>
        <w:rPr>
          <w:rFonts w:ascii="仿宋" w:hAnsi="仿宋" w:eastAsia="仿宋" w:cs="宋体"/>
          <w:sz w:val="24"/>
          <w:szCs w:val="24"/>
        </w:rPr>
      </w:pPr>
      <w:r>
        <w:rPr>
          <w:rFonts w:hint="eastAsia" w:ascii="仿宋" w:hAnsi="仿宋" w:eastAsia="仿宋" w:cs="宋体"/>
          <w:sz w:val="24"/>
          <w:szCs w:val="24"/>
        </w:rPr>
        <w:t>检索来源覆盖：①国内标准：国家标准、行业标准、团体标准、地方标准，以及《中华人民共和国药典》（2025版）。②国际（组织）标准：ISO、WHO指南、WFCMS标准等。③国外组织机构：</w:t>
      </w:r>
      <w:r>
        <w:rPr>
          <w:rFonts w:hint="eastAsia" w:ascii="仿宋" w:hAnsi="仿宋" w:eastAsia="仿宋"/>
          <w:sz w:val="24"/>
          <w:szCs w:val="24"/>
        </w:rPr>
        <w:t>Indian Academy of Pediatrics</w:t>
      </w:r>
      <w:r>
        <w:rPr>
          <w:rFonts w:hint="eastAsia" w:ascii="仿宋" w:hAnsi="仿宋" w:eastAsia="仿宋" w:cs="宋体"/>
          <w:sz w:val="24"/>
          <w:szCs w:val="24"/>
        </w:rPr>
        <w:t>等发布的标准、指南。④文献库：PubMed、中国知网等数据库中的指南、共识和临床研究。</w:t>
      </w:r>
    </w:p>
    <w:p w14:paraId="5870665A">
      <w:pPr>
        <w:spacing w:line="400" w:lineRule="exact"/>
        <w:ind w:firstLine="470" w:firstLineChars="196"/>
        <w:rPr>
          <w:rFonts w:hint="eastAsia" w:ascii="仿宋" w:hAnsi="仿宋" w:eastAsia="仿宋" w:cs="宋体"/>
          <w:sz w:val="24"/>
          <w:szCs w:val="24"/>
        </w:rPr>
      </w:pPr>
      <w:r>
        <w:rPr>
          <w:rFonts w:hint="eastAsia" w:ascii="仿宋" w:hAnsi="仿宋" w:eastAsia="仿宋" w:cs="宋体"/>
          <w:sz w:val="24"/>
          <w:szCs w:val="24"/>
        </w:rPr>
        <w:t>初筛基于标题和摘要，排除无关或重复文献；复筛阅读全文，纳入与</w:t>
      </w:r>
      <w:r>
        <w:rPr>
          <w:rFonts w:hint="eastAsia" w:ascii="仿宋" w:hAnsi="仿宋" w:eastAsia="仿宋" w:cs="宋体"/>
          <w:sz w:val="24"/>
          <w:szCs w:val="24"/>
          <w:lang w:val="en-US" w:eastAsia="zh-CN"/>
        </w:rPr>
        <w:t>小儿推拿疗法</w:t>
      </w:r>
      <w:r>
        <w:rPr>
          <w:rFonts w:hint="eastAsia" w:ascii="仿宋" w:hAnsi="仿宋" w:eastAsia="仿宋" w:cs="宋体"/>
          <w:sz w:val="24"/>
          <w:szCs w:val="24"/>
        </w:rPr>
        <w:t>直接相关的证据。最终纳入证据包括国家标准（如GB/T12346 腧穴名称与定位）、团体标准（T/CACM 1560.7-2023 中医养生保健服务（非医疗）技术操作规范 小儿推拿）、WHO指南（“benchmarks for the practice of tuina”）、WFCMS标准（SCM-C 0056-2023 小儿推拿技术操作规范）、多个国外组织指南（如</w:t>
      </w:r>
      <w:r>
        <w:rPr>
          <w:rFonts w:hint="eastAsia" w:ascii="仿宋" w:hAnsi="仿宋" w:eastAsia="仿宋"/>
          <w:sz w:val="24"/>
          <w:szCs w:val="24"/>
        </w:rPr>
        <w:t>Indian Academy of Pediatric</w:t>
      </w:r>
      <w:r>
        <w:rPr>
          <w:rFonts w:hint="eastAsia" w:ascii="仿宋" w:hAnsi="仿宋" w:eastAsia="仿宋"/>
          <w:sz w:val="24"/>
          <w:szCs w:val="24"/>
          <w:lang w:val="en-US" w:eastAsia="zh-CN"/>
        </w:rPr>
        <w:t>儿童皮肤护理指南</w:t>
      </w:r>
      <w:r>
        <w:rPr>
          <w:rFonts w:hint="eastAsia" w:ascii="仿宋" w:hAnsi="仿宋" w:eastAsia="仿宋" w:cs="宋体"/>
          <w:sz w:val="24"/>
          <w:szCs w:val="24"/>
        </w:rPr>
        <w:t>）以及文献证据（如</w:t>
      </w:r>
      <w:r>
        <w:rPr>
          <w:rFonts w:hint="eastAsia" w:ascii="仿宋" w:hAnsi="仿宋" w:eastAsia="仿宋" w:cs="宋体"/>
          <w:sz w:val="24"/>
          <w:szCs w:val="24"/>
          <w:lang w:val="en-US" w:eastAsia="zh-CN"/>
        </w:rPr>
        <w:t>现行十四五小儿推拿教材中关于诸多小儿推拿手法的具体操作步骤</w:t>
      </w:r>
      <w:r>
        <w:rPr>
          <w:rFonts w:hint="eastAsia" w:ascii="仿宋" w:hAnsi="仿宋" w:eastAsia="仿宋" w:cs="宋体"/>
          <w:sz w:val="24"/>
          <w:szCs w:val="24"/>
        </w:rPr>
        <w:t>）等。</w:t>
      </w:r>
    </w:p>
    <w:p w14:paraId="18DCF130">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2</w:t>
      </w:r>
      <w:r>
        <w:rPr>
          <w:rFonts w:hint="eastAsia" w:ascii="仿宋" w:hAnsi="仿宋" w:eastAsia="仿宋"/>
          <w:b/>
          <w:sz w:val="24"/>
          <w:szCs w:val="24"/>
        </w:rPr>
        <w:t>）文献评价</w:t>
      </w:r>
    </w:p>
    <w:p w14:paraId="7F022695">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文献评价采用质性评估方法，重点考察证据的权威性、适用性和与中医儿科的适配度，而非量化分级，因为检索文献主要为标准、指南和共识类文件，这些文件通常由国际或国家权威机构发布，具有较高的可靠性和公信力。文献分类如下：①标准类：包括强制性和推荐性标准，如GB/Z 40893.</w:t>
      </w:r>
      <w:r>
        <w:rPr>
          <w:rFonts w:hint="eastAsia" w:ascii="仿宋" w:hAnsi="仿宋" w:eastAsia="仿宋"/>
          <w:sz w:val="24"/>
          <w:szCs w:val="24"/>
          <w:lang w:val="en-US" w:eastAsia="zh-CN"/>
        </w:rPr>
        <w:t>4</w:t>
      </w:r>
      <w:r>
        <w:rPr>
          <w:rFonts w:hint="eastAsia" w:ascii="仿宋" w:hAnsi="仿宋" w:eastAsia="仿宋"/>
          <w:sz w:val="24"/>
          <w:szCs w:val="24"/>
        </w:rPr>
        <w:t>-2021（原国家标准），这些文件权威性高，直接用于条文对标。②指南与共识类：如WHO</w:t>
      </w:r>
      <w:r>
        <w:rPr>
          <w:rFonts w:hint="eastAsia" w:ascii="仿宋" w:hAnsi="仿宋" w:eastAsia="仿宋" w:cs="宋体"/>
          <w:sz w:val="24"/>
          <w:szCs w:val="24"/>
        </w:rPr>
        <w:t>“benchmarks for the practice of tuina”</w:t>
      </w:r>
      <w:r>
        <w:rPr>
          <w:rFonts w:hint="eastAsia" w:ascii="仿宋" w:hAnsi="仿宋" w:eastAsia="仿宋"/>
          <w:sz w:val="24"/>
          <w:szCs w:val="24"/>
        </w:rPr>
        <w:t>、Indian Academy of Pediatric</w:t>
      </w:r>
      <w:r>
        <w:rPr>
          <w:rFonts w:hint="eastAsia" w:ascii="仿宋" w:hAnsi="仿宋" w:eastAsia="仿宋"/>
          <w:sz w:val="24"/>
          <w:szCs w:val="24"/>
          <w:lang w:val="en-US" w:eastAsia="zh-CN"/>
        </w:rPr>
        <w:t>儿童皮肤护理指南</w:t>
      </w:r>
      <w:r>
        <w:rPr>
          <w:rFonts w:hint="eastAsia" w:ascii="仿宋" w:hAnsi="仿宋" w:eastAsia="仿宋"/>
          <w:sz w:val="24"/>
          <w:szCs w:val="24"/>
        </w:rPr>
        <w:t>，这些由国际组织或专业机构发布，强调临床安全和操作规范，适用于国际转化。③文献类：PubMed等数据库中临床研究和综述</w:t>
      </w:r>
      <w:r>
        <w:rPr>
          <w:rFonts w:hint="eastAsia" w:ascii="仿宋" w:hAnsi="仿宋" w:eastAsia="仿宋"/>
          <w:sz w:val="24"/>
          <w:szCs w:val="24"/>
          <w:lang w:eastAsia="zh-CN"/>
        </w:rPr>
        <w:t>、</w:t>
      </w:r>
      <w:r>
        <w:rPr>
          <w:rFonts w:hint="eastAsia" w:ascii="仿宋" w:hAnsi="仿宋" w:eastAsia="仿宋"/>
          <w:sz w:val="24"/>
          <w:szCs w:val="24"/>
          <w:lang w:val="en-US" w:eastAsia="zh-CN"/>
        </w:rPr>
        <w:t>教材等</w:t>
      </w:r>
      <w:r>
        <w:rPr>
          <w:rFonts w:hint="eastAsia" w:ascii="仿宋" w:hAnsi="仿宋" w:eastAsia="仿宋"/>
          <w:sz w:val="24"/>
          <w:szCs w:val="24"/>
        </w:rPr>
        <w:t>这些证据补充操作细节，但优先级低于标准和指南。</w:t>
      </w:r>
    </w:p>
    <w:p w14:paraId="5A223A0C">
      <w:pPr>
        <w:spacing w:line="400" w:lineRule="exact"/>
        <w:ind w:firstLine="470" w:firstLineChars="196"/>
        <w:rPr>
          <w:rFonts w:hint="eastAsia" w:ascii="仿宋" w:hAnsi="仿宋" w:eastAsia="仿宋"/>
          <w:sz w:val="24"/>
          <w:szCs w:val="24"/>
        </w:rPr>
      </w:pPr>
      <w:r>
        <w:rPr>
          <w:rFonts w:hint="eastAsia" w:ascii="仿宋" w:hAnsi="仿宋" w:eastAsia="仿宋"/>
          <w:sz w:val="24"/>
          <w:szCs w:val="24"/>
        </w:rPr>
        <w:t>评价标准包括：①来源权威性（国际标准组织&gt;国家机构&gt;学术期刊）；②时效性（优先2021年后）；③相关性（直接涉及</w:t>
      </w:r>
      <w:r>
        <w:rPr>
          <w:rFonts w:hint="eastAsia" w:ascii="仿宋" w:hAnsi="仿宋" w:eastAsia="仿宋"/>
          <w:sz w:val="24"/>
          <w:szCs w:val="24"/>
          <w:lang w:val="en-US" w:eastAsia="zh-CN"/>
        </w:rPr>
        <w:t>小儿推拿疗法</w:t>
      </w:r>
      <w:r>
        <w:rPr>
          <w:rFonts w:hint="eastAsia" w:ascii="仿宋" w:hAnsi="仿宋" w:eastAsia="仿宋"/>
          <w:sz w:val="24"/>
          <w:szCs w:val="24"/>
        </w:rPr>
        <w:t>）；</w:t>
      </w:r>
      <w:r>
        <w:rPr>
          <w:rFonts w:hint="eastAsia" w:ascii="宋体" w:hAnsi="宋体" w:cs="宋体"/>
          <w:sz w:val="24"/>
          <w:szCs w:val="24"/>
        </w:rPr>
        <w:t>④</w:t>
      </w:r>
      <w:r>
        <w:rPr>
          <w:rFonts w:hint="eastAsia" w:ascii="仿宋" w:hAnsi="仿宋" w:eastAsia="仿宋"/>
          <w:sz w:val="24"/>
          <w:szCs w:val="24"/>
        </w:rPr>
        <w:t>中医适配度（保留中医特色）。所有纳入文献均经项目组集体讨论确认，无低质量证据纳入。</w:t>
      </w:r>
    </w:p>
    <w:p w14:paraId="3404325C">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3</w:t>
      </w:r>
      <w:r>
        <w:rPr>
          <w:rFonts w:hint="eastAsia" w:ascii="仿宋" w:hAnsi="仿宋" w:eastAsia="仿宋"/>
          <w:b/>
          <w:sz w:val="24"/>
          <w:szCs w:val="24"/>
        </w:rPr>
        <w:t>）文献研究</w:t>
      </w:r>
    </w:p>
    <w:p w14:paraId="40CC4C13">
      <w:pPr>
        <w:spacing w:line="400" w:lineRule="exact"/>
        <w:ind w:firstLine="480" w:firstLineChars="200"/>
        <w:rPr>
          <w:rFonts w:ascii="仿宋" w:hAnsi="仿宋" w:eastAsia="仿宋"/>
          <w:bCs/>
          <w:sz w:val="24"/>
          <w:szCs w:val="24"/>
        </w:rPr>
      </w:pPr>
      <w:r>
        <w:rPr>
          <w:rFonts w:hint="eastAsia" w:ascii="仿宋" w:hAnsi="仿宋" w:eastAsia="仿宋"/>
          <w:bCs/>
          <w:sz w:val="24"/>
          <w:szCs w:val="24"/>
        </w:rPr>
        <w:t>在文献评价基础上，项目组对纳入证据仔细阅读分析，重点与原国家标准GB/Z 40893.</w:t>
      </w:r>
      <w:r>
        <w:rPr>
          <w:rFonts w:hint="eastAsia" w:ascii="仿宋" w:hAnsi="仿宋" w:eastAsia="仿宋"/>
          <w:bCs/>
          <w:sz w:val="24"/>
          <w:szCs w:val="24"/>
          <w:lang w:val="en-US" w:eastAsia="zh-CN"/>
        </w:rPr>
        <w:t>4</w:t>
      </w:r>
      <w:r>
        <w:rPr>
          <w:rFonts w:hint="eastAsia" w:ascii="仿宋" w:hAnsi="仿宋" w:eastAsia="仿宋"/>
          <w:bCs/>
          <w:sz w:val="24"/>
          <w:szCs w:val="24"/>
        </w:rPr>
        <w:t>-2021的相关内容进行比较，关注与国标条文不同的表述。按照主题和条文分类，形成条文对照表。同一条文若有多个不同表述，则全部列出，以供后续问卷和论证参考。通过对照表，项目组识别出需优化的条目，形成问卷基础。</w:t>
      </w:r>
    </w:p>
    <w:p w14:paraId="4D7D8E00">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4</w:t>
      </w:r>
      <w:r>
        <w:rPr>
          <w:rFonts w:hint="eastAsia" w:ascii="仿宋" w:hAnsi="仿宋" w:eastAsia="仿宋"/>
          <w:b/>
          <w:sz w:val="24"/>
          <w:szCs w:val="24"/>
        </w:rPr>
        <w:t>）问卷调查</w:t>
      </w:r>
    </w:p>
    <w:p w14:paraId="4EEDB2F6">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为广泛征求意见，项目组于2025年10月编制专家调查问卷，基于文献研究结果和对照表，针对差异条目（如术语定义、操作步骤</w:t>
      </w:r>
      <w:r>
        <w:rPr>
          <w:rFonts w:hint="eastAsia" w:ascii="仿宋" w:hAnsi="仿宋" w:eastAsia="仿宋"/>
          <w:sz w:val="24"/>
          <w:szCs w:val="24"/>
          <w:lang w:val="en-US" w:eastAsia="zh-CN"/>
        </w:rPr>
        <w:t>等</w:t>
      </w:r>
      <w:r>
        <w:rPr>
          <w:rFonts w:hint="eastAsia" w:ascii="仿宋" w:hAnsi="仿宋" w:eastAsia="仿宋"/>
          <w:sz w:val="24"/>
          <w:szCs w:val="24"/>
        </w:rPr>
        <w:t>）设置单选选项和开放意见。专家遴选标准包括：</w:t>
      </w:r>
      <w:r>
        <w:rPr>
          <w:rFonts w:hint="eastAsia" w:ascii="宋体" w:hAnsi="宋体" w:cs="宋体"/>
          <w:sz w:val="24"/>
          <w:szCs w:val="24"/>
        </w:rPr>
        <w:t>①</w:t>
      </w:r>
      <w:r>
        <w:rPr>
          <w:rFonts w:hint="eastAsia" w:ascii="仿宋" w:hAnsi="仿宋" w:eastAsia="仿宋"/>
          <w:sz w:val="24"/>
          <w:szCs w:val="24"/>
        </w:rPr>
        <w:t>具备中医儿科或相关领域高级专业技术职称背景（如教授、主任医师）；</w:t>
      </w:r>
      <w:r>
        <w:rPr>
          <w:rFonts w:hint="eastAsia" w:ascii="宋体" w:hAnsi="宋体" w:cs="宋体"/>
          <w:sz w:val="24"/>
          <w:szCs w:val="24"/>
        </w:rPr>
        <w:t>②</w:t>
      </w:r>
      <w:r>
        <w:rPr>
          <w:rFonts w:hint="eastAsia" w:ascii="仿宋" w:hAnsi="仿宋" w:eastAsia="仿宋"/>
          <w:sz w:val="24"/>
          <w:szCs w:val="24"/>
        </w:rPr>
        <w:t>临床或教学经验丰富，中国大陆专家从事本专业</w:t>
      </w:r>
      <w:r>
        <w:rPr>
          <w:rFonts w:hint="eastAsia" w:ascii="仿宋" w:hAnsi="仿宋" w:eastAsia="仿宋"/>
          <w:sz w:val="24"/>
          <w:szCs w:val="24"/>
          <w:lang w:val="en-US" w:eastAsia="zh-CN"/>
        </w:rPr>
        <w:t>18</w:t>
      </w:r>
      <w:r>
        <w:rPr>
          <w:rFonts w:hint="eastAsia" w:ascii="仿宋" w:hAnsi="仿宋" w:eastAsia="仿宋"/>
          <w:sz w:val="24"/>
          <w:szCs w:val="24"/>
        </w:rPr>
        <w:t>年以上、海外专家</w:t>
      </w:r>
      <w:r>
        <w:rPr>
          <w:rFonts w:hint="eastAsia" w:ascii="仿宋" w:hAnsi="仿宋" w:eastAsia="仿宋"/>
          <w:sz w:val="24"/>
          <w:szCs w:val="24"/>
          <w:lang w:val="en-US" w:eastAsia="zh-CN"/>
        </w:rPr>
        <w:t>9</w:t>
      </w:r>
      <w:r>
        <w:rPr>
          <w:rFonts w:hint="eastAsia" w:ascii="仿宋" w:hAnsi="仿宋" w:eastAsia="仿宋"/>
          <w:sz w:val="24"/>
          <w:szCs w:val="24"/>
        </w:rPr>
        <w:t>年以上；</w:t>
      </w:r>
      <w:r>
        <w:rPr>
          <w:rFonts w:hint="eastAsia" w:ascii="宋体" w:hAnsi="宋体" w:cs="宋体"/>
          <w:sz w:val="24"/>
          <w:szCs w:val="24"/>
        </w:rPr>
        <w:t>③</w:t>
      </w:r>
      <w:r>
        <w:rPr>
          <w:rFonts w:hint="eastAsia" w:ascii="仿宋" w:hAnsi="仿宋" w:eastAsia="仿宋"/>
          <w:sz w:val="24"/>
          <w:szCs w:val="24"/>
        </w:rPr>
        <w:t>熟悉中医儿科</w:t>
      </w:r>
      <w:r>
        <w:rPr>
          <w:rFonts w:hint="eastAsia" w:ascii="仿宋" w:hAnsi="仿宋" w:eastAsia="仿宋"/>
          <w:sz w:val="24"/>
          <w:szCs w:val="24"/>
          <w:lang w:val="en-US" w:eastAsia="zh-CN"/>
        </w:rPr>
        <w:t>推拿疗法</w:t>
      </w:r>
      <w:r>
        <w:rPr>
          <w:rFonts w:hint="eastAsia" w:ascii="仿宋" w:hAnsi="仿宋" w:eastAsia="仿宋"/>
          <w:sz w:val="24"/>
          <w:szCs w:val="24"/>
        </w:rPr>
        <w:t>；</w:t>
      </w:r>
      <w:r>
        <w:rPr>
          <w:rFonts w:hint="eastAsia" w:ascii="宋体" w:hAnsi="宋体" w:cs="宋体"/>
          <w:sz w:val="24"/>
          <w:szCs w:val="24"/>
        </w:rPr>
        <w:t>④</w:t>
      </w:r>
      <w:r>
        <w:rPr>
          <w:rFonts w:hint="eastAsia" w:ascii="仿宋" w:hAnsi="仿宋" w:eastAsia="仿宋"/>
          <w:sz w:val="24"/>
          <w:szCs w:val="24"/>
        </w:rPr>
        <w:t>覆盖不同国家和地区，确保国际代表性。最终遴选30位专家，来自中国（含内地、澳门、台湾）2</w:t>
      </w:r>
      <w:r>
        <w:rPr>
          <w:rFonts w:hint="eastAsia" w:ascii="仿宋" w:hAnsi="仿宋" w:eastAsia="仿宋"/>
          <w:sz w:val="24"/>
          <w:szCs w:val="24"/>
          <w:lang w:val="en-US" w:eastAsia="zh-CN"/>
        </w:rPr>
        <w:t>2</w:t>
      </w:r>
      <w:r>
        <w:rPr>
          <w:rFonts w:hint="eastAsia" w:ascii="仿宋" w:hAnsi="仿宋" w:eastAsia="仿宋"/>
          <w:sz w:val="24"/>
          <w:szCs w:val="24"/>
        </w:rPr>
        <w:t>位，新加坡2位，马来西亚1位，澳大利亚1位，美国1位，涵盖高等中医药院校、医院和海外中医机构，权威性强、地域代表广。</w:t>
      </w:r>
    </w:p>
    <w:p w14:paraId="2DBF0CE7">
      <w:pPr>
        <w:spacing w:line="400" w:lineRule="exact"/>
        <w:ind w:firstLine="480" w:firstLineChars="200"/>
        <w:rPr>
          <w:rFonts w:ascii="仿宋" w:hAnsi="仿宋" w:eastAsia="仿宋"/>
          <w:sz w:val="24"/>
          <w:szCs w:val="24"/>
        </w:rPr>
      </w:pPr>
      <w:r>
        <w:rPr>
          <w:rFonts w:hint="eastAsia" w:ascii="仿宋" w:hAnsi="仿宋" w:eastAsia="仿宋"/>
          <w:sz w:val="24"/>
          <w:szCs w:val="24"/>
        </w:rPr>
        <w:t>问卷于10月</w:t>
      </w:r>
      <w:r>
        <w:rPr>
          <w:rFonts w:hint="eastAsia" w:ascii="仿宋" w:hAnsi="仿宋" w:eastAsia="仿宋"/>
          <w:sz w:val="24"/>
          <w:szCs w:val="24"/>
          <w:lang w:val="en-US" w:eastAsia="zh-CN"/>
        </w:rPr>
        <w:t>31</w:t>
      </w:r>
      <w:r>
        <w:rPr>
          <w:rFonts w:hint="eastAsia" w:ascii="仿宋" w:hAnsi="仿宋" w:eastAsia="仿宋"/>
          <w:sz w:val="24"/>
          <w:szCs w:val="24"/>
        </w:rPr>
        <w:t>日发送、11月</w:t>
      </w:r>
      <w:r>
        <w:rPr>
          <w:rFonts w:hint="eastAsia" w:ascii="仿宋" w:hAnsi="仿宋" w:eastAsia="仿宋"/>
          <w:sz w:val="24"/>
          <w:szCs w:val="24"/>
          <w:lang w:val="en-US" w:eastAsia="zh-CN"/>
        </w:rPr>
        <w:t>14</w:t>
      </w:r>
      <w:r>
        <w:rPr>
          <w:rFonts w:hint="eastAsia" w:ascii="仿宋" w:hAnsi="仿宋" w:eastAsia="仿宋"/>
          <w:sz w:val="24"/>
          <w:szCs w:val="24"/>
        </w:rPr>
        <w:t>日截止回收，共发出问卷30份、回收答卷30份，</w:t>
      </w:r>
      <w:r>
        <w:rPr>
          <w:rFonts w:hint="eastAsia" w:ascii="仿宋" w:hAnsi="仿宋" w:eastAsia="仿宋"/>
          <w:sz w:val="24"/>
          <w:szCs w:val="24"/>
          <w:lang w:val="en-US" w:eastAsia="zh-CN"/>
        </w:rPr>
        <w:t>其中有效问卷27份，</w:t>
      </w:r>
      <w:r>
        <w:rPr>
          <w:rFonts w:hint="eastAsia" w:ascii="仿宋" w:hAnsi="仿宋" w:eastAsia="仿宋"/>
          <w:sz w:val="24"/>
          <w:szCs w:val="24"/>
        </w:rPr>
        <w:t>专家积极系数</w:t>
      </w:r>
      <w:r>
        <w:rPr>
          <w:rFonts w:hint="eastAsia" w:ascii="仿宋" w:hAnsi="仿宋" w:eastAsia="仿宋"/>
          <w:sz w:val="24"/>
          <w:szCs w:val="24"/>
          <w:lang w:val="en-US" w:eastAsia="zh-CN"/>
        </w:rPr>
        <w:t>90</w:t>
      </w:r>
      <w:r>
        <w:rPr>
          <w:rFonts w:hint="eastAsia" w:ascii="仿宋" w:hAnsi="仿宋" w:eastAsia="仿宋"/>
          <w:sz w:val="24"/>
          <w:szCs w:val="24"/>
        </w:rPr>
        <w:t>%。统计采用均值、不重要百分比、等级和等指标，共识筛选方法为：选项支持率超过50%视为初步共识，分歧条目提交论证会。结果详见“附件1专家调查问卷报告”，高度一致条目直接纳入，其余条目形成</w:t>
      </w:r>
      <w:r>
        <w:rPr>
          <w:rFonts w:hint="eastAsia" w:ascii="仿宋" w:hAnsi="仿宋" w:eastAsia="仿宋"/>
          <w:sz w:val="24"/>
          <w:szCs w:val="24"/>
          <w:lang w:val="en-US" w:eastAsia="zh-CN"/>
        </w:rPr>
        <w:t>12</w:t>
      </w:r>
      <w:r>
        <w:rPr>
          <w:rFonts w:hint="eastAsia" w:ascii="仿宋" w:hAnsi="仿宋" w:eastAsia="仿宋"/>
          <w:sz w:val="24"/>
          <w:szCs w:val="24"/>
        </w:rPr>
        <w:t>项争议点，联合开放性问题共同提请专家论证。</w:t>
      </w:r>
    </w:p>
    <w:p w14:paraId="1B92F162">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w:t>
      </w:r>
      <w:r>
        <w:rPr>
          <w:rFonts w:ascii="仿宋" w:hAnsi="仿宋" w:eastAsia="仿宋"/>
          <w:b/>
          <w:sz w:val="24"/>
          <w:szCs w:val="24"/>
        </w:rPr>
        <w:t>5</w:t>
      </w:r>
      <w:r>
        <w:rPr>
          <w:rFonts w:hint="eastAsia" w:ascii="仿宋" w:hAnsi="仿宋" w:eastAsia="仿宋"/>
          <w:b/>
          <w:sz w:val="24"/>
          <w:szCs w:val="24"/>
        </w:rPr>
        <w:t>）专家论证会</w:t>
      </w:r>
    </w:p>
    <w:p w14:paraId="43CEBD13">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2025年12月3日召开专家论证会，聚焦问卷分歧条目。邀请13位国内权威儿科专家及标准化专家。会前发送征求意见函（含</w:t>
      </w:r>
      <w:r>
        <w:rPr>
          <w:rFonts w:hint="eastAsia" w:ascii="仿宋" w:hAnsi="仿宋" w:eastAsia="仿宋"/>
          <w:bCs/>
          <w:sz w:val="24"/>
          <w:szCs w:val="24"/>
          <w:lang w:val="en-US" w:eastAsia="zh-CN"/>
        </w:rPr>
        <w:t>1</w:t>
      </w:r>
      <w:r>
        <w:rPr>
          <w:rFonts w:hint="eastAsia" w:ascii="仿宋" w:hAnsi="仿宋" w:eastAsia="仿宋"/>
          <w:bCs/>
          <w:sz w:val="24"/>
          <w:szCs w:val="24"/>
          <w:lang w:val="en-US" w:eastAsia="zh-CN"/>
        </w:rPr>
        <w:t>2</w:t>
      </w:r>
      <w:r>
        <w:rPr>
          <w:rFonts w:hint="eastAsia" w:ascii="仿宋" w:hAnsi="仿宋" w:eastAsia="仿宋"/>
          <w:bCs/>
          <w:sz w:val="24"/>
          <w:szCs w:val="24"/>
        </w:rPr>
        <w:t>项争议条目、开放性问题及项目组建议），会中讨论，会后1周内返回书面意见。会议采纳整合意见，如</w:t>
      </w:r>
      <w:r>
        <w:rPr>
          <w:rFonts w:hint="eastAsia" w:ascii="仿宋" w:hAnsi="仿宋" w:eastAsia="仿宋"/>
          <w:bCs/>
          <w:sz w:val="24"/>
          <w:szCs w:val="24"/>
          <w:lang w:val="en-US" w:eastAsia="zh-CN"/>
        </w:rPr>
        <w:t>小儿推拿定义、小儿推拿疗程</w:t>
      </w:r>
      <w:r>
        <w:rPr>
          <w:rFonts w:hint="eastAsia" w:ascii="仿宋" w:hAnsi="仿宋" w:eastAsia="仿宋"/>
          <w:bCs/>
          <w:sz w:val="24"/>
          <w:szCs w:val="24"/>
        </w:rPr>
        <w:t>等。结果详见“附件2专家论证会会议纪要”。</w:t>
      </w:r>
    </w:p>
    <w:p w14:paraId="521D9884">
      <w:pPr>
        <w:spacing w:line="400" w:lineRule="exact"/>
        <w:ind w:firstLine="482" w:firstLineChars="200"/>
        <w:rPr>
          <w:rFonts w:hint="eastAsia" w:ascii="仿宋" w:hAnsi="仿宋" w:eastAsia="仿宋"/>
          <w:b/>
          <w:sz w:val="24"/>
          <w:szCs w:val="24"/>
        </w:rPr>
      </w:pPr>
      <w:r>
        <w:rPr>
          <w:rFonts w:hint="eastAsia" w:ascii="仿宋" w:hAnsi="仿宋" w:eastAsia="仿宋"/>
          <w:b/>
          <w:sz w:val="24"/>
          <w:szCs w:val="24"/>
        </w:rPr>
        <w:t>（6）专家审核</w:t>
      </w:r>
    </w:p>
    <w:p w14:paraId="064E0333">
      <w:pPr>
        <w:spacing w:line="400" w:lineRule="exact"/>
        <w:ind w:firstLine="480" w:firstLineChars="200"/>
        <w:rPr>
          <w:rFonts w:hint="eastAsia" w:ascii="仿宋" w:hAnsi="仿宋" w:eastAsia="仿宋"/>
          <w:bCs/>
          <w:sz w:val="24"/>
          <w:szCs w:val="24"/>
        </w:rPr>
      </w:pPr>
      <w:r>
        <w:rPr>
          <w:rFonts w:hint="eastAsia" w:ascii="仿宋" w:hAnsi="仿宋" w:eastAsia="仿宋"/>
          <w:bCs/>
          <w:sz w:val="24"/>
          <w:szCs w:val="24"/>
        </w:rPr>
        <w:t>专家指导组审核稿形成后，由本项目专家指导组（丁樱、万力生、马融、王有鹏、王丽丽、王素梅、史正刚、刘建忠、虞坚尔、熊磊、张葆青、俞建、戴启刚）进行审核。审核重点验证内容的科学性、国际适配性和一致性，形成标准送审草案。</w:t>
      </w:r>
    </w:p>
    <w:p w14:paraId="4A1C53A2">
      <w:pPr>
        <w:spacing w:line="400" w:lineRule="exact"/>
        <w:rPr>
          <w:rFonts w:hint="eastAsia" w:ascii="仿宋" w:hAnsi="仿宋" w:eastAsia="仿宋"/>
          <w:b/>
          <w:sz w:val="24"/>
          <w:szCs w:val="24"/>
        </w:rPr>
      </w:pPr>
      <w:r>
        <w:rPr>
          <w:rFonts w:ascii="仿宋" w:hAnsi="仿宋" w:eastAsia="仿宋"/>
          <w:b/>
          <w:sz w:val="24"/>
          <w:szCs w:val="24"/>
        </w:rPr>
        <w:t xml:space="preserve">3  </w:t>
      </w:r>
      <w:r>
        <w:rPr>
          <w:rFonts w:hint="eastAsia" w:ascii="仿宋" w:hAnsi="仿宋" w:eastAsia="仿宋"/>
          <w:b/>
          <w:sz w:val="24"/>
          <w:szCs w:val="24"/>
        </w:rPr>
        <w:t>确定标准主要内容的论据</w:t>
      </w:r>
    </w:p>
    <w:p w14:paraId="087DCAA9">
      <w:pPr>
        <w:spacing w:line="400" w:lineRule="exact"/>
        <w:ind w:firstLine="480" w:firstLineChars="200"/>
        <w:rPr>
          <w:rFonts w:hint="eastAsia" w:ascii="仿宋" w:hAnsi="仿宋" w:eastAsia="仿宋" w:cs="Calibri"/>
          <w:sz w:val="24"/>
          <w:szCs w:val="21"/>
        </w:rPr>
      </w:pPr>
      <w:r>
        <w:rPr>
          <w:rFonts w:hint="eastAsia" w:ascii="仿宋" w:hAnsi="仿宋" w:eastAsia="仿宋" w:cs="Calibri"/>
          <w:sz w:val="24"/>
          <w:szCs w:val="21"/>
        </w:rPr>
        <w:t>本标准制订各阶段的程序、技术方法及要求符合前列各相关规范性文件的要求，包括世界中联SCM1.1-2021《标准化工作导则第1部分：标准制修订与发布》、原国家标准GB/Z 40893.</w:t>
      </w:r>
      <w:r>
        <w:rPr>
          <w:rFonts w:hint="eastAsia" w:ascii="仿宋" w:hAnsi="仿宋" w:eastAsia="仿宋" w:cs="Calibri"/>
          <w:sz w:val="24"/>
          <w:szCs w:val="21"/>
          <w:lang w:val="en-US" w:eastAsia="zh-CN"/>
        </w:rPr>
        <w:t>4</w:t>
      </w:r>
      <w:r>
        <w:rPr>
          <w:rFonts w:hint="eastAsia" w:ascii="仿宋" w:hAnsi="仿宋" w:eastAsia="仿宋" w:cs="Calibri"/>
          <w:sz w:val="24"/>
          <w:szCs w:val="21"/>
        </w:rPr>
        <w:t>-2021《中医技术操作规范 儿科 第</w:t>
      </w:r>
      <w:r>
        <w:rPr>
          <w:rFonts w:hint="eastAsia" w:ascii="仿宋" w:hAnsi="仿宋" w:eastAsia="仿宋" w:cs="Calibri"/>
          <w:sz w:val="24"/>
          <w:szCs w:val="21"/>
          <w:lang w:val="en-US" w:eastAsia="zh-CN"/>
        </w:rPr>
        <w:t>4</w:t>
      </w:r>
      <w:r>
        <w:rPr>
          <w:rFonts w:hint="eastAsia" w:ascii="仿宋" w:hAnsi="仿宋" w:eastAsia="仿宋" w:cs="Calibri"/>
          <w:sz w:val="24"/>
          <w:szCs w:val="21"/>
        </w:rPr>
        <w:t>部分：小儿</w:t>
      </w:r>
      <w:r>
        <w:rPr>
          <w:rFonts w:hint="eastAsia" w:ascii="仿宋" w:hAnsi="仿宋" w:eastAsia="仿宋" w:cs="Calibri"/>
          <w:sz w:val="24"/>
          <w:szCs w:val="21"/>
          <w:lang w:val="en-US" w:eastAsia="zh-CN"/>
        </w:rPr>
        <w:t>推拿疗法</w:t>
      </w:r>
      <w:r>
        <w:rPr>
          <w:rFonts w:hint="eastAsia" w:ascii="仿宋" w:hAnsi="仿宋" w:eastAsia="仿宋" w:cs="Calibri"/>
          <w:sz w:val="24"/>
          <w:szCs w:val="21"/>
        </w:rPr>
        <w:t>》，以及文献研究、专家问卷调查和专家论证会等过程，确保内容基于循证和专家共识。</w:t>
      </w:r>
    </w:p>
    <w:p w14:paraId="303414B4">
      <w:pPr>
        <w:spacing w:line="400" w:lineRule="exact"/>
        <w:ind w:firstLine="480" w:firstLineChars="200"/>
        <w:rPr>
          <w:rFonts w:ascii="仿宋" w:hAnsi="仿宋" w:eastAsia="仿宋" w:cs="Calibri"/>
          <w:sz w:val="24"/>
          <w:szCs w:val="21"/>
        </w:rPr>
      </w:pPr>
      <w:r>
        <w:rPr>
          <w:rFonts w:hint="eastAsia" w:ascii="仿宋" w:hAnsi="仿宋" w:eastAsia="仿宋" w:cs="Calibri"/>
          <w:sz w:val="24"/>
          <w:szCs w:val="21"/>
        </w:rPr>
        <w:t>所有的名词术语要求规范，</w:t>
      </w:r>
      <w:r>
        <w:rPr>
          <w:rFonts w:hint="eastAsia" w:ascii="仿宋" w:hAnsi="仿宋" w:eastAsia="仿宋" w:cs="Calibri"/>
          <w:sz w:val="24"/>
          <w:szCs w:val="21"/>
          <w:lang w:val="en-US" w:eastAsia="zh-CN"/>
        </w:rPr>
        <w:t>穴位名称</w:t>
      </w:r>
      <w:r>
        <w:rPr>
          <w:rFonts w:hint="eastAsia" w:ascii="仿宋" w:hAnsi="仿宋" w:eastAsia="仿宋" w:cs="Calibri"/>
          <w:sz w:val="24"/>
          <w:szCs w:val="21"/>
        </w:rPr>
        <w:t>基于相关中国国家标准，如GB/T12346 腧穴名称与定位。</w:t>
      </w:r>
      <w:r>
        <w:rPr>
          <w:rFonts w:hint="eastAsia" w:ascii="仿宋" w:hAnsi="仿宋" w:eastAsia="仿宋" w:cs="Calibri"/>
          <w:sz w:val="24"/>
          <w:szCs w:val="21"/>
          <w:lang w:val="en-US" w:eastAsia="zh-CN"/>
        </w:rPr>
        <w:t>疾病名称以</w:t>
      </w:r>
      <w:r>
        <w:rPr>
          <w:rFonts w:hint="eastAsia" w:ascii="仿宋" w:hAnsi="仿宋" w:eastAsia="仿宋" w:cs="Calibri"/>
          <w:sz w:val="24"/>
          <w:szCs w:val="21"/>
        </w:rPr>
        <w:t>WHO-ICD11（2022年）</w:t>
      </w:r>
      <w:r>
        <w:rPr>
          <w:rFonts w:hint="eastAsia" w:ascii="仿宋" w:hAnsi="仿宋" w:eastAsia="仿宋" w:cs="Calibri"/>
          <w:sz w:val="24"/>
          <w:szCs w:val="21"/>
          <w:lang w:val="en-US" w:eastAsia="zh-CN"/>
        </w:rPr>
        <w:t>为准</w:t>
      </w:r>
      <w:r>
        <w:rPr>
          <w:rFonts w:hint="eastAsia" w:ascii="仿宋" w:hAnsi="仿宋" w:eastAsia="仿宋" w:cs="Calibri"/>
          <w:sz w:val="24"/>
          <w:szCs w:val="21"/>
        </w:rPr>
        <w:t>。单位名称用国际通用符号表示。</w:t>
      </w:r>
    </w:p>
    <w:p w14:paraId="44C28446">
      <w:pPr>
        <w:pStyle w:val="3"/>
        <w:spacing w:before="0" w:after="0" w:line="400" w:lineRule="exact"/>
        <w:rPr>
          <w:rFonts w:hint="eastAsia" w:ascii="黑体" w:hAnsi="黑体" w:eastAsia="黑体"/>
          <w:sz w:val="24"/>
          <w:szCs w:val="24"/>
        </w:rPr>
      </w:pPr>
      <w:r>
        <w:rPr>
          <w:rFonts w:hint="eastAsia" w:ascii="黑体" w:hAnsi="黑体" w:eastAsia="黑体"/>
          <w:sz w:val="24"/>
          <w:szCs w:val="24"/>
        </w:rPr>
        <w:t>三、与相关法律、法规和标准的关系</w:t>
      </w:r>
    </w:p>
    <w:p w14:paraId="061637DA">
      <w:pPr>
        <w:spacing w:line="400" w:lineRule="exact"/>
        <w:ind w:firstLine="480" w:firstLineChars="200"/>
        <w:rPr>
          <w:rFonts w:ascii="仿宋" w:hAnsi="仿宋" w:eastAsia="仿宋"/>
          <w:sz w:val="24"/>
          <w:szCs w:val="24"/>
        </w:rPr>
      </w:pPr>
      <w:r>
        <w:rPr>
          <w:rFonts w:hint="eastAsia" w:ascii="仿宋" w:hAnsi="仿宋" w:eastAsia="仿宋"/>
          <w:sz w:val="24"/>
          <w:szCs w:val="24"/>
        </w:rPr>
        <w:t>本标准作为国际组织标准，在制定过程中系统梳理并协调了相关法律、法规以及</w:t>
      </w:r>
      <w:r>
        <w:rPr>
          <w:rFonts w:hint="eastAsia" w:ascii="仿宋" w:hAnsi="仿宋" w:eastAsia="仿宋"/>
          <w:sz w:val="24"/>
          <w:szCs w:val="24"/>
          <w:lang w:eastAsia="zh-CN"/>
        </w:rPr>
        <w:t>海内外</w:t>
      </w:r>
      <w:r>
        <w:rPr>
          <w:rFonts w:hint="eastAsia" w:ascii="仿宋" w:hAnsi="仿宋" w:eastAsia="仿宋"/>
          <w:sz w:val="24"/>
          <w:szCs w:val="24"/>
        </w:rPr>
        <w:t>强制性、推荐性标准之间的关系。标准既遵循既有规范的基本要求，又在充分调研、专家论证和国际对标的基础上，对部分内容进行了有依据、有边界的技术性调整，确保其科学性、安全性、规范性及国际适用性。</w:t>
      </w:r>
      <w:r>
        <w:rPr>
          <w:rFonts w:ascii="仿宋" w:hAnsi="仿宋" w:eastAsia="仿宋"/>
          <w:sz w:val="24"/>
          <w:szCs w:val="24"/>
        </w:rPr>
        <w:t xml:space="preserve"> </w:t>
      </w:r>
    </w:p>
    <w:p w14:paraId="63124121">
      <w:pPr>
        <w:numPr>
          <w:ilvl w:val="0"/>
          <w:numId w:val="2"/>
        </w:numPr>
        <w:spacing w:line="400" w:lineRule="exact"/>
        <w:rPr>
          <w:rFonts w:ascii="仿宋" w:hAnsi="仿宋" w:eastAsia="仿宋"/>
          <w:b/>
          <w:bCs/>
          <w:sz w:val="24"/>
          <w:szCs w:val="24"/>
        </w:rPr>
      </w:pPr>
      <w:r>
        <w:rPr>
          <w:rFonts w:hint="eastAsia" w:ascii="仿宋" w:hAnsi="仿宋" w:eastAsia="仿宋"/>
          <w:b/>
          <w:bCs/>
          <w:sz w:val="24"/>
          <w:szCs w:val="24"/>
        </w:rPr>
        <w:t>与法律、法规的关系</w:t>
      </w:r>
    </w:p>
    <w:p w14:paraId="65E50B9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本标准在编制和应用过程中，充分尊重并遵守各国及地区现行的医疗卫生法律法规和执业管理制度。标准所涉及的小儿</w:t>
      </w:r>
      <w:r>
        <w:rPr>
          <w:rFonts w:hint="eastAsia" w:ascii="仿宋" w:hAnsi="仿宋" w:eastAsia="仿宋"/>
          <w:sz w:val="24"/>
          <w:szCs w:val="24"/>
          <w:lang w:val="en-US" w:eastAsia="zh-CN"/>
        </w:rPr>
        <w:t>推拿操作</w:t>
      </w:r>
      <w:r>
        <w:rPr>
          <w:rFonts w:hint="eastAsia" w:ascii="仿宋" w:hAnsi="仿宋" w:eastAsia="仿宋"/>
          <w:sz w:val="24"/>
          <w:szCs w:val="24"/>
        </w:rPr>
        <w:t>，包括</w:t>
      </w:r>
      <w:r>
        <w:rPr>
          <w:rFonts w:hint="eastAsia" w:ascii="仿宋" w:hAnsi="仿宋" w:eastAsia="仿宋"/>
          <w:sz w:val="24"/>
          <w:szCs w:val="24"/>
          <w:lang w:val="en-US" w:eastAsia="zh-CN"/>
        </w:rPr>
        <w:t>对环境及操作者的要求、介质的选用、间隔时间及疗程的规定</w:t>
      </w:r>
      <w:r>
        <w:rPr>
          <w:rFonts w:hint="eastAsia" w:ascii="仿宋" w:hAnsi="仿宋" w:eastAsia="仿宋"/>
          <w:sz w:val="24"/>
          <w:szCs w:val="24"/>
        </w:rPr>
        <w:t>，均明确提出应在符合法律法规、执业范围和人员资质要求的前提下实施。</w:t>
      </w:r>
    </w:p>
    <w:p w14:paraId="4F665287">
      <w:pPr>
        <w:spacing w:line="400" w:lineRule="exact"/>
        <w:ind w:firstLine="480" w:firstLineChars="200"/>
        <w:rPr>
          <w:rFonts w:ascii="仿宋" w:hAnsi="仿宋" w:eastAsia="仿宋"/>
          <w:sz w:val="24"/>
          <w:szCs w:val="24"/>
        </w:rPr>
      </w:pPr>
      <w:r>
        <w:rPr>
          <w:rFonts w:hint="eastAsia" w:ascii="仿宋" w:hAnsi="仿宋" w:eastAsia="仿宋"/>
          <w:sz w:val="24"/>
          <w:szCs w:val="24"/>
        </w:rPr>
        <w:t>经专家论证，本标准在“范围”“前言”等显著位置明确提出了属地法律法规优先原则，即标准仅提供技术操作层面的参考，不对具体执业资格或管理制度作统一规定，以保障国际推广和应用过程中的合法性与可行性。</w:t>
      </w:r>
    </w:p>
    <w:p w14:paraId="33BFABC7">
      <w:pPr>
        <w:spacing w:line="400" w:lineRule="exact"/>
        <w:rPr>
          <w:rFonts w:hint="eastAsia" w:ascii="仿宋" w:hAnsi="仿宋" w:eastAsia="仿宋"/>
          <w:b/>
          <w:bCs/>
          <w:sz w:val="24"/>
          <w:szCs w:val="24"/>
        </w:rPr>
      </w:pPr>
      <w:r>
        <w:rPr>
          <w:rFonts w:hint="eastAsia" w:ascii="仿宋" w:hAnsi="仿宋" w:eastAsia="仿宋"/>
          <w:b/>
          <w:bCs/>
          <w:sz w:val="24"/>
          <w:szCs w:val="24"/>
        </w:rPr>
        <w:t>（二）与强制性标准的关系</w:t>
      </w:r>
    </w:p>
    <w:p w14:paraId="3651158B">
      <w:pPr>
        <w:spacing w:line="400" w:lineRule="exact"/>
        <w:ind w:firstLine="480" w:firstLineChars="200"/>
        <w:rPr>
          <w:rFonts w:ascii="仿宋" w:hAnsi="仿宋" w:eastAsia="仿宋"/>
          <w:sz w:val="24"/>
          <w:szCs w:val="24"/>
        </w:rPr>
      </w:pPr>
      <w:r>
        <w:rPr>
          <w:rFonts w:hint="eastAsia" w:ascii="仿宋" w:hAnsi="仿宋" w:eastAsia="仿宋"/>
          <w:sz w:val="24"/>
          <w:szCs w:val="24"/>
        </w:rPr>
        <w:t>本标准在编制过程中严格遵循相关强制性国家标准和国际通行安全规范，不与任何现行强制性标准相冲突。在涉及环境卫生、器具安全、消毒防护等内容时，直接引用或遵循强制性标准的基本要求，例如：医疗机构消毒及手卫生相关规范等。相关条款在标准中均作为安全底线执行。如本标准内容与实施地的强制性标准或法律法规存在不一致，应以当地法律法规和强制性标准为准。</w:t>
      </w:r>
    </w:p>
    <w:p w14:paraId="3C7FEC57">
      <w:pPr>
        <w:spacing w:line="400" w:lineRule="exact"/>
        <w:rPr>
          <w:rFonts w:ascii="仿宋" w:hAnsi="仿宋" w:eastAsia="仿宋"/>
          <w:b/>
          <w:bCs/>
          <w:sz w:val="24"/>
          <w:szCs w:val="24"/>
        </w:rPr>
      </w:pPr>
      <w:r>
        <w:rPr>
          <w:rFonts w:hint="eastAsia" w:ascii="仿宋" w:hAnsi="仿宋" w:eastAsia="仿宋"/>
          <w:b/>
          <w:bCs/>
          <w:sz w:val="24"/>
          <w:szCs w:val="24"/>
        </w:rPr>
        <w:t>（三）与非强制性国家标准、国际标准及团体标准的关系及修改依据说明</w:t>
      </w:r>
    </w:p>
    <w:p w14:paraId="51F42B26">
      <w:pPr>
        <w:spacing w:line="400" w:lineRule="exact"/>
        <w:ind w:firstLine="480" w:firstLineChars="200"/>
        <w:rPr>
          <w:rFonts w:ascii="仿宋" w:hAnsi="仿宋" w:eastAsia="仿宋"/>
          <w:sz w:val="24"/>
          <w:szCs w:val="24"/>
        </w:rPr>
      </w:pPr>
      <w:r>
        <w:rPr>
          <w:rFonts w:hint="eastAsia" w:ascii="仿宋" w:hAnsi="仿宋" w:eastAsia="仿宋"/>
          <w:sz w:val="24"/>
          <w:szCs w:val="24"/>
        </w:rPr>
        <w:t>本标准以GB/Z 40893.</w:t>
      </w:r>
      <w:r>
        <w:rPr>
          <w:rFonts w:hint="eastAsia" w:ascii="仿宋" w:hAnsi="仿宋" w:eastAsia="仿宋"/>
          <w:sz w:val="24"/>
          <w:szCs w:val="24"/>
          <w:lang w:val="en-US" w:eastAsia="zh-CN"/>
        </w:rPr>
        <w:t>4</w:t>
      </w:r>
      <w:r>
        <w:rPr>
          <w:rFonts w:hint="eastAsia" w:ascii="仿宋" w:hAnsi="仿宋" w:eastAsia="仿宋"/>
          <w:sz w:val="24"/>
          <w:szCs w:val="24"/>
        </w:rPr>
        <w:t>—2021《中医技术操作规范 儿科 第</w:t>
      </w:r>
      <w:r>
        <w:rPr>
          <w:rFonts w:hint="eastAsia" w:ascii="仿宋" w:hAnsi="仿宋" w:eastAsia="仿宋"/>
          <w:sz w:val="24"/>
          <w:szCs w:val="24"/>
          <w:lang w:val="en-US" w:eastAsia="zh-CN"/>
        </w:rPr>
        <w:t>4</w:t>
      </w:r>
      <w:r>
        <w:rPr>
          <w:rFonts w:hint="eastAsia" w:ascii="仿宋" w:hAnsi="仿宋" w:eastAsia="仿宋"/>
          <w:sz w:val="24"/>
          <w:szCs w:val="24"/>
        </w:rPr>
        <w:t>部分：小儿</w:t>
      </w:r>
      <w:r>
        <w:rPr>
          <w:rFonts w:hint="eastAsia" w:ascii="仿宋" w:hAnsi="仿宋" w:eastAsia="仿宋"/>
          <w:sz w:val="24"/>
          <w:szCs w:val="24"/>
          <w:lang w:val="en-US" w:eastAsia="zh-CN"/>
        </w:rPr>
        <w:t>推拿疗</w:t>
      </w:r>
      <w:r>
        <w:rPr>
          <w:rFonts w:hint="eastAsia" w:ascii="仿宋" w:hAnsi="仿宋" w:eastAsia="仿宋"/>
          <w:sz w:val="24"/>
          <w:szCs w:val="24"/>
        </w:rPr>
        <w:t>法》为基础，通过专家问卷调查、专家论证和国际对标，对部分内容进行了系统优化和技术性细化。上述修改并非实质性改变技术内涵，而是在保持原标准核心框架和基本原则一致的前提下，增强其国际通用性和操作安全性。</w:t>
      </w:r>
    </w:p>
    <w:p w14:paraId="5773DD00">
      <w:pPr>
        <w:spacing w:line="400" w:lineRule="exact"/>
        <w:rPr>
          <w:rFonts w:hint="default" w:ascii="仿宋" w:hAnsi="仿宋" w:eastAsia="仿宋"/>
          <w:b/>
          <w:bCs/>
          <w:sz w:val="24"/>
          <w:szCs w:val="24"/>
          <w:lang w:val="en-US" w:eastAsia="zh-CN"/>
        </w:rPr>
      </w:pPr>
      <w:r>
        <w:rPr>
          <w:rFonts w:hint="eastAsia" w:ascii="仿宋" w:hAnsi="仿宋" w:eastAsia="仿宋"/>
          <w:b/>
          <w:bCs/>
          <w:sz w:val="24"/>
          <w:szCs w:val="24"/>
          <w:lang w:val="en-US" w:eastAsia="zh-CN"/>
        </w:rPr>
        <w:t>1</w:t>
      </w:r>
      <w:r>
        <w:rPr>
          <w:rFonts w:hint="eastAsia" w:ascii="仿宋" w:hAnsi="仿宋" w:eastAsia="仿宋"/>
          <w:b/>
          <w:bCs/>
          <w:sz w:val="24"/>
          <w:szCs w:val="24"/>
        </w:rPr>
        <w:t xml:space="preserve">  对</w:t>
      </w:r>
      <w:r>
        <w:rPr>
          <w:rFonts w:hint="eastAsia" w:ascii="仿宋" w:hAnsi="仿宋" w:eastAsia="仿宋"/>
          <w:b/>
          <w:bCs/>
          <w:sz w:val="24"/>
          <w:szCs w:val="24"/>
          <w:lang w:val="en-US" w:eastAsia="zh-CN"/>
        </w:rPr>
        <w:t>小儿推拿</w:t>
      </w:r>
      <w:r>
        <w:rPr>
          <w:rFonts w:hint="eastAsia" w:ascii="仿宋" w:hAnsi="仿宋" w:eastAsia="仿宋"/>
          <w:b/>
          <w:bCs/>
          <w:sz w:val="24"/>
          <w:szCs w:val="24"/>
          <w:lang w:val="en-US" w:eastAsia="zh-CN"/>
        </w:rPr>
        <w:t>操作手法及穴位定位的</w:t>
      </w:r>
      <w:r>
        <w:rPr>
          <w:rFonts w:hint="eastAsia" w:ascii="仿宋" w:hAnsi="仿宋" w:eastAsia="仿宋"/>
          <w:b/>
          <w:bCs/>
          <w:sz w:val="24"/>
          <w:szCs w:val="24"/>
          <w:lang w:val="en-US" w:eastAsia="zh-CN"/>
        </w:rPr>
        <w:t>明确</w:t>
      </w:r>
      <w:r>
        <w:rPr>
          <w:rFonts w:hint="eastAsia" w:ascii="仿宋" w:hAnsi="仿宋" w:eastAsia="仿宋"/>
          <w:b/>
          <w:bCs/>
          <w:sz w:val="24"/>
          <w:szCs w:val="24"/>
          <w:lang w:val="en-US" w:eastAsia="zh-CN"/>
        </w:rPr>
        <w:t>与调整</w:t>
      </w:r>
    </w:p>
    <w:p w14:paraId="5DF88D53">
      <w:pPr>
        <w:spacing w:line="400" w:lineRule="exact"/>
        <w:ind w:firstLine="480" w:firstLineChars="200"/>
        <w:rPr>
          <w:rFonts w:hint="default" w:ascii="仿宋" w:hAnsi="仿宋" w:eastAsia="仿宋"/>
          <w:sz w:val="24"/>
          <w:szCs w:val="24"/>
          <w:lang w:val="en-US" w:eastAsia="zh-CN"/>
        </w:rPr>
      </w:pPr>
      <w:r>
        <w:rPr>
          <w:rFonts w:hint="eastAsia" w:ascii="仿宋" w:hAnsi="仿宋" w:eastAsia="仿宋"/>
          <w:sz w:val="24"/>
          <w:szCs w:val="24"/>
          <w:lang w:val="en-US" w:eastAsia="zh-CN"/>
        </w:rPr>
        <w:t>对于附录中关于小儿推拿特定穴位定位及名称</w:t>
      </w:r>
      <w:r>
        <w:rPr>
          <w:rFonts w:hint="eastAsia" w:ascii="仿宋" w:hAnsi="仿宋" w:eastAsia="仿宋"/>
          <w:sz w:val="24"/>
          <w:szCs w:val="24"/>
        </w:rPr>
        <w:t>，经专家问卷调查和论证会讨论，决定沿用原国家标准。</w:t>
      </w:r>
      <w:r>
        <w:rPr>
          <w:rFonts w:hint="eastAsia" w:ascii="仿宋" w:hAnsi="仿宋" w:eastAsia="仿宋"/>
          <w:sz w:val="24"/>
          <w:szCs w:val="24"/>
          <w:lang w:val="en-US" w:eastAsia="zh-CN"/>
        </w:rPr>
        <w:t>同时，对按法、摩法、拍法、水底捞月、黄蜂入洞等小儿推拿常用手法的动作轨迹、频率、幅度及操作者体位进行了更精确的文字描述，如明确按法的“垂直向下”、“按而留之”等操作要点，明确旋推法的操作频率多在160～260次/分钟左右等。在确保安全性的前提下，优化操作流程以提升和稳定疗效。</w:t>
      </w:r>
    </w:p>
    <w:p w14:paraId="4A05BEF8">
      <w:pPr>
        <w:spacing w:line="400" w:lineRule="exact"/>
        <w:rPr>
          <w:rFonts w:hint="eastAsia" w:ascii="仿宋" w:hAnsi="仿宋" w:eastAsia="仿宋"/>
          <w:b/>
          <w:bCs/>
          <w:sz w:val="24"/>
          <w:szCs w:val="24"/>
        </w:rPr>
      </w:pPr>
      <w:r>
        <w:rPr>
          <w:rFonts w:hint="eastAsia" w:ascii="仿宋" w:hAnsi="仿宋" w:eastAsia="仿宋"/>
          <w:b/>
          <w:bCs/>
          <w:sz w:val="24"/>
          <w:szCs w:val="24"/>
          <w:lang w:val="en-US" w:eastAsia="zh-CN"/>
        </w:rPr>
        <w:t>2</w:t>
      </w:r>
      <w:r>
        <w:rPr>
          <w:rFonts w:hint="eastAsia" w:ascii="仿宋" w:hAnsi="仿宋" w:eastAsia="仿宋"/>
          <w:b/>
          <w:bCs/>
          <w:sz w:val="24"/>
          <w:szCs w:val="24"/>
        </w:rPr>
        <w:t xml:space="preserve">  与国际组织标准及团体标准的协调引用</w:t>
      </w:r>
    </w:p>
    <w:p w14:paraId="4A0E95CF">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w:t>
      </w:r>
      <w:r>
        <w:rPr>
          <w:rFonts w:hint="eastAsia" w:ascii="仿宋" w:hAnsi="仿宋" w:eastAsia="仿宋"/>
          <w:sz w:val="24"/>
          <w:szCs w:val="24"/>
          <w:lang w:val="en-US" w:eastAsia="zh-CN"/>
        </w:rPr>
        <w:t>操作步骤与要求，包括施术前准备与施术方法</w:t>
      </w:r>
      <w:r>
        <w:rPr>
          <w:rFonts w:hint="eastAsia" w:ascii="仿宋" w:hAnsi="仿宋" w:eastAsia="仿宋"/>
          <w:sz w:val="24"/>
          <w:szCs w:val="24"/>
        </w:rPr>
        <w:t>等内容中，本标准广泛参考了WFCMS国际组织标准《SCM-C 0056-2023 小儿推拿技术操作规范》及中华中医药学会团体标准《T/CACM 1560.7-2023 中医养生保健服务（非医疗）技术操作规范 小儿推拿》</w:t>
      </w:r>
      <w:r>
        <w:rPr>
          <w:rFonts w:hint="eastAsia" w:ascii="仿宋" w:hAnsi="仿宋" w:eastAsia="仿宋"/>
          <w:sz w:val="24"/>
          <w:szCs w:val="24"/>
          <w:lang w:val="en-US" w:eastAsia="zh-CN"/>
        </w:rPr>
        <w:t>等</w:t>
      </w:r>
      <w:r>
        <w:rPr>
          <w:rFonts w:hint="eastAsia" w:ascii="仿宋" w:hAnsi="仿宋" w:eastAsia="仿宋"/>
          <w:sz w:val="24"/>
          <w:szCs w:val="24"/>
        </w:rPr>
        <w:t>。</w:t>
      </w:r>
    </w:p>
    <w:p w14:paraId="3CF92884">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专家调查结果显示，多数专家支持对上述文件内容进行整合，形成兼顾安全性与可操作性的综合表述。因此，不冲突的前提下，本标准</w:t>
      </w:r>
      <w:r>
        <w:rPr>
          <w:rFonts w:hint="eastAsia" w:ascii="仿宋" w:hAnsi="仿宋" w:eastAsia="仿宋"/>
          <w:sz w:val="24"/>
          <w:szCs w:val="24"/>
          <w:lang w:val="en-US" w:eastAsia="zh-CN"/>
        </w:rPr>
        <w:t>对</w:t>
      </w:r>
      <w:r>
        <w:rPr>
          <w:rFonts w:hint="eastAsia" w:ascii="仿宋" w:hAnsi="仿宋" w:eastAsia="仿宋"/>
          <w:sz w:val="24"/>
          <w:szCs w:val="24"/>
        </w:rPr>
        <w:t>相关条款进行了优化整合，属于多标准协调应用，而非简单照搬或重复引用。</w:t>
      </w:r>
    </w:p>
    <w:p w14:paraId="2AE7FD8B">
      <w:pPr>
        <w:spacing w:line="400" w:lineRule="exact"/>
        <w:rPr>
          <w:rFonts w:hint="eastAsia" w:ascii="仿宋" w:hAnsi="仿宋" w:eastAsia="仿宋"/>
          <w:b/>
          <w:bCs/>
          <w:sz w:val="24"/>
          <w:szCs w:val="24"/>
        </w:rPr>
      </w:pPr>
      <w:r>
        <w:rPr>
          <w:rFonts w:hint="eastAsia" w:ascii="仿宋" w:hAnsi="仿宋" w:eastAsia="仿宋"/>
          <w:b/>
          <w:bCs/>
          <w:sz w:val="24"/>
          <w:szCs w:val="24"/>
          <w:lang w:val="en-US" w:eastAsia="zh-CN"/>
        </w:rPr>
        <w:t>3</w:t>
      </w:r>
      <w:r>
        <w:rPr>
          <w:rFonts w:hint="eastAsia" w:ascii="仿宋" w:hAnsi="仿宋" w:eastAsia="仿宋"/>
          <w:b/>
          <w:bCs/>
          <w:sz w:val="24"/>
          <w:szCs w:val="24"/>
        </w:rPr>
        <w:t xml:space="preserve">  对现代医学及国际循证指南的技术性参考说明</w:t>
      </w:r>
    </w:p>
    <w:p w14:paraId="6579106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w:t>
      </w:r>
      <w:r>
        <w:rPr>
          <w:rFonts w:hint="eastAsia" w:ascii="仿宋" w:hAnsi="仿宋" w:eastAsia="仿宋"/>
          <w:sz w:val="24"/>
          <w:szCs w:val="24"/>
          <w:lang w:val="en-US" w:eastAsia="zh-CN"/>
        </w:rPr>
        <w:t>小儿推拿介质、禁忌症等</w:t>
      </w:r>
      <w:r>
        <w:rPr>
          <w:rFonts w:hint="eastAsia" w:ascii="仿宋" w:hAnsi="仿宋" w:eastAsia="仿宋"/>
          <w:sz w:val="24"/>
          <w:szCs w:val="24"/>
        </w:rPr>
        <w:t>相关内容中，本标准参考了WHO、Indian Academy of Pediatric等国际权威机构发布的</w:t>
      </w:r>
      <w:r>
        <w:rPr>
          <w:rFonts w:hint="eastAsia" w:ascii="仿宋" w:hAnsi="仿宋" w:eastAsia="仿宋"/>
          <w:sz w:val="24"/>
          <w:szCs w:val="24"/>
          <w:lang w:val="en-US" w:eastAsia="zh-CN"/>
        </w:rPr>
        <w:t>疾病名称、按摩油</w:t>
      </w:r>
      <w:r>
        <w:rPr>
          <w:rFonts w:hint="eastAsia" w:ascii="仿宋" w:hAnsi="仿宋" w:eastAsia="仿宋"/>
          <w:sz w:val="24"/>
          <w:szCs w:val="24"/>
        </w:rPr>
        <w:t>等内容。</w:t>
      </w:r>
    </w:p>
    <w:p w14:paraId="69DC6D9E">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 xml:space="preserve">专家问卷调查和论证结果显示，绝大多数专家支持在不改变中医技术属性的前提下，吸收现代循证医学中已被广泛验证的安全原则，参考国际证据进行标准条文修改。如参考WHO </w:t>
      </w:r>
      <w:r>
        <w:rPr>
          <w:rFonts w:hint="eastAsia" w:ascii="仿宋" w:hAnsi="仿宋" w:eastAsia="仿宋" w:cs="宋体"/>
          <w:sz w:val="24"/>
          <w:szCs w:val="24"/>
        </w:rPr>
        <w:t>“benchmarks for the practice of tuina”</w:t>
      </w:r>
      <w:r>
        <w:rPr>
          <w:rFonts w:hint="eastAsia" w:ascii="仿宋" w:hAnsi="仿宋" w:eastAsia="仿宋"/>
          <w:sz w:val="24"/>
          <w:szCs w:val="24"/>
        </w:rPr>
        <w:t>完善</w:t>
      </w:r>
      <w:r>
        <w:rPr>
          <w:rFonts w:hint="eastAsia" w:ascii="仿宋" w:hAnsi="仿宋" w:eastAsia="仿宋"/>
          <w:sz w:val="24"/>
          <w:szCs w:val="24"/>
          <w:lang w:val="en-US" w:eastAsia="zh-CN"/>
        </w:rPr>
        <w:t>环境要求、体位选择</w:t>
      </w:r>
      <w:r>
        <w:rPr>
          <w:rFonts w:hint="eastAsia" w:ascii="仿宋" w:hAnsi="仿宋" w:eastAsia="仿宋"/>
          <w:sz w:val="24"/>
          <w:szCs w:val="24"/>
        </w:rPr>
        <w:t>；结合Indian Academy of Pediatric等机构指南，</w:t>
      </w:r>
      <w:r>
        <w:rPr>
          <w:rFonts w:hint="eastAsia" w:ascii="仿宋" w:hAnsi="仿宋" w:eastAsia="仿宋"/>
          <w:sz w:val="24"/>
          <w:szCs w:val="24"/>
          <w:lang w:val="en-US" w:eastAsia="zh-CN"/>
        </w:rPr>
        <w:t>扩展按摩油选择种类</w:t>
      </w:r>
      <w:r>
        <w:rPr>
          <w:rFonts w:hint="eastAsia" w:ascii="仿宋" w:hAnsi="仿宋" w:eastAsia="仿宋"/>
          <w:sz w:val="24"/>
          <w:szCs w:val="24"/>
        </w:rPr>
        <w:t>。</w:t>
      </w:r>
    </w:p>
    <w:p w14:paraId="5FDB8607">
      <w:pPr>
        <w:spacing w:line="400" w:lineRule="exact"/>
        <w:rPr>
          <w:rFonts w:hint="eastAsia" w:ascii="仿宋" w:hAnsi="仿宋" w:eastAsia="仿宋"/>
          <w:b/>
          <w:bCs/>
          <w:sz w:val="24"/>
          <w:szCs w:val="24"/>
        </w:rPr>
      </w:pPr>
      <w:r>
        <w:rPr>
          <w:rFonts w:hint="eastAsia" w:ascii="仿宋" w:hAnsi="仿宋" w:eastAsia="仿宋"/>
          <w:b/>
          <w:bCs/>
          <w:sz w:val="24"/>
          <w:szCs w:val="24"/>
        </w:rPr>
        <w:t xml:space="preserve">（四）与疾病分类及临床诊疗指南类文件的关系  </w:t>
      </w:r>
    </w:p>
    <w:p w14:paraId="4D979284">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《中医儿科临床诊疗指南》等文件在本标准中并未直接引用。上述文件主要用于疾病分类、诊疗原则及治疗策略的指导，不直接规范</w:t>
      </w:r>
      <w:r>
        <w:rPr>
          <w:rFonts w:hint="eastAsia" w:ascii="仿宋" w:hAnsi="仿宋" w:eastAsia="仿宋"/>
          <w:sz w:val="24"/>
          <w:szCs w:val="24"/>
          <w:lang w:val="en-US" w:eastAsia="zh-CN"/>
        </w:rPr>
        <w:t>中医儿科小儿推拿疗法</w:t>
      </w:r>
      <w:r>
        <w:rPr>
          <w:rFonts w:hint="eastAsia" w:ascii="仿宋" w:hAnsi="仿宋" w:eastAsia="仿宋"/>
          <w:sz w:val="24"/>
          <w:szCs w:val="24"/>
        </w:rPr>
        <w:t>的具体操作技术。</w:t>
      </w:r>
    </w:p>
    <w:p w14:paraId="5EC01ED8">
      <w:pPr>
        <w:spacing w:line="400" w:lineRule="exact"/>
        <w:ind w:firstLine="480" w:firstLineChars="200"/>
        <w:rPr>
          <w:rFonts w:ascii="仿宋" w:hAnsi="仿宋" w:eastAsia="仿宋"/>
          <w:sz w:val="24"/>
          <w:szCs w:val="24"/>
        </w:rPr>
      </w:pPr>
      <w:r>
        <w:rPr>
          <w:rFonts w:hint="eastAsia" w:ascii="仿宋" w:hAnsi="仿宋" w:eastAsia="仿宋"/>
          <w:sz w:val="24"/>
          <w:szCs w:val="24"/>
        </w:rPr>
        <w:t>在本标准编制过程中，相关疾病分类体系和诊疗指南主要作为背景性与参考性依据，</w:t>
      </w:r>
      <w:r>
        <w:rPr>
          <w:rFonts w:hint="eastAsia" w:ascii="仿宋" w:hAnsi="仿宋" w:eastAsia="仿宋"/>
          <w:sz w:val="24"/>
          <w:szCs w:val="24"/>
          <w:lang w:val="en-US" w:eastAsia="zh-CN"/>
        </w:rPr>
        <w:t>仅</w:t>
      </w:r>
      <w:r>
        <w:rPr>
          <w:rFonts w:hint="eastAsia" w:ascii="仿宋" w:hAnsi="仿宋" w:eastAsia="仿宋"/>
          <w:sz w:val="24"/>
          <w:szCs w:val="24"/>
        </w:rPr>
        <w:t>用于</w:t>
      </w:r>
      <w:r>
        <w:rPr>
          <w:rFonts w:hint="eastAsia" w:ascii="仿宋" w:hAnsi="仿宋" w:eastAsia="仿宋"/>
          <w:sz w:val="24"/>
          <w:szCs w:val="24"/>
          <w:lang w:val="en-US" w:eastAsia="zh-CN"/>
        </w:rPr>
        <w:t>疾病禁忌</w:t>
      </w:r>
      <w:r>
        <w:rPr>
          <w:rFonts w:hint="eastAsia" w:ascii="仿宋" w:hAnsi="仿宋" w:eastAsia="仿宋"/>
          <w:sz w:val="24"/>
          <w:szCs w:val="24"/>
        </w:rPr>
        <w:t>。本标准不以具体疾病诊断为前提，也不对治疗方案作出规定，保持技术操作规范的独立性和通用性。</w:t>
      </w:r>
    </w:p>
    <w:p w14:paraId="7B39C22D">
      <w:pPr>
        <w:spacing w:line="400" w:lineRule="exact"/>
        <w:rPr>
          <w:rFonts w:hint="eastAsia" w:ascii="仿宋" w:hAnsi="仿宋" w:eastAsia="仿宋"/>
          <w:b/>
          <w:bCs/>
          <w:sz w:val="24"/>
          <w:szCs w:val="24"/>
        </w:rPr>
      </w:pPr>
      <w:r>
        <w:rPr>
          <w:rFonts w:hint="eastAsia" w:ascii="仿宋" w:hAnsi="仿宋" w:eastAsia="仿宋"/>
          <w:b/>
          <w:bCs/>
          <w:sz w:val="24"/>
          <w:szCs w:val="24"/>
        </w:rPr>
        <w:t>（五）标准适用原则与协调说明</w:t>
      </w:r>
    </w:p>
    <w:p w14:paraId="5910E62E">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本标准定位为中医儿科</w:t>
      </w:r>
      <w:r>
        <w:rPr>
          <w:rFonts w:hint="eastAsia" w:ascii="仿宋" w:hAnsi="仿宋" w:eastAsia="仿宋"/>
          <w:sz w:val="24"/>
          <w:szCs w:val="24"/>
          <w:lang w:val="en-US" w:eastAsia="zh-CN"/>
        </w:rPr>
        <w:t>小儿推拿疗法</w:t>
      </w:r>
      <w:r>
        <w:rPr>
          <w:rFonts w:hint="eastAsia" w:ascii="仿宋" w:hAnsi="仿宋" w:eastAsia="仿宋"/>
          <w:sz w:val="24"/>
          <w:szCs w:val="24"/>
        </w:rPr>
        <w:t>操作规范，不涉及疾病诊断、疗效评价或具体处方用药选择。在标准实施过程中，应遵循法律法规优先、强制性标准优先、属地管理优先的原则。在符合上述前提条件下，本标准可作为中医儿科临床实践、教学、科研及国际交流中的技术参考文件。</w:t>
      </w:r>
    </w:p>
    <w:p w14:paraId="3D0E4830">
      <w:pPr>
        <w:pStyle w:val="3"/>
        <w:spacing w:before="0" w:after="0" w:line="400" w:lineRule="exact"/>
        <w:rPr>
          <w:rFonts w:hint="eastAsia" w:ascii="黑体" w:hAnsi="黑体" w:eastAsia="黑体"/>
          <w:sz w:val="24"/>
          <w:szCs w:val="24"/>
        </w:rPr>
      </w:pPr>
      <w:r>
        <w:rPr>
          <w:rFonts w:hint="eastAsia" w:ascii="黑体" w:hAnsi="黑体" w:eastAsia="黑体"/>
          <w:sz w:val="24"/>
          <w:szCs w:val="24"/>
        </w:rPr>
        <w:t>四、重大分析意见的处理经过和依据</w:t>
      </w:r>
    </w:p>
    <w:p w14:paraId="6E44F625">
      <w:pPr>
        <w:spacing w:line="400" w:lineRule="exact"/>
        <w:ind w:firstLine="480" w:firstLineChars="200"/>
        <w:rPr>
          <w:rFonts w:ascii="仿宋" w:hAnsi="仿宋" w:eastAsia="仿宋"/>
          <w:sz w:val="24"/>
          <w:szCs w:val="24"/>
        </w:rPr>
      </w:pPr>
      <w:r>
        <w:rPr>
          <w:rFonts w:hint="eastAsia" w:ascii="仿宋" w:hAnsi="仿宋" w:eastAsia="仿宋"/>
          <w:sz w:val="24"/>
          <w:szCs w:val="24"/>
        </w:rPr>
        <w:t>在《中医技术操作规范 儿科 第</w:t>
      </w:r>
      <w:r>
        <w:rPr>
          <w:rFonts w:hint="eastAsia" w:ascii="仿宋" w:hAnsi="仿宋" w:eastAsia="仿宋"/>
          <w:sz w:val="24"/>
          <w:szCs w:val="24"/>
          <w:lang w:val="en-US" w:eastAsia="zh-CN"/>
        </w:rPr>
        <w:t>4</w:t>
      </w:r>
      <w:r>
        <w:rPr>
          <w:rFonts w:hint="eastAsia" w:ascii="仿宋" w:hAnsi="仿宋" w:eastAsia="仿宋"/>
          <w:sz w:val="24"/>
          <w:szCs w:val="24"/>
        </w:rPr>
        <w:t>部分：小儿</w:t>
      </w:r>
      <w:r>
        <w:rPr>
          <w:rFonts w:hint="eastAsia" w:ascii="仿宋" w:hAnsi="仿宋" w:eastAsia="仿宋"/>
          <w:sz w:val="24"/>
          <w:szCs w:val="24"/>
          <w:lang w:val="en-US" w:eastAsia="zh-CN"/>
        </w:rPr>
        <w:t>推拿疗法</w:t>
      </w:r>
      <w:r>
        <w:rPr>
          <w:rFonts w:hint="eastAsia" w:ascii="仿宋" w:hAnsi="仿宋" w:eastAsia="仿宋"/>
          <w:sz w:val="24"/>
          <w:szCs w:val="24"/>
        </w:rPr>
        <w:t>》由国家标准向国际组织标准转化过程中，项目工作组围绕标准的技术内容、适用范围及安全性等关键问题，依次开展了专家问卷调查、专家论证会论证及专家指导组审核等工作，对专家提出的重大意见进行系统梳理、集中分析和规范处理，形成了本标准的最终文本。现将相关意见的处理经过和依据说明如下。</w:t>
      </w:r>
    </w:p>
    <w:p w14:paraId="56096A47">
      <w:pPr>
        <w:spacing w:line="400" w:lineRule="exact"/>
        <w:rPr>
          <w:rFonts w:hint="eastAsia" w:ascii="仿宋" w:hAnsi="仿宋" w:eastAsia="仿宋"/>
          <w:b/>
          <w:sz w:val="24"/>
          <w:szCs w:val="24"/>
        </w:rPr>
      </w:pPr>
      <w:r>
        <w:rPr>
          <w:rFonts w:hint="eastAsia" w:ascii="仿宋" w:hAnsi="仿宋" w:eastAsia="仿宋"/>
          <w:b/>
          <w:sz w:val="24"/>
          <w:szCs w:val="24"/>
        </w:rPr>
        <w:t>（一）专家问卷调查意见的汇总与处理</w:t>
      </w:r>
    </w:p>
    <w:p w14:paraId="61A978AC">
      <w:pPr>
        <w:spacing w:line="400" w:lineRule="exact"/>
        <w:ind w:firstLine="480" w:firstLineChars="200"/>
        <w:rPr>
          <w:rFonts w:ascii="仿宋" w:hAnsi="仿宋" w:eastAsia="仿宋"/>
          <w:sz w:val="24"/>
          <w:szCs w:val="24"/>
        </w:rPr>
      </w:pPr>
      <w:r>
        <w:rPr>
          <w:rFonts w:hint="eastAsia" w:ascii="仿宋" w:hAnsi="仿宋" w:eastAsia="仿宋"/>
          <w:sz w:val="24"/>
          <w:szCs w:val="24"/>
        </w:rPr>
        <w:t>在文献研究和原国家标准的基础上，项目工作组组织开展了专家问卷调查，广泛征求</w:t>
      </w:r>
      <w:r>
        <w:rPr>
          <w:rFonts w:hint="eastAsia" w:ascii="仿宋" w:hAnsi="仿宋" w:eastAsia="仿宋"/>
          <w:sz w:val="24"/>
          <w:szCs w:val="24"/>
          <w:lang w:eastAsia="zh-CN"/>
        </w:rPr>
        <w:t>海内外</w:t>
      </w:r>
      <w:r>
        <w:rPr>
          <w:rFonts w:hint="eastAsia" w:ascii="仿宋" w:hAnsi="仿宋" w:eastAsia="仿宋"/>
          <w:sz w:val="24"/>
          <w:szCs w:val="24"/>
        </w:rPr>
        <w:t>中医儿科及相关领域专家对《国际中医技术操作规范·儿科·小儿</w:t>
      </w:r>
      <w:r>
        <w:rPr>
          <w:rFonts w:hint="eastAsia" w:ascii="仿宋" w:hAnsi="仿宋" w:eastAsia="仿宋"/>
          <w:sz w:val="24"/>
          <w:szCs w:val="24"/>
          <w:lang w:val="en-US" w:eastAsia="zh-CN"/>
        </w:rPr>
        <w:t>推拿疗法</w:t>
      </w:r>
      <w:r>
        <w:rPr>
          <w:rFonts w:hint="eastAsia" w:ascii="仿宋" w:hAnsi="仿宋" w:eastAsia="仿宋"/>
          <w:sz w:val="24"/>
          <w:szCs w:val="24"/>
        </w:rPr>
        <w:t>》条文内容的意见。问卷围绕术语定义、操作步骤</w:t>
      </w:r>
      <w:r>
        <w:rPr>
          <w:rFonts w:hint="eastAsia" w:ascii="仿宋" w:hAnsi="仿宋" w:eastAsia="仿宋"/>
          <w:sz w:val="24"/>
          <w:szCs w:val="24"/>
          <w:lang w:val="en-US" w:eastAsia="zh-CN"/>
        </w:rPr>
        <w:t>与要求</w:t>
      </w:r>
      <w:r>
        <w:rPr>
          <w:rFonts w:hint="eastAsia" w:ascii="仿宋" w:hAnsi="仿宋" w:eastAsia="仿宋"/>
          <w:sz w:val="24"/>
          <w:szCs w:val="24"/>
        </w:rPr>
        <w:t>、注意事项与禁忌等方面设置条目，并辅以开放性问题，用于收集专家意见。</w:t>
      </w:r>
    </w:p>
    <w:p w14:paraId="616C16E0">
      <w:pPr>
        <w:spacing w:line="400" w:lineRule="exact"/>
        <w:ind w:firstLine="480" w:firstLineChars="200"/>
        <w:rPr>
          <w:rFonts w:ascii="仿宋" w:hAnsi="仿宋" w:eastAsia="仿宋"/>
          <w:sz w:val="24"/>
          <w:szCs w:val="24"/>
        </w:rPr>
      </w:pPr>
      <w:r>
        <w:rPr>
          <w:rFonts w:hint="eastAsia" w:ascii="仿宋" w:hAnsi="仿宋" w:eastAsia="仿宋"/>
          <w:sz w:val="24"/>
          <w:szCs w:val="24"/>
        </w:rPr>
        <w:t>本次问卷共发放30份，回收有效答卷</w:t>
      </w:r>
      <w:r>
        <w:rPr>
          <w:rFonts w:hint="eastAsia" w:ascii="仿宋" w:hAnsi="仿宋" w:eastAsia="仿宋"/>
          <w:sz w:val="24"/>
          <w:szCs w:val="24"/>
          <w:lang w:val="en-US" w:eastAsia="zh-CN"/>
        </w:rPr>
        <w:t>27</w:t>
      </w:r>
      <w:r>
        <w:rPr>
          <w:rFonts w:hint="eastAsia" w:ascii="仿宋" w:hAnsi="仿宋" w:eastAsia="仿宋"/>
          <w:sz w:val="24"/>
          <w:szCs w:val="24"/>
        </w:rPr>
        <w:t>份，专家积极系数为</w:t>
      </w:r>
      <w:r>
        <w:rPr>
          <w:rFonts w:hint="eastAsia" w:ascii="仿宋" w:hAnsi="仿宋" w:eastAsia="仿宋"/>
          <w:sz w:val="24"/>
          <w:szCs w:val="24"/>
          <w:lang w:val="en-US" w:eastAsia="zh-CN"/>
        </w:rPr>
        <w:t>90</w:t>
      </w:r>
      <w:r>
        <w:rPr>
          <w:rFonts w:hint="eastAsia" w:ascii="仿宋" w:hAnsi="仿宋" w:eastAsia="仿宋"/>
          <w:sz w:val="24"/>
          <w:szCs w:val="24"/>
        </w:rPr>
        <w:t>%。参与专家来自中国（含内地及澳台地区）、新加坡、马来西亚、澳大利亚、美国等多个国家和地区，具有较高的权威性和国际代表性。根据既定统计与处理原则，对专家意见进行了系统分析和分类处理，具体情况如下。</w:t>
      </w:r>
    </w:p>
    <w:p w14:paraId="7ED0C00D">
      <w:pPr>
        <w:spacing w:line="400" w:lineRule="exact"/>
        <w:rPr>
          <w:rFonts w:hint="eastAsia" w:ascii="仿宋" w:hAnsi="仿宋" w:eastAsia="仿宋"/>
          <w:b/>
          <w:bCs/>
          <w:sz w:val="24"/>
          <w:szCs w:val="24"/>
        </w:rPr>
      </w:pPr>
      <w:r>
        <w:rPr>
          <w:rFonts w:hint="eastAsia" w:ascii="仿宋" w:hAnsi="仿宋" w:eastAsia="仿宋"/>
          <w:b/>
          <w:bCs/>
          <w:sz w:val="24"/>
          <w:szCs w:val="24"/>
        </w:rPr>
        <w:t>1  已形成较高共识的意见及处理情况</w:t>
      </w:r>
    </w:p>
    <w:p w14:paraId="08AD2F71">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根据统计方法，凡某一选项获得超过50%专家支持（等级和大于答卷总数一半）的，列为专家共识意见，项目工作组原则上予以采纳，并据此对标准条文进行相应修改或完善。</w:t>
      </w:r>
    </w:p>
    <w:p w14:paraId="426E0380">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专家达成较高一致性的意见主要集中在以下几个方面：</w:t>
      </w:r>
    </w:p>
    <w:p w14:paraId="3EA3F7D8">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一是</w:t>
      </w:r>
      <w:r>
        <w:rPr>
          <w:rFonts w:hint="eastAsia" w:ascii="仿宋" w:hAnsi="仿宋" w:eastAsia="仿宋"/>
          <w:sz w:val="24"/>
          <w:szCs w:val="24"/>
          <w:lang w:val="en-US" w:eastAsia="zh-CN"/>
        </w:rPr>
        <w:t>小儿推拿特定穴位的名称与定位</w:t>
      </w:r>
      <w:r>
        <w:rPr>
          <w:rFonts w:hint="eastAsia" w:ascii="仿宋" w:hAnsi="仿宋" w:eastAsia="仿宋"/>
          <w:sz w:val="24"/>
          <w:szCs w:val="24"/>
        </w:rPr>
        <w:t>。包括</w:t>
      </w:r>
      <w:r>
        <w:rPr>
          <w:rFonts w:hint="eastAsia" w:ascii="仿宋" w:hAnsi="仿宋" w:eastAsia="仿宋"/>
          <w:sz w:val="24"/>
          <w:szCs w:val="24"/>
          <w:lang w:val="en-US" w:eastAsia="zh-CN"/>
        </w:rPr>
        <w:t>脾经、四横纹、二人上马、三关、六腑</w:t>
      </w:r>
      <w:r>
        <w:rPr>
          <w:rFonts w:hint="eastAsia" w:ascii="仿宋" w:hAnsi="仿宋" w:eastAsia="仿宋"/>
          <w:sz w:val="24"/>
          <w:szCs w:val="24"/>
        </w:rPr>
        <w:t>等，多数专家支持直接采用</w:t>
      </w:r>
      <w:r>
        <w:rPr>
          <w:rFonts w:hint="eastAsia" w:ascii="仿宋" w:hAnsi="仿宋" w:eastAsia="仿宋"/>
          <w:sz w:val="24"/>
          <w:szCs w:val="24"/>
          <w:lang w:val="en-US" w:eastAsia="zh-CN"/>
        </w:rPr>
        <w:t>原国家标准</w:t>
      </w:r>
      <w:r>
        <w:rPr>
          <w:rFonts w:hint="eastAsia" w:ascii="仿宋" w:hAnsi="仿宋" w:eastAsia="仿宋"/>
          <w:sz w:val="24"/>
          <w:szCs w:val="24"/>
        </w:rPr>
        <w:t>中成熟、规范的</w:t>
      </w:r>
      <w:r>
        <w:rPr>
          <w:rFonts w:hint="eastAsia" w:ascii="仿宋" w:hAnsi="仿宋" w:eastAsia="仿宋"/>
          <w:sz w:val="24"/>
          <w:szCs w:val="24"/>
          <w:lang w:val="en-US" w:eastAsia="zh-CN"/>
        </w:rPr>
        <w:t>名称与定位</w:t>
      </w:r>
      <w:r>
        <w:rPr>
          <w:rFonts w:hint="eastAsia" w:ascii="仿宋" w:hAnsi="仿宋" w:eastAsia="仿宋"/>
          <w:sz w:val="24"/>
          <w:szCs w:val="24"/>
        </w:rPr>
        <w:t>作为国际标准基础文本，以增强术语的权威性。</w:t>
      </w:r>
    </w:p>
    <w:p w14:paraId="4C28A3CA">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二是</w:t>
      </w:r>
      <w:r>
        <w:rPr>
          <w:rFonts w:hint="eastAsia" w:ascii="仿宋" w:hAnsi="仿宋" w:eastAsia="仿宋"/>
          <w:sz w:val="24"/>
          <w:szCs w:val="24"/>
          <w:lang w:val="en-US" w:eastAsia="zh-CN"/>
        </w:rPr>
        <w:t>小儿推拿常用手法的明确</w:t>
      </w:r>
      <w:r>
        <w:rPr>
          <w:rFonts w:hint="eastAsia" w:ascii="仿宋" w:hAnsi="仿宋" w:eastAsia="仿宋"/>
          <w:sz w:val="24"/>
          <w:szCs w:val="24"/>
        </w:rPr>
        <w:t>。如</w:t>
      </w:r>
      <w:r>
        <w:rPr>
          <w:rFonts w:hint="eastAsia" w:ascii="仿宋" w:hAnsi="仿宋" w:eastAsia="仿宋"/>
          <w:sz w:val="24"/>
          <w:szCs w:val="24"/>
          <w:lang w:val="en-US" w:eastAsia="zh-CN"/>
        </w:rPr>
        <w:t>摩法、飞经走气法、水底捞月、打马过天河、黄蜂入洞、按弦搓摩、二龙戏珠</w:t>
      </w:r>
      <w:r>
        <w:rPr>
          <w:rFonts w:hint="eastAsia" w:ascii="仿宋" w:hAnsi="仿宋" w:eastAsia="仿宋"/>
          <w:sz w:val="24"/>
          <w:szCs w:val="24"/>
        </w:rPr>
        <w:t>等，均获得专家普遍认可并直接采纳。</w:t>
      </w:r>
    </w:p>
    <w:p w14:paraId="37EB3F26">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三是标准结构与完整性的完善。如修改“范围”“规范性引用文件”、新增</w:t>
      </w:r>
      <w:r>
        <w:rPr>
          <w:rFonts w:hint="eastAsia" w:ascii="仿宋" w:hAnsi="仿宋" w:eastAsia="仿宋"/>
          <w:sz w:val="24"/>
          <w:szCs w:val="24"/>
          <w:lang w:val="en-US" w:eastAsia="zh-CN"/>
        </w:rPr>
        <w:t>小儿推拿疗法禁忌</w:t>
      </w:r>
      <w:r>
        <w:rPr>
          <w:rFonts w:hint="eastAsia" w:ascii="仿宋" w:hAnsi="仿宋" w:eastAsia="仿宋"/>
          <w:sz w:val="24"/>
          <w:szCs w:val="24"/>
        </w:rPr>
        <w:t>、增加参考文献等内容，均获得超过九成专家同意，项目工作组据此对标准结构进行了相应调整。</w:t>
      </w:r>
    </w:p>
    <w:p w14:paraId="3E123A75">
      <w:pPr>
        <w:spacing w:line="400" w:lineRule="exact"/>
        <w:ind w:firstLine="480" w:firstLineChars="200"/>
        <w:rPr>
          <w:rFonts w:ascii="仿宋" w:hAnsi="仿宋" w:eastAsia="仿宋"/>
          <w:sz w:val="24"/>
          <w:szCs w:val="24"/>
        </w:rPr>
      </w:pPr>
      <w:r>
        <w:rPr>
          <w:rFonts w:hint="eastAsia" w:ascii="仿宋" w:hAnsi="仿宋" w:eastAsia="仿宋"/>
          <w:sz w:val="24"/>
          <w:szCs w:val="24"/>
        </w:rPr>
        <w:t>上述条目在修订过程中，均严格遵循“不改变原技术内涵、仅作规范化和安全性增强”的原则进行处理。</w:t>
      </w:r>
    </w:p>
    <w:p w14:paraId="386549F1">
      <w:pPr>
        <w:spacing w:line="400" w:lineRule="exact"/>
        <w:rPr>
          <w:rFonts w:hint="eastAsia" w:ascii="仿宋" w:hAnsi="仿宋" w:eastAsia="仿宋"/>
          <w:b/>
          <w:bCs/>
          <w:sz w:val="24"/>
          <w:szCs w:val="24"/>
        </w:rPr>
      </w:pPr>
      <w:r>
        <w:rPr>
          <w:rFonts w:hint="eastAsia" w:ascii="仿宋" w:hAnsi="仿宋" w:eastAsia="仿宋"/>
          <w:b/>
          <w:bCs/>
          <w:sz w:val="24"/>
          <w:szCs w:val="24"/>
        </w:rPr>
        <w:t>2  存在分歧的意见及处理原则</w:t>
      </w:r>
    </w:p>
    <w:p w14:paraId="1269F91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问卷调查中，部分条目各选项支持率接近，未形成明显多数意见，主要集中在以下方面：</w:t>
      </w:r>
    </w:p>
    <w:p w14:paraId="638D5C1B">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一是</w:t>
      </w:r>
      <w:r>
        <w:rPr>
          <w:rFonts w:hint="eastAsia" w:ascii="仿宋" w:hAnsi="仿宋" w:eastAsia="仿宋"/>
          <w:sz w:val="24"/>
          <w:szCs w:val="24"/>
          <w:lang w:val="en-US" w:eastAsia="zh-CN"/>
        </w:rPr>
        <w:t>施术前准备的具体要求</w:t>
      </w:r>
      <w:r>
        <w:rPr>
          <w:rFonts w:hint="eastAsia" w:ascii="仿宋" w:hAnsi="仿宋" w:eastAsia="仿宋"/>
          <w:sz w:val="24"/>
          <w:szCs w:val="24"/>
        </w:rPr>
        <w:t>，如</w:t>
      </w:r>
      <w:r>
        <w:rPr>
          <w:rFonts w:hint="eastAsia" w:ascii="仿宋" w:hAnsi="仿宋" w:eastAsia="仿宋"/>
          <w:sz w:val="24"/>
          <w:szCs w:val="24"/>
          <w:lang w:val="en-US" w:eastAsia="zh-CN"/>
        </w:rPr>
        <w:t>环境、操作者、体位</w:t>
      </w:r>
      <w:r>
        <w:rPr>
          <w:rFonts w:hint="eastAsia" w:ascii="仿宋" w:hAnsi="仿宋" w:eastAsia="仿宋"/>
          <w:sz w:val="24"/>
          <w:szCs w:val="24"/>
        </w:rPr>
        <w:t>等。</w:t>
      </w:r>
    </w:p>
    <w:p w14:paraId="0CE57CB9">
      <w:pPr>
        <w:spacing w:line="400" w:lineRule="exact"/>
        <w:ind w:firstLine="480" w:firstLineChars="200"/>
        <w:rPr>
          <w:rFonts w:hint="default" w:ascii="仿宋" w:hAnsi="仿宋" w:eastAsia="仿宋"/>
          <w:sz w:val="24"/>
          <w:szCs w:val="24"/>
          <w:lang w:val="en-US" w:eastAsia="zh-CN"/>
        </w:rPr>
      </w:pPr>
      <w:r>
        <w:rPr>
          <w:rFonts w:hint="eastAsia" w:ascii="仿宋" w:hAnsi="仿宋" w:eastAsia="仿宋"/>
          <w:sz w:val="24"/>
          <w:szCs w:val="24"/>
        </w:rPr>
        <w:t>二是</w:t>
      </w:r>
      <w:r>
        <w:rPr>
          <w:rFonts w:hint="eastAsia" w:ascii="仿宋" w:hAnsi="仿宋" w:eastAsia="仿宋"/>
          <w:sz w:val="24"/>
          <w:szCs w:val="24"/>
          <w:lang w:val="en-US" w:eastAsia="zh-CN"/>
        </w:rPr>
        <w:t>部分小儿推拿常用手法，如按法、旋推法。</w:t>
      </w:r>
    </w:p>
    <w:p w14:paraId="3828C86F">
      <w:pPr>
        <w:spacing w:line="400" w:lineRule="exact"/>
        <w:ind w:firstLine="480" w:firstLineChars="200"/>
        <w:rPr>
          <w:rFonts w:hint="eastAsia" w:ascii="仿宋" w:hAnsi="仿宋" w:eastAsia="仿宋"/>
          <w:sz w:val="24"/>
          <w:szCs w:val="24"/>
        </w:rPr>
      </w:pPr>
      <w:r>
        <w:rPr>
          <w:rFonts w:hint="eastAsia" w:ascii="仿宋" w:hAnsi="仿宋" w:eastAsia="仿宋"/>
          <w:sz w:val="24"/>
          <w:szCs w:val="24"/>
          <w:lang w:val="en-US" w:eastAsia="zh-CN"/>
        </w:rPr>
        <w:t>三是</w:t>
      </w:r>
      <w:r>
        <w:rPr>
          <w:rFonts w:hint="eastAsia" w:ascii="仿宋" w:hAnsi="仿宋" w:eastAsia="仿宋"/>
          <w:sz w:val="24"/>
          <w:szCs w:val="24"/>
        </w:rPr>
        <w:t>小儿推拿操作顺序与补泻，包括</w:t>
      </w:r>
      <w:r>
        <w:rPr>
          <w:rFonts w:hint="eastAsia" w:ascii="仿宋" w:hAnsi="仿宋" w:eastAsia="仿宋"/>
          <w:sz w:val="24"/>
          <w:szCs w:val="24"/>
          <w:lang w:val="en-US" w:eastAsia="zh-CN"/>
        </w:rPr>
        <w:t>明确小儿推拿操作顺序、补充小儿推拿常用补泻方法</w:t>
      </w:r>
      <w:r>
        <w:rPr>
          <w:rFonts w:hint="eastAsia" w:ascii="仿宋" w:hAnsi="仿宋" w:eastAsia="仿宋"/>
          <w:sz w:val="24"/>
          <w:szCs w:val="24"/>
        </w:rPr>
        <w:t>等。</w:t>
      </w:r>
    </w:p>
    <w:p w14:paraId="3B515658">
      <w:pPr>
        <w:spacing w:line="400" w:lineRule="exact"/>
        <w:ind w:firstLine="480" w:firstLineChars="200"/>
        <w:rPr>
          <w:rFonts w:ascii="仿宋" w:hAnsi="仿宋" w:eastAsia="仿宋"/>
          <w:sz w:val="24"/>
          <w:szCs w:val="24"/>
        </w:rPr>
      </w:pPr>
      <w:r>
        <w:rPr>
          <w:rFonts w:hint="eastAsia" w:ascii="仿宋" w:hAnsi="仿宋" w:eastAsia="仿宋"/>
          <w:sz w:val="24"/>
          <w:szCs w:val="24"/>
        </w:rPr>
        <w:t>针对上述争议条目，项目工作组未简单以票数决定取舍，而是将相关统计结果、不同选项内容及专家文字意见汇总整理，并由项目组初步针对对不同规范来源（国家标准、国际组织标准、团体标准等）的合理内容进行整合吸收，形成兼顾安全性与可操作性的综合表述一并提交专家论证会，作为重点讨论内容。</w:t>
      </w:r>
    </w:p>
    <w:p w14:paraId="7DBB7880">
      <w:pPr>
        <w:spacing w:line="400" w:lineRule="exact"/>
        <w:rPr>
          <w:rFonts w:hint="eastAsia" w:ascii="仿宋" w:hAnsi="仿宋" w:eastAsia="仿宋"/>
          <w:b/>
          <w:bCs/>
          <w:sz w:val="24"/>
          <w:szCs w:val="24"/>
        </w:rPr>
      </w:pPr>
      <w:r>
        <w:rPr>
          <w:rFonts w:hint="eastAsia" w:ascii="仿宋" w:hAnsi="仿宋" w:eastAsia="仿宋"/>
          <w:b/>
          <w:bCs/>
          <w:sz w:val="24"/>
          <w:szCs w:val="24"/>
        </w:rPr>
        <w:t>3  开放性与政策环境相关意见的处理说明</w:t>
      </w:r>
    </w:p>
    <w:p w14:paraId="2567FA18">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项目工作组在标准层面未对具体执业资格或管理制度作出统一规定，而是在“范围”“前言”和相关注意事项中明确提出属地法律法规优先原则，强调本标准仅提供技术操作层面的规范性参考，其实施应以当地法律法规和执业管理要求为前提。该处理方式获得专家普遍认可，也为标准的国际推广和实际应用保留了必要弹性空间。</w:t>
      </w:r>
    </w:p>
    <w:p w14:paraId="5D50F867">
      <w:pPr>
        <w:spacing w:line="400" w:lineRule="exact"/>
        <w:ind w:firstLine="480" w:firstLineChars="200"/>
        <w:rPr>
          <w:rFonts w:ascii="仿宋" w:hAnsi="仿宋" w:eastAsia="仿宋"/>
          <w:sz w:val="24"/>
          <w:szCs w:val="24"/>
        </w:rPr>
      </w:pPr>
      <w:r>
        <w:rPr>
          <w:rFonts w:hint="eastAsia" w:ascii="仿宋" w:hAnsi="仿宋" w:eastAsia="仿宋"/>
          <w:sz w:val="24"/>
          <w:szCs w:val="24"/>
        </w:rPr>
        <w:t>综上，专家问卷调查意见为本标准的修订提供了重要依据。项目工作组在充分尊重专家共识的基础上，对存在争议和开放性问题采取审慎的处理策略，为后续专家论证会和专家指导组审核奠定了坚实基础。</w:t>
      </w:r>
    </w:p>
    <w:p w14:paraId="1D6D951D">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具体内容详见“附件</w:t>
      </w:r>
      <w:r>
        <w:rPr>
          <w:rFonts w:ascii="仿宋" w:hAnsi="仿宋" w:eastAsia="仿宋"/>
          <w:sz w:val="24"/>
          <w:szCs w:val="24"/>
        </w:rPr>
        <w:t>1</w:t>
      </w:r>
      <w:r>
        <w:rPr>
          <w:rFonts w:hint="eastAsia" w:ascii="仿宋" w:hAnsi="仿宋" w:eastAsia="仿宋"/>
          <w:sz w:val="24"/>
          <w:szCs w:val="24"/>
        </w:rPr>
        <w:t>：专家调查问卷报告”。</w:t>
      </w:r>
    </w:p>
    <w:p w14:paraId="6BE85989">
      <w:pPr>
        <w:spacing w:line="400" w:lineRule="exact"/>
        <w:rPr>
          <w:rFonts w:hint="eastAsia" w:ascii="仿宋" w:hAnsi="仿宋" w:eastAsia="仿宋"/>
          <w:b/>
          <w:sz w:val="24"/>
          <w:szCs w:val="24"/>
        </w:rPr>
      </w:pPr>
      <w:r>
        <w:rPr>
          <w:rFonts w:hint="eastAsia" w:ascii="仿宋" w:hAnsi="仿宋" w:eastAsia="仿宋"/>
          <w:b/>
          <w:sz w:val="24"/>
          <w:szCs w:val="24"/>
        </w:rPr>
        <w:t>（二）专家论证会意见的集中说明与处理</w:t>
      </w:r>
    </w:p>
    <w:p w14:paraId="41862B19">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在完成专家问卷调查意见汇总的基础上，项目工作组于2025年12月3日召开</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专家论证会。参会人员为邀请论证会专家和项目组成员，包括了中华中医药学会儿科分会历届主任委员和世界中联儿科专业委员会会长等权威性专家，会议采取线下与线上相结合的方式进行，围绕国家标准向世界中医药学会联合会（WFCMS）国际组织标准转化过程中涉及的关键技术问题和争议条目，进行集中论证和决策。</w:t>
      </w:r>
    </w:p>
    <w:p w14:paraId="199DF3F0">
      <w:pPr>
        <w:spacing w:line="400" w:lineRule="exact"/>
        <w:rPr>
          <w:rFonts w:hint="eastAsia" w:ascii="仿宋" w:hAnsi="仿宋" w:eastAsia="仿宋"/>
          <w:b/>
          <w:bCs/>
          <w:sz w:val="24"/>
          <w:szCs w:val="24"/>
        </w:rPr>
      </w:pPr>
      <w:r>
        <w:rPr>
          <w:rFonts w:hint="eastAsia" w:ascii="仿宋" w:hAnsi="仿宋" w:eastAsia="仿宋"/>
          <w:b/>
          <w:bCs/>
          <w:sz w:val="24"/>
          <w:szCs w:val="24"/>
        </w:rPr>
        <w:t>1  论证会的工作方式与定位</w:t>
      </w:r>
    </w:p>
    <w:p w14:paraId="7A6C7CB0">
      <w:pPr>
        <w:spacing w:line="400" w:lineRule="exact"/>
        <w:ind w:firstLine="480" w:firstLineChars="200"/>
        <w:rPr>
          <w:rFonts w:ascii="仿宋" w:hAnsi="仿宋" w:eastAsia="仿宋"/>
          <w:sz w:val="24"/>
          <w:szCs w:val="24"/>
        </w:rPr>
      </w:pPr>
      <w:r>
        <w:rPr>
          <w:rFonts w:hint="eastAsia" w:ascii="仿宋" w:hAnsi="仿宋" w:eastAsia="仿宋"/>
          <w:sz w:val="24"/>
          <w:szCs w:val="24"/>
        </w:rPr>
        <w:t>为提高会议效率并确保专家意见表达的充分性和客观性，本次专家论证会未对所有争议条目逐条进行现场表决或详细论证，而是采取“会前充分准备、会中重点说明、会后量化决策”的工作模式。</w:t>
      </w:r>
    </w:p>
    <w:p w14:paraId="2C521748">
      <w:pPr>
        <w:spacing w:line="400" w:lineRule="exact"/>
        <w:ind w:firstLine="480" w:firstLineChars="200"/>
        <w:rPr>
          <w:rFonts w:ascii="仿宋" w:hAnsi="仿宋" w:eastAsia="仿宋"/>
          <w:sz w:val="24"/>
          <w:szCs w:val="24"/>
        </w:rPr>
      </w:pPr>
      <w:r>
        <w:rPr>
          <w:rFonts w:hint="eastAsia" w:ascii="仿宋" w:hAnsi="仿宋" w:eastAsia="仿宋"/>
          <w:sz w:val="24"/>
          <w:szCs w:val="24"/>
        </w:rPr>
        <w:t>会前，项目工作组已向全体专家发送完整的论证材料，包括：专家问卷调查总结报告；专家论证会征求意见函（列出</w:t>
      </w:r>
      <w:r>
        <w:rPr>
          <w:rFonts w:hint="eastAsia" w:ascii="仿宋" w:hAnsi="仿宋" w:eastAsia="仿宋"/>
          <w:sz w:val="24"/>
          <w:szCs w:val="24"/>
          <w:lang w:val="en-US" w:eastAsia="zh-CN"/>
        </w:rPr>
        <w:t>12</w:t>
      </w:r>
      <w:r>
        <w:rPr>
          <w:rFonts w:hint="eastAsia" w:ascii="仿宋" w:hAnsi="仿宋" w:eastAsia="仿宋"/>
          <w:sz w:val="24"/>
          <w:szCs w:val="24"/>
        </w:rPr>
        <w:t>项核心争议条目、开放性问题及项目组整合建议）；原国家标准文本。专家在会前已完成对争议条目的独立审阅，并对各条目进行初步判断。论证会的主要任务是由项目工作组对争议焦点、不同修改方案及其技术背景进行集中说明，明确各条目的技术要点、争议来源及可能的处理方向，为专家会后独立评分和书面反馈提供统一理解基础。</w:t>
      </w:r>
    </w:p>
    <w:p w14:paraId="37D77E90">
      <w:pPr>
        <w:spacing w:line="400" w:lineRule="exact"/>
        <w:rPr>
          <w:rFonts w:hint="eastAsia" w:ascii="仿宋" w:hAnsi="仿宋" w:eastAsia="仿宋"/>
          <w:b/>
          <w:bCs/>
          <w:sz w:val="24"/>
          <w:szCs w:val="24"/>
        </w:rPr>
      </w:pPr>
      <w:r>
        <w:rPr>
          <w:rFonts w:hint="eastAsia" w:ascii="仿宋" w:hAnsi="仿宋" w:eastAsia="仿宋"/>
          <w:b/>
          <w:bCs/>
          <w:sz w:val="24"/>
          <w:szCs w:val="24"/>
        </w:rPr>
        <w:t>2  专家意见的形成与采集方式</w:t>
      </w:r>
    </w:p>
    <w:p w14:paraId="5969C9BE">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会议过程中，专家围绕部分重点问题进行了方向性交流和原则性讨论，例如，</w:t>
      </w:r>
      <w:r>
        <w:rPr>
          <w:rFonts w:hint="eastAsia" w:ascii="仿宋" w:hAnsi="仿宋" w:eastAsia="仿宋"/>
          <w:sz w:val="24"/>
          <w:szCs w:val="24"/>
          <w:lang w:val="en-US" w:eastAsia="zh-CN"/>
        </w:rPr>
        <w:t>建议统一文件中主语，同时提出小儿推拿操作疗程中“5天一个疗程”表述不准确，可能带来歧义，</w:t>
      </w:r>
      <w:r>
        <w:rPr>
          <w:rFonts w:hint="eastAsia" w:ascii="仿宋" w:hAnsi="仿宋" w:eastAsia="仿宋"/>
          <w:sz w:val="24"/>
          <w:szCs w:val="24"/>
        </w:rPr>
        <w:t>会议经讨论一致决定，对相关内容进行修改，以增强标准的实用性与安全性。</w:t>
      </w:r>
    </w:p>
    <w:p w14:paraId="504B4525">
      <w:pPr>
        <w:spacing w:line="400" w:lineRule="exact"/>
        <w:ind w:firstLine="480" w:firstLineChars="200"/>
        <w:rPr>
          <w:rFonts w:ascii="仿宋" w:hAnsi="仿宋" w:eastAsia="仿宋"/>
          <w:sz w:val="24"/>
          <w:szCs w:val="24"/>
        </w:rPr>
      </w:pPr>
      <w:r>
        <w:rPr>
          <w:rFonts w:hint="eastAsia" w:ascii="仿宋" w:hAnsi="仿宋" w:eastAsia="仿宋"/>
          <w:sz w:val="24"/>
          <w:szCs w:val="24"/>
        </w:rPr>
        <w:t>会议未对争议条目逐项形成现场决议。会议结束后，项目工作组按照既定程序，统一收回专家填写的《征求意见函》。专家在函中对各争议条目进行了量化打分（须选/可选）并附文字修改意见，形成了完整、可统计、可追溯的专家意见数据。</w:t>
      </w:r>
    </w:p>
    <w:p w14:paraId="244D0384">
      <w:pPr>
        <w:spacing w:line="400" w:lineRule="exact"/>
        <w:rPr>
          <w:rFonts w:hint="eastAsia" w:ascii="仿宋" w:hAnsi="仿宋" w:eastAsia="仿宋"/>
          <w:b/>
          <w:bCs/>
          <w:sz w:val="24"/>
          <w:szCs w:val="24"/>
        </w:rPr>
      </w:pPr>
      <w:r>
        <w:rPr>
          <w:rFonts w:hint="eastAsia" w:ascii="仿宋" w:hAnsi="仿宋" w:eastAsia="仿宋"/>
          <w:b/>
          <w:bCs/>
          <w:sz w:val="24"/>
          <w:szCs w:val="24"/>
        </w:rPr>
        <w:t>3  会后专家意见的统计分析与处理原则</w:t>
      </w:r>
    </w:p>
    <w:p w14:paraId="60C3949B">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项目工作组在会议结束后，对回收的征求意见函进行系统整理和统计分析，作为本次标准修订的重要决策依据。</w:t>
      </w:r>
    </w:p>
    <w:p w14:paraId="0CA0C277">
      <w:pPr>
        <w:spacing w:line="400" w:lineRule="exact"/>
        <w:ind w:firstLine="480" w:firstLineChars="200"/>
        <w:rPr>
          <w:rFonts w:ascii="仿宋" w:hAnsi="仿宋" w:eastAsia="仿宋"/>
          <w:sz w:val="24"/>
          <w:szCs w:val="24"/>
        </w:rPr>
      </w:pPr>
      <w:r>
        <w:rPr>
          <w:rFonts w:hint="eastAsia" w:ascii="仿宋" w:hAnsi="仿宋" w:eastAsia="仿宋"/>
          <w:sz w:val="24"/>
          <w:szCs w:val="24"/>
        </w:rPr>
        <w:t>处理原则如下：对支持率明显较高、专家意见趋于一致的条目，直接采纳相应修改建议；对存在少量不同意见但不影响技术安全性和标准定位的条目，结合专家文字意见进行表述优化；对支持率不足或涉及技术成熟度、证据不足的条目，原则上暂缓纳入本次标准转化文本。</w:t>
      </w:r>
    </w:p>
    <w:p w14:paraId="48840E5B">
      <w:pPr>
        <w:spacing w:line="400" w:lineRule="exact"/>
        <w:ind w:firstLine="480" w:firstLineChars="200"/>
        <w:rPr>
          <w:rFonts w:ascii="仿宋" w:hAnsi="仿宋" w:eastAsia="仿宋"/>
          <w:sz w:val="24"/>
          <w:szCs w:val="24"/>
        </w:rPr>
      </w:pPr>
      <w:r>
        <w:rPr>
          <w:rFonts w:hint="eastAsia" w:ascii="仿宋" w:hAnsi="仿宋" w:eastAsia="仿宋"/>
          <w:sz w:val="24"/>
          <w:szCs w:val="24"/>
        </w:rPr>
        <w:t>通过上述方式，专家论证会充分发挥了专家集体智慧的作用，使标准修订既体现专家共识，又保持决策过程的科学性和规范性。经专家论证会论证，专家一致认为本标准总体技术方案成熟，修改方向明确，可以作为国际组织标准转化文本的基础。</w:t>
      </w:r>
    </w:p>
    <w:p w14:paraId="7DBB1A3C">
      <w:pPr>
        <w:spacing w:line="400" w:lineRule="exact"/>
        <w:ind w:firstLine="480" w:firstLineChars="200"/>
        <w:rPr>
          <w:rFonts w:hint="eastAsia" w:ascii="仿宋" w:hAnsi="仿宋" w:eastAsia="仿宋"/>
          <w:sz w:val="24"/>
          <w:szCs w:val="24"/>
        </w:rPr>
      </w:pPr>
      <w:r>
        <w:rPr>
          <w:rFonts w:ascii="仿宋" w:hAnsi="仿宋" w:eastAsia="仿宋"/>
          <w:sz w:val="24"/>
          <w:szCs w:val="24"/>
        </w:rPr>
        <w:t>详见</w:t>
      </w:r>
      <w:r>
        <w:rPr>
          <w:rFonts w:hint="eastAsia" w:ascii="仿宋" w:hAnsi="仿宋" w:eastAsia="仿宋"/>
          <w:sz w:val="24"/>
          <w:szCs w:val="24"/>
        </w:rPr>
        <w:t>“</w:t>
      </w:r>
      <w:r>
        <w:rPr>
          <w:rFonts w:ascii="仿宋" w:hAnsi="仿宋" w:eastAsia="仿宋"/>
          <w:sz w:val="24"/>
          <w:szCs w:val="24"/>
        </w:rPr>
        <w:t>附件2</w:t>
      </w:r>
      <w:r>
        <w:rPr>
          <w:rFonts w:hint="eastAsia" w:ascii="仿宋" w:hAnsi="仿宋" w:eastAsia="仿宋"/>
          <w:sz w:val="24"/>
          <w:szCs w:val="24"/>
        </w:rPr>
        <w:t>：</w:t>
      </w:r>
      <w:r>
        <w:rPr>
          <w:rFonts w:hint="eastAsia" w:ascii="仿宋" w:hAnsi="仿宋" w:eastAsia="仿宋" w:cs="仿宋"/>
          <w:sz w:val="24"/>
          <w:szCs w:val="24"/>
        </w:rPr>
        <w:t>专家论证会会议纪要”。</w:t>
      </w:r>
    </w:p>
    <w:p w14:paraId="0DFA61E5">
      <w:pPr>
        <w:spacing w:line="400" w:lineRule="exact"/>
        <w:rPr>
          <w:rFonts w:hint="eastAsia" w:ascii="仿宋" w:hAnsi="仿宋" w:eastAsia="仿宋"/>
          <w:b/>
          <w:bCs/>
          <w:sz w:val="24"/>
          <w:szCs w:val="24"/>
        </w:rPr>
      </w:pPr>
      <w:r>
        <w:rPr>
          <w:rFonts w:hint="eastAsia" w:ascii="仿宋" w:hAnsi="仿宋" w:eastAsia="仿宋"/>
          <w:b/>
          <w:bCs/>
          <w:sz w:val="24"/>
          <w:szCs w:val="24"/>
        </w:rPr>
        <w:t>（三）专家指导组审核</w:t>
      </w:r>
    </w:p>
    <w:p w14:paraId="7CF368EE">
      <w:pPr>
        <w:spacing w:line="400" w:lineRule="exact"/>
        <w:ind w:firstLine="480" w:firstLineChars="200"/>
        <w:rPr>
          <w:rFonts w:ascii="仿宋" w:hAnsi="仿宋" w:eastAsia="仿宋"/>
          <w:sz w:val="24"/>
          <w:szCs w:val="24"/>
        </w:rPr>
      </w:pPr>
      <w:r>
        <w:rPr>
          <w:rFonts w:hint="eastAsia" w:ascii="仿宋" w:hAnsi="仿宋" w:eastAsia="仿宋"/>
          <w:sz w:val="24"/>
          <w:szCs w:val="24"/>
        </w:rPr>
        <w:t>在完成专家问卷调查和专家论证会意见处理的基础上，项目工作组根据专家共识形成了</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草案初稿，并将该稿连同编制说明、专家意见汇总材料等一并提交专家指导组进行审核。</w:t>
      </w:r>
    </w:p>
    <w:p w14:paraId="34ACD40F">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专家指导组从标准定位、技术边界、文本规范性及国际转化可行性等方面，对标准修改稿进行了整体审阅与把关。针对审核过程中提出的意见，项目工作组逐条进行研究和落实，相关修改均未涉及技术内容实质性调整，而是对标准的完整性、严谨性和可读性进行进一步完善。</w:t>
      </w:r>
    </w:p>
    <w:p w14:paraId="3E665E06">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在充分吸收专家指导组审核意见的基础上，项目工作组对标准草案文本和编制说明进行了最终修改，形成了本标准的定稿文本，为后续履行国际组织标准报批程序奠定了基础。</w:t>
      </w:r>
    </w:p>
    <w:p w14:paraId="0DFE6A80">
      <w:pPr>
        <w:pStyle w:val="3"/>
        <w:spacing w:before="0" w:after="0" w:line="400" w:lineRule="exact"/>
        <w:rPr>
          <w:rFonts w:hint="eastAsia" w:ascii="黑体" w:hAnsi="黑体" w:eastAsia="黑体"/>
          <w:sz w:val="24"/>
          <w:szCs w:val="24"/>
        </w:rPr>
      </w:pPr>
      <w:r>
        <w:rPr>
          <w:rFonts w:hint="eastAsia" w:ascii="黑体" w:hAnsi="黑体" w:eastAsia="黑体"/>
          <w:sz w:val="24"/>
          <w:szCs w:val="24"/>
        </w:rPr>
        <w:t>五、作为国际组织标准的建议</w:t>
      </w:r>
    </w:p>
    <w:p w14:paraId="2A560D96">
      <w:pPr>
        <w:spacing w:line="400" w:lineRule="exact"/>
        <w:ind w:firstLine="480" w:firstLineChars="200"/>
        <w:rPr>
          <w:rFonts w:ascii="仿宋" w:hAnsi="仿宋" w:eastAsia="仿宋"/>
          <w:sz w:val="24"/>
          <w:szCs w:val="24"/>
        </w:rPr>
      </w:pP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作为世界中医药学会联合会发布的国际组织标准，旨在规范中医儿科临床中</w:t>
      </w:r>
      <w:r>
        <w:rPr>
          <w:rFonts w:hint="eastAsia" w:ascii="仿宋" w:hAnsi="仿宋" w:eastAsia="仿宋"/>
          <w:sz w:val="24"/>
          <w:szCs w:val="24"/>
          <w:lang w:val="en-US" w:eastAsia="zh-CN"/>
        </w:rPr>
        <w:t>小儿推拿疗法</w:t>
      </w:r>
      <w:r>
        <w:rPr>
          <w:rFonts w:hint="eastAsia" w:ascii="仿宋" w:hAnsi="仿宋" w:eastAsia="仿宋"/>
          <w:sz w:val="24"/>
          <w:szCs w:val="24"/>
        </w:rPr>
        <w:t>相关技术操作，为不同国家和地区开展中医儿科诊疗活动提供可参考、可借鉴的技术依据。</w:t>
      </w:r>
    </w:p>
    <w:p w14:paraId="02029E4E">
      <w:pPr>
        <w:spacing w:line="400" w:lineRule="exact"/>
        <w:ind w:firstLine="480" w:firstLineChars="200"/>
        <w:rPr>
          <w:rFonts w:ascii="仿宋" w:hAnsi="仿宋" w:eastAsia="仿宋"/>
          <w:sz w:val="24"/>
          <w:szCs w:val="24"/>
        </w:rPr>
      </w:pPr>
      <w:r>
        <w:rPr>
          <w:rFonts w:hint="eastAsia" w:ascii="仿宋" w:hAnsi="仿宋" w:eastAsia="仿宋"/>
          <w:sz w:val="24"/>
          <w:szCs w:val="24"/>
        </w:rPr>
        <w:t>本标准不具有强制性，不作为医疗行为准入或执业资格认定依据，也不替代各国及地区现行法律法规、强制性标准或临床诊疗指南。标准的主要作用在于：规范中医儿科</w:t>
      </w:r>
      <w:r>
        <w:rPr>
          <w:rFonts w:hint="eastAsia" w:ascii="仿宋" w:hAnsi="仿宋" w:eastAsia="仿宋"/>
          <w:sz w:val="24"/>
          <w:szCs w:val="24"/>
          <w:lang w:val="en-US" w:eastAsia="zh-CN"/>
        </w:rPr>
        <w:t>小儿推拿疗法</w:t>
      </w:r>
      <w:r>
        <w:rPr>
          <w:rFonts w:hint="eastAsia" w:ascii="仿宋" w:hAnsi="仿宋" w:eastAsia="仿宋"/>
          <w:sz w:val="24"/>
          <w:szCs w:val="24"/>
        </w:rPr>
        <w:t>操作流程；提升相关技术操作的安全性和一致性；为临床实践、教学培训及国际交流提供统一的技术语言和操作框架。在具体应用过程中，各国和地区可结合自身法律法规、医疗管理制度及临床实际情况，对本标准内容进行合理选用。</w:t>
      </w:r>
    </w:p>
    <w:p w14:paraId="389B0B50">
      <w:pPr>
        <w:pStyle w:val="3"/>
        <w:spacing w:before="0" w:after="0" w:line="400" w:lineRule="exact"/>
        <w:rPr>
          <w:rFonts w:hint="eastAsia" w:ascii="黑体" w:hAnsi="黑体" w:eastAsia="黑体"/>
          <w:sz w:val="24"/>
          <w:szCs w:val="24"/>
        </w:rPr>
      </w:pPr>
      <w:r>
        <w:rPr>
          <w:rFonts w:hint="eastAsia" w:ascii="黑体" w:hAnsi="黑体" w:eastAsia="黑体"/>
          <w:sz w:val="24"/>
          <w:szCs w:val="24"/>
        </w:rPr>
        <w:t>六、贯彻标准的要求和措施建议</w:t>
      </w:r>
    </w:p>
    <w:p w14:paraId="3374FE1A">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本标准经世界中医药学会联合会审评批准并发布实施后，建议通过多种渠道开展宣传、贯彻和应用工作，以促进标准在</w:t>
      </w:r>
      <w:r>
        <w:rPr>
          <w:rFonts w:hint="eastAsia" w:ascii="仿宋" w:hAnsi="仿宋" w:eastAsia="仿宋"/>
          <w:sz w:val="24"/>
          <w:szCs w:val="24"/>
          <w:lang w:eastAsia="zh-CN"/>
        </w:rPr>
        <w:t>海内外</w:t>
      </w:r>
      <w:r>
        <w:rPr>
          <w:rFonts w:hint="eastAsia" w:ascii="仿宋" w:hAnsi="仿宋" w:eastAsia="仿宋"/>
          <w:sz w:val="24"/>
          <w:szCs w:val="24"/>
        </w:rPr>
        <w:t>中医儿科领域的推广和合理使用。</w:t>
      </w:r>
    </w:p>
    <w:p w14:paraId="17415E99">
      <w:pPr>
        <w:spacing w:line="400" w:lineRule="exact"/>
        <w:ind w:firstLine="480" w:firstLineChars="200"/>
        <w:rPr>
          <w:rFonts w:ascii="仿宋" w:hAnsi="仿宋" w:eastAsia="仿宋"/>
          <w:sz w:val="24"/>
          <w:szCs w:val="24"/>
        </w:rPr>
      </w:pPr>
      <w:r>
        <w:rPr>
          <w:rFonts w:hint="eastAsia" w:ascii="仿宋" w:hAnsi="仿宋" w:eastAsia="仿宋"/>
          <w:sz w:val="24"/>
          <w:szCs w:val="24"/>
        </w:rPr>
        <w:t>（1）由世界中医药学会联合会统筹组织标准的国际宣传与推广应用，并结合各成员国家和地区的实际情况，推动标准在中医儿科临床、教学和科研中的参考使用。</w:t>
      </w:r>
    </w:p>
    <w:p w14:paraId="373DEFCD">
      <w:pPr>
        <w:spacing w:line="400" w:lineRule="exact"/>
        <w:ind w:firstLine="480" w:firstLineChars="200"/>
        <w:rPr>
          <w:rFonts w:ascii="仿宋" w:hAnsi="仿宋" w:eastAsia="仿宋"/>
          <w:sz w:val="24"/>
          <w:szCs w:val="24"/>
        </w:rPr>
      </w:pPr>
      <w:r>
        <w:rPr>
          <w:rFonts w:hint="eastAsia" w:ascii="仿宋" w:hAnsi="仿宋" w:eastAsia="仿宋"/>
          <w:sz w:val="24"/>
          <w:szCs w:val="24"/>
        </w:rPr>
        <w:t>（2）依托世界中医药学会联合会及儿科专业委员会等，组织开展标准解读和应用培训，重点面向中医儿科临床医师及相关专业技术人员，提升对标准内容和适用原则的理解。</w:t>
      </w:r>
    </w:p>
    <w:p w14:paraId="0396EAB4">
      <w:pPr>
        <w:spacing w:line="400" w:lineRule="exact"/>
        <w:ind w:firstLine="480" w:firstLineChars="200"/>
        <w:rPr>
          <w:rFonts w:ascii="仿宋" w:hAnsi="仿宋" w:eastAsia="仿宋"/>
          <w:sz w:val="24"/>
          <w:szCs w:val="24"/>
        </w:rPr>
      </w:pPr>
      <w:r>
        <w:rPr>
          <w:rFonts w:hint="eastAsia" w:ascii="仿宋" w:hAnsi="仿宋" w:eastAsia="仿宋"/>
          <w:sz w:val="24"/>
          <w:szCs w:val="24"/>
        </w:rPr>
        <w:t>（3）通过</w:t>
      </w:r>
      <w:r>
        <w:rPr>
          <w:rFonts w:hint="eastAsia" w:ascii="仿宋" w:hAnsi="仿宋" w:eastAsia="仿宋"/>
          <w:sz w:val="24"/>
          <w:szCs w:val="24"/>
          <w:lang w:eastAsia="zh-CN"/>
        </w:rPr>
        <w:t>海内外</w:t>
      </w:r>
      <w:r>
        <w:rPr>
          <w:rFonts w:hint="eastAsia" w:ascii="仿宋" w:hAnsi="仿宋" w:eastAsia="仿宋"/>
          <w:sz w:val="24"/>
          <w:szCs w:val="24"/>
        </w:rPr>
        <w:t>中医药及相关医学学术会议、专题研讨会等形式，对本标准进行介绍和解读，促进学术界对中医儿科</w:t>
      </w:r>
      <w:r>
        <w:rPr>
          <w:rFonts w:hint="eastAsia" w:ascii="仿宋" w:hAnsi="仿宋" w:eastAsia="仿宋"/>
          <w:sz w:val="24"/>
          <w:szCs w:val="24"/>
          <w:lang w:val="en-US" w:eastAsia="zh-CN"/>
        </w:rPr>
        <w:t>小儿推拿疗法</w:t>
      </w:r>
      <w:r>
        <w:rPr>
          <w:rFonts w:hint="eastAsia" w:ascii="仿宋" w:hAnsi="仿宋" w:eastAsia="仿宋"/>
          <w:sz w:val="24"/>
          <w:szCs w:val="24"/>
        </w:rPr>
        <w:t>技术规范化的共识形成。</w:t>
      </w:r>
    </w:p>
    <w:p w14:paraId="4B08D306">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（4）在学术期刊及专业媒体上发表标准文本、编制说明及相关研究成果，扩大标准影响力，并在应用过程中持续收集反馈意见，为后续修订提供依据。</w:t>
      </w:r>
    </w:p>
    <w:p w14:paraId="05C0D77C">
      <w:pPr>
        <w:pStyle w:val="3"/>
        <w:spacing w:before="0" w:after="0" w:line="400" w:lineRule="exact"/>
        <w:rPr>
          <w:rFonts w:hint="eastAsia" w:ascii="黑体" w:hAnsi="黑体" w:eastAsia="黑体"/>
          <w:sz w:val="24"/>
          <w:szCs w:val="24"/>
        </w:rPr>
      </w:pPr>
      <w:r>
        <w:rPr>
          <w:rFonts w:hint="eastAsia" w:ascii="黑体" w:hAnsi="黑体" w:eastAsia="黑体"/>
          <w:sz w:val="24"/>
          <w:szCs w:val="24"/>
        </w:rPr>
        <w:t>七、应用时的促进和阻碍因素</w:t>
      </w:r>
    </w:p>
    <w:p w14:paraId="1CF71659">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本标准通过世界中医药学会联合会审评并发布后，将作为国际组织推荐性标准实施。在应用过程中，可借助世界中医药学会联合会的学术影响力，以及培训、会议和学术期刊等多种渠道，促进标准在</w:t>
      </w:r>
      <w:r>
        <w:rPr>
          <w:rFonts w:hint="eastAsia" w:ascii="仿宋" w:hAnsi="仿宋" w:eastAsia="仿宋"/>
          <w:sz w:val="24"/>
          <w:szCs w:val="24"/>
          <w:lang w:eastAsia="zh-CN"/>
        </w:rPr>
        <w:t>海内外</w:t>
      </w:r>
      <w:r>
        <w:rPr>
          <w:rFonts w:hint="eastAsia" w:ascii="仿宋" w:hAnsi="仿宋" w:eastAsia="仿宋"/>
          <w:sz w:val="24"/>
          <w:szCs w:val="24"/>
        </w:rPr>
        <w:t>中医儿科领域的传播与应用。</w:t>
      </w:r>
    </w:p>
    <w:p w14:paraId="0B5125D9">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同时，也应充分认识到本标准在推广应用过程中可能面临的客观因素。一方面，不同国家和地区在中医药法律地位、医疗管理制度及临床实践模式方面存在差异；另一方面，中医儿科领域历来存在不同学术流派和个体经验，临床操作习惯不尽一致，可能在一定程度上影响标准的统一应用。</w:t>
      </w:r>
    </w:p>
    <w:p w14:paraId="2BFCA924">
      <w:pPr>
        <w:spacing w:line="400" w:lineRule="exact"/>
        <w:ind w:firstLine="480" w:firstLineChars="200"/>
        <w:rPr>
          <w:rFonts w:ascii="仿宋" w:hAnsi="仿宋" w:eastAsia="仿宋"/>
          <w:sz w:val="24"/>
          <w:szCs w:val="24"/>
        </w:rPr>
      </w:pPr>
      <w:r>
        <w:rPr>
          <w:rFonts w:hint="eastAsia" w:ascii="仿宋" w:hAnsi="仿宋" w:eastAsia="仿宋"/>
          <w:sz w:val="24"/>
          <w:szCs w:val="24"/>
        </w:rPr>
        <w:t>随着中医药国际交流的不断深化、中医儿科临床共识的逐步形成，以及对标准化理念认同度的提升，通过持续培训、示范应用和标准动态完善，本标准的可接受性和应用范围有望不断扩大。</w:t>
      </w:r>
    </w:p>
    <w:p w14:paraId="300D7EFD">
      <w:pPr>
        <w:pStyle w:val="3"/>
        <w:spacing w:before="0" w:after="0" w:line="400" w:lineRule="exact"/>
        <w:rPr>
          <w:rFonts w:ascii="黑体" w:hAnsi="黑体" w:eastAsia="黑体"/>
          <w:sz w:val="24"/>
          <w:szCs w:val="24"/>
        </w:rPr>
      </w:pPr>
      <w:r>
        <w:rPr>
          <w:rFonts w:hint="eastAsia" w:ascii="黑体" w:hAnsi="黑体" w:eastAsia="黑体"/>
          <w:sz w:val="24"/>
          <w:szCs w:val="24"/>
        </w:rPr>
        <w:t>八、应当说明的其他事项</w:t>
      </w:r>
    </w:p>
    <w:p w14:paraId="299F3ED6">
      <w:pPr>
        <w:spacing w:line="400" w:lineRule="exact"/>
        <w:ind w:firstLine="480" w:firstLineChars="200"/>
        <w:rPr>
          <w:rFonts w:ascii="Times New Roman" w:hAnsi="Times New Roman"/>
          <w:sz w:val="24"/>
          <w:szCs w:val="24"/>
        </w:rPr>
      </w:pPr>
      <w:r>
        <w:rPr>
          <w:rFonts w:hint="eastAsia" w:ascii="仿宋" w:hAnsi="仿宋" w:eastAsia="仿宋" w:cs="Calibri"/>
          <w:sz w:val="24"/>
          <w:szCs w:val="24"/>
        </w:rPr>
        <w:t>鉴于中医儿科临床实践的发展和相关技术方法的不断进步，建议在本标准发布实施后3～5年，结合国际应用反馈、临床研究进展及安全性证据，对本标准进行系统评估，并视情况开展补充、修订或更新工作，以保持标准内容的科学性、先进性和适用性。</w:t>
      </w:r>
    </w:p>
    <w:p w14:paraId="638145B2">
      <w:pPr>
        <w:rPr>
          <w:rFonts w:ascii="仿宋" w:hAnsi="仿宋" w:eastAsia="仿宋"/>
          <w:b/>
          <w:sz w:val="36"/>
          <w:szCs w:val="36"/>
        </w:rPr>
      </w:pPr>
      <w:r>
        <w:rPr>
          <w:rFonts w:ascii="Times New Roman" w:hAnsi="Times New Roman"/>
          <w:b/>
          <w:sz w:val="36"/>
          <w:szCs w:val="36"/>
        </w:rPr>
        <w:br w:type="page"/>
      </w:r>
      <w:r>
        <w:rPr>
          <w:rFonts w:hint="eastAsia" w:ascii="仿宋" w:hAnsi="仿宋" w:eastAsia="仿宋"/>
          <w:b/>
          <w:sz w:val="36"/>
          <w:szCs w:val="36"/>
        </w:rPr>
        <w:t>附件</w:t>
      </w:r>
      <w:r>
        <w:rPr>
          <w:rFonts w:ascii="仿宋" w:hAnsi="仿宋" w:eastAsia="仿宋"/>
          <w:b/>
          <w:sz w:val="36"/>
          <w:szCs w:val="36"/>
        </w:rPr>
        <w:t>1</w:t>
      </w:r>
    </w:p>
    <w:p w14:paraId="221DD980">
      <w:pPr>
        <w:keepNext/>
        <w:keepLines/>
        <w:spacing w:after="312" w:afterLines="100"/>
        <w:jc w:val="center"/>
        <w:outlineLvl w:val="1"/>
        <w:rPr>
          <w:rFonts w:hint="eastAsia" w:ascii="黑体" w:hAnsi="黑体" w:eastAsia="黑体" w:cs="Calibri"/>
          <w:b/>
          <w:bCs/>
          <w:kern w:val="0"/>
          <w:sz w:val="24"/>
        </w:rPr>
      </w:pPr>
      <w:bookmarkStart w:id="0" w:name="_Toc469601979"/>
      <w:r>
        <w:rPr>
          <w:rFonts w:hint="eastAsia" w:ascii="仿宋" w:hAnsi="仿宋" w:eastAsia="仿宋"/>
          <w:b/>
          <w:bCs/>
          <w:sz w:val="36"/>
          <w:szCs w:val="36"/>
        </w:rPr>
        <w:t>专家调查问卷报告</w:t>
      </w:r>
      <w:bookmarkEnd w:id="0"/>
    </w:p>
    <w:p w14:paraId="275CC2B9">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一、调查背景与目的</w:t>
      </w:r>
    </w:p>
    <w:p w14:paraId="67A0C4F1">
      <w:pPr>
        <w:widowControl/>
        <w:spacing w:line="400" w:lineRule="exact"/>
        <w:ind w:firstLine="480" w:firstLineChars="200"/>
        <w:jc w:val="left"/>
        <w:rPr>
          <w:rFonts w:hint="eastAsia" w:ascii="仿宋" w:hAnsi="仿宋" w:eastAsia="仿宋" w:cs="Calibri"/>
          <w:bCs/>
          <w:kern w:val="0"/>
          <w:sz w:val="24"/>
          <w:szCs w:val="24"/>
          <w:lang w:eastAsia="zh-CN"/>
        </w:rPr>
      </w:pPr>
      <w:r>
        <w:rPr>
          <w:rFonts w:hint="eastAsia" w:ascii="仿宋" w:hAnsi="仿宋" w:eastAsia="仿宋" w:cs="Calibri"/>
          <w:bCs/>
          <w:kern w:val="0"/>
          <w:sz w:val="24"/>
          <w:szCs w:val="24"/>
        </w:rPr>
        <w:t>《国际中医技术操作规范</w:t>
      </w:r>
      <w:r>
        <w:rPr>
          <w:rFonts w:hint="eastAsia" w:ascii="仿宋" w:hAnsi="仿宋" w:eastAsia="仿宋" w:cs="Calibri"/>
          <w:bCs/>
          <w:kern w:val="0"/>
          <w:sz w:val="24"/>
          <w:szCs w:val="24"/>
          <w:lang w:val="en-US" w:eastAsia="zh-CN"/>
        </w:rPr>
        <w:t xml:space="preserve"> </w:t>
      </w:r>
      <w:r>
        <w:rPr>
          <w:rFonts w:hint="eastAsia" w:ascii="仿宋" w:hAnsi="仿宋" w:eastAsia="仿宋" w:cs="Calibri"/>
          <w:bCs/>
          <w:kern w:val="0"/>
          <w:sz w:val="24"/>
          <w:szCs w:val="24"/>
        </w:rPr>
        <w:t>儿科</w:t>
      </w:r>
      <w:r>
        <w:rPr>
          <w:rFonts w:hint="eastAsia" w:ascii="仿宋" w:hAnsi="仿宋" w:eastAsia="仿宋" w:cs="Calibri"/>
          <w:bCs/>
          <w:kern w:val="0"/>
          <w:sz w:val="24"/>
          <w:szCs w:val="24"/>
          <w:lang w:val="en-US" w:eastAsia="zh-CN"/>
        </w:rPr>
        <w:t xml:space="preserve"> </w:t>
      </w:r>
      <w:r>
        <w:rPr>
          <w:rFonts w:hint="eastAsia" w:ascii="仿宋" w:hAnsi="仿宋" w:eastAsia="仿宋" w:cs="Calibri"/>
          <w:bCs/>
          <w:kern w:val="0"/>
          <w:sz w:val="24"/>
          <w:szCs w:val="24"/>
        </w:rPr>
        <w:t>小儿</w:t>
      </w:r>
      <w:r>
        <w:rPr>
          <w:rFonts w:hint="eastAsia" w:ascii="仿宋" w:hAnsi="仿宋" w:eastAsia="仿宋" w:cs="Calibri"/>
          <w:bCs/>
          <w:kern w:val="0"/>
          <w:sz w:val="24"/>
          <w:szCs w:val="24"/>
          <w:lang w:val="en-US" w:eastAsia="zh-CN"/>
        </w:rPr>
        <w:t>推拿疗</w:t>
      </w:r>
      <w:r>
        <w:rPr>
          <w:rFonts w:hint="eastAsia" w:ascii="仿宋" w:hAnsi="仿宋" w:eastAsia="仿宋" w:cs="Calibri"/>
          <w:bCs/>
          <w:kern w:val="0"/>
          <w:sz w:val="24"/>
          <w:szCs w:val="24"/>
        </w:rPr>
        <w:t>法》项目来源于世界中医药学会联合会国际标准制修订项目，基于中华人民共和国国家标准（指导性技术文件）《GB/Z 40893.</w:t>
      </w:r>
      <w:r>
        <w:rPr>
          <w:rFonts w:hint="eastAsia" w:ascii="仿宋" w:hAnsi="仿宋" w:eastAsia="仿宋" w:cs="Calibri"/>
          <w:bCs/>
          <w:kern w:val="0"/>
          <w:sz w:val="24"/>
          <w:szCs w:val="24"/>
          <w:lang w:val="en-US" w:eastAsia="zh-CN"/>
        </w:rPr>
        <w:t>4</w:t>
      </w:r>
      <w:r>
        <w:rPr>
          <w:rFonts w:hint="eastAsia" w:ascii="仿宋" w:hAnsi="仿宋" w:eastAsia="仿宋" w:cs="Calibri"/>
          <w:bCs/>
          <w:kern w:val="0"/>
          <w:sz w:val="24"/>
          <w:szCs w:val="24"/>
        </w:rPr>
        <w:t>-2021 中医技术操作规范 儿科 第</w:t>
      </w:r>
      <w:r>
        <w:rPr>
          <w:rFonts w:hint="eastAsia" w:ascii="仿宋" w:hAnsi="仿宋" w:eastAsia="仿宋" w:cs="Calibri"/>
          <w:bCs/>
          <w:kern w:val="0"/>
          <w:sz w:val="24"/>
          <w:szCs w:val="24"/>
          <w:lang w:val="en-US" w:eastAsia="zh-CN"/>
        </w:rPr>
        <w:t>4</w:t>
      </w:r>
      <w:r>
        <w:rPr>
          <w:rFonts w:hint="eastAsia" w:ascii="仿宋" w:hAnsi="仿宋" w:eastAsia="仿宋" w:cs="Calibri"/>
          <w:bCs/>
          <w:kern w:val="0"/>
          <w:sz w:val="24"/>
          <w:szCs w:val="24"/>
        </w:rPr>
        <w:t>部分：小儿</w:t>
      </w:r>
      <w:r>
        <w:rPr>
          <w:rFonts w:hint="eastAsia" w:ascii="仿宋" w:hAnsi="仿宋" w:eastAsia="仿宋" w:cs="Calibri"/>
          <w:bCs/>
          <w:kern w:val="0"/>
          <w:sz w:val="24"/>
          <w:szCs w:val="24"/>
          <w:lang w:val="en-US" w:eastAsia="zh-CN"/>
        </w:rPr>
        <w:t>推拿疗</w:t>
      </w:r>
      <w:r>
        <w:rPr>
          <w:rFonts w:hint="eastAsia" w:ascii="仿宋" w:hAnsi="仿宋" w:eastAsia="仿宋" w:cs="Calibri"/>
          <w:bCs/>
          <w:kern w:val="0"/>
          <w:sz w:val="24"/>
          <w:szCs w:val="24"/>
        </w:rPr>
        <w:t>法》，旨在将该标准转化为世界中联国际组织标准，</w:t>
      </w:r>
      <w:r>
        <w:rPr>
          <w:rFonts w:hint="eastAsia" w:ascii="仿宋" w:hAnsi="仿宋" w:eastAsia="仿宋" w:cs="Calibri"/>
          <w:bCs/>
          <w:kern w:val="0"/>
          <w:sz w:val="24"/>
          <w:szCs w:val="24"/>
          <w:lang w:eastAsia="zh-CN"/>
        </w:rPr>
        <w:t>该标准详细规定了小儿推拿疗法的操作步骤、要求、注意事项和禁忌，</w:t>
      </w:r>
      <w:r>
        <w:rPr>
          <w:rFonts w:hint="eastAsia" w:ascii="仿宋" w:hAnsi="仿宋" w:eastAsia="仿宋" w:cs="Calibri"/>
          <w:bCs/>
          <w:kern w:val="0"/>
          <w:sz w:val="24"/>
          <w:szCs w:val="24"/>
          <w:lang w:val="en-US" w:eastAsia="zh-CN"/>
        </w:rPr>
        <w:t>旨在</w:t>
      </w:r>
      <w:r>
        <w:rPr>
          <w:rFonts w:hint="eastAsia" w:ascii="仿宋" w:hAnsi="仿宋" w:eastAsia="仿宋" w:cs="Calibri"/>
          <w:bCs/>
          <w:kern w:val="0"/>
          <w:sz w:val="24"/>
          <w:szCs w:val="24"/>
          <w:lang w:eastAsia="zh-CN"/>
        </w:rPr>
        <w:t>构建中医儿科</w:t>
      </w:r>
      <w:r>
        <w:rPr>
          <w:rFonts w:hint="eastAsia" w:ascii="仿宋" w:hAnsi="仿宋" w:eastAsia="仿宋" w:cs="Calibri"/>
          <w:bCs/>
          <w:kern w:val="0"/>
          <w:sz w:val="24"/>
          <w:szCs w:val="24"/>
          <w:lang w:val="en-US" w:eastAsia="zh-CN"/>
        </w:rPr>
        <w:t>小儿推拿疗法</w:t>
      </w:r>
      <w:r>
        <w:rPr>
          <w:rFonts w:hint="eastAsia" w:ascii="仿宋" w:hAnsi="仿宋" w:eastAsia="仿宋" w:cs="Calibri"/>
          <w:bCs/>
          <w:kern w:val="0"/>
          <w:sz w:val="24"/>
          <w:szCs w:val="24"/>
          <w:lang w:eastAsia="zh-CN"/>
        </w:rPr>
        <w:t>的标准化操作技术，为全球中医儿科医师提供安全、规范的操作指南，促进中医儿科临床技术操作的标准化和国际化应用。</w:t>
      </w:r>
    </w:p>
    <w:p w14:paraId="22A7B9DB">
      <w:pPr>
        <w:widowControl/>
        <w:spacing w:line="400" w:lineRule="exact"/>
        <w:ind w:firstLine="480" w:firstLineChars="200"/>
        <w:jc w:val="left"/>
        <w:rPr>
          <w:rFonts w:ascii="宋体" w:hAnsi="宋体" w:eastAsia="宋体" w:cs="Calibri"/>
          <w:bCs/>
          <w:kern w:val="0"/>
          <w:sz w:val="21"/>
          <w:szCs w:val="21"/>
        </w:rPr>
      </w:pPr>
      <w:r>
        <w:rPr>
          <w:rFonts w:hint="eastAsia" w:ascii="仿宋" w:hAnsi="仿宋" w:eastAsia="仿宋" w:cs="Calibri"/>
          <w:bCs/>
          <w:kern w:val="0"/>
          <w:sz w:val="24"/>
          <w:szCs w:val="24"/>
        </w:rPr>
        <w:t>为确保标准转化过程的科学性、规范性与国际适配性，本研究通过专家问卷调查形式，广泛征求</w:t>
      </w:r>
      <w:r>
        <w:rPr>
          <w:rFonts w:hint="eastAsia" w:ascii="仿宋" w:hAnsi="仿宋" w:eastAsia="仿宋" w:cs="Calibri"/>
          <w:bCs/>
          <w:kern w:val="0"/>
          <w:sz w:val="24"/>
          <w:szCs w:val="24"/>
          <w:lang w:eastAsia="zh-CN"/>
        </w:rPr>
        <w:t>海内外</w:t>
      </w:r>
      <w:r>
        <w:rPr>
          <w:rFonts w:hint="eastAsia" w:ascii="仿宋" w:hAnsi="仿宋" w:eastAsia="仿宋" w:cs="Calibri"/>
          <w:bCs/>
          <w:kern w:val="0"/>
          <w:sz w:val="24"/>
          <w:szCs w:val="24"/>
        </w:rPr>
        <w:t>中医儿科专家意见，分析专家对各技术条文的认同度与修改建议，为国际标准文本的修订提供实证依据。</w:t>
      </w:r>
    </w:p>
    <w:p w14:paraId="7214A2FA">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二、调查方法与专家信息分析</w:t>
      </w:r>
    </w:p>
    <w:p w14:paraId="5486B3C1">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1调查方法</w:t>
      </w:r>
    </w:p>
    <w:p w14:paraId="6B43E821">
      <w:pPr>
        <w:widowControl/>
        <w:spacing w:line="400" w:lineRule="exact"/>
        <w:ind w:firstLine="480" w:firstLineChars="200"/>
        <w:jc w:val="left"/>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本次调查采用线上问卷的形式进行，调研时间为2025年10月至11月。问卷内容包括术语定义、操作步骤</w:t>
      </w:r>
      <w:r>
        <w:rPr>
          <w:rFonts w:hint="eastAsia" w:ascii="仿宋" w:hAnsi="仿宋" w:eastAsia="仿宋" w:cs="Calibri"/>
          <w:bCs/>
          <w:kern w:val="0"/>
          <w:sz w:val="24"/>
          <w:szCs w:val="24"/>
          <w:lang w:val="en-US" w:eastAsia="zh-CN"/>
        </w:rPr>
        <w:t>与要求</w:t>
      </w:r>
      <w:r>
        <w:rPr>
          <w:rFonts w:hint="eastAsia" w:ascii="仿宋" w:hAnsi="仿宋" w:eastAsia="仿宋" w:cs="Calibri"/>
          <w:bCs/>
          <w:kern w:val="0"/>
          <w:sz w:val="24"/>
          <w:szCs w:val="24"/>
          <w:lang w:eastAsia="zh-CN"/>
        </w:rPr>
        <w:t>、</w:t>
      </w:r>
      <w:r>
        <w:rPr>
          <w:rFonts w:hint="eastAsia" w:ascii="仿宋" w:hAnsi="仿宋" w:eastAsia="仿宋" w:cs="Calibri"/>
          <w:bCs/>
          <w:kern w:val="0"/>
          <w:sz w:val="24"/>
          <w:szCs w:val="24"/>
          <w:lang w:val="en-US" w:eastAsia="zh-CN"/>
        </w:rPr>
        <w:t>小儿推拿常用手法、</w:t>
      </w:r>
      <w:r>
        <w:rPr>
          <w:rFonts w:hint="eastAsia" w:ascii="仿宋" w:hAnsi="仿宋" w:eastAsia="仿宋" w:cs="Calibri"/>
          <w:bCs/>
          <w:kern w:val="0"/>
          <w:sz w:val="24"/>
          <w:szCs w:val="24"/>
          <w:lang w:eastAsia="zh-CN"/>
        </w:rPr>
        <w:t>附录内容等主要条目，并设置开放性问题征集补充意见。</w:t>
      </w:r>
    </w:p>
    <w:p w14:paraId="055DD8D9">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2专家信息分析</w:t>
      </w:r>
    </w:p>
    <w:p w14:paraId="39BA2F00">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2.1专家选取标准</w:t>
      </w:r>
    </w:p>
    <w:p w14:paraId="1AF02AC9">
      <w:pPr>
        <w:widowControl/>
        <w:spacing w:line="400" w:lineRule="exact"/>
        <w:ind w:firstLine="480" w:firstLineChars="200"/>
        <w:jc w:val="left"/>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选取专家的标准包括：①具备中医儿科或相关领域高级专业背景；②拥有丰富临床经验或教学经验，</w:t>
      </w:r>
      <w:r>
        <w:rPr>
          <w:rFonts w:hint="eastAsia" w:ascii="仿宋" w:hAnsi="仿宋" w:eastAsia="仿宋" w:cs="Calibri"/>
          <w:bCs/>
          <w:kern w:val="0"/>
          <w:sz w:val="24"/>
          <w:szCs w:val="24"/>
          <w:lang w:val="en-US" w:eastAsia="zh-CN"/>
        </w:rPr>
        <w:t>从事本专业工作年限中国大陆专家均在18年以上、海外专家均在9年以上</w:t>
      </w:r>
      <w:r>
        <w:rPr>
          <w:rFonts w:hint="eastAsia" w:ascii="仿宋" w:hAnsi="仿宋" w:eastAsia="仿宋" w:cs="Calibri"/>
          <w:bCs/>
          <w:kern w:val="0"/>
          <w:sz w:val="24"/>
          <w:szCs w:val="24"/>
          <w:lang w:eastAsia="zh-CN"/>
        </w:rPr>
        <w:t>；③熟悉中医儿科</w:t>
      </w:r>
      <w:r>
        <w:rPr>
          <w:rFonts w:hint="eastAsia" w:ascii="仿宋" w:hAnsi="仿宋" w:eastAsia="仿宋" w:cs="Calibri"/>
          <w:bCs/>
          <w:kern w:val="0"/>
          <w:sz w:val="24"/>
          <w:szCs w:val="24"/>
          <w:lang w:val="en-US" w:eastAsia="zh-CN"/>
        </w:rPr>
        <w:t>推拿技术</w:t>
      </w:r>
      <w:r>
        <w:rPr>
          <w:rFonts w:hint="eastAsia" w:ascii="仿宋" w:hAnsi="仿宋" w:eastAsia="仿宋" w:cs="Calibri"/>
          <w:bCs/>
          <w:kern w:val="0"/>
          <w:sz w:val="24"/>
          <w:szCs w:val="24"/>
          <w:lang w:eastAsia="zh-CN"/>
        </w:rPr>
        <w:t>；④覆盖不同国家和地区，以增强标准的国际代表性。</w:t>
      </w:r>
    </w:p>
    <w:p w14:paraId="198D0B5E">
      <w:pPr>
        <w:widowControl/>
        <w:spacing w:after="0" w:line="400" w:lineRule="exact"/>
        <w:rPr>
          <w:rFonts w:hint="eastAsia" w:ascii="宋体" w:hAnsi="宋体" w:eastAsia="宋体" w:cs="Calibri"/>
          <w:b/>
          <w:kern w:val="0"/>
          <w:sz w:val="21"/>
          <w:szCs w:val="21"/>
        </w:rPr>
      </w:pPr>
      <w:r>
        <w:rPr>
          <w:rFonts w:hint="eastAsia" w:ascii="仿宋" w:hAnsi="仿宋" w:eastAsia="仿宋" w:cs="Calibri"/>
          <w:b/>
          <w:kern w:val="0"/>
          <w:sz w:val="24"/>
          <w:szCs w:val="24"/>
        </w:rPr>
        <w:t>2.2专家积极系数</w:t>
      </w:r>
    </w:p>
    <w:p w14:paraId="777D6FA3">
      <w:pPr>
        <w:widowControl/>
        <w:spacing w:line="400" w:lineRule="exact"/>
        <w:ind w:firstLine="480" w:firstLineChars="200"/>
        <w:jc w:val="left"/>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本次调查问卷发放数30份，回收有效</w:t>
      </w:r>
      <w:r>
        <w:rPr>
          <w:rFonts w:hint="eastAsia" w:ascii="仿宋" w:hAnsi="仿宋" w:eastAsia="仿宋" w:cs="Calibri"/>
          <w:bCs/>
          <w:kern w:val="0"/>
          <w:sz w:val="24"/>
          <w:szCs w:val="24"/>
          <w:lang w:val="en-US" w:eastAsia="zh-CN"/>
        </w:rPr>
        <w:t>答</w:t>
      </w:r>
      <w:r>
        <w:rPr>
          <w:rFonts w:hint="eastAsia" w:ascii="仿宋" w:hAnsi="仿宋" w:eastAsia="仿宋" w:cs="Calibri"/>
          <w:bCs/>
          <w:kern w:val="0"/>
          <w:sz w:val="24"/>
          <w:szCs w:val="24"/>
          <w:lang w:eastAsia="zh-CN"/>
        </w:rPr>
        <w:t>卷数为</w:t>
      </w:r>
      <w:r>
        <w:rPr>
          <w:rFonts w:hint="eastAsia" w:ascii="仿宋" w:hAnsi="仿宋" w:eastAsia="仿宋" w:cs="Calibri"/>
          <w:bCs/>
          <w:kern w:val="0"/>
          <w:sz w:val="24"/>
          <w:szCs w:val="24"/>
          <w:lang w:val="en-US" w:eastAsia="zh-CN"/>
        </w:rPr>
        <w:t>27</w:t>
      </w:r>
      <w:r>
        <w:rPr>
          <w:rFonts w:hint="eastAsia" w:ascii="仿宋" w:hAnsi="仿宋" w:eastAsia="仿宋" w:cs="Calibri"/>
          <w:bCs/>
          <w:kern w:val="0"/>
          <w:sz w:val="24"/>
          <w:szCs w:val="24"/>
          <w:lang w:eastAsia="zh-CN"/>
        </w:rPr>
        <w:t>份，专家积极系数</w:t>
      </w:r>
      <w:r>
        <w:rPr>
          <w:rFonts w:hint="eastAsia" w:ascii="仿宋" w:hAnsi="仿宋" w:eastAsia="仿宋" w:cs="Calibri"/>
          <w:bCs/>
          <w:kern w:val="0"/>
          <w:sz w:val="24"/>
          <w:szCs w:val="24"/>
          <w:lang w:val="en-US" w:eastAsia="zh-CN"/>
        </w:rPr>
        <w:t>90</w:t>
      </w:r>
      <w:r>
        <w:rPr>
          <w:rFonts w:hint="eastAsia" w:ascii="仿宋" w:hAnsi="仿宋" w:eastAsia="仿宋" w:cs="Calibri"/>
          <w:bCs/>
          <w:kern w:val="0"/>
          <w:sz w:val="24"/>
          <w:szCs w:val="24"/>
          <w:lang w:eastAsia="zh-CN"/>
        </w:rPr>
        <w:t>%，本次调查专家积极系数高（</w:t>
      </w:r>
      <w:r>
        <w:rPr>
          <w:rFonts w:hint="eastAsia" w:ascii="仿宋" w:hAnsi="仿宋" w:eastAsia="仿宋" w:cs="Calibri"/>
          <w:bCs/>
          <w:kern w:val="0"/>
          <w:sz w:val="24"/>
          <w:szCs w:val="24"/>
          <w:lang w:val="en-US" w:eastAsia="zh-CN"/>
        </w:rPr>
        <w:t>90</w:t>
      </w:r>
      <w:r>
        <w:rPr>
          <w:rFonts w:hint="eastAsia" w:ascii="仿宋" w:hAnsi="仿宋" w:eastAsia="仿宋" w:cs="Calibri"/>
          <w:bCs/>
          <w:kern w:val="0"/>
          <w:sz w:val="24"/>
          <w:szCs w:val="24"/>
          <w:lang w:eastAsia="zh-CN"/>
        </w:rPr>
        <w:t>%），专业结构合理，权威性强，保障了调查结果的科学性与可靠性。</w:t>
      </w:r>
    </w:p>
    <w:p w14:paraId="524B7E36">
      <w:pPr>
        <w:widowControl/>
        <w:spacing w:after="0" w:line="400" w:lineRule="exact"/>
        <w:rPr>
          <w:rFonts w:hint="eastAsia" w:ascii="宋体" w:hAnsi="宋体" w:eastAsia="宋体" w:cs="Calibri"/>
          <w:kern w:val="0"/>
          <w:sz w:val="21"/>
          <w:szCs w:val="21"/>
        </w:rPr>
      </w:pPr>
      <w:r>
        <w:rPr>
          <w:rFonts w:hint="eastAsia" w:ascii="仿宋" w:hAnsi="仿宋" w:eastAsia="仿宋" w:cs="Calibri"/>
          <w:b/>
          <w:kern w:val="0"/>
          <w:sz w:val="24"/>
          <w:szCs w:val="24"/>
        </w:rPr>
        <w:t>2.3专家权威性与代表性</w:t>
      </w:r>
      <w:r>
        <w:rPr>
          <w:rFonts w:hint="eastAsia" w:ascii="宋体" w:hAnsi="宋体" w:eastAsia="宋体" w:cs="Calibri"/>
          <w:kern w:val="0"/>
          <w:sz w:val="21"/>
          <w:szCs w:val="21"/>
        </w:rPr>
        <w:t xml:space="preserve"> </w:t>
      </w:r>
    </w:p>
    <w:p w14:paraId="2BB564D8">
      <w:pPr>
        <w:widowControl/>
        <w:spacing w:line="400" w:lineRule="exact"/>
        <w:ind w:firstLine="480" w:firstLineChars="200"/>
        <w:jc w:val="left"/>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共有</w:t>
      </w:r>
      <w:r>
        <w:rPr>
          <w:rFonts w:hint="eastAsia" w:ascii="仿宋" w:hAnsi="仿宋" w:eastAsia="仿宋" w:cs="Calibri"/>
          <w:bCs/>
          <w:kern w:val="0"/>
          <w:sz w:val="24"/>
          <w:szCs w:val="24"/>
          <w:lang w:val="en-US" w:eastAsia="zh-CN"/>
        </w:rPr>
        <w:t>27</w:t>
      </w:r>
      <w:r>
        <w:rPr>
          <w:rFonts w:hint="eastAsia" w:ascii="仿宋" w:hAnsi="仿宋" w:eastAsia="仿宋" w:cs="Calibri"/>
          <w:bCs/>
          <w:kern w:val="0"/>
          <w:sz w:val="24"/>
          <w:szCs w:val="24"/>
          <w:lang w:eastAsia="zh-CN"/>
        </w:rPr>
        <w:t>位专家对小儿</w:t>
      </w:r>
      <w:r>
        <w:rPr>
          <w:rFonts w:hint="eastAsia" w:ascii="仿宋" w:hAnsi="仿宋" w:eastAsia="仿宋" w:cs="Calibri"/>
          <w:bCs/>
          <w:kern w:val="0"/>
          <w:sz w:val="24"/>
          <w:szCs w:val="24"/>
          <w:lang w:val="en-US" w:eastAsia="zh-CN"/>
        </w:rPr>
        <w:t>推拿疗</w:t>
      </w:r>
      <w:r>
        <w:rPr>
          <w:rFonts w:hint="eastAsia" w:ascii="仿宋" w:hAnsi="仿宋" w:eastAsia="仿宋" w:cs="Calibri"/>
          <w:bCs/>
          <w:kern w:val="0"/>
          <w:sz w:val="24"/>
          <w:szCs w:val="24"/>
          <w:lang w:eastAsia="zh-CN"/>
        </w:rPr>
        <w:t>法相关条文提出建议，专家的选择兼顾了地域性、专业性、权威性。专家来自中国（含内地多省份及澳门、台湾地区）、新加坡、马来西亚、澳大利亚、美国等</w:t>
      </w:r>
      <w:r>
        <w:rPr>
          <w:rFonts w:hint="eastAsia" w:ascii="仿宋" w:hAnsi="仿宋" w:eastAsia="仿宋" w:cs="Calibri"/>
          <w:bCs/>
          <w:kern w:val="0"/>
          <w:sz w:val="24"/>
          <w:szCs w:val="24"/>
          <w:lang w:val="en-US" w:eastAsia="zh-CN"/>
        </w:rPr>
        <w:t>7</w:t>
      </w:r>
      <w:r>
        <w:rPr>
          <w:rFonts w:hint="eastAsia" w:ascii="仿宋" w:hAnsi="仿宋" w:eastAsia="仿宋" w:cs="Calibri"/>
          <w:bCs/>
          <w:kern w:val="0"/>
          <w:sz w:val="24"/>
          <w:szCs w:val="24"/>
          <w:lang w:eastAsia="zh-CN"/>
        </w:rPr>
        <w:t>个国家、地区，其中中国（含内地多省</w:t>
      </w:r>
      <w:r>
        <w:rPr>
          <w:rFonts w:hint="eastAsia" w:ascii="仿宋" w:hAnsi="仿宋" w:eastAsia="仿宋" w:cs="Calibri"/>
          <w:bCs/>
          <w:kern w:val="0"/>
          <w:sz w:val="24"/>
          <w:szCs w:val="24"/>
          <w:lang w:val="en-US" w:eastAsia="zh-CN"/>
        </w:rPr>
        <w:t>市</w:t>
      </w:r>
      <w:r>
        <w:rPr>
          <w:rFonts w:hint="eastAsia" w:ascii="仿宋" w:hAnsi="仿宋" w:eastAsia="仿宋" w:cs="Calibri"/>
          <w:bCs/>
          <w:kern w:val="0"/>
          <w:sz w:val="24"/>
          <w:szCs w:val="24"/>
          <w:lang w:eastAsia="zh-CN"/>
        </w:rPr>
        <w:t>及澳门、台湾地区）专家有2</w:t>
      </w:r>
      <w:r>
        <w:rPr>
          <w:rFonts w:hint="eastAsia" w:ascii="仿宋" w:hAnsi="仿宋" w:eastAsia="仿宋" w:cs="Calibri"/>
          <w:bCs/>
          <w:kern w:val="0"/>
          <w:sz w:val="24"/>
          <w:szCs w:val="24"/>
          <w:lang w:val="en-US" w:eastAsia="zh-CN"/>
        </w:rPr>
        <w:t>2</w:t>
      </w:r>
      <w:r>
        <w:rPr>
          <w:rFonts w:hint="eastAsia" w:ascii="仿宋" w:hAnsi="仿宋" w:eastAsia="仿宋" w:cs="Calibri"/>
          <w:bCs/>
          <w:kern w:val="0"/>
          <w:sz w:val="24"/>
          <w:szCs w:val="24"/>
          <w:lang w:eastAsia="zh-CN"/>
        </w:rPr>
        <w:t>位，新加坡2位，马来西亚</w:t>
      </w:r>
      <w:r>
        <w:rPr>
          <w:rFonts w:hint="eastAsia" w:ascii="仿宋" w:hAnsi="仿宋" w:eastAsia="仿宋" w:cs="Calibri"/>
          <w:bCs/>
          <w:kern w:val="0"/>
          <w:sz w:val="24"/>
          <w:szCs w:val="24"/>
          <w:lang w:val="en-US" w:eastAsia="zh-CN"/>
        </w:rPr>
        <w:t>1</w:t>
      </w:r>
      <w:r>
        <w:rPr>
          <w:rFonts w:hint="eastAsia" w:ascii="仿宋" w:hAnsi="仿宋" w:eastAsia="仿宋" w:cs="Calibri"/>
          <w:bCs/>
          <w:kern w:val="0"/>
          <w:sz w:val="24"/>
          <w:szCs w:val="24"/>
          <w:lang w:eastAsia="zh-CN"/>
        </w:rPr>
        <w:t>位，澳大利亚</w:t>
      </w:r>
      <w:r>
        <w:rPr>
          <w:rFonts w:hint="eastAsia" w:ascii="仿宋" w:hAnsi="仿宋" w:eastAsia="仿宋" w:cs="Calibri"/>
          <w:bCs/>
          <w:kern w:val="0"/>
          <w:sz w:val="24"/>
          <w:szCs w:val="24"/>
          <w:lang w:val="en-US" w:eastAsia="zh-CN"/>
        </w:rPr>
        <w:t>1</w:t>
      </w:r>
      <w:r>
        <w:rPr>
          <w:rFonts w:hint="eastAsia" w:ascii="仿宋" w:hAnsi="仿宋" w:eastAsia="仿宋" w:cs="Calibri"/>
          <w:bCs/>
          <w:kern w:val="0"/>
          <w:sz w:val="24"/>
          <w:szCs w:val="24"/>
          <w:lang w:eastAsia="zh-CN"/>
        </w:rPr>
        <w:t>位，美国1位，覆盖范围广泛，具有较强的地域代表性。</w:t>
      </w:r>
    </w:p>
    <w:p w14:paraId="6E732C76">
      <w:pPr>
        <w:widowControl/>
        <w:spacing w:line="400" w:lineRule="exact"/>
        <w:ind w:firstLine="480" w:firstLineChars="200"/>
        <w:jc w:val="left"/>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本研究选取的专家均为中医儿科及相关领域的资深从业者，包括国内高等中医药院校教授、主任医师，海外中医医疗及教学机构的专家学者等，均具备丰富的临床、科研、教学经验，其意见可充分反映海内外中医儿科领域高级专家对小儿</w:t>
      </w:r>
      <w:r>
        <w:rPr>
          <w:rFonts w:hint="eastAsia" w:ascii="仿宋" w:hAnsi="仿宋" w:eastAsia="仿宋" w:cs="Calibri"/>
          <w:bCs/>
          <w:kern w:val="0"/>
          <w:sz w:val="24"/>
          <w:szCs w:val="24"/>
          <w:lang w:val="en-US" w:eastAsia="zh-CN"/>
        </w:rPr>
        <w:t>推拿疗法</w:t>
      </w:r>
      <w:r>
        <w:rPr>
          <w:rFonts w:hint="eastAsia" w:ascii="仿宋" w:hAnsi="仿宋" w:eastAsia="仿宋" w:cs="Calibri"/>
          <w:bCs/>
          <w:kern w:val="0"/>
          <w:sz w:val="24"/>
          <w:szCs w:val="24"/>
          <w:lang w:eastAsia="zh-CN"/>
        </w:rPr>
        <w:t>的专业见解。</w:t>
      </w:r>
      <w:r>
        <w:rPr>
          <w:rFonts w:hint="eastAsia" w:ascii="仿宋" w:hAnsi="仿宋" w:eastAsia="仿宋" w:cs="Calibri"/>
          <w:bCs/>
          <w:kern w:val="0"/>
          <w:sz w:val="24"/>
          <w:szCs w:val="24"/>
          <w:lang w:val="en-US" w:eastAsia="zh-CN"/>
        </w:rPr>
        <w:t>27</w:t>
      </w:r>
      <w:r>
        <w:rPr>
          <w:rFonts w:hint="eastAsia" w:ascii="仿宋" w:hAnsi="仿宋" w:eastAsia="仿宋" w:cs="Calibri"/>
          <w:bCs/>
          <w:kern w:val="0"/>
          <w:sz w:val="24"/>
          <w:szCs w:val="24"/>
          <w:lang w:eastAsia="zh-CN"/>
        </w:rPr>
        <w:t>名专家的所在国家/地区、年龄、学历、职称、研究生导师、专业分布及工作年限等情况见表1-表7。</w:t>
      </w:r>
    </w:p>
    <w:p w14:paraId="7719286A">
      <w:pPr>
        <w:widowControl/>
        <w:spacing w:after="0" w:line="400" w:lineRule="exact"/>
        <w:ind w:firstLine="480"/>
        <w:jc w:val="center"/>
        <w:rPr>
          <w:rFonts w:hint="eastAsia" w:ascii="宋体" w:hAnsi="宋体" w:eastAsia="宋体" w:cs="Calibri"/>
          <w:kern w:val="0"/>
          <w:sz w:val="21"/>
          <w:szCs w:val="21"/>
        </w:rPr>
      </w:pPr>
      <w:r>
        <w:rPr>
          <w:rFonts w:hint="eastAsia" w:ascii="仿宋" w:hAnsi="仿宋" w:eastAsia="仿宋" w:cs="Calibri"/>
          <w:bCs/>
          <w:kern w:val="0"/>
          <w:sz w:val="24"/>
          <w:szCs w:val="24"/>
          <w:lang w:eastAsia="zh-CN"/>
        </w:rPr>
        <w:t>表 1 专家所在国家 / 地区分布情况</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1523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FC20B2A">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国家/地区</w:t>
            </w:r>
          </w:p>
        </w:tc>
        <w:tc>
          <w:tcPr>
            <w:tcW w:w="2765" w:type="dxa"/>
            <w:noWrap w:val="0"/>
            <w:vAlign w:val="top"/>
          </w:tcPr>
          <w:p w14:paraId="08FC4CE1">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人数</w:t>
            </w:r>
          </w:p>
        </w:tc>
        <w:tc>
          <w:tcPr>
            <w:tcW w:w="2766" w:type="dxa"/>
            <w:noWrap w:val="0"/>
            <w:vAlign w:val="top"/>
          </w:tcPr>
          <w:p w14:paraId="7AF205CC">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百分比</w:t>
            </w:r>
          </w:p>
        </w:tc>
      </w:tr>
      <w:tr w14:paraId="0CFD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10A4E63">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中国内地（含北京、上海、天津等）</w:t>
            </w:r>
          </w:p>
        </w:tc>
        <w:tc>
          <w:tcPr>
            <w:tcW w:w="2765" w:type="dxa"/>
            <w:noWrap w:val="0"/>
            <w:vAlign w:val="top"/>
          </w:tcPr>
          <w:p w14:paraId="06671495">
            <w:pPr>
              <w:widowControl/>
              <w:spacing w:line="400" w:lineRule="exact"/>
              <w:jc w:val="left"/>
              <w:rPr>
                <w:rFonts w:hint="eastAsia" w:ascii="仿宋" w:hAnsi="仿宋" w:eastAsia="仿宋" w:cs="Calibri"/>
                <w:kern w:val="0"/>
                <w:sz w:val="24"/>
                <w:szCs w:val="24"/>
              </w:rPr>
            </w:pPr>
            <w:r>
              <w:rPr>
                <w:rFonts w:hint="eastAsia" w:ascii="仿宋" w:hAnsi="仿宋" w:eastAsia="仿宋" w:cs="Calibri"/>
                <w:kern w:val="0"/>
                <w:sz w:val="24"/>
                <w:szCs w:val="24"/>
              </w:rPr>
              <w:t>20</w:t>
            </w:r>
          </w:p>
        </w:tc>
        <w:tc>
          <w:tcPr>
            <w:tcW w:w="2766" w:type="dxa"/>
            <w:noWrap w:val="0"/>
            <w:vAlign w:val="top"/>
          </w:tcPr>
          <w:p w14:paraId="6CDE4EE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74.07%</w:t>
            </w:r>
          </w:p>
        </w:tc>
      </w:tr>
      <w:tr w14:paraId="696D3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4EB354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中国澳门</w:t>
            </w:r>
          </w:p>
        </w:tc>
        <w:tc>
          <w:tcPr>
            <w:tcW w:w="2765" w:type="dxa"/>
            <w:noWrap w:val="0"/>
            <w:vAlign w:val="top"/>
          </w:tcPr>
          <w:p w14:paraId="764ED4F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1</w:t>
            </w:r>
          </w:p>
        </w:tc>
        <w:tc>
          <w:tcPr>
            <w:tcW w:w="2766" w:type="dxa"/>
            <w:noWrap w:val="0"/>
            <w:vAlign w:val="top"/>
          </w:tcPr>
          <w:p w14:paraId="5666A89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3.7%</w:t>
            </w:r>
          </w:p>
        </w:tc>
      </w:tr>
      <w:tr w14:paraId="1D0E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3A0916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中国台湾</w:t>
            </w:r>
          </w:p>
        </w:tc>
        <w:tc>
          <w:tcPr>
            <w:tcW w:w="2765" w:type="dxa"/>
            <w:noWrap w:val="0"/>
            <w:vAlign w:val="top"/>
          </w:tcPr>
          <w:p w14:paraId="3CC271B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1</w:t>
            </w:r>
          </w:p>
        </w:tc>
        <w:tc>
          <w:tcPr>
            <w:tcW w:w="2766" w:type="dxa"/>
            <w:noWrap w:val="0"/>
            <w:vAlign w:val="top"/>
          </w:tcPr>
          <w:p w14:paraId="75468EB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3.7%</w:t>
            </w:r>
          </w:p>
        </w:tc>
      </w:tr>
      <w:tr w14:paraId="2C14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29A557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新加坡</w:t>
            </w:r>
          </w:p>
        </w:tc>
        <w:tc>
          <w:tcPr>
            <w:tcW w:w="2765" w:type="dxa"/>
            <w:noWrap w:val="0"/>
            <w:vAlign w:val="top"/>
          </w:tcPr>
          <w:p w14:paraId="5C6D952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2</w:t>
            </w:r>
          </w:p>
        </w:tc>
        <w:tc>
          <w:tcPr>
            <w:tcW w:w="2766" w:type="dxa"/>
            <w:noWrap w:val="0"/>
            <w:vAlign w:val="top"/>
          </w:tcPr>
          <w:p w14:paraId="1AE9369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7.4%</w:t>
            </w:r>
          </w:p>
        </w:tc>
      </w:tr>
      <w:tr w14:paraId="38070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4BAA43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马来西亚</w:t>
            </w:r>
          </w:p>
        </w:tc>
        <w:tc>
          <w:tcPr>
            <w:tcW w:w="2765" w:type="dxa"/>
            <w:noWrap w:val="0"/>
            <w:vAlign w:val="top"/>
          </w:tcPr>
          <w:p w14:paraId="301F63D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2766" w:type="dxa"/>
            <w:noWrap w:val="0"/>
            <w:vAlign w:val="top"/>
          </w:tcPr>
          <w:p w14:paraId="6FE45F6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3.7%</w:t>
            </w:r>
          </w:p>
        </w:tc>
      </w:tr>
      <w:tr w14:paraId="68A1F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5CE9FF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澳大利亚</w:t>
            </w:r>
          </w:p>
        </w:tc>
        <w:tc>
          <w:tcPr>
            <w:tcW w:w="2765" w:type="dxa"/>
            <w:noWrap w:val="0"/>
            <w:vAlign w:val="top"/>
          </w:tcPr>
          <w:p w14:paraId="019E58D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2766" w:type="dxa"/>
            <w:noWrap w:val="0"/>
            <w:vAlign w:val="top"/>
          </w:tcPr>
          <w:p w14:paraId="696CCB3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3.7%</w:t>
            </w:r>
          </w:p>
        </w:tc>
      </w:tr>
      <w:tr w14:paraId="4AABE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E0B18E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美国</w:t>
            </w:r>
          </w:p>
        </w:tc>
        <w:tc>
          <w:tcPr>
            <w:tcW w:w="2765" w:type="dxa"/>
            <w:noWrap w:val="0"/>
            <w:vAlign w:val="top"/>
          </w:tcPr>
          <w:p w14:paraId="4887026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rPr>
              <w:t>1</w:t>
            </w:r>
          </w:p>
        </w:tc>
        <w:tc>
          <w:tcPr>
            <w:tcW w:w="2766" w:type="dxa"/>
            <w:noWrap w:val="0"/>
            <w:vAlign w:val="top"/>
          </w:tcPr>
          <w:p w14:paraId="561C493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3.7%</w:t>
            </w:r>
          </w:p>
        </w:tc>
      </w:tr>
    </w:tbl>
    <w:p w14:paraId="3500594D">
      <w:pPr>
        <w:widowControl/>
        <w:spacing w:line="400" w:lineRule="exact"/>
        <w:ind w:firstLine="480" w:firstLineChars="20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 专家年龄分布情况</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33965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A7D6BB1">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年龄区间</w:t>
            </w:r>
          </w:p>
        </w:tc>
        <w:tc>
          <w:tcPr>
            <w:tcW w:w="2765" w:type="dxa"/>
            <w:noWrap w:val="0"/>
            <w:vAlign w:val="top"/>
          </w:tcPr>
          <w:p w14:paraId="089948D4">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人数</w:t>
            </w:r>
          </w:p>
        </w:tc>
        <w:tc>
          <w:tcPr>
            <w:tcW w:w="2766" w:type="dxa"/>
            <w:noWrap w:val="0"/>
            <w:vAlign w:val="top"/>
          </w:tcPr>
          <w:p w14:paraId="7FB4F47C">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百分比</w:t>
            </w:r>
          </w:p>
        </w:tc>
      </w:tr>
      <w:tr w14:paraId="5D7BC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630E40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40-49岁</w:t>
            </w:r>
          </w:p>
        </w:tc>
        <w:tc>
          <w:tcPr>
            <w:tcW w:w="2765" w:type="dxa"/>
            <w:noWrap w:val="0"/>
            <w:vAlign w:val="top"/>
          </w:tcPr>
          <w:p w14:paraId="4048E4E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c>
          <w:tcPr>
            <w:tcW w:w="2766" w:type="dxa"/>
            <w:noWrap w:val="0"/>
            <w:vAlign w:val="top"/>
          </w:tcPr>
          <w:p w14:paraId="5E2ECD5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11.11%</w:t>
            </w:r>
          </w:p>
        </w:tc>
      </w:tr>
      <w:tr w14:paraId="22493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E80DBBE">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50-59岁</w:t>
            </w:r>
          </w:p>
        </w:tc>
        <w:tc>
          <w:tcPr>
            <w:tcW w:w="2765" w:type="dxa"/>
            <w:noWrap w:val="0"/>
            <w:vAlign w:val="top"/>
          </w:tcPr>
          <w:p w14:paraId="25805464">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1</w:t>
            </w:r>
            <w:r>
              <w:rPr>
                <w:rFonts w:hint="eastAsia" w:ascii="仿宋" w:hAnsi="仿宋" w:eastAsia="仿宋" w:cs="Calibri"/>
                <w:kern w:val="0"/>
                <w:sz w:val="24"/>
                <w:szCs w:val="24"/>
                <w:lang w:val="en-US" w:eastAsia="zh-CN"/>
              </w:rPr>
              <w:t>7</w:t>
            </w:r>
          </w:p>
        </w:tc>
        <w:tc>
          <w:tcPr>
            <w:tcW w:w="2766" w:type="dxa"/>
            <w:noWrap w:val="0"/>
            <w:vAlign w:val="top"/>
          </w:tcPr>
          <w:p w14:paraId="204C9BF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62.96%</w:t>
            </w:r>
          </w:p>
        </w:tc>
      </w:tr>
      <w:tr w14:paraId="77E5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89F657A">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60-69岁</w:t>
            </w:r>
          </w:p>
        </w:tc>
        <w:tc>
          <w:tcPr>
            <w:tcW w:w="2765" w:type="dxa"/>
            <w:noWrap w:val="0"/>
            <w:vAlign w:val="top"/>
          </w:tcPr>
          <w:p w14:paraId="1AE3470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5</w:t>
            </w:r>
          </w:p>
        </w:tc>
        <w:tc>
          <w:tcPr>
            <w:tcW w:w="2766" w:type="dxa"/>
            <w:noWrap w:val="0"/>
            <w:vAlign w:val="top"/>
          </w:tcPr>
          <w:p w14:paraId="5B2DA45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18.51%</w:t>
            </w:r>
          </w:p>
        </w:tc>
      </w:tr>
      <w:tr w14:paraId="5E178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A23FEB4">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70岁及以上</w:t>
            </w:r>
          </w:p>
        </w:tc>
        <w:tc>
          <w:tcPr>
            <w:tcW w:w="2765" w:type="dxa"/>
            <w:noWrap w:val="0"/>
            <w:vAlign w:val="top"/>
          </w:tcPr>
          <w:p w14:paraId="2EEB44BB">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2</w:t>
            </w:r>
          </w:p>
        </w:tc>
        <w:tc>
          <w:tcPr>
            <w:tcW w:w="2766" w:type="dxa"/>
            <w:noWrap w:val="0"/>
            <w:vAlign w:val="top"/>
          </w:tcPr>
          <w:p w14:paraId="4FAD1216">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7.4%</w:t>
            </w:r>
          </w:p>
        </w:tc>
      </w:tr>
      <w:tr w14:paraId="5A822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EAEBE7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年龄跨度</w:t>
            </w:r>
          </w:p>
        </w:tc>
        <w:tc>
          <w:tcPr>
            <w:tcW w:w="2765" w:type="dxa"/>
            <w:noWrap w:val="0"/>
            <w:vAlign w:val="top"/>
          </w:tcPr>
          <w:p w14:paraId="0075189C">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44</w:t>
            </w:r>
            <w:r>
              <w:rPr>
                <w:rFonts w:hint="eastAsia" w:ascii="仿宋" w:hAnsi="仿宋" w:eastAsia="仿宋" w:cs="Calibri"/>
                <w:kern w:val="0"/>
                <w:sz w:val="24"/>
                <w:szCs w:val="24"/>
                <w:lang w:eastAsia="zh-CN"/>
              </w:rPr>
              <w:t>-</w:t>
            </w:r>
            <w:r>
              <w:rPr>
                <w:rFonts w:hint="eastAsia" w:ascii="仿宋" w:hAnsi="仿宋" w:eastAsia="仿宋" w:cs="Calibri"/>
                <w:kern w:val="0"/>
                <w:sz w:val="24"/>
                <w:szCs w:val="24"/>
                <w:lang w:val="en-US" w:eastAsia="zh-CN"/>
              </w:rPr>
              <w:t>80</w:t>
            </w:r>
            <w:r>
              <w:rPr>
                <w:rFonts w:hint="eastAsia" w:ascii="仿宋" w:hAnsi="仿宋" w:eastAsia="仿宋" w:cs="Calibri"/>
                <w:kern w:val="0"/>
                <w:sz w:val="24"/>
                <w:szCs w:val="24"/>
                <w:lang w:eastAsia="zh-CN"/>
              </w:rPr>
              <w:t>岁</w:t>
            </w:r>
          </w:p>
        </w:tc>
        <w:tc>
          <w:tcPr>
            <w:tcW w:w="2766" w:type="dxa"/>
            <w:noWrap w:val="0"/>
            <w:vAlign w:val="top"/>
          </w:tcPr>
          <w:p w14:paraId="3CB1E2CB">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平均年龄</w:t>
            </w:r>
            <w:r>
              <w:rPr>
                <w:rFonts w:hint="eastAsia" w:ascii="仿宋" w:hAnsi="仿宋" w:eastAsia="仿宋" w:cs="Calibri"/>
                <w:kern w:val="0"/>
                <w:sz w:val="24"/>
                <w:szCs w:val="24"/>
                <w:lang w:val="en-US" w:eastAsia="zh-CN"/>
              </w:rPr>
              <w:t>57.29</w:t>
            </w:r>
            <w:r>
              <w:rPr>
                <w:rFonts w:hint="eastAsia" w:ascii="仿宋" w:hAnsi="仿宋" w:eastAsia="仿宋" w:cs="Calibri"/>
                <w:kern w:val="0"/>
                <w:sz w:val="24"/>
                <w:szCs w:val="24"/>
                <w:lang w:eastAsia="zh-CN"/>
              </w:rPr>
              <w:t>岁</w:t>
            </w:r>
          </w:p>
        </w:tc>
      </w:tr>
    </w:tbl>
    <w:p w14:paraId="34A6455D">
      <w:pPr>
        <w:widowControl/>
        <w:spacing w:line="400" w:lineRule="exact"/>
        <w:ind w:firstLine="480" w:firstLineChars="20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 专家学历、学位分布情况</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03B3B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764D400">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学历/学位</w:t>
            </w:r>
          </w:p>
        </w:tc>
        <w:tc>
          <w:tcPr>
            <w:tcW w:w="2765" w:type="dxa"/>
            <w:noWrap w:val="0"/>
            <w:vAlign w:val="top"/>
          </w:tcPr>
          <w:p w14:paraId="7BBC47B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人数</w:t>
            </w:r>
          </w:p>
        </w:tc>
        <w:tc>
          <w:tcPr>
            <w:tcW w:w="2766" w:type="dxa"/>
            <w:noWrap w:val="0"/>
            <w:vAlign w:val="top"/>
          </w:tcPr>
          <w:p w14:paraId="3A7DC959">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百分比</w:t>
            </w:r>
          </w:p>
        </w:tc>
      </w:tr>
      <w:tr w14:paraId="3F2E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E35EF8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本科</w:t>
            </w:r>
          </w:p>
        </w:tc>
        <w:tc>
          <w:tcPr>
            <w:tcW w:w="2765" w:type="dxa"/>
            <w:noWrap w:val="0"/>
            <w:vAlign w:val="top"/>
          </w:tcPr>
          <w:p w14:paraId="06018E5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5</w:t>
            </w:r>
          </w:p>
        </w:tc>
        <w:tc>
          <w:tcPr>
            <w:tcW w:w="2766" w:type="dxa"/>
            <w:noWrap w:val="0"/>
            <w:vAlign w:val="top"/>
          </w:tcPr>
          <w:p w14:paraId="4D8D504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18.51%</w:t>
            </w:r>
          </w:p>
        </w:tc>
      </w:tr>
      <w:tr w14:paraId="4B2F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CCA14C2">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硕士</w:t>
            </w:r>
          </w:p>
        </w:tc>
        <w:tc>
          <w:tcPr>
            <w:tcW w:w="2765" w:type="dxa"/>
            <w:noWrap w:val="0"/>
            <w:vAlign w:val="top"/>
          </w:tcPr>
          <w:p w14:paraId="792CEF4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6</w:t>
            </w:r>
          </w:p>
        </w:tc>
        <w:tc>
          <w:tcPr>
            <w:tcW w:w="2766" w:type="dxa"/>
            <w:noWrap w:val="0"/>
            <w:vAlign w:val="top"/>
          </w:tcPr>
          <w:p w14:paraId="38D0AD5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22.22%</w:t>
            </w:r>
          </w:p>
        </w:tc>
      </w:tr>
      <w:tr w14:paraId="56FED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2C7B96A">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博士</w:t>
            </w:r>
          </w:p>
        </w:tc>
        <w:tc>
          <w:tcPr>
            <w:tcW w:w="2765" w:type="dxa"/>
            <w:noWrap w:val="0"/>
            <w:vAlign w:val="top"/>
          </w:tcPr>
          <w:p w14:paraId="440D3D6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16</w:t>
            </w:r>
          </w:p>
        </w:tc>
        <w:tc>
          <w:tcPr>
            <w:tcW w:w="2766" w:type="dxa"/>
            <w:noWrap w:val="0"/>
            <w:vAlign w:val="top"/>
          </w:tcPr>
          <w:p w14:paraId="2A9DC0D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59.25%</w:t>
            </w:r>
          </w:p>
        </w:tc>
      </w:tr>
    </w:tbl>
    <w:p w14:paraId="55FB06F9">
      <w:pPr>
        <w:widowControl/>
        <w:spacing w:line="400" w:lineRule="exact"/>
        <w:ind w:firstLine="480" w:firstLineChars="20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4 专家专业技术职称分布情况</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21216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765" w:type="dxa"/>
            <w:noWrap w:val="0"/>
            <w:vAlign w:val="top"/>
          </w:tcPr>
          <w:p w14:paraId="4CCE10C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职称</w:t>
            </w:r>
          </w:p>
        </w:tc>
        <w:tc>
          <w:tcPr>
            <w:tcW w:w="2765" w:type="dxa"/>
            <w:noWrap w:val="0"/>
            <w:vAlign w:val="top"/>
          </w:tcPr>
          <w:p w14:paraId="056CECE2">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人数</w:t>
            </w:r>
          </w:p>
        </w:tc>
        <w:tc>
          <w:tcPr>
            <w:tcW w:w="2766" w:type="dxa"/>
            <w:noWrap w:val="0"/>
            <w:vAlign w:val="top"/>
          </w:tcPr>
          <w:p w14:paraId="67E87AC8">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百分比</w:t>
            </w:r>
          </w:p>
        </w:tc>
      </w:tr>
      <w:tr w14:paraId="1B6E8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579CE4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Segoe UI"/>
                <w:color w:val="000000"/>
                <w:sz w:val="24"/>
                <w:szCs w:val="24"/>
              </w:rPr>
              <w:t>正高级（</w:t>
            </w:r>
            <w:r>
              <w:rPr>
                <w:rFonts w:ascii="仿宋" w:hAnsi="仿宋" w:eastAsia="仿宋" w:cs="Segoe UI"/>
                <w:color w:val="000000"/>
                <w:sz w:val="24"/>
                <w:szCs w:val="24"/>
              </w:rPr>
              <w:t>教授</w:t>
            </w:r>
            <w:r>
              <w:rPr>
                <w:rFonts w:hint="eastAsia" w:ascii="仿宋" w:hAnsi="仿宋" w:eastAsia="仿宋" w:cs="Segoe UI"/>
                <w:color w:val="000000"/>
                <w:sz w:val="24"/>
                <w:szCs w:val="24"/>
              </w:rPr>
              <w:t>，</w:t>
            </w:r>
            <w:r>
              <w:rPr>
                <w:rFonts w:ascii="仿宋" w:hAnsi="仿宋" w:eastAsia="仿宋" w:cs="Segoe UI"/>
                <w:color w:val="000000"/>
                <w:sz w:val="24"/>
                <w:szCs w:val="24"/>
              </w:rPr>
              <w:t>主任医师</w:t>
            </w:r>
            <w:r>
              <w:rPr>
                <w:rFonts w:hint="eastAsia" w:ascii="仿宋" w:hAnsi="仿宋" w:eastAsia="仿宋" w:cs="Segoe UI"/>
                <w:color w:val="000000"/>
                <w:sz w:val="24"/>
                <w:szCs w:val="24"/>
              </w:rPr>
              <w:t>，</w:t>
            </w:r>
            <w:r>
              <w:rPr>
                <w:rFonts w:ascii="仿宋" w:hAnsi="仿宋" w:eastAsia="仿宋" w:cs="Segoe UI"/>
                <w:color w:val="000000"/>
                <w:sz w:val="24"/>
                <w:szCs w:val="24"/>
              </w:rPr>
              <w:t>研究员</w:t>
            </w:r>
            <w:r>
              <w:rPr>
                <w:rFonts w:hint="eastAsia" w:ascii="仿宋" w:hAnsi="仿宋" w:eastAsia="仿宋" w:cs="Segoe UI"/>
                <w:color w:val="000000"/>
                <w:sz w:val="24"/>
                <w:szCs w:val="24"/>
              </w:rPr>
              <w:t>）</w:t>
            </w:r>
          </w:p>
        </w:tc>
        <w:tc>
          <w:tcPr>
            <w:tcW w:w="2765" w:type="dxa"/>
            <w:noWrap w:val="0"/>
            <w:vAlign w:val="top"/>
          </w:tcPr>
          <w:p w14:paraId="66CC3D3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23</w:t>
            </w:r>
          </w:p>
        </w:tc>
        <w:tc>
          <w:tcPr>
            <w:tcW w:w="2766" w:type="dxa"/>
            <w:noWrap w:val="0"/>
            <w:vAlign w:val="top"/>
          </w:tcPr>
          <w:p w14:paraId="2111431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85.19%</w:t>
            </w:r>
          </w:p>
        </w:tc>
      </w:tr>
      <w:tr w14:paraId="626A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44F2F45">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Segoe UI"/>
                <w:color w:val="000000"/>
                <w:sz w:val="24"/>
                <w:szCs w:val="24"/>
              </w:rPr>
              <w:t>副高级（</w:t>
            </w:r>
            <w:r>
              <w:rPr>
                <w:rFonts w:ascii="仿宋" w:hAnsi="仿宋" w:eastAsia="仿宋" w:cs="Segoe UI"/>
                <w:color w:val="000000"/>
                <w:sz w:val="24"/>
                <w:szCs w:val="24"/>
              </w:rPr>
              <w:t>副教授</w:t>
            </w:r>
            <w:r>
              <w:rPr>
                <w:rFonts w:hint="eastAsia" w:ascii="仿宋" w:hAnsi="仿宋" w:eastAsia="仿宋" w:cs="Segoe UI"/>
                <w:color w:val="000000"/>
                <w:sz w:val="24"/>
                <w:szCs w:val="24"/>
              </w:rPr>
              <w:t>，</w:t>
            </w:r>
            <w:r>
              <w:rPr>
                <w:rFonts w:ascii="仿宋" w:hAnsi="仿宋" w:eastAsia="仿宋" w:cs="Segoe UI"/>
                <w:color w:val="000000"/>
                <w:sz w:val="24"/>
                <w:szCs w:val="24"/>
              </w:rPr>
              <w:t>副主任医师</w:t>
            </w:r>
            <w:r>
              <w:rPr>
                <w:rFonts w:hint="eastAsia" w:ascii="仿宋" w:hAnsi="仿宋" w:eastAsia="仿宋" w:cs="Segoe UI"/>
                <w:color w:val="000000"/>
                <w:sz w:val="24"/>
                <w:szCs w:val="24"/>
              </w:rPr>
              <w:t>）</w:t>
            </w:r>
          </w:p>
        </w:tc>
        <w:tc>
          <w:tcPr>
            <w:tcW w:w="2765" w:type="dxa"/>
            <w:noWrap w:val="0"/>
            <w:vAlign w:val="top"/>
          </w:tcPr>
          <w:p w14:paraId="314EBE5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w:t>
            </w:r>
          </w:p>
        </w:tc>
        <w:tc>
          <w:tcPr>
            <w:tcW w:w="2766" w:type="dxa"/>
            <w:noWrap w:val="0"/>
            <w:vAlign w:val="top"/>
          </w:tcPr>
          <w:p w14:paraId="2911B33A">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14.81%</w:t>
            </w:r>
          </w:p>
        </w:tc>
      </w:tr>
    </w:tbl>
    <w:p w14:paraId="3D75A2C5">
      <w:pPr>
        <w:widowControl/>
        <w:spacing w:line="400" w:lineRule="exact"/>
        <w:ind w:firstLine="480" w:firstLineChars="20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5 专家研究生导师情况</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37D4D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F174870">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导师类型</w:t>
            </w:r>
          </w:p>
        </w:tc>
        <w:tc>
          <w:tcPr>
            <w:tcW w:w="2765" w:type="dxa"/>
            <w:noWrap w:val="0"/>
            <w:vAlign w:val="top"/>
          </w:tcPr>
          <w:p w14:paraId="7821247D">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人数</w:t>
            </w:r>
          </w:p>
        </w:tc>
        <w:tc>
          <w:tcPr>
            <w:tcW w:w="2766" w:type="dxa"/>
            <w:noWrap w:val="0"/>
            <w:vAlign w:val="top"/>
          </w:tcPr>
          <w:p w14:paraId="21F7830B">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百分比</w:t>
            </w:r>
          </w:p>
        </w:tc>
      </w:tr>
      <w:tr w14:paraId="4BB0B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FAA1B60">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博导</w:t>
            </w:r>
          </w:p>
        </w:tc>
        <w:tc>
          <w:tcPr>
            <w:tcW w:w="2765" w:type="dxa"/>
            <w:noWrap w:val="0"/>
            <w:vAlign w:val="top"/>
          </w:tcPr>
          <w:p w14:paraId="627113A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c>
          <w:tcPr>
            <w:tcW w:w="2766" w:type="dxa"/>
            <w:noWrap w:val="0"/>
            <w:vAlign w:val="top"/>
          </w:tcPr>
          <w:p w14:paraId="0E5B11C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37.03%</w:t>
            </w:r>
          </w:p>
        </w:tc>
      </w:tr>
      <w:tr w14:paraId="1017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1BBFBC6">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硕导</w:t>
            </w:r>
          </w:p>
        </w:tc>
        <w:tc>
          <w:tcPr>
            <w:tcW w:w="2765" w:type="dxa"/>
            <w:noWrap w:val="0"/>
            <w:vAlign w:val="top"/>
          </w:tcPr>
          <w:p w14:paraId="7DF7C31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c>
          <w:tcPr>
            <w:tcW w:w="2766" w:type="dxa"/>
            <w:noWrap w:val="0"/>
            <w:vAlign w:val="top"/>
          </w:tcPr>
          <w:p w14:paraId="1B7D46B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22.22%</w:t>
            </w:r>
          </w:p>
        </w:tc>
      </w:tr>
      <w:tr w14:paraId="2668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CFBB0FA">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非研究生导师</w:t>
            </w:r>
          </w:p>
        </w:tc>
        <w:tc>
          <w:tcPr>
            <w:tcW w:w="2765" w:type="dxa"/>
            <w:noWrap w:val="0"/>
            <w:vAlign w:val="top"/>
          </w:tcPr>
          <w:p w14:paraId="0EA605F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w:t>
            </w:r>
          </w:p>
        </w:tc>
        <w:tc>
          <w:tcPr>
            <w:tcW w:w="2766" w:type="dxa"/>
            <w:noWrap w:val="0"/>
            <w:vAlign w:val="top"/>
          </w:tcPr>
          <w:p w14:paraId="7EC4289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40.74%</w:t>
            </w:r>
          </w:p>
        </w:tc>
      </w:tr>
    </w:tbl>
    <w:p w14:paraId="0C00A3D4">
      <w:pPr>
        <w:widowControl/>
        <w:spacing w:line="400" w:lineRule="exact"/>
        <w:ind w:firstLine="480" w:firstLineChars="20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6 专家专业分布情况</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4A91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B2F454E">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专业</w:t>
            </w:r>
          </w:p>
        </w:tc>
        <w:tc>
          <w:tcPr>
            <w:tcW w:w="2765" w:type="dxa"/>
            <w:noWrap w:val="0"/>
            <w:vAlign w:val="top"/>
          </w:tcPr>
          <w:p w14:paraId="4DC2A142">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人数</w:t>
            </w:r>
          </w:p>
        </w:tc>
        <w:tc>
          <w:tcPr>
            <w:tcW w:w="2766" w:type="dxa"/>
            <w:noWrap w:val="0"/>
            <w:vAlign w:val="top"/>
          </w:tcPr>
          <w:p w14:paraId="091902FC">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百分比</w:t>
            </w:r>
          </w:p>
        </w:tc>
      </w:tr>
      <w:tr w14:paraId="1DE64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60B97A6">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中医儿科学</w:t>
            </w:r>
          </w:p>
        </w:tc>
        <w:tc>
          <w:tcPr>
            <w:tcW w:w="2765" w:type="dxa"/>
            <w:noWrap w:val="0"/>
            <w:vAlign w:val="top"/>
          </w:tcPr>
          <w:p w14:paraId="3C1ED25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12</w:t>
            </w:r>
          </w:p>
        </w:tc>
        <w:tc>
          <w:tcPr>
            <w:tcW w:w="2766" w:type="dxa"/>
            <w:noWrap w:val="0"/>
            <w:vAlign w:val="top"/>
          </w:tcPr>
          <w:p w14:paraId="23CCEE1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44.44%</w:t>
            </w:r>
          </w:p>
        </w:tc>
      </w:tr>
      <w:tr w14:paraId="645D9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15BB995">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中西医结合儿科学</w:t>
            </w:r>
          </w:p>
        </w:tc>
        <w:tc>
          <w:tcPr>
            <w:tcW w:w="2765" w:type="dxa"/>
            <w:noWrap w:val="0"/>
            <w:vAlign w:val="top"/>
          </w:tcPr>
          <w:p w14:paraId="535FE70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c>
          <w:tcPr>
            <w:tcW w:w="2766" w:type="dxa"/>
            <w:noWrap w:val="0"/>
            <w:vAlign w:val="top"/>
          </w:tcPr>
          <w:p w14:paraId="1C23DAEC">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11.11%</w:t>
            </w:r>
          </w:p>
        </w:tc>
      </w:tr>
      <w:tr w14:paraId="4AAF8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61138DE9">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中医</w:t>
            </w:r>
            <w:r>
              <w:rPr>
                <w:rFonts w:hint="eastAsia" w:ascii="仿宋" w:hAnsi="仿宋" w:eastAsia="仿宋" w:cs="Calibri"/>
                <w:kern w:val="0"/>
                <w:sz w:val="24"/>
                <w:szCs w:val="24"/>
                <w:lang w:val="en-US" w:eastAsia="zh-CN"/>
              </w:rPr>
              <w:t>学</w:t>
            </w:r>
          </w:p>
        </w:tc>
        <w:tc>
          <w:tcPr>
            <w:tcW w:w="2765" w:type="dxa"/>
            <w:noWrap w:val="0"/>
            <w:vAlign w:val="top"/>
          </w:tcPr>
          <w:p w14:paraId="1D4DC6A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2766" w:type="dxa"/>
            <w:noWrap w:val="0"/>
            <w:vAlign w:val="top"/>
          </w:tcPr>
          <w:p w14:paraId="2BC4F790">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3.7%</w:t>
            </w:r>
          </w:p>
        </w:tc>
      </w:tr>
      <w:tr w14:paraId="3563E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72DED7C">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中医临床基础</w:t>
            </w:r>
          </w:p>
        </w:tc>
        <w:tc>
          <w:tcPr>
            <w:tcW w:w="2765" w:type="dxa"/>
            <w:noWrap w:val="0"/>
            <w:vAlign w:val="top"/>
          </w:tcPr>
          <w:p w14:paraId="0D71563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2766" w:type="dxa"/>
            <w:noWrap w:val="0"/>
            <w:vAlign w:val="top"/>
          </w:tcPr>
          <w:p w14:paraId="3D7AD588">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3.7%</w:t>
            </w:r>
          </w:p>
        </w:tc>
      </w:tr>
      <w:tr w14:paraId="0719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4CC3FA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小儿推拿学</w:t>
            </w:r>
          </w:p>
        </w:tc>
        <w:tc>
          <w:tcPr>
            <w:tcW w:w="2765" w:type="dxa"/>
            <w:noWrap w:val="0"/>
            <w:vAlign w:val="top"/>
          </w:tcPr>
          <w:p w14:paraId="39A69B9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w:t>
            </w:r>
          </w:p>
        </w:tc>
        <w:tc>
          <w:tcPr>
            <w:tcW w:w="2766" w:type="dxa"/>
            <w:noWrap w:val="0"/>
            <w:vAlign w:val="top"/>
          </w:tcPr>
          <w:p w14:paraId="46D7448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29.62%</w:t>
            </w:r>
          </w:p>
        </w:tc>
      </w:tr>
      <w:tr w14:paraId="5C97B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29BFC97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推拿</w:t>
            </w:r>
            <w:r>
              <w:rPr>
                <w:rFonts w:hint="eastAsia" w:ascii="仿宋" w:hAnsi="仿宋" w:eastAsia="仿宋" w:cs="Calibri"/>
                <w:kern w:val="0"/>
                <w:sz w:val="24"/>
                <w:szCs w:val="24"/>
                <w:lang w:eastAsia="zh-CN"/>
              </w:rPr>
              <w:t>学</w:t>
            </w:r>
          </w:p>
        </w:tc>
        <w:tc>
          <w:tcPr>
            <w:tcW w:w="2765" w:type="dxa"/>
            <w:noWrap w:val="0"/>
            <w:vAlign w:val="top"/>
          </w:tcPr>
          <w:p w14:paraId="08DE0D8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2766" w:type="dxa"/>
            <w:noWrap w:val="0"/>
            <w:vAlign w:val="top"/>
          </w:tcPr>
          <w:p w14:paraId="32A48381">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3.7%</w:t>
            </w:r>
          </w:p>
        </w:tc>
      </w:tr>
      <w:tr w14:paraId="4E0EA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02E921E">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针灸</w:t>
            </w:r>
            <w:r>
              <w:rPr>
                <w:rFonts w:hint="eastAsia" w:ascii="仿宋" w:hAnsi="仿宋" w:eastAsia="仿宋" w:cs="Calibri"/>
                <w:kern w:val="0"/>
                <w:sz w:val="24"/>
                <w:szCs w:val="24"/>
                <w:lang w:val="en-US" w:eastAsia="zh-CN"/>
              </w:rPr>
              <w:t>推拿</w:t>
            </w:r>
            <w:r>
              <w:rPr>
                <w:rFonts w:hint="eastAsia" w:ascii="仿宋" w:hAnsi="仿宋" w:eastAsia="仿宋" w:cs="Calibri"/>
                <w:kern w:val="0"/>
                <w:sz w:val="24"/>
                <w:szCs w:val="24"/>
                <w:lang w:eastAsia="zh-CN"/>
              </w:rPr>
              <w:t>学</w:t>
            </w:r>
          </w:p>
        </w:tc>
        <w:tc>
          <w:tcPr>
            <w:tcW w:w="2765" w:type="dxa"/>
            <w:noWrap w:val="0"/>
            <w:vAlign w:val="top"/>
          </w:tcPr>
          <w:p w14:paraId="2BEA65B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2766" w:type="dxa"/>
            <w:noWrap w:val="0"/>
            <w:vAlign w:val="top"/>
          </w:tcPr>
          <w:p w14:paraId="48ACF671">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3.7%</w:t>
            </w:r>
          </w:p>
        </w:tc>
      </w:tr>
    </w:tbl>
    <w:p w14:paraId="2468A1E6">
      <w:pPr>
        <w:widowControl/>
        <w:spacing w:after="0" w:line="400" w:lineRule="exact"/>
        <w:ind w:firstLine="480"/>
        <w:jc w:val="center"/>
        <w:rPr>
          <w:rFonts w:hint="eastAsia" w:ascii="宋体" w:hAnsi="宋体" w:eastAsia="宋体" w:cs="Calibri"/>
          <w:color w:val="000000"/>
          <w:kern w:val="0"/>
          <w:sz w:val="21"/>
          <w:szCs w:val="21"/>
        </w:rPr>
      </w:pPr>
      <w:r>
        <w:rPr>
          <w:rFonts w:hint="eastAsia" w:ascii="仿宋" w:hAnsi="仿宋" w:eastAsia="仿宋" w:cs="Calibri"/>
          <w:bCs/>
          <w:kern w:val="0"/>
          <w:sz w:val="24"/>
          <w:szCs w:val="24"/>
          <w:lang w:eastAsia="zh-CN"/>
        </w:rPr>
        <w:t>表 7 专家从事本专业工作年限情况</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05A3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966E357">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工作年限区间</w:t>
            </w:r>
          </w:p>
        </w:tc>
        <w:tc>
          <w:tcPr>
            <w:tcW w:w="2765" w:type="dxa"/>
            <w:noWrap w:val="0"/>
            <w:vAlign w:val="top"/>
          </w:tcPr>
          <w:p w14:paraId="2A7A2435">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人数</w:t>
            </w:r>
          </w:p>
        </w:tc>
        <w:tc>
          <w:tcPr>
            <w:tcW w:w="2766" w:type="dxa"/>
            <w:noWrap w:val="0"/>
            <w:vAlign w:val="top"/>
          </w:tcPr>
          <w:p w14:paraId="505B27F5">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百分比</w:t>
            </w:r>
          </w:p>
        </w:tc>
      </w:tr>
      <w:tr w14:paraId="0C5F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914786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0-9年</w:t>
            </w:r>
          </w:p>
        </w:tc>
        <w:tc>
          <w:tcPr>
            <w:tcW w:w="2765" w:type="dxa"/>
            <w:noWrap w:val="0"/>
            <w:vAlign w:val="top"/>
          </w:tcPr>
          <w:p w14:paraId="7F7289E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2766" w:type="dxa"/>
            <w:noWrap w:val="0"/>
            <w:vAlign w:val="top"/>
          </w:tcPr>
          <w:p w14:paraId="5C6C873B">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3.7%</w:t>
            </w:r>
          </w:p>
        </w:tc>
      </w:tr>
      <w:tr w14:paraId="7089E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50CEF197">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10-19 年</w:t>
            </w:r>
          </w:p>
        </w:tc>
        <w:tc>
          <w:tcPr>
            <w:tcW w:w="2765" w:type="dxa"/>
            <w:noWrap w:val="0"/>
            <w:vAlign w:val="top"/>
          </w:tcPr>
          <w:p w14:paraId="308EAAB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c>
          <w:tcPr>
            <w:tcW w:w="2766" w:type="dxa"/>
            <w:noWrap w:val="0"/>
            <w:vAlign w:val="top"/>
          </w:tcPr>
          <w:p w14:paraId="768C856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11.11%</w:t>
            </w:r>
          </w:p>
        </w:tc>
      </w:tr>
      <w:tr w14:paraId="0876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5F09F62">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20-29 年</w:t>
            </w:r>
          </w:p>
        </w:tc>
        <w:tc>
          <w:tcPr>
            <w:tcW w:w="2765" w:type="dxa"/>
            <w:noWrap w:val="0"/>
            <w:vAlign w:val="top"/>
          </w:tcPr>
          <w:p w14:paraId="53161A4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c>
          <w:tcPr>
            <w:tcW w:w="2766" w:type="dxa"/>
            <w:noWrap w:val="0"/>
            <w:vAlign w:val="top"/>
          </w:tcPr>
          <w:p w14:paraId="1F7A4D7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18.51%</w:t>
            </w:r>
          </w:p>
        </w:tc>
      </w:tr>
      <w:tr w14:paraId="234E5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765" w:type="dxa"/>
            <w:noWrap w:val="0"/>
            <w:vAlign w:val="top"/>
          </w:tcPr>
          <w:p w14:paraId="034F1532">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30-39 年</w:t>
            </w:r>
          </w:p>
        </w:tc>
        <w:tc>
          <w:tcPr>
            <w:tcW w:w="2765" w:type="dxa"/>
            <w:noWrap w:val="0"/>
            <w:vAlign w:val="top"/>
          </w:tcPr>
          <w:p w14:paraId="14D442F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13</w:t>
            </w:r>
          </w:p>
        </w:tc>
        <w:tc>
          <w:tcPr>
            <w:tcW w:w="2766" w:type="dxa"/>
            <w:noWrap w:val="0"/>
            <w:vAlign w:val="top"/>
          </w:tcPr>
          <w:p w14:paraId="5FBBD63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48.14%</w:t>
            </w:r>
          </w:p>
        </w:tc>
      </w:tr>
      <w:tr w14:paraId="0139C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A9AF682">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40-49年</w:t>
            </w:r>
          </w:p>
        </w:tc>
        <w:tc>
          <w:tcPr>
            <w:tcW w:w="2765" w:type="dxa"/>
            <w:noWrap w:val="0"/>
            <w:vAlign w:val="top"/>
          </w:tcPr>
          <w:p w14:paraId="1B7D0B5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w:t>
            </w:r>
          </w:p>
        </w:tc>
        <w:tc>
          <w:tcPr>
            <w:tcW w:w="2766" w:type="dxa"/>
            <w:noWrap w:val="0"/>
            <w:vAlign w:val="top"/>
          </w:tcPr>
          <w:p w14:paraId="22D4424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14.81%</w:t>
            </w:r>
          </w:p>
        </w:tc>
      </w:tr>
      <w:tr w14:paraId="7BA2C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023E20E">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50年及以上</w:t>
            </w:r>
          </w:p>
        </w:tc>
        <w:tc>
          <w:tcPr>
            <w:tcW w:w="2765" w:type="dxa"/>
            <w:noWrap w:val="0"/>
            <w:vAlign w:val="top"/>
          </w:tcPr>
          <w:p w14:paraId="22C9CA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2766" w:type="dxa"/>
            <w:noWrap w:val="0"/>
            <w:vAlign w:val="top"/>
          </w:tcPr>
          <w:p w14:paraId="536D99D7">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3.7%</w:t>
            </w:r>
          </w:p>
        </w:tc>
      </w:tr>
      <w:tr w14:paraId="2FA47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ABDF9B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工作年限跨度</w:t>
            </w:r>
          </w:p>
        </w:tc>
        <w:tc>
          <w:tcPr>
            <w:tcW w:w="2765" w:type="dxa"/>
            <w:noWrap w:val="0"/>
            <w:vAlign w:val="top"/>
          </w:tcPr>
          <w:p w14:paraId="32D91A66">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9</w:t>
            </w:r>
            <w:r>
              <w:rPr>
                <w:rFonts w:hint="eastAsia" w:ascii="仿宋" w:hAnsi="仿宋" w:eastAsia="仿宋" w:cs="Calibri"/>
                <w:kern w:val="0"/>
                <w:sz w:val="24"/>
                <w:szCs w:val="24"/>
                <w:lang w:eastAsia="zh-CN"/>
              </w:rPr>
              <w:t>-5</w:t>
            </w:r>
            <w:r>
              <w:rPr>
                <w:rFonts w:hint="eastAsia" w:ascii="仿宋" w:hAnsi="仿宋" w:eastAsia="仿宋" w:cs="Calibri"/>
                <w:kern w:val="0"/>
                <w:sz w:val="24"/>
                <w:szCs w:val="24"/>
                <w:lang w:val="en-US" w:eastAsia="zh-CN"/>
              </w:rPr>
              <w:t>5</w:t>
            </w:r>
            <w:r>
              <w:rPr>
                <w:rFonts w:hint="eastAsia" w:ascii="仿宋" w:hAnsi="仿宋" w:eastAsia="仿宋" w:cs="Calibri"/>
                <w:kern w:val="0"/>
                <w:sz w:val="24"/>
                <w:szCs w:val="24"/>
                <w:lang w:eastAsia="zh-CN"/>
              </w:rPr>
              <w:t>年</w:t>
            </w:r>
          </w:p>
        </w:tc>
        <w:tc>
          <w:tcPr>
            <w:tcW w:w="2766" w:type="dxa"/>
            <w:noWrap w:val="0"/>
            <w:vAlign w:val="top"/>
          </w:tcPr>
          <w:p w14:paraId="4D92B570">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平均工作年限</w:t>
            </w:r>
            <w:r>
              <w:rPr>
                <w:rFonts w:hint="eastAsia" w:ascii="仿宋" w:hAnsi="仿宋" w:eastAsia="仿宋" w:cs="Calibri"/>
                <w:kern w:val="0"/>
                <w:sz w:val="24"/>
                <w:szCs w:val="24"/>
                <w:lang w:val="en-US" w:eastAsia="zh-CN"/>
              </w:rPr>
              <w:t>30.37</w:t>
            </w:r>
            <w:r>
              <w:rPr>
                <w:rFonts w:hint="eastAsia" w:ascii="仿宋" w:hAnsi="仿宋" w:eastAsia="仿宋" w:cs="Calibri"/>
                <w:kern w:val="0"/>
                <w:sz w:val="24"/>
                <w:szCs w:val="24"/>
                <w:lang w:eastAsia="zh-CN"/>
              </w:rPr>
              <w:t>年</w:t>
            </w:r>
          </w:p>
        </w:tc>
      </w:tr>
    </w:tbl>
    <w:p w14:paraId="084C811B">
      <w:pPr>
        <w:widowControl/>
        <w:spacing w:after="0" w:line="400" w:lineRule="exact"/>
        <w:ind w:firstLine="480" w:firstLineChars="200"/>
        <w:rPr>
          <w:rFonts w:hint="eastAsia" w:ascii="宋体" w:hAnsi="宋体" w:eastAsia="宋体" w:cs="Calibri"/>
          <w:kern w:val="0"/>
          <w:sz w:val="21"/>
          <w:szCs w:val="21"/>
        </w:rPr>
      </w:pPr>
      <w:r>
        <w:rPr>
          <w:rFonts w:hint="eastAsia" w:ascii="仿宋" w:hAnsi="仿宋" w:eastAsia="仿宋" w:cs="Calibri"/>
          <w:bCs/>
          <w:kern w:val="0"/>
          <w:sz w:val="24"/>
          <w:szCs w:val="24"/>
          <w:lang w:eastAsia="zh-CN"/>
        </w:rPr>
        <w:t>综上，本次咨询专家权威程度高、地域代表性强、积极程度高，咨询结果可信度高。</w:t>
      </w:r>
    </w:p>
    <w:p w14:paraId="061DD2D3">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b/>
          <w:bCs/>
          <w:kern w:val="0"/>
          <w:sz w:val="24"/>
          <w:szCs w:val="24"/>
        </w:rPr>
        <w:t>三、专家调查问卷统计结果</w:t>
      </w:r>
    </w:p>
    <w:p w14:paraId="142460FF">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1评分方法</w:t>
      </w:r>
    </w:p>
    <w:p w14:paraId="10D07D86">
      <w:pPr>
        <w:autoSpaceDE w:val="0"/>
        <w:autoSpaceDN w:val="0"/>
        <w:adjustRightInd w:val="0"/>
        <w:spacing w:after="0" w:line="400" w:lineRule="exact"/>
        <w:ind w:firstLine="480" w:firstLineChars="200"/>
        <w:rPr>
          <w:rFonts w:hint="eastAsia" w:ascii="宋体" w:hAnsi="宋体" w:eastAsia="宋体" w:cs="黑体"/>
          <w:kern w:val="0"/>
          <w:sz w:val="21"/>
          <w:szCs w:val="21"/>
        </w:rPr>
      </w:pPr>
      <w:r>
        <w:rPr>
          <w:rFonts w:hint="eastAsia" w:ascii="仿宋" w:hAnsi="仿宋" w:eastAsia="仿宋" w:cs="Calibri"/>
          <w:bCs/>
          <w:kern w:val="0"/>
          <w:sz w:val="24"/>
          <w:szCs w:val="24"/>
          <w:lang w:eastAsia="zh-CN"/>
        </w:rPr>
        <w:t>问卷应用Excel表进行每一条目数据的整理与统计处理，计算专家意见的集中程度和协调程度，采用均值</w:t>
      </w:r>
      <w:r>
        <w:rPr>
          <w:rFonts w:hint="eastAsia" w:ascii="仿宋" w:hAnsi="仿宋" w:eastAsia="仿宋" w:cs="Calibri"/>
          <w:kern w:val="0"/>
          <w:sz w:val="24"/>
          <w:szCs w:val="24"/>
        </w:rPr>
        <w:t>（</w:t>
      </w:r>
      <w:r>
        <w:rPr>
          <w:rFonts w:ascii="仿宋" w:hAnsi="仿宋" w:eastAsia="仿宋"/>
          <w:b/>
          <w:position w:val="-6"/>
          <w:sz w:val="24"/>
          <w:szCs w:val="24"/>
        </w:rPr>
        <w:object>
          <v:shape id="_x0000_i1025" o:spt="75" type="#_x0000_t75" style="height:18pt;width:12pt;" o:ole="t" filled="f" o:preferrelative="t" stroked="f" coordsize="21600,21600">
            <v:path/>
            <v:fill on="f" focussize="0,0"/>
            <v:stroke on="f"/>
            <v:imagedata r:id="rId10" o:title=""/>
            <o:lock v:ext="edit" aspectratio="t"/>
            <w10:wrap type="none"/>
            <w10:anchorlock/>
          </v:shape>
          <o:OLEObject Type="Embed" ProgID="Equation.3" ShapeID="_x0000_i1025" DrawAspect="Content" ObjectID="_1468075725" r:id="rId9">
            <o:LockedField>false</o:LockedField>
          </o:OLEObject>
        </w:object>
      </w:r>
      <w:r>
        <w:rPr>
          <w:rFonts w:hint="eastAsia" w:ascii="仿宋" w:hAnsi="仿宋" w:eastAsia="仿宋" w:cs="Calibri"/>
          <w:kern w:val="0"/>
          <w:sz w:val="24"/>
          <w:szCs w:val="24"/>
        </w:rPr>
        <w:t>）</w:t>
      </w:r>
      <w:r>
        <w:rPr>
          <w:rFonts w:hint="eastAsia" w:ascii="仿宋" w:hAnsi="仿宋" w:eastAsia="仿宋" w:cs="Calibri"/>
          <w:bCs/>
          <w:kern w:val="0"/>
          <w:sz w:val="24"/>
          <w:szCs w:val="24"/>
          <w:lang w:eastAsia="zh-CN"/>
        </w:rPr>
        <w:t>、不重要百分比（R）、等级和（S）、变异系数（CV）等指标进行相关统计分析。</w:t>
      </w:r>
    </w:p>
    <w:p w14:paraId="184FC8C3">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1.1指标含义及计算方法</w:t>
      </w:r>
    </w:p>
    <w:p w14:paraId="0C904084">
      <w:pPr>
        <w:widowControl/>
        <w:spacing w:line="400" w:lineRule="exact"/>
        <w:jc w:val="left"/>
        <w:rPr>
          <w:rFonts w:hint="eastAsia" w:ascii="仿宋" w:hAnsi="仿宋" w:eastAsia="仿宋" w:cs="Calibri"/>
          <w:b/>
          <w:bCs/>
          <w:kern w:val="0"/>
          <w:sz w:val="24"/>
          <w:szCs w:val="24"/>
        </w:rPr>
      </w:pPr>
      <w:r>
        <w:rPr>
          <w:rFonts w:hint="eastAsia" w:ascii="仿宋" w:hAnsi="仿宋" w:eastAsia="仿宋" w:cs="Calibri"/>
          <w:b/>
          <w:bCs/>
          <w:kern w:val="0"/>
          <w:sz w:val="24"/>
          <w:szCs w:val="24"/>
        </w:rPr>
        <w:t>1评分方法</w:t>
      </w:r>
    </w:p>
    <w:p w14:paraId="23E64648">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Calibri"/>
          <w:kern w:val="0"/>
          <w:sz w:val="24"/>
          <w:szCs w:val="24"/>
        </w:rPr>
        <w:t>问卷应用</w:t>
      </w:r>
      <w:r>
        <w:rPr>
          <w:rFonts w:ascii="仿宋" w:hAnsi="仿宋" w:eastAsia="仿宋" w:cs="Calibri"/>
          <w:kern w:val="0"/>
          <w:sz w:val="24"/>
          <w:szCs w:val="24"/>
        </w:rPr>
        <w:t>Excel</w:t>
      </w:r>
      <w:r>
        <w:rPr>
          <w:rFonts w:hint="eastAsia" w:ascii="仿宋" w:hAnsi="仿宋" w:eastAsia="仿宋" w:cs="Calibri"/>
          <w:kern w:val="0"/>
          <w:sz w:val="24"/>
          <w:szCs w:val="24"/>
        </w:rPr>
        <w:t>表进行每一条目数据的整理与统计处理，计算专家意见的集中程度和协调程度，采用均值（</w:t>
      </w:r>
      <w:r>
        <w:rPr>
          <w:rFonts w:ascii="仿宋" w:hAnsi="仿宋" w:eastAsia="仿宋"/>
          <w:b/>
          <w:position w:val="-6"/>
          <w:sz w:val="24"/>
          <w:szCs w:val="24"/>
        </w:rPr>
        <w:object>
          <v:shape id="_x0000_i1143" o:spt="75" type="#_x0000_t75" style="height:18pt;width:12pt;" o:ole="t" filled="f" o:preferrelative="t" stroked="f" coordsize="21600,21600">
            <v:path/>
            <v:fill on="f" focussize="0,0"/>
            <v:stroke on="f"/>
            <v:imagedata r:id="rId10" o:title=""/>
            <o:lock v:ext="edit" aspectratio="t"/>
            <w10:wrap type="none"/>
            <w10:anchorlock/>
          </v:shape>
          <o:OLEObject Type="Embed" ProgID="Equation.3" ShapeID="_x0000_i1143" DrawAspect="Content" ObjectID="_1468075726" r:id="rId11">
            <o:LockedField>false</o:LockedField>
          </o:OLEObject>
        </w:object>
      </w:r>
      <w:r>
        <w:rPr>
          <w:rFonts w:hint="eastAsia" w:ascii="仿宋" w:hAnsi="仿宋" w:eastAsia="仿宋" w:cs="Calibri"/>
          <w:kern w:val="0"/>
          <w:sz w:val="24"/>
          <w:szCs w:val="24"/>
        </w:rPr>
        <w:t>）、不重要百分比（</w:t>
      </w:r>
      <w:r>
        <w:rPr>
          <w:rFonts w:ascii="仿宋" w:hAnsi="仿宋" w:eastAsia="仿宋" w:cs="Calibri"/>
          <w:kern w:val="0"/>
          <w:sz w:val="24"/>
          <w:szCs w:val="24"/>
        </w:rPr>
        <w:t>R</w:t>
      </w:r>
      <w:r>
        <w:rPr>
          <w:rFonts w:hint="eastAsia" w:ascii="仿宋" w:hAnsi="仿宋" w:eastAsia="仿宋" w:cs="Calibri"/>
          <w:kern w:val="0"/>
          <w:sz w:val="24"/>
          <w:szCs w:val="24"/>
        </w:rPr>
        <w:t>）、等级和（</w:t>
      </w:r>
      <w:r>
        <w:rPr>
          <w:rFonts w:ascii="仿宋" w:hAnsi="仿宋" w:eastAsia="仿宋" w:cs="Calibri"/>
          <w:kern w:val="0"/>
          <w:sz w:val="24"/>
          <w:szCs w:val="24"/>
        </w:rPr>
        <w:t>S</w:t>
      </w:r>
      <w:r>
        <w:rPr>
          <w:rFonts w:hint="eastAsia" w:ascii="仿宋" w:hAnsi="仿宋" w:eastAsia="仿宋" w:cs="Calibri"/>
          <w:kern w:val="0"/>
          <w:sz w:val="24"/>
          <w:szCs w:val="24"/>
        </w:rPr>
        <w:t>）、变异系数（</w:t>
      </w:r>
      <w:r>
        <w:rPr>
          <w:rFonts w:ascii="仿宋" w:hAnsi="仿宋" w:eastAsia="仿宋" w:cs="Calibri"/>
          <w:kern w:val="0"/>
          <w:sz w:val="24"/>
          <w:szCs w:val="24"/>
        </w:rPr>
        <w:t>CV</w:t>
      </w:r>
      <w:r>
        <w:rPr>
          <w:rFonts w:hint="eastAsia" w:ascii="仿宋" w:hAnsi="仿宋" w:eastAsia="仿宋" w:cs="Calibri"/>
          <w:kern w:val="0"/>
          <w:sz w:val="24"/>
          <w:szCs w:val="24"/>
        </w:rPr>
        <w:t>）等指标进行相关统计分析。</w:t>
      </w:r>
    </w:p>
    <w:p w14:paraId="2C063BCD">
      <w:pPr>
        <w:tabs>
          <w:tab w:val="left" w:pos="776"/>
        </w:tabs>
        <w:spacing w:line="400" w:lineRule="exact"/>
        <w:rPr>
          <w:rFonts w:hint="eastAsia" w:ascii="仿宋" w:hAnsi="仿宋" w:eastAsia="仿宋"/>
          <w:b/>
          <w:sz w:val="24"/>
          <w:szCs w:val="24"/>
        </w:rPr>
      </w:pPr>
      <w:r>
        <w:rPr>
          <w:rFonts w:hint="eastAsia" w:ascii="仿宋" w:hAnsi="仿宋" w:eastAsia="仿宋"/>
          <w:b/>
          <w:sz w:val="24"/>
          <w:szCs w:val="24"/>
        </w:rPr>
        <w:t>1.1指标含义及计算方法</w:t>
      </w:r>
    </w:p>
    <w:p w14:paraId="4DBDA009">
      <w:pPr>
        <w:tabs>
          <w:tab w:val="left" w:pos="776"/>
        </w:tabs>
        <w:spacing w:line="400" w:lineRule="exact"/>
        <w:rPr>
          <w:rFonts w:hint="eastAsia" w:ascii="仿宋" w:hAnsi="仿宋" w:eastAsia="仿宋"/>
          <w:sz w:val="24"/>
          <w:szCs w:val="24"/>
        </w:rPr>
      </w:pPr>
      <w:r>
        <w:rPr>
          <w:rFonts w:hint="eastAsia" w:ascii="仿宋" w:hAnsi="仿宋" w:eastAsia="仿宋"/>
          <w:sz w:val="24"/>
          <w:szCs w:val="24"/>
        </w:rPr>
        <w:t>（1）各项指标赋值出现的频数（</w:t>
      </w:r>
      <w:r>
        <w:rPr>
          <w:rFonts w:ascii="仿宋" w:hAnsi="仿宋" w:eastAsia="仿宋"/>
          <w:sz w:val="24"/>
          <w:szCs w:val="24"/>
        </w:rPr>
        <w:t>f</w:t>
      </w:r>
      <w:r>
        <w:rPr>
          <w:rFonts w:hint="eastAsia" w:ascii="仿宋" w:hAnsi="仿宋" w:eastAsia="仿宋"/>
          <w:sz w:val="24"/>
          <w:szCs w:val="24"/>
        </w:rPr>
        <w:t>）：即专家对各项信息的赋值</w:t>
      </w:r>
      <w:r>
        <w:rPr>
          <w:rFonts w:ascii="仿宋" w:hAnsi="仿宋" w:eastAsia="仿宋"/>
          <w:sz w:val="24"/>
          <w:szCs w:val="24"/>
        </w:rPr>
        <w:t>0</w:t>
      </w:r>
      <w:r>
        <w:rPr>
          <w:rFonts w:hint="eastAsia" w:ascii="仿宋" w:hAnsi="仿宋" w:eastAsia="仿宋"/>
          <w:sz w:val="24"/>
          <w:szCs w:val="24"/>
        </w:rPr>
        <w:t>、</w:t>
      </w:r>
      <w:r>
        <w:rPr>
          <w:rFonts w:ascii="仿宋" w:hAnsi="仿宋" w:eastAsia="仿宋"/>
          <w:sz w:val="24"/>
          <w:szCs w:val="24"/>
        </w:rPr>
        <w:t>1</w:t>
      </w:r>
      <w:r>
        <w:rPr>
          <w:rFonts w:hint="eastAsia" w:ascii="仿宋" w:hAnsi="仿宋" w:eastAsia="仿宋"/>
          <w:sz w:val="24"/>
          <w:szCs w:val="24"/>
        </w:rPr>
        <w:t>出现的次数。在本项研究中，答卷打</w:t>
      </w:r>
      <w:r>
        <w:rPr>
          <w:rFonts w:hint="eastAsia" w:ascii="仿宋" w:hAnsi="仿宋" w:eastAsia="仿宋" w:cs="宋体"/>
          <w:sz w:val="24"/>
          <w:szCs w:val="24"/>
        </w:rPr>
        <w:t>√</w:t>
      </w:r>
      <w:r>
        <w:rPr>
          <w:rFonts w:hint="eastAsia" w:ascii="仿宋" w:hAnsi="仿宋" w:eastAsia="仿宋"/>
          <w:sz w:val="24"/>
          <w:szCs w:val="24"/>
        </w:rPr>
        <w:t>的信息以1分计，未打</w:t>
      </w:r>
      <w:r>
        <w:rPr>
          <w:rFonts w:hint="eastAsia" w:ascii="仿宋" w:hAnsi="仿宋" w:eastAsia="仿宋" w:cs="宋体"/>
          <w:sz w:val="24"/>
          <w:szCs w:val="24"/>
        </w:rPr>
        <w:t>√的</w:t>
      </w:r>
      <w:r>
        <w:rPr>
          <w:rFonts w:hint="eastAsia" w:ascii="仿宋" w:hAnsi="仿宋" w:eastAsia="仿宋"/>
          <w:sz w:val="24"/>
          <w:szCs w:val="24"/>
        </w:rPr>
        <w:t>信息以0分计。</w:t>
      </w:r>
    </w:p>
    <w:p w14:paraId="78E519E0">
      <w:pPr>
        <w:tabs>
          <w:tab w:val="left" w:pos="776"/>
        </w:tabs>
        <w:spacing w:line="400" w:lineRule="exact"/>
        <w:rPr>
          <w:rFonts w:hint="eastAsia" w:ascii="仿宋" w:hAnsi="仿宋" w:eastAsia="仿宋"/>
          <w:sz w:val="24"/>
          <w:szCs w:val="24"/>
        </w:rPr>
      </w:pPr>
      <w:r>
        <w:rPr>
          <w:rFonts w:hint="eastAsia" w:ascii="仿宋" w:hAnsi="仿宋" w:eastAsia="仿宋"/>
          <w:sz w:val="24"/>
          <w:szCs w:val="24"/>
        </w:rPr>
        <w:t>（2）均值（</w:t>
      </w:r>
      <w:r>
        <w:rPr>
          <w:rFonts w:ascii="仿宋" w:hAnsi="仿宋" w:eastAsia="仿宋"/>
          <w:b/>
          <w:position w:val="-6"/>
          <w:sz w:val="24"/>
          <w:szCs w:val="24"/>
        </w:rPr>
        <w:object>
          <v:shape id="_x0000_i1144" o:spt="75" type="#_x0000_t75" style="height:18pt;width:12pt;" o:ole="t" filled="f" o:preferrelative="t" stroked="f" coordsize="21600,21600">
            <v:path/>
            <v:fill on="f" focussize="0,0"/>
            <v:stroke on="f"/>
            <v:imagedata r:id="rId10" o:title=""/>
            <o:lock v:ext="edit" aspectratio="t"/>
            <w10:wrap type="none"/>
            <w10:anchorlock/>
          </v:shape>
          <o:OLEObject Type="Embed" ProgID="Equation.3" ShapeID="_x0000_i1144" DrawAspect="Content" ObjectID="_1468075727" r:id="rId12">
            <o:LockedField>false</o:LockedField>
          </o:OLEObject>
        </w:object>
      </w:r>
      <w:r>
        <w:rPr>
          <w:rFonts w:hint="eastAsia" w:ascii="仿宋" w:hAnsi="仿宋" w:eastAsia="仿宋"/>
          <w:sz w:val="24"/>
          <w:szCs w:val="24"/>
        </w:rPr>
        <w:t>）的计算方法：即计数对象得分的平均值。</w:t>
      </w:r>
      <w:r>
        <w:rPr>
          <w:rFonts w:ascii="仿宋" w:hAnsi="仿宋" w:eastAsia="仿宋"/>
          <w:position w:val="-10"/>
          <w:sz w:val="24"/>
          <w:szCs w:val="24"/>
        </w:rPr>
        <w:object>
          <v:shape id="_x0000_i1145" o:spt="75" type="#_x0000_t75" style="height:18pt;width:12pt;" o:ole="t" filled="f" o:preferrelative="t" stroked="f" coordsize="21600,21600">
            <v:path/>
            <v:fill on="f" focussize="0,0"/>
            <v:stroke on="f"/>
            <v:imagedata r:id="rId14" o:title=""/>
            <o:lock v:ext="edit" aspectratio="t"/>
            <w10:wrap type="none"/>
            <w10:anchorlock/>
          </v:shape>
          <o:OLEObject Type="Embed" ProgID="Equation.3" ShapeID="_x0000_i1145" DrawAspect="Content" ObjectID="_1468075728" r:id="rId13">
            <o:LockedField>false</o:LockedField>
          </o:OLEObject>
        </w:object>
      </w:r>
    </w:p>
    <w:p w14:paraId="77BF4368">
      <w:pPr>
        <w:spacing w:line="400" w:lineRule="exact"/>
        <w:rPr>
          <w:rFonts w:hint="eastAsia" w:ascii="仿宋" w:hAnsi="仿宋" w:eastAsia="仿宋"/>
          <w:sz w:val="24"/>
          <w:szCs w:val="24"/>
        </w:rPr>
      </w:pPr>
      <w:r>
        <w:rPr>
          <w:rFonts w:hint="eastAsia" w:ascii="仿宋" w:hAnsi="仿宋" w:eastAsia="仿宋" w:cs="宋体"/>
          <w:sz w:val="24"/>
          <w:szCs w:val="24"/>
        </w:rPr>
        <w:t>（3）</w:t>
      </w:r>
      <w:r>
        <w:rPr>
          <w:rFonts w:hint="eastAsia" w:ascii="仿宋" w:hAnsi="仿宋" w:eastAsia="仿宋"/>
          <w:sz w:val="24"/>
          <w:szCs w:val="24"/>
        </w:rPr>
        <w:t>不重要百分比（</w:t>
      </w:r>
      <w:r>
        <w:rPr>
          <w:rFonts w:ascii="仿宋" w:hAnsi="仿宋" w:eastAsia="仿宋"/>
          <w:sz w:val="24"/>
          <w:szCs w:val="24"/>
        </w:rPr>
        <w:t>R</w:t>
      </w:r>
      <w:r>
        <w:rPr>
          <w:rFonts w:hint="eastAsia" w:ascii="仿宋" w:hAnsi="仿宋" w:eastAsia="仿宋"/>
          <w:sz w:val="24"/>
          <w:szCs w:val="24"/>
        </w:rPr>
        <w:t>）：即专家对各项信息赋值为</w:t>
      </w:r>
      <w:r>
        <w:rPr>
          <w:rFonts w:ascii="仿宋" w:hAnsi="仿宋" w:eastAsia="仿宋"/>
          <w:sz w:val="24"/>
          <w:szCs w:val="24"/>
        </w:rPr>
        <w:t>0</w:t>
      </w:r>
      <w:r>
        <w:rPr>
          <w:rFonts w:hint="eastAsia" w:ascii="仿宋" w:hAnsi="仿宋" w:eastAsia="仿宋"/>
          <w:sz w:val="24"/>
          <w:szCs w:val="24"/>
        </w:rPr>
        <w:t>的频数与参评专家总个数的比值。</w:t>
      </w:r>
    </w:p>
    <w:p w14:paraId="351AFAED">
      <w:pPr>
        <w:spacing w:line="360" w:lineRule="auto"/>
        <w:ind w:firstLine="710" w:firstLineChars="296"/>
        <w:rPr>
          <w:rFonts w:hint="eastAsia" w:ascii="仿宋" w:hAnsi="仿宋" w:eastAsia="仿宋"/>
          <w:sz w:val="24"/>
          <w:szCs w:val="24"/>
        </w:rPr>
      </w:pPr>
      <w:r>
        <w:rPr>
          <w:rFonts w:ascii="仿宋" w:hAnsi="仿宋" w:eastAsia="仿宋"/>
          <w:sz w:val="24"/>
          <w:szCs w:val="24"/>
        </w:rPr>
        <w:t>R=</w:t>
      </w:r>
      <w:r>
        <w:rPr>
          <w:rFonts w:ascii="仿宋" w:hAnsi="仿宋" w:eastAsia="仿宋"/>
          <w:position w:val="-26"/>
          <w:sz w:val="24"/>
          <w:szCs w:val="24"/>
        </w:rPr>
        <w:object>
          <v:shape id="_x0000_i1146" o:spt="75" type="#_x0000_t75" style="height:39.25pt;width:121.1pt;" o:ole="t" filled="f" o:preferrelative="t" stroked="f" coordsize="21600,21600">
            <v:path/>
            <v:fill on="f" focussize="0,0"/>
            <v:stroke on="f"/>
            <v:imagedata r:id="rId16" o:title=""/>
            <o:lock v:ext="edit" aspectratio="t"/>
            <w10:wrap type="none"/>
            <w10:anchorlock/>
          </v:shape>
          <o:OLEObject Type="Embed" ProgID="Equation.3" ShapeID="_x0000_i1146" DrawAspect="Content" ObjectID="_1468075729" r:id="rId15">
            <o:LockedField>false</o:LockedField>
          </o:OLEObject>
        </w:object>
      </w:r>
      <w:r>
        <w:rPr>
          <w:rFonts w:hint="eastAsia" w:ascii="仿宋" w:hAnsi="仿宋" w:eastAsia="仿宋"/>
          <w:position w:val="-26"/>
          <w:sz w:val="24"/>
          <w:szCs w:val="24"/>
        </w:rPr>
        <w:t xml:space="preserve">  </w:t>
      </w:r>
      <w:r>
        <w:rPr>
          <w:rFonts w:hint="eastAsia" w:ascii="仿宋" w:hAnsi="仿宋" w:eastAsia="仿宋" w:cs="Arial"/>
          <w:sz w:val="24"/>
          <w:szCs w:val="24"/>
        </w:rPr>
        <w:t>×</w:t>
      </w:r>
      <w:r>
        <w:rPr>
          <w:rFonts w:ascii="仿宋" w:hAnsi="仿宋" w:eastAsia="仿宋" w:cs="Arial"/>
          <w:sz w:val="24"/>
          <w:szCs w:val="24"/>
        </w:rPr>
        <w:t>100</w:t>
      </w:r>
      <w:r>
        <w:rPr>
          <w:rFonts w:hint="eastAsia" w:ascii="仿宋" w:hAnsi="仿宋" w:eastAsia="仿宋" w:cs="Arial"/>
          <w:sz w:val="24"/>
          <w:szCs w:val="24"/>
        </w:rPr>
        <w:t>﹪</w:t>
      </w:r>
      <w:r>
        <w:rPr>
          <w:rFonts w:ascii="仿宋" w:hAnsi="仿宋" w:eastAsia="仿宋"/>
          <w:sz w:val="24"/>
          <w:szCs w:val="24"/>
        </w:rPr>
        <w:t xml:space="preserve">  </w:t>
      </w:r>
    </w:p>
    <w:p w14:paraId="37981EC7">
      <w:pPr>
        <w:spacing w:line="400" w:lineRule="exact"/>
        <w:rPr>
          <w:rFonts w:hint="eastAsia" w:ascii="仿宋" w:hAnsi="仿宋" w:eastAsia="仿宋" w:cs="Arial"/>
          <w:sz w:val="24"/>
          <w:szCs w:val="24"/>
        </w:rPr>
      </w:pPr>
      <w:r>
        <w:rPr>
          <w:rFonts w:hint="eastAsia" w:ascii="仿宋" w:hAnsi="仿宋" w:eastAsia="仿宋" w:cs="宋体"/>
          <w:sz w:val="24"/>
          <w:szCs w:val="24"/>
        </w:rPr>
        <w:t>（4）</w:t>
      </w:r>
      <w:r>
        <w:rPr>
          <w:rFonts w:hint="eastAsia" w:ascii="仿宋" w:hAnsi="仿宋" w:eastAsia="仿宋"/>
          <w:sz w:val="24"/>
          <w:szCs w:val="24"/>
        </w:rPr>
        <w:t>等级和（</w:t>
      </w:r>
      <w:r>
        <w:rPr>
          <w:rFonts w:ascii="仿宋" w:hAnsi="仿宋" w:eastAsia="仿宋"/>
          <w:sz w:val="24"/>
          <w:szCs w:val="24"/>
        </w:rPr>
        <w:t>S</w:t>
      </w:r>
      <w:r>
        <w:rPr>
          <w:rFonts w:hint="eastAsia" w:ascii="仿宋" w:hAnsi="仿宋" w:eastAsia="仿宋"/>
          <w:sz w:val="24"/>
          <w:szCs w:val="24"/>
        </w:rPr>
        <w:t>）：即为专家对各项信息的赋值的代数和。</w:t>
      </w:r>
    </w:p>
    <w:p w14:paraId="7EF86CEC">
      <w:pPr>
        <w:spacing w:line="360" w:lineRule="auto"/>
        <w:rPr>
          <w:rFonts w:hint="eastAsia" w:ascii="仿宋" w:hAnsi="仿宋" w:eastAsia="仿宋" w:cs="Arial"/>
          <w:sz w:val="24"/>
          <w:szCs w:val="24"/>
        </w:rPr>
      </w:pPr>
      <w:r>
        <w:rPr>
          <w:rFonts w:hint="eastAsia" w:ascii="仿宋" w:hAnsi="仿宋" w:eastAsia="仿宋" w:cs="宋体"/>
          <w:sz w:val="24"/>
          <w:szCs w:val="24"/>
        </w:rPr>
        <w:t>（5）</w:t>
      </w:r>
      <w:r>
        <w:rPr>
          <w:rFonts w:hint="eastAsia" w:ascii="仿宋" w:hAnsi="仿宋" w:eastAsia="仿宋" w:cs="Arial"/>
          <w:sz w:val="24"/>
          <w:szCs w:val="24"/>
        </w:rPr>
        <w:t>变异系数（</w:t>
      </w:r>
      <w:r>
        <w:rPr>
          <w:rFonts w:ascii="仿宋" w:hAnsi="仿宋" w:eastAsia="仿宋" w:cs="Arial"/>
          <w:bCs/>
          <w:sz w:val="24"/>
          <w:szCs w:val="24"/>
        </w:rPr>
        <w:t>CV</w:t>
      </w:r>
      <w:r>
        <w:rPr>
          <w:rFonts w:hint="eastAsia" w:ascii="仿宋" w:hAnsi="仿宋" w:eastAsia="仿宋" w:cs="Arial"/>
          <w:sz w:val="24"/>
          <w:szCs w:val="24"/>
        </w:rPr>
        <w:t>）：多用于观察指标单位不同时，或均数相差较大时，它实质上是一个相对变异指标。计算公式：</w:t>
      </w:r>
      <w:r>
        <w:rPr>
          <w:rFonts w:ascii="仿宋" w:hAnsi="仿宋" w:eastAsia="仿宋" w:cs="Arial"/>
          <w:sz w:val="24"/>
          <w:szCs w:val="24"/>
        </w:rPr>
        <w:t>CV=</w:t>
      </w:r>
      <w:r>
        <w:rPr>
          <w:rFonts w:ascii="仿宋" w:hAnsi="仿宋" w:eastAsia="仿宋" w:cs="Arial"/>
          <w:position w:val="-26"/>
          <w:sz w:val="24"/>
          <w:szCs w:val="24"/>
        </w:rPr>
        <w:object>
          <v:shape id="_x0000_i1147" o:spt="75" type="#_x0000_t75" style="height:30pt;width:12pt;" o:ole="t" filled="f" o:preferrelative="t" stroked="f" coordsize="21600,21600">
            <v:path/>
            <v:fill on="f" focussize="0,0"/>
            <v:stroke on="f"/>
            <v:imagedata r:id="rId18" o:title=""/>
            <o:lock v:ext="edit" aspectratio="t"/>
            <w10:wrap type="none"/>
            <w10:anchorlock/>
          </v:shape>
          <o:OLEObject Type="Embed" ProgID="Equation.3" ShapeID="_x0000_i1147" DrawAspect="Content" ObjectID="_1468075730" r:id="rId17">
            <o:LockedField>false</o:LockedField>
          </o:OLEObject>
        </w:object>
      </w:r>
      <w:r>
        <w:rPr>
          <w:rFonts w:hint="eastAsia" w:ascii="仿宋" w:hAnsi="仿宋" w:eastAsia="仿宋" w:cs="Arial"/>
          <w:sz w:val="24"/>
          <w:szCs w:val="24"/>
        </w:rPr>
        <w:t>×</w:t>
      </w:r>
      <w:r>
        <w:rPr>
          <w:rFonts w:ascii="仿宋" w:hAnsi="仿宋" w:eastAsia="仿宋" w:cs="Arial"/>
          <w:sz w:val="24"/>
          <w:szCs w:val="24"/>
        </w:rPr>
        <w:t>100</w:t>
      </w:r>
      <w:r>
        <w:rPr>
          <w:rFonts w:hint="eastAsia" w:ascii="仿宋" w:hAnsi="仿宋" w:eastAsia="仿宋" w:cs="Arial"/>
          <w:sz w:val="24"/>
          <w:szCs w:val="24"/>
        </w:rPr>
        <w:t>﹪</w:t>
      </w:r>
      <w:r>
        <w:rPr>
          <w:rFonts w:ascii="仿宋" w:hAnsi="仿宋" w:eastAsia="仿宋" w:cs="Arial"/>
          <w:sz w:val="24"/>
          <w:szCs w:val="24"/>
        </w:rPr>
        <w:t>(S</w:t>
      </w:r>
      <w:r>
        <w:rPr>
          <w:rFonts w:hint="eastAsia" w:ascii="仿宋" w:hAnsi="仿宋" w:eastAsia="仿宋" w:cs="Arial"/>
          <w:sz w:val="24"/>
          <w:szCs w:val="24"/>
        </w:rPr>
        <w:t>代表标准差，</w:t>
      </w:r>
      <w:r>
        <w:rPr>
          <w:rFonts w:ascii="仿宋" w:hAnsi="仿宋" w:eastAsia="仿宋" w:cs="Arial"/>
          <w:position w:val="-6"/>
          <w:sz w:val="24"/>
          <w:szCs w:val="24"/>
        </w:rPr>
        <w:object>
          <v:shape id="_x0000_i1148" o:spt="75" type="#_x0000_t75" style="height:18pt;width:12pt;" o:ole="t" filled="f" o:preferrelative="t" stroked="f" coordsize="21600,21600">
            <v:path/>
            <v:fill on="f" focussize="0,0"/>
            <v:stroke on="f"/>
            <v:imagedata r:id="rId20" o:title=""/>
            <o:lock v:ext="edit" aspectratio="t"/>
            <w10:wrap type="none"/>
            <w10:anchorlock/>
          </v:shape>
          <o:OLEObject Type="Embed" ProgID="Equation.3" ShapeID="_x0000_i1148" DrawAspect="Content" ObjectID="_1468075731" r:id="rId19">
            <o:LockedField>false</o:LockedField>
          </o:OLEObject>
        </w:object>
      </w:r>
      <w:r>
        <w:rPr>
          <w:rFonts w:hint="eastAsia" w:ascii="仿宋" w:hAnsi="仿宋" w:eastAsia="仿宋" w:cs="Arial"/>
          <w:sz w:val="24"/>
          <w:szCs w:val="24"/>
        </w:rPr>
        <w:t>代表均数</w:t>
      </w:r>
      <w:r>
        <w:rPr>
          <w:rFonts w:ascii="仿宋" w:hAnsi="仿宋" w:eastAsia="仿宋" w:cs="Arial"/>
          <w:sz w:val="24"/>
          <w:szCs w:val="24"/>
        </w:rPr>
        <w:t>)</w:t>
      </w:r>
    </w:p>
    <w:p w14:paraId="45B72E94">
      <w:pPr>
        <w:spacing w:line="360" w:lineRule="auto"/>
        <w:rPr>
          <w:rFonts w:hint="eastAsia" w:ascii="仿宋" w:hAnsi="仿宋" w:eastAsia="仿宋" w:cs="Arial"/>
          <w:sz w:val="24"/>
          <w:szCs w:val="24"/>
        </w:rPr>
      </w:pPr>
      <w:r>
        <w:rPr>
          <w:rFonts w:hint="eastAsia" w:ascii="仿宋" w:hAnsi="仿宋" w:eastAsia="仿宋"/>
          <w:sz w:val="24"/>
          <w:szCs w:val="24"/>
        </w:rPr>
        <w:t>（5）标准差（</w:t>
      </w:r>
      <w:r>
        <w:rPr>
          <w:rFonts w:hint="eastAsia" w:ascii="仿宋" w:hAnsi="仿宋" w:eastAsia="仿宋" w:cs="宋体"/>
          <w:bCs/>
          <w:sz w:val="24"/>
          <w:szCs w:val="24"/>
        </w:rPr>
        <w:t>S</w:t>
      </w:r>
      <w:r>
        <w:rPr>
          <w:rFonts w:hint="eastAsia" w:ascii="仿宋" w:hAnsi="仿宋" w:eastAsia="仿宋"/>
          <w:sz w:val="24"/>
          <w:szCs w:val="24"/>
        </w:rPr>
        <w:t>）：是方差的正平方根，其量纲与原变量值相同。方差也称均方差，反映一组数据的平均离散水平。计算公式如下：</w:t>
      </w:r>
    </w:p>
    <w:p w14:paraId="0DA6D7B2">
      <w:pPr>
        <w:spacing w:line="360" w:lineRule="auto"/>
        <w:ind w:firstLine="480" w:firstLineChars="200"/>
        <w:rPr>
          <w:rFonts w:hint="eastAsia" w:ascii="仿宋" w:hAnsi="仿宋" w:eastAsia="仿宋" w:cs="Arial"/>
          <w:sz w:val="24"/>
          <w:szCs w:val="24"/>
        </w:rPr>
      </w:pPr>
      <w:r>
        <w:rPr>
          <w:rFonts w:hint="eastAsia" w:ascii="仿宋" w:hAnsi="仿宋" w:eastAsia="仿宋" w:cs="Arial"/>
          <w:sz w:val="24"/>
          <w:szCs w:val="24"/>
        </w:rPr>
        <w:t xml:space="preserve">    </w:t>
      </w:r>
      <w:r>
        <w:rPr>
          <w:rFonts w:ascii="仿宋" w:hAnsi="仿宋" w:eastAsia="仿宋" w:cs="Arial"/>
          <w:sz w:val="24"/>
          <w:szCs w:val="24"/>
          <w:lang w:eastAsia="zh-Hans"/>
        </w:rPr>
        <w:drawing>
          <wp:inline distT="0" distB="0" distL="114300" distR="114300">
            <wp:extent cx="1828800" cy="676910"/>
            <wp:effectExtent l="0" t="0" r="0" b="8890"/>
            <wp:docPr id="2"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5"/>
                    <pic:cNvPicPr>
                      <a:picLocks noChangeAspect="1"/>
                    </pic:cNvPicPr>
                  </pic:nvPicPr>
                  <pic:blipFill>
                    <a:blip r:embed="rId21"/>
                    <a:stretch>
                      <a:fillRect/>
                    </a:stretch>
                  </pic:blipFill>
                  <pic:spPr>
                    <a:xfrm>
                      <a:off x="0" y="0"/>
                      <a:ext cx="1828800" cy="676910"/>
                    </a:xfrm>
                    <a:prstGeom prst="rect">
                      <a:avLst/>
                    </a:prstGeom>
                    <a:noFill/>
                    <a:ln>
                      <a:noFill/>
                    </a:ln>
                  </pic:spPr>
                </pic:pic>
              </a:graphicData>
            </a:graphic>
          </wp:inline>
        </w:drawing>
      </w:r>
    </w:p>
    <w:p w14:paraId="5319DDCA">
      <w:pPr>
        <w:spacing w:line="400" w:lineRule="exact"/>
        <w:rPr>
          <w:rFonts w:hint="eastAsia" w:ascii="仿宋" w:hAnsi="仿宋" w:eastAsia="仿宋"/>
          <w:b/>
          <w:sz w:val="24"/>
          <w:szCs w:val="24"/>
        </w:rPr>
      </w:pPr>
      <w:r>
        <w:rPr>
          <w:rFonts w:hint="eastAsia" w:ascii="仿宋" w:hAnsi="仿宋" w:eastAsia="仿宋"/>
          <w:b/>
          <w:sz w:val="24"/>
          <w:szCs w:val="24"/>
        </w:rPr>
        <w:t>1.2统计结果处理方案</w:t>
      </w:r>
    </w:p>
    <w:p w14:paraId="7C0DAB91">
      <w:pPr>
        <w:spacing w:line="400" w:lineRule="exact"/>
        <w:ind w:firstLine="480" w:firstLineChars="200"/>
        <w:rPr>
          <w:rFonts w:hint="eastAsia" w:ascii="仿宋" w:hAnsi="仿宋" w:eastAsia="仿宋"/>
          <w:b/>
          <w:sz w:val="24"/>
          <w:szCs w:val="24"/>
        </w:rPr>
      </w:pPr>
      <w:r>
        <w:rPr>
          <w:rFonts w:hint="eastAsia" w:ascii="仿宋" w:hAnsi="仿宋" w:eastAsia="仿宋" w:cs="黑体"/>
          <w:kern w:val="0"/>
          <w:sz w:val="24"/>
          <w:szCs w:val="24"/>
        </w:rPr>
        <w:t>统计结果原则上保留超过</w:t>
      </w:r>
      <w:r>
        <w:rPr>
          <w:rFonts w:ascii="仿宋" w:hAnsi="仿宋" w:eastAsia="仿宋" w:cs="黑体"/>
          <w:kern w:val="0"/>
          <w:sz w:val="24"/>
          <w:szCs w:val="24"/>
        </w:rPr>
        <w:t>50%</w:t>
      </w:r>
      <w:r>
        <w:rPr>
          <w:rFonts w:hint="eastAsia" w:ascii="仿宋" w:hAnsi="仿宋" w:eastAsia="仿宋" w:cs="黑体"/>
          <w:kern w:val="0"/>
          <w:sz w:val="24"/>
          <w:szCs w:val="24"/>
        </w:rPr>
        <w:t>的专家认可的选项内容，即等级和大于答卷总数一半者，作为直接接受修改意见的条目选项。</w:t>
      </w:r>
    </w:p>
    <w:p w14:paraId="010E03DA">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将等级和没有大于答卷总数一半的条目（尤其是有多个选项的条目较易于出现这种情况），如实记录每个条目各选项得分的均值数，准备提交专家论证会，作为需重点讨论的问题。</w:t>
      </w:r>
    </w:p>
    <w:p w14:paraId="76212EAA">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 问卷调查结果</w:t>
      </w:r>
    </w:p>
    <w:p w14:paraId="3F02C893">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w:t>
      </w:r>
      <w:r>
        <w:rPr>
          <w:rFonts w:hint="eastAsia" w:ascii="仿宋" w:hAnsi="仿宋" w:eastAsia="仿宋" w:cs="Calibri"/>
          <w:b/>
          <w:kern w:val="0"/>
          <w:sz w:val="24"/>
          <w:szCs w:val="24"/>
          <w:lang w:val="en-US" w:eastAsia="zh-CN"/>
        </w:rPr>
        <w:t>“小儿推拿（Tuina in pediatrics）”定义</w:t>
      </w:r>
      <w:r>
        <w:rPr>
          <w:rFonts w:hint="eastAsia" w:ascii="仿宋" w:hAnsi="仿宋" w:eastAsia="仿宋" w:cs="Calibri"/>
          <w:b/>
          <w:kern w:val="0"/>
          <w:sz w:val="24"/>
          <w:szCs w:val="24"/>
        </w:rPr>
        <w:t>调查结果</w:t>
      </w:r>
    </w:p>
    <w:p w14:paraId="6578BB04">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8 “小儿推拿（Tuina in pediatrics）”定义调查结果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289E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253D2837">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选项</w:t>
            </w:r>
          </w:p>
        </w:tc>
        <w:tc>
          <w:tcPr>
            <w:tcW w:w="0" w:type="auto"/>
            <w:noWrap w:val="0"/>
            <w:vAlign w:val="top"/>
          </w:tcPr>
          <w:p w14:paraId="32BF5429">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object>
                <v:shape id="_x0000_i1109"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09" DrawAspect="Content" ObjectID="_1468075732" r:id="rId22">
                  <o:LockedField>false</o:LockedField>
                </o:OLEObject>
              </w:object>
            </w:r>
          </w:p>
        </w:tc>
        <w:tc>
          <w:tcPr>
            <w:tcW w:w="0" w:type="auto"/>
            <w:noWrap w:val="0"/>
            <w:vAlign w:val="top"/>
          </w:tcPr>
          <w:p w14:paraId="4EEA2ECD">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R</w:t>
            </w:r>
          </w:p>
        </w:tc>
        <w:tc>
          <w:tcPr>
            <w:tcW w:w="0" w:type="auto"/>
            <w:noWrap w:val="0"/>
            <w:vAlign w:val="top"/>
          </w:tcPr>
          <w:p w14:paraId="71E155B7">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S</w:t>
            </w:r>
          </w:p>
        </w:tc>
      </w:tr>
      <w:tr w14:paraId="79A46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39F491E5">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A.</w:t>
            </w:r>
            <w:r>
              <w:rPr>
                <w:rFonts w:hint="eastAsia" w:ascii="仿宋" w:hAnsi="仿宋" w:eastAsia="仿宋" w:cs="Calibri"/>
                <w:kern w:val="0"/>
                <w:sz w:val="24"/>
                <w:szCs w:val="24"/>
                <w:lang w:val="en-US" w:eastAsia="zh-CN"/>
              </w:rPr>
              <w:t>医生通过四诊合参，对儿科疾病进行辨证论治后，由医生或操作者按照推拿处方，用手触及儿童肢体的某些部位和穴位，根据病情的不同采取不同的操作手法以求达到疏通经络、调和气血、平衡阴阳、提升机体自然抗病能力作用的中医技术。</w:t>
            </w:r>
          </w:p>
        </w:tc>
        <w:tc>
          <w:tcPr>
            <w:tcW w:w="0" w:type="auto"/>
            <w:noWrap w:val="0"/>
            <w:vAlign w:val="top"/>
          </w:tcPr>
          <w:p w14:paraId="4C9A1B1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eastAsia="zh-CN"/>
              </w:rPr>
              <w:t>0.</w:t>
            </w:r>
            <w:r>
              <w:rPr>
                <w:rFonts w:hint="eastAsia" w:ascii="仿宋" w:hAnsi="仿宋" w:eastAsia="仿宋" w:cs="Calibri"/>
                <w:kern w:val="0"/>
                <w:sz w:val="24"/>
                <w:szCs w:val="24"/>
                <w:lang w:val="en-US" w:eastAsia="zh-CN"/>
              </w:rPr>
              <w:t>37</w:t>
            </w:r>
          </w:p>
        </w:tc>
        <w:tc>
          <w:tcPr>
            <w:tcW w:w="0" w:type="auto"/>
            <w:noWrap w:val="0"/>
            <w:vAlign w:val="top"/>
          </w:tcPr>
          <w:p w14:paraId="24DF1D68">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62.96</w:t>
            </w:r>
            <w:r>
              <w:rPr>
                <w:rFonts w:hint="eastAsia" w:ascii="仿宋" w:hAnsi="仿宋" w:eastAsia="仿宋" w:cs="Calibri"/>
                <w:kern w:val="0"/>
                <w:sz w:val="24"/>
                <w:szCs w:val="24"/>
                <w:lang w:eastAsia="zh-CN"/>
              </w:rPr>
              <w:t>%</w:t>
            </w:r>
          </w:p>
        </w:tc>
        <w:tc>
          <w:tcPr>
            <w:tcW w:w="0" w:type="auto"/>
            <w:noWrap w:val="0"/>
            <w:vAlign w:val="top"/>
          </w:tcPr>
          <w:p w14:paraId="6202C86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r>
      <w:tr w14:paraId="49B6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3AF73756">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 xml:space="preserve">B.沿用国家标准原文。                     </w:t>
            </w:r>
          </w:p>
        </w:tc>
        <w:tc>
          <w:tcPr>
            <w:tcW w:w="0" w:type="auto"/>
            <w:noWrap w:val="0"/>
            <w:vAlign w:val="top"/>
          </w:tcPr>
          <w:p w14:paraId="645D2CF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eastAsia="zh-CN"/>
              </w:rPr>
              <w:t>0.</w:t>
            </w:r>
            <w:r>
              <w:rPr>
                <w:rFonts w:hint="eastAsia" w:ascii="仿宋" w:hAnsi="仿宋" w:eastAsia="仿宋" w:cs="Calibri"/>
                <w:kern w:val="0"/>
                <w:sz w:val="24"/>
                <w:szCs w:val="24"/>
                <w:lang w:val="en-US" w:eastAsia="zh-CN"/>
              </w:rPr>
              <w:t>22</w:t>
            </w:r>
          </w:p>
        </w:tc>
        <w:tc>
          <w:tcPr>
            <w:tcW w:w="0" w:type="auto"/>
            <w:noWrap w:val="0"/>
            <w:vAlign w:val="top"/>
          </w:tcPr>
          <w:p w14:paraId="18D49760">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77</w:t>
            </w:r>
            <w:r>
              <w:rPr>
                <w:rFonts w:hint="eastAsia" w:ascii="仿宋" w:hAnsi="仿宋" w:eastAsia="仿宋" w:cs="Calibri"/>
                <w:kern w:val="0"/>
                <w:sz w:val="24"/>
                <w:szCs w:val="24"/>
                <w:lang w:eastAsia="zh-CN"/>
              </w:rPr>
              <w:t>.</w:t>
            </w:r>
            <w:r>
              <w:rPr>
                <w:rFonts w:hint="eastAsia" w:ascii="仿宋" w:hAnsi="仿宋" w:eastAsia="仿宋" w:cs="Calibri"/>
                <w:kern w:val="0"/>
                <w:sz w:val="24"/>
                <w:szCs w:val="24"/>
                <w:lang w:val="en-US" w:eastAsia="zh-CN"/>
              </w:rPr>
              <w:t>78</w:t>
            </w:r>
            <w:r>
              <w:rPr>
                <w:rFonts w:hint="eastAsia" w:ascii="仿宋" w:hAnsi="仿宋" w:eastAsia="仿宋" w:cs="Calibri"/>
                <w:kern w:val="0"/>
                <w:sz w:val="24"/>
                <w:szCs w:val="24"/>
                <w:lang w:eastAsia="zh-CN"/>
              </w:rPr>
              <w:t>%</w:t>
            </w:r>
          </w:p>
        </w:tc>
        <w:tc>
          <w:tcPr>
            <w:tcW w:w="0" w:type="auto"/>
            <w:noWrap w:val="0"/>
            <w:vAlign w:val="top"/>
          </w:tcPr>
          <w:p w14:paraId="1BC92308">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6</w:t>
            </w:r>
          </w:p>
        </w:tc>
      </w:tr>
      <w:tr w14:paraId="0F4A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40147682">
            <w:pPr>
              <w:widowControl/>
              <w:spacing w:line="400" w:lineRule="exact"/>
              <w:jc w:val="left"/>
              <w:rPr>
                <w:rFonts w:hint="eastAsia" w:ascii="仿宋" w:hAnsi="仿宋" w:eastAsia="仿宋" w:cs="Calibri"/>
                <w:kern w:val="0"/>
                <w:sz w:val="24"/>
                <w:szCs w:val="24"/>
                <w:lang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综合以上内容</w:t>
            </w:r>
            <w:r>
              <w:rPr>
                <w:rFonts w:hint="eastAsia" w:ascii="仿宋" w:hAnsi="仿宋" w:eastAsia="仿宋" w:cs="Calibri"/>
                <w:kern w:val="0"/>
                <w:sz w:val="24"/>
                <w:szCs w:val="24"/>
                <w:lang w:eastAsia="zh-CN"/>
              </w:rPr>
              <w:t>。</w:t>
            </w:r>
          </w:p>
        </w:tc>
        <w:tc>
          <w:tcPr>
            <w:tcW w:w="0" w:type="auto"/>
            <w:noWrap w:val="0"/>
            <w:vAlign w:val="top"/>
          </w:tcPr>
          <w:p w14:paraId="79727CD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0.37</w:t>
            </w:r>
          </w:p>
        </w:tc>
        <w:tc>
          <w:tcPr>
            <w:tcW w:w="0" w:type="auto"/>
            <w:noWrap w:val="0"/>
            <w:vAlign w:val="top"/>
          </w:tcPr>
          <w:p w14:paraId="32C00FFA">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62.96</w:t>
            </w:r>
            <w:r>
              <w:rPr>
                <w:rFonts w:hint="eastAsia" w:ascii="仿宋" w:hAnsi="仿宋" w:eastAsia="仿宋" w:cs="Calibri"/>
                <w:kern w:val="0"/>
                <w:sz w:val="24"/>
                <w:szCs w:val="24"/>
                <w:lang w:eastAsia="zh-CN"/>
              </w:rPr>
              <w:t>%</w:t>
            </w:r>
          </w:p>
        </w:tc>
        <w:tc>
          <w:tcPr>
            <w:tcW w:w="0" w:type="auto"/>
            <w:noWrap w:val="0"/>
            <w:vAlign w:val="top"/>
          </w:tcPr>
          <w:p w14:paraId="471C90E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r>
    </w:tbl>
    <w:p w14:paraId="1E8B65E6">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w:t>
      </w:r>
      <w:r>
        <w:rPr>
          <w:rFonts w:hint="eastAsia" w:ascii="仿宋" w:hAnsi="仿宋" w:eastAsia="仿宋" w:cs="Calibri"/>
          <w:b/>
          <w:kern w:val="0"/>
          <w:sz w:val="24"/>
          <w:szCs w:val="24"/>
          <w:lang w:val="en-US" w:eastAsia="zh-CN"/>
        </w:rPr>
        <w:t>环境</w:t>
      </w:r>
      <w:r>
        <w:rPr>
          <w:rFonts w:hint="eastAsia" w:ascii="仿宋" w:hAnsi="仿宋" w:eastAsia="仿宋" w:cs="Calibri"/>
          <w:b/>
          <w:kern w:val="0"/>
          <w:sz w:val="24"/>
          <w:szCs w:val="24"/>
        </w:rPr>
        <w:t>调查结果</w:t>
      </w:r>
    </w:p>
    <w:p w14:paraId="4C1B26D1">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9 环境调查结果</w:t>
      </w:r>
    </w:p>
    <w:tbl>
      <w:tblPr>
        <w:tblStyle w:val="81"/>
        <w:tblW w:w="92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4"/>
        <w:gridCol w:w="828"/>
        <w:gridCol w:w="1077"/>
        <w:gridCol w:w="971"/>
      </w:tblGrid>
      <w:tr w14:paraId="1FEE8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334" w:type="dxa"/>
            <w:noWrap w:val="0"/>
            <w:vAlign w:val="top"/>
          </w:tcPr>
          <w:p w14:paraId="32CEB13C">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选项</w:t>
            </w:r>
          </w:p>
        </w:tc>
        <w:tc>
          <w:tcPr>
            <w:tcW w:w="828" w:type="dxa"/>
            <w:noWrap w:val="0"/>
            <w:vAlign w:val="top"/>
          </w:tcPr>
          <w:p w14:paraId="1727B3BF">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object>
                <v:shape id="_x0000_i1110"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10" DrawAspect="Content" ObjectID="_1468075733" r:id="rId23">
                  <o:LockedField>false</o:LockedField>
                </o:OLEObject>
              </w:object>
            </w:r>
          </w:p>
        </w:tc>
        <w:tc>
          <w:tcPr>
            <w:tcW w:w="1077" w:type="dxa"/>
            <w:noWrap w:val="0"/>
            <w:vAlign w:val="top"/>
          </w:tcPr>
          <w:p w14:paraId="03AB4500">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R</w:t>
            </w:r>
          </w:p>
        </w:tc>
        <w:tc>
          <w:tcPr>
            <w:tcW w:w="971" w:type="dxa"/>
            <w:noWrap w:val="0"/>
            <w:vAlign w:val="top"/>
          </w:tcPr>
          <w:p w14:paraId="6AD9D957">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S</w:t>
            </w:r>
          </w:p>
        </w:tc>
      </w:tr>
      <w:tr w14:paraId="3ABC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48D25429">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A.</w:t>
            </w:r>
            <w:r>
              <w:rPr>
                <w:rFonts w:hint="eastAsia" w:ascii="仿宋" w:hAnsi="仿宋" w:eastAsia="仿宋" w:cs="Calibri"/>
                <w:kern w:val="0"/>
                <w:sz w:val="24"/>
                <w:szCs w:val="24"/>
                <w:lang w:val="en-US" w:eastAsia="zh-CN"/>
              </w:rPr>
              <w:t>环境清洁卫生，定期消毒，室内安静，避风、避强光，温度适宜，保持空气流通。</w:t>
            </w:r>
          </w:p>
        </w:tc>
        <w:tc>
          <w:tcPr>
            <w:tcW w:w="828" w:type="dxa"/>
            <w:noWrap w:val="0"/>
            <w:vAlign w:val="top"/>
          </w:tcPr>
          <w:p w14:paraId="002187B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eastAsia="zh-CN"/>
              </w:rPr>
              <w:t>0.</w:t>
            </w:r>
            <w:r>
              <w:rPr>
                <w:rFonts w:hint="eastAsia" w:ascii="仿宋" w:hAnsi="仿宋" w:eastAsia="仿宋" w:cs="Calibri"/>
                <w:kern w:val="0"/>
                <w:sz w:val="24"/>
                <w:szCs w:val="24"/>
                <w:lang w:val="en-US" w:eastAsia="zh-CN"/>
              </w:rPr>
              <w:t>15</w:t>
            </w:r>
          </w:p>
        </w:tc>
        <w:tc>
          <w:tcPr>
            <w:tcW w:w="1077" w:type="dxa"/>
            <w:noWrap w:val="0"/>
            <w:vAlign w:val="top"/>
          </w:tcPr>
          <w:p w14:paraId="6F464ED1">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85</w:t>
            </w:r>
            <w:r>
              <w:rPr>
                <w:rFonts w:hint="eastAsia" w:ascii="仿宋" w:hAnsi="仿宋" w:eastAsia="仿宋" w:cs="Calibri"/>
                <w:kern w:val="0"/>
                <w:sz w:val="24"/>
                <w:szCs w:val="24"/>
                <w:lang w:eastAsia="zh-CN"/>
              </w:rPr>
              <w:t>.</w:t>
            </w:r>
            <w:r>
              <w:rPr>
                <w:rFonts w:hint="eastAsia" w:ascii="仿宋" w:hAnsi="仿宋" w:eastAsia="仿宋" w:cs="Calibri"/>
                <w:kern w:val="0"/>
                <w:sz w:val="24"/>
                <w:szCs w:val="24"/>
                <w:lang w:val="en-US" w:eastAsia="zh-CN"/>
              </w:rPr>
              <w:t>19</w:t>
            </w:r>
            <w:r>
              <w:rPr>
                <w:rFonts w:hint="eastAsia" w:ascii="仿宋" w:hAnsi="仿宋" w:eastAsia="仿宋" w:cs="Calibri"/>
                <w:kern w:val="0"/>
                <w:sz w:val="24"/>
                <w:szCs w:val="24"/>
                <w:lang w:eastAsia="zh-CN"/>
              </w:rPr>
              <w:t>%</w:t>
            </w:r>
          </w:p>
        </w:tc>
        <w:tc>
          <w:tcPr>
            <w:tcW w:w="971" w:type="dxa"/>
            <w:noWrap w:val="0"/>
            <w:vAlign w:val="top"/>
          </w:tcPr>
          <w:p w14:paraId="024B784D">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4</w:t>
            </w:r>
          </w:p>
        </w:tc>
      </w:tr>
      <w:tr w14:paraId="4B60E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76AE3B29">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B.</w:t>
            </w:r>
            <w:r>
              <w:rPr>
                <w:rFonts w:hint="eastAsia" w:ascii="仿宋" w:hAnsi="仿宋" w:eastAsia="仿宋" w:cs="Calibri"/>
                <w:kern w:val="0"/>
                <w:sz w:val="24"/>
                <w:szCs w:val="24"/>
                <w:lang w:val="en-US" w:eastAsia="zh-CN"/>
              </w:rPr>
              <w:t>附件1.推拿治疗期间的消毒要求 推拿治疗期间所需的消毒应按照当地感染控制指南进行，并考虑以下原则：从业者手部的卫生：从业者应在推拿治疗前后清洁和消毒双手和手指。治疗部位卫生：推拿治疗前，穴位、经络及周围区域应清洁完好。材料消毒：与患者直接接触的材料，包括但不限于床单和毛巾，应进行消毒或一次性使用。不直接接触的材料，包括但不限于床垫和枕头，每次使用都应进行卫生维护。治疗区消毒：治疗室、设备和装置应保持干净整洁。</w:t>
            </w:r>
            <w:r>
              <w:rPr>
                <w:rFonts w:hint="eastAsia" w:ascii="仿宋" w:hAnsi="仿宋" w:eastAsia="仿宋" w:cs="Calibri"/>
                <w:kern w:val="0"/>
                <w:sz w:val="24"/>
                <w:szCs w:val="24"/>
                <w:lang w:eastAsia="zh-CN"/>
              </w:rPr>
              <w:t xml:space="preserve"> </w:t>
            </w:r>
          </w:p>
        </w:tc>
        <w:tc>
          <w:tcPr>
            <w:tcW w:w="828" w:type="dxa"/>
            <w:noWrap w:val="0"/>
            <w:vAlign w:val="top"/>
          </w:tcPr>
          <w:p w14:paraId="06E290B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eastAsia="zh-CN"/>
              </w:rPr>
              <w:t>0.2</w:t>
            </w:r>
            <w:r>
              <w:rPr>
                <w:rFonts w:hint="eastAsia" w:ascii="仿宋" w:hAnsi="仿宋" w:eastAsia="仿宋" w:cs="Calibri"/>
                <w:kern w:val="0"/>
                <w:sz w:val="24"/>
                <w:szCs w:val="24"/>
                <w:lang w:val="en-US" w:eastAsia="zh-CN"/>
              </w:rPr>
              <w:t>2</w:t>
            </w:r>
          </w:p>
        </w:tc>
        <w:tc>
          <w:tcPr>
            <w:tcW w:w="1077" w:type="dxa"/>
            <w:noWrap w:val="0"/>
            <w:vAlign w:val="top"/>
          </w:tcPr>
          <w:p w14:paraId="5682734F">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77</w:t>
            </w:r>
            <w:r>
              <w:rPr>
                <w:rFonts w:hint="eastAsia" w:ascii="仿宋" w:hAnsi="仿宋" w:eastAsia="仿宋" w:cs="Calibri"/>
                <w:kern w:val="0"/>
                <w:sz w:val="24"/>
                <w:szCs w:val="24"/>
                <w:lang w:eastAsia="zh-CN"/>
              </w:rPr>
              <w:t>.</w:t>
            </w:r>
            <w:r>
              <w:rPr>
                <w:rFonts w:hint="eastAsia" w:ascii="仿宋" w:hAnsi="仿宋" w:eastAsia="仿宋" w:cs="Calibri"/>
                <w:kern w:val="0"/>
                <w:sz w:val="24"/>
                <w:szCs w:val="24"/>
                <w:lang w:val="en-US" w:eastAsia="zh-CN"/>
              </w:rPr>
              <w:t>78</w:t>
            </w:r>
            <w:r>
              <w:rPr>
                <w:rFonts w:hint="eastAsia" w:ascii="仿宋" w:hAnsi="仿宋" w:eastAsia="仿宋" w:cs="Calibri"/>
                <w:kern w:val="0"/>
                <w:sz w:val="24"/>
                <w:szCs w:val="24"/>
                <w:lang w:eastAsia="zh-CN"/>
              </w:rPr>
              <w:t>%</w:t>
            </w:r>
          </w:p>
        </w:tc>
        <w:tc>
          <w:tcPr>
            <w:tcW w:w="971" w:type="dxa"/>
            <w:noWrap w:val="0"/>
            <w:vAlign w:val="top"/>
          </w:tcPr>
          <w:p w14:paraId="1837CC5E">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6</w:t>
            </w:r>
          </w:p>
        </w:tc>
      </w:tr>
      <w:tr w14:paraId="7E0D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4995D0F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C.环境清洁卫生，定期消毒，室内安静，避风、避强光，温度适宜，保持空气流通。</w:t>
            </w:r>
          </w:p>
        </w:tc>
        <w:tc>
          <w:tcPr>
            <w:tcW w:w="828" w:type="dxa"/>
            <w:noWrap w:val="0"/>
            <w:vAlign w:val="top"/>
          </w:tcPr>
          <w:p w14:paraId="381EFE5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1077" w:type="dxa"/>
            <w:noWrap w:val="0"/>
            <w:vAlign w:val="top"/>
          </w:tcPr>
          <w:p w14:paraId="0845C017">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77</w:t>
            </w:r>
            <w:r>
              <w:rPr>
                <w:rFonts w:hint="eastAsia" w:ascii="仿宋" w:hAnsi="仿宋" w:eastAsia="仿宋" w:cs="Calibri"/>
                <w:kern w:val="0"/>
                <w:sz w:val="24"/>
                <w:szCs w:val="24"/>
                <w:lang w:eastAsia="zh-CN"/>
              </w:rPr>
              <w:t>.</w:t>
            </w:r>
            <w:r>
              <w:rPr>
                <w:rFonts w:hint="eastAsia" w:ascii="仿宋" w:hAnsi="仿宋" w:eastAsia="仿宋" w:cs="Calibri"/>
                <w:kern w:val="0"/>
                <w:sz w:val="24"/>
                <w:szCs w:val="24"/>
                <w:lang w:val="en-US" w:eastAsia="zh-CN"/>
              </w:rPr>
              <w:t>78</w:t>
            </w:r>
            <w:r>
              <w:rPr>
                <w:rFonts w:hint="eastAsia" w:ascii="仿宋" w:hAnsi="仿宋" w:eastAsia="仿宋" w:cs="Calibri"/>
                <w:kern w:val="0"/>
                <w:sz w:val="24"/>
                <w:szCs w:val="24"/>
                <w:lang w:eastAsia="zh-CN"/>
              </w:rPr>
              <w:t>%</w:t>
            </w:r>
          </w:p>
        </w:tc>
        <w:tc>
          <w:tcPr>
            <w:tcW w:w="971" w:type="dxa"/>
            <w:noWrap w:val="0"/>
            <w:vAlign w:val="top"/>
          </w:tcPr>
          <w:p w14:paraId="4B4CEE8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4658A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54FF30A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D.沿用国家标准原文。</w:t>
            </w:r>
          </w:p>
        </w:tc>
        <w:tc>
          <w:tcPr>
            <w:tcW w:w="828" w:type="dxa"/>
            <w:noWrap w:val="0"/>
            <w:vAlign w:val="top"/>
          </w:tcPr>
          <w:p w14:paraId="04982D0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077" w:type="dxa"/>
            <w:noWrap w:val="0"/>
            <w:vAlign w:val="top"/>
          </w:tcPr>
          <w:p w14:paraId="175F7D4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971" w:type="dxa"/>
            <w:noWrap w:val="0"/>
            <w:vAlign w:val="top"/>
          </w:tcPr>
          <w:p w14:paraId="75FC5C4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650BD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24EE4695">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.综合以上内容，沿用国家标准原文加上“定期消毒”。</w:t>
            </w:r>
          </w:p>
        </w:tc>
        <w:tc>
          <w:tcPr>
            <w:tcW w:w="828" w:type="dxa"/>
            <w:noWrap w:val="0"/>
            <w:vAlign w:val="top"/>
          </w:tcPr>
          <w:p w14:paraId="7AE3505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0.33</w:t>
            </w:r>
          </w:p>
        </w:tc>
        <w:tc>
          <w:tcPr>
            <w:tcW w:w="1077" w:type="dxa"/>
            <w:noWrap w:val="0"/>
            <w:vAlign w:val="top"/>
          </w:tcPr>
          <w:p w14:paraId="49A6265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66.67%</w:t>
            </w:r>
          </w:p>
        </w:tc>
        <w:tc>
          <w:tcPr>
            <w:tcW w:w="971" w:type="dxa"/>
            <w:noWrap w:val="0"/>
            <w:vAlign w:val="top"/>
          </w:tcPr>
          <w:p w14:paraId="56B119D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w:t>
            </w:r>
          </w:p>
        </w:tc>
      </w:tr>
    </w:tbl>
    <w:p w14:paraId="1FFCE65D">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2.3</w:t>
      </w:r>
      <w:r>
        <w:rPr>
          <w:rFonts w:hint="eastAsia" w:ascii="仿宋" w:hAnsi="仿宋" w:eastAsia="仿宋" w:cs="Calibri"/>
          <w:b/>
          <w:kern w:val="0"/>
          <w:sz w:val="24"/>
          <w:szCs w:val="24"/>
          <w:lang w:val="en-US" w:eastAsia="zh-CN"/>
        </w:rPr>
        <w:t>体位</w:t>
      </w:r>
      <w:r>
        <w:rPr>
          <w:rFonts w:hint="eastAsia" w:ascii="仿宋" w:hAnsi="仿宋" w:eastAsia="仿宋" w:cs="Calibri"/>
          <w:b/>
          <w:kern w:val="0"/>
          <w:sz w:val="24"/>
          <w:szCs w:val="24"/>
        </w:rPr>
        <w:t>调查结果</w:t>
      </w:r>
    </w:p>
    <w:p w14:paraId="12D43451">
      <w:pPr>
        <w:widowControl/>
        <w:spacing w:line="400" w:lineRule="exact"/>
        <w:ind w:firstLine="480"/>
        <w:jc w:val="center"/>
        <w:rPr>
          <w:rFonts w:hint="eastAsia" w:ascii="仿宋" w:hAnsi="仿宋" w:eastAsia="仿宋" w:cs="Calibri"/>
          <w:b/>
          <w:kern w:val="0"/>
          <w:sz w:val="24"/>
          <w:szCs w:val="24"/>
        </w:rPr>
      </w:pPr>
      <w:r>
        <w:rPr>
          <w:rFonts w:hint="eastAsia" w:ascii="仿宋" w:hAnsi="仿宋" w:eastAsia="仿宋" w:cs="Calibri"/>
          <w:bCs/>
          <w:kern w:val="0"/>
          <w:sz w:val="24"/>
          <w:szCs w:val="24"/>
          <w:lang w:eastAsia="zh-CN"/>
        </w:rPr>
        <w:t>表 10 体位调查结果</w:t>
      </w:r>
    </w:p>
    <w:tbl>
      <w:tblPr>
        <w:tblStyle w:val="20"/>
        <w:tblpPr w:leftFromText="180" w:rightFromText="180" w:vertAnchor="text" w:horzAnchor="page" w:tblpX="1569" w:tblpY="284"/>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66015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482" w:type="dxa"/>
            <w:noWrap w:val="0"/>
            <w:vAlign w:val="top"/>
          </w:tcPr>
          <w:p w14:paraId="2C7D9001">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选项</w:t>
            </w:r>
          </w:p>
        </w:tc>
        <w:tc>
          <w:tcPr>
            <w:tcW w:w="696" w:type="dxa"/>
            <w:noWrap w:val="0"/>
            <w:vAlign w:val="top"/>
          </w:tcPr>
          <w:p w14:paraId="1B8A5FF7">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object>
                <v:shape id="_x0000_i1152"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52" DrawAspect="Content" ObjectID="_1468075734" r:id="rId24">
                  <o:LockedField>false</o:LockedField>
                </o:OLEObject>
              </w:object>
            </w:r>
          </w:p>
        </w:tc>
        <w:tc>
          <w:tcPr>
            <w:tcW w:w="936" w:type="dxa"/>
            <w:noWrap w:val="0"/>
            <w:vAlign w:val="top"/>
          </w:tcPr>
          <w:p w14:paraId="59D712DE">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R</w:t>
            </w:r>
          </w:p>
        </w:tc>
        <w:tc>
          <w:tcPr>
            <w:tcW w:w="456" w:type="dxa"/>
            <w:noWrap w:val="0"/>
            <w:vAlign w:val="top"/>
          </w:tcPr>
          <w:p w14:paraId="4002ABE3">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S</w:t>
            </w:r>
          </w:p>
        </w:tc>
      </w:tr>
      <w:tr w14:paraId="1957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82" w:type="dxa"/>
            <w:noWrap w:val="0"/>
            <w:vAlign w:val="top"/>
          </w:tcPr>
          <w:p w14:paraId="099F459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 体位 卧位：建议仰卧位对面部、腹部和四肢进行推拿治疗；建议采用俯卧位进行背部、腰部、骨盆和四肢的推拿治疗；建议采用侧卧位进行推拿治疗。坐姿：建议采用前倾坐姿对颈部和肩部进行推拿治疗；建议采用后坐位对肩部和上肢进行推拿治疗。  </w:t>
            </w:r>
          </w:p>
        </w:tc>
        <w:tc>
          <w:tcPr>
            <w:tcW w:w="696" w:type="dxa"/>
            <w:noWrap w:val="0"/>
            <w:vAlign w:val="top"/>
          </w:tcPr>
          <w:p w14:paraId="0EBDEA9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eastAsia="zh-CN"/>
              </w:rPr>
              <w:t>0.</w:t>
            </w:r>
            <w:r>
              <w:rPr>
                <w:rFonts w:hint="eastAsia" w:ascii="仿宋" w:hAnsi="仿宋" w:eastAsia="仿宋" w:cs="Calibri"/>
                <w:kern w:val="0"/>
                <w:sz w:val="24"/>
                <w:szCs w:val="24"/>
                <w:lang w:val="en-US" w:eastAsia="zh-CN"/>
              </w:rPr>
              <w:t>11</w:t>
            </w:r>
          </w:p>
        </w:tc>
        <w:tc>
          <w:tcPr>
            <w:tcW w:w="936" w:type="dxa"/>
            <w:noWrap w:val="0"/>
            <w:vAlign w:val="top"/>
          </w:tcPr>
          <w:p w14:paraId="47F92B65">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88.89</w:t>
            </w:r>
            <w:r>
              <w:rPr>
                <w:rFonts w:hint="eastAsia" w:ascii="仿宋" w:hAnsi="仿宋" w:eastAsia="仿宋" w:cs="Calibri"/>
                <w:kern w:val="0"/>
                <w:sz w:val="24"/>
                <w:szCs w:val="24"/>
                <w:lang w:eastAsia="zh-CN"/>
              </w:rPr>
              <w:t>%</w:t>
            </w:r>
          </w:p>
        </w:tc>
        <w:tc>
          <w:tcPr>
            <w:tcW w:w="456" w:type="dxa"/>
            <w:noWrap w:val="0"/>
            <w:vAlign w:val="top"/>
          </w:tcPr>
          <w:p w14:paraId="0C1E69C0">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3</w:t>
            </w:r>
          </w:p>
        </w:tc>
      </w:tr>
      <w:tr w14:paraId="336FC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82" w:type="dxa"/>
            <w:noWrap w:val="0"/>
            <w:vAlign w:val="top"/>
          </w:tcPr>
          <w:p w14:paraId="57FFF80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 体位 根据治疗需要可坐位（侧坐、正坐）、卧位（仰卧位、俯卧位、半卧位）、抱位（正抱、背抱、侧抱）。</w:t>
            </w:r>
          </w:p>
        </w:tc>
        <w:tc>
          <w:tcPr>
            <w:tcW w:w="696" w:type="dxa"/>
            <w:noWrap w:val="0"/>
            <w:vAlign w:val="top"/>
          </w:tcPr>
          <w:p w14:paraId="5999A735">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0.0</w:t>
            </w:r>
            <w:r>
              <w:rPr>
                <w:rFonts w:hint="eastAsia" w:ascii="仿宋" w:hAnsi="仿宋" w:eastAsia="仿宋" w:cs="Calibri"/>
                <w:kern w:val="0"/>
                <w:sz w:val="24"/>
                <w:szCs w:val="24"/>
                <w:lang w:val="en-US" w:eastAsia="zh-CN"/>
              </w:rPr>
              <w:t>7</w:t>
            </w:r>
          </w:p>
        </w:tc>
        <w:tc>
          <w:tcPr>
            <w:tcW w:w="936" w:type="dxa"/>
            <w:noWrap w:val="0"/>
            <w:vAlign w:val="top"/>
          </w:tcPr>
          <w:p w14:paraId="7561B982">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eastAsia="zh-CN"/>
              </w:rPr>
              <w:t>9</w:t>
            </w:r>
            <w:r>
              <w:rPr>
                <w:rFonts w:hint="eastAsia" w:ascii="仿宋" w:hAnsi="仿宋" w:eastAsia="仿宋" w:cs="Calibri"/>
                <w:kern w:val="0"/>
                <w:sz w:val="24"/>
                <w:szCs w:val="24"/>
                <w:lang w:val="en-US" w:eastAsia="zh-CN"/>
              </w:rPr>
              <w:t>2.59</w:t>
            </w:r>
            <w:r>
              <w:rPr>
                <w:rFonts w:hint="eastAsia" w:ascii="仿宋" w:hAnsi="仿宋" w:eastAsia="仿宋" w:cs="Calibri"/>
                <w:kern w:val="0"/>
                <w:sz w:val="24"/>
                <w:szCs w:val="24"/>
                <w:lang w:eastAsia="zh-CN"/>
              </w:rPr>
              <w:t>%</w:t>
            </w:r>
          </w:p>
        </w:tc>
        <w:tc>
          <w:tcPr>
            <w:tcW w:w="456" w:type="dxa"/>
            <w:noWrap w:val="0"/>
            <w:vAlign w:val="top"/>
          </w:tcPr>
          <w:p w14:paraId="07AB644E">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2</w:t>
            </w:r>
          </w:p>
        </w:tc>
      </w:tr>
      <w:tr w14:paraId="6211D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82" w:type="dxa"/>
            <w:noWrap w:val="0"/>
            <w:vAlign w:val="top"/>
          </w:tcPr>
          <w:p w14:paraId="315CA03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C.儿童 应根据儿童年龄选择舒适、放松、能暴露操作部位、能配合操作的治疗体位，如坐位、仰卧位、侧卧位、俯卧位、坐抱位等。</w:t>
            </w:r>
          </w:p>
        </w:tc>
        <w:tc>
          <w:tcPr>
            <w:tcW w:w="696" w:type="dxa"/>
            <w:noWrap w:val="0"/>
            <w:vAlign w:val="top"/>
          </w:tcPr>
          <w:p w14:paraId="192EBF5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0.30</w:t>
            </w:r>
          </w:p>
        </w:tc>
        <w:tc>
          <w:tcPr>
            <w:tcW w:w="936" w:type="dxa"/>
            <w:noWrap w:val="0"/>
            <w:vAlign w:val="top"/>
          </w:tcPr>
          <w:p w14:paraId="5D4714F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c>
          <w:tcPr>
            <w:tcW w:w="456" w:type="dxa"/>
            <w:noWrap w:val="0"/>
            <w:vAlign w:val="top"/>
          </w:tcPr>
          <w:p w14:paraId="5492B97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w:t>
            </w:r>
          </w:p>
        </w:tc>
      </w:tr>
      <w:tr w14:paraId="39EF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82" w:type="dxa"/>
            <w:noWrap w:val="0"/>
            <w:vAlign w:val="top"/>
          </w:tcPr>
          <w:p w14:paraId="04FF7E6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D.沿用国家标准原文。</w:t>
            </w:r>
          </w:p>
        </w:tc>
        <w:tc>
          <w:tcPr>
            <w:tcW w:w="696" w:type="dxa"/>
            <w:noWrap w:val="0"/>
            <w:vAlign w:val="top"/>
          </w:tcPr>
          <w:p w14:paraId="239E9F7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0.11</w:t>
            </w:r>
          </w:p>
        </w:tc>
        <w:tc>
          <w:tcPr>
            <w:tcW w:w="936" w:type="dxa"/>
            <w:noWrap w:val="0"/>
            <w:vAlign w:val="top"/>
          </w:tcPr>
          <w:p w14:paraId="07A181DD">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88.89</w:t>
            </w:r>
            <w:r>
              <w:rPr>
                <w:rFonts w:hint="eastAsia" w:ascii="仿宋" w:hAnsi="仿宋" w:eastAsia="仿宋" w:cs="Calibri"/>
                <w:kern w:val="0"/>
                <w:sz w:val="24"/>
                <w:szCs w:val="24"/>
                <w:lang w:eastAsia="zh-CN"/>
              </w:rPr>
              <w:t>%</w:t>
            </w:r>
          </w:p>
        </w:tc>
        <w:tc>
          <w:tcPr>
            <w:tcW w:w="456" w:type="dxa"/>
            <w:noWrap w:val="0"/>
            <w:vAlign w:val="top"/>
          </w:tcPr>
          <w:p w14:paraId="0BB9EDA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r>
      <w:tr w14:paraId="51E01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482" w:type="dxa"/>
            <w:noWrap w:val="0"/>
            <w:vAlign w:val="top"/>
          </w:tcPr>
          <w:p w14:paraId="2956622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E.综合以上内容，沿用国家标准原文加上“抱位（正抱、背抱、侧抱）”。</w:t>
            </w:r>
          </w:p>
        </w:tc>
        <w:tc>
          <w:tcPr>
            <w:tcW w:w="696" w:type="dxa"/>
            <w:noWrap w:val="0"/>
            <w:vAlign w:val="top"/>
          </w:tcPr>
          <w:p w14:paraId="7E17F4D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0.37</w:t>
            </w:r>
          </w:p>
        </w:tc>
        <w:tc>
          <w:tcPr>
            <w:tcW w:w="936" w:type="dxa"/>
            <w:noWrap w:val="0"/>
            <w:vAlign w:val="top"/>
          </w:tcPr>
          <w:p w14:paraId="1C791474">
            <w:pPr>
              <w:widowControl/>
              <w:spacing w:line="400" w:lineRule="exact"/>
              <w:jc w:val="left"/>
              <w:rPr>
                <w:rFonts w:hint="eastAsia" w:ascii="仿宋" w:hAnsi="仿宋" w:eastAsia="仿宋" w:cs="Calibri"/>
                <w:kern w:val="0"/>
                <w:sz w:val="24"/>
                <w:szCs w:val="24"/>
                <w:lang w:eastAsia="zh-CN"/>
              </w:rPr>
            </w:pPr>
            <w:r>
              <w:rPr>
                <w:rFonts w:hint="eastAsia" w:ascii="仿宋" w:hAnsi="仿宋" w:eastAsia="仿宋" w:cs="Calibri"/>
                <w:kern w:val="0"/>
                <w:sz w:val="24"/>
                <w:szCs w:val="24"/>
                <w:lang w:val="en-US" w:eastAsia="zh-CN"/>
              </w:rPr>
              <w:t>62.96</w:t>
            </w:r>
            <w:r>
              <w:rPr>
                <w:rFonts w:hint="eastAsia" w:ascii="仿宋" w:hAnsi="仿宋" w:eastAsia="仿宋" w:cs="Calibri"/>
                <w:kern w:val="0"/>
                <w:sz w:val="24"/>
                <w:szCs w:val="24"/>
                <w:lang w:eastAsia="zh-CN"/>
              </w:rPr>
              <w:t>%</w:t>
            </w:r>
          </w:p>
        </w:tc>
        <w:tc>
          <w:tcPr>
            <w:tcW w:w="456" w:type="dxa"/>
            <w:noWrap w:val="0"/>
            <w:vAlign w:val="top"/>
          </w:tcPr>
          <w:p w14:paraId="6ADC096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r>
    </w:tbl>
    <w:p w14:paraId="4C69F4FE">
      <w:pPr>
        <w:widowControl/>
        <w:spacing w:line="400" w:lineRule="exact"/>
        <w:jc w:val="left"/>
        <w:rPr>
          <w:rFonts w:hint="eastAsia" w:ascii="仿宋" w:hAnsi="仿宋" w:eastAsia="仿宋" w:cs="Calibri"/>
          <w:b/>
          <w:kern w:val="0"/>
          <w:sz w:val="24"/>
          <w:szCs w:val="24"/>
        </w:rPr>
      </w:pPr>
    </w:p>
    <w:p w14:paraId="1669D94E">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2.4医师调查结果</w:t>
      </w:r>
    </w:p>
    <w:p w14:paraId="384C8DD8">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11 医师调查结果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37909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421209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640B22F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12"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12" DrawAspect="Content" ObjectID="_1468075735" r:id="rId25">
                  <o:LockedField>false</o:LockedField>
                </o:OLEObject>
              </w:object>
            </w:r>
          </w:p>
        </w:tc>
        <w:tc>
          <w:tcPr>
            <w:tcW w:w="0" w:type="auto"/>
            <w:noWrap w:val="0"/>
            <w:vAlign w:val="top"/>
          </w:tcPr>
          <w:p w14:paraId="62ABAA6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12EC166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3EA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281FBAC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 操作者 操作者为医生或具有小儿推拿技术操作资质的人员。操作前，操作者应取下影响推拿的手和腕部饰物，修剪指甲并锉平。在操作开始前，应先询问儿童是否存在推拿慎用证的相关情况。消毒 洗净双手，并用医用消毒剂进行手部消毒。</w:t>
            </w:r>
          </w:p>
        </w:tc>
        <w:tc>
          <w:tcPr>
            <w:tcW w:w="0" w:type="auto"/>
            <w:noWrap w:val="0"/>
            <w:vAlign w:val="top"/>
          </w:tcPr>
          <w:p w14:paraId="5178EB9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0.41</w:t>
            </w:r>
          </w:p>
        </w:tc>
        <w:tc>
          <w:tcPr>
            <w:tcW w:w="0" w:type="auto"/>
            <w:noWrap w:val="0"/>
            <w:vAlign w:val="top"/>
          </w:tcPr>
          <w:p w14:paraId="4B10C9A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59.26%</w:t>
            </w:r>
          </w:p>
        </w:tc>
        <w:tc>
          <w:tcPr>
            <w:tcW w:w="0" w:type="auto"/>
            <w:noWrap w:val="0"/>
            <w:vAlign w:val="top"/>
          </w:tcPr>
          <w:p w14:paraId="30EA784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w:t>
            </w:r>
          </w:p>
        </w:tc>
      </w:tr>
      <w:tr w14:paraId="6F824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0" w:type="auto"/>
            <w:noWrap w:val="0"/>
            <w:vAlign w:val="top"/>
          </w:tcPr>
          <w:p w14:paraId="089344A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 沿用国家标准原文。                  </w:t>
            </w:r>
          </w:p>
        </w:tc>
        <w:tc>
          <w:tcPr>
            <w:tcW w:w="0" w:type="auto"/>
            <w:noWrap w:val="0"/>
            <w:vAlign w:val="top"/>
          </w:tcPr>
          <w:p w14:paraId="0057789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846" w:type="dxa"/>
            <w:noWrap w:val="0"/>
            <w:vAlign w:val="top"/>
          </w:tcPr>
          <w:p w14:paraId="2279FEA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687B333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638D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5A5C7BB3">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综合以上内容。</w:t>
            </w:r>
          </w:p>
        </w:tc>
        <w:tc>
          <w:tcPr>
            <w:tcW w:w="0" w:type="auto"/>
            <w:noWrap w:val="0"/>
            <w:vAlign w:val="top"/>
          </w:tcPr>
          <w:p w14:paraId="1F2DD4D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0.33</w:t>
            </w:r>
          </w:p>
        </w:tc>
        <w:tc>
          <w:tcPr>
            <w:tcW w:w="0" w:type="auto"/>
            <w:noWrap w:val="0"/>
            <w:vAlign w:val="top"/>
          </w:tcPr>
          <w:p w14:paraId="7D6DFF5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66.67%</w:t>
            </w:r>
          </w:p>
        </w:tc>
        <w:tc>
          <w:tcPr>
            <w:tcW w:w="0" w:type="auto"/>
            <w:noWrap w:val="0"/>
            <w:vAlign w:val="top"/>
          </w:tcPr>
          <w:p w14:paraId="3971940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w:t>
            </w:r>
          </w:p>
        </w:tc>
      </w:tr>
    </w:tbl>
    <w:p w14:paraId="0176E63B">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2.5旋推法调查结果</w:t>
      </w:r>
    </w:p>
    <w:p w14:paraId="0750634F">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12 旋推法调查结果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5D775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362DFF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19573FB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13"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13" DrawAspect="Content" ObjectID="_1468075736" r:id="rId26">
                  <o:LockedField>false</o:LockedField>
                </o:OLEObject>
              </w:object>
            </w:r>
          </w:p>
        </w:tc>
        <w:tc>
          <w:tcPr>
            <w:tcW w:w="0" w:type="auto"/>
            <w:noWrap w:val="0"/>
            <w:vAlign w:val="top"/>
          </w:tcPr>
          <w:p w14:paraId="25445E3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0561952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0F0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60C62C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A.用拇指螺纹面，在穴位上做顺时针或逆时针方向旋转推摩。 </w:t>
            </w:r>
          </w:p>
        </w:tc>
        <w:tc>
          <w:tcPr>
            <w:tcW w:w="0" w:type="auto"/>
            <w:noWrap w:val="0"/>
            <w:vAlign w:val="top"/>
          </w:tcPr>
          <w:p w14:paraId="03DC0D9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0.30</w:t>
            </w:r>
          </w:p>
        </w:tc>
        <w:tc>
          <w:tcPr>
            <w:tcW w:w="0" w:type="auto"/>
            <w:noWrap w:val="0"/>
            <w:vAlign w:val="top"/>
          </w:tcPr>
          <w:p w14:paraId="57A5AFD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c>
          <w:tcPr>
            <w:tcW w:w="0" w:type="auto"/>
            <w:noWrap w:val="0"/>
            <w:vAlign w:val="top"/>
          </w:tcPr>
          <w:p w14:paraId="5CEEAE4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w:t>
            </w:r>
          </w:p>
        </w:tc>
      </w:tr>
      <w:tr w14:paraId="36ED6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A58CAE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B.用拇指罗纹面在穴位上做环形旋转推动的手法，称为旋推法。                   </w:t>
            </w:r>
          </w:p>
        </w:tc>
        <w:tc>
          <w:tcPr>
            <w:tcW w:w="0" w:type="auto"/>
            <w:noWrap w:val="0"/>
            <w:vAlign w:val="top"/>
          </w:tcPr>
          <w:p w14:paraId="2FFDF6C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0.41</w:t>
            </w:r>
          </w:p>
        </w:tc>
        <w:tc>
          <w:tcPr>
            <w:tcW w:w="0" w:type="auto"/>
            <w:noWrap w:val="0"/>
            <w:vAlign w:val="top"/>
          </w:tcPr>
          <w:p w14:paraId="6FA9841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59.26%</w:t>
            </w:r>
          </w:p>
        </w:tc>
        <w:tc>
          <w:tcPr>
            <w:tcW w:w="0" w:type="auto"/>
            <w:noWrap w:val="0"/>
            <w:vAlign w:val="top"/>
          </w:tcPr>
          <w:p w14:paraId="0AA944C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w:t>
            </w:r>
          </w:p>
        </w:tc>
      </w:tr>
      <w:tr w14:paraId="63FB1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34CFFF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C.以拇指指面，在穴位上作顺时针方向旋转推动。频率多在160～260次/分钟左右。</w:t>
            </w:r>
          </w:p>
        </w:tc>
        <w:tc>
          <w:tcPr>
            <w:tcW w:w="0" w:type="auto"/>
            <w:noWrap w:val="0"/>
            <w:vAlign w:val="top"/>
          </w:tcPr>
          <w:p w14:paraId="0DF2F13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0.11</w:t>
            </w:r>
          </w:p>
        </w:tc>
        <w:tc>
          <w:tcPr>
            <w:tcW w:w="0" w:type="auto"/>
            <w:noWrap w:val="0"/>
            <w:vAlign w:val="top"/>
          </w:tcPr>
          <w:p w14:paraId="1447304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88.89%</w:t>
            </w:r>
          </w:p>
        </w:tc>
        <w:tc>
          <w:tcPr>
            <w:tcW w:w="0" w:type="auto"/>
            <w:noWrap w:val="0"/>
            <w:vAlign w:val="top"/>
          </w:tcPr>
          <w:p w14:paraId="00AAD7D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r>
      <w:tr w14:paraId="7EA66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28013B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D.沿用国家标准原文。</w:t>
            </w:r>
          </w:p>
        </w:tc>
        <w:tc>
          <w:tcPr>
            <w:tcW w:w="0" w:type="auto"/>
            <w:noWrap w:val="0"/>
            <w:vAlign w:val="top"/>
          </w:tcPr>
          <w:p w14:paraId="2CBB6FA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0" w:type="auto"/>
            <w:noWrap w:val="0"/>
            <w:vAlign w:val="top"/>
          </w:tcPr>
          <w:p w14:paraId="2AB0F6A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0" w:type="auto"/>
            <w:noWrap w:val="0"/>
            <w:vAlign w:val="top"/>
          </w:tcPr>
          <w:p w14:paraId="015B00E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bl>
    <w:p w14:paraId="4A9FE14A">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2.6</w:t>
      </w:r>
      <w:r>
        <w:rPr>
          <w:rFonts w:hint="eastAsia" w:ascii="仿宋" w:hAnsi="仿宋" w:eastAsia="仿宋" w:cs="Calibri"/>
          <w:b/>
          <w:kern w:val="0"/>
          <w:sz w:val="24"/>
          <w:szCs w:val="24"/>
          <w:lang w:val="en-US" w:eastAsia="zh-CN"/>
        </w:rPr>
        <w:t>按法</w:t>
      </w:r>
      <w:r>
        <w:rPr>
          <w:rFonts w:hint="eastAsia" w:ascii="仿宋" w:hAnsi="仿宋" w:eastAsia="仿宋" w:cs="Calibri"/>
          <w:b/>
          <w:kern w:val="0"/>
          <w:sz w:val="24"/>
          <w:szCs w:val="24"/>
        </w:rPr>
        <w:t>调查结果</w:t>
      </w:r>
    </w:p>
    <w:p w14:paraId="06385123">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13 按法调查结果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5943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079C57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1F9A49D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14"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14" DrawAspect="Content" ObjectID="_1468075737" r:id="rId27">
                  <o:LockedField>false</o:LockedField>
                </o:OLEObject>
              </w:object>
            </w:r>
          </w:p>
        </w:tc>
        <w:tc>
          <w:tcPr>
            <w:tcW w:w="0" w:type="auto"/>
            <w:noWrap w:val="0"/>
            <w:vAlign w:val="top"/>
          </w:tcPr>
          <w:p w14:paraId="147BE86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3A725AA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62F14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D3C6D3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 用拇指、或中指指端、或掌心，在一定的穴位向下逐渐用力按压。操作时手法要求轻柔、速度均匀协调、压力由轻到重。                                       </w:t>
            </w:r>
          </w:p>
        </w:tc>
        <w:tc>
          <w:tcPr>
            <w:tcW w:w="0" w:type="auto"/>
            <w:noWrap w:val="0"/>
            <w:vAlign w:val="top"/>
          </w:tcPr>
          <w:p w14:paraId="22C5855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0" w:type="auto"/>
            <w:noWrap w:val="0"/>
            <w:vAlign w:val="top"/>
          </w:tcPr>
          <w:p w14:paraId="5017667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452BB2F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4538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C0AE5D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 按法 </w:t>
            </w:r>
          </w:p>
          <w:p w14:paraId="2B12E58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a）操作 以手指、掌根或鱼际在一定的穴位或部位上逐渐向下用力按压的手法，称按法。可分为指按法与掌按法。</w:t>
            </w:r>
          </w:p>
          <w:p w14:paraId="3FE77D6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b）动作要领 医者用手指、掌根或鱼际在操作部位上由轻到重垂直向下用力，按而留之后，再由重到轻逐渐放松。</w:t>
            </w:r>
          </w:p>
          <w:p w14:paraId="5C8D7EF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c）动作要求 切忌用力粗暴，突然发力。本法常与揉法配合应用。</w:t>
            </w:r>
          </w:p>
          <w:p w14:paraId="1777771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d）临床应用 多用于点状穴、面状穴等部位的操作，具有通经、活络、止痛的作用</w:t>
            </w:r>
          </w:p>
        </w:tc>
        <w:tc>
          <w:tcPr>
            <w:tcW w:w="0" w:type="auto"/>
            <w:noWrap w:val="0"/>
            <w:vAlign w:val="top"/>
          </w:tcPr>
          <w:p w14:paraId="5CB350F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0.44</w:t>
            </w:r>
          </w:p>
        </w:tc>
        <w:tc>
          <w:tcPr>
            <w:tcW w:w="0" w:type="auto"/>
            <w:noWrap w:val="0"/>
            <w:vAlign w:val="top"/>
          </w:tcPr>
          <w:p w14:paraId="1B0542F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55.56%</w:t>
            </w:r>
          </w:p>
        </w:tc>
        <w:tc>
          <w:tcPr>
            <w:tcW w:w="0" w:type="auto"/>
            <w:noWrap w:val="0"/>
            <w:vAlign w:val="top"/>
          </w:tcPr>
          <w:p w14:paraId="312DB77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12</w:t>
            </w:r>
          </w:p>
        </w:tc>
      </w:tr>
      <w:tr w14:paraId="316F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7268EF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C.按法 用拇指或掌根在一定的部位或穴位上垂直用力向下按压，称按法。使用按法时常配合揉法。按而留之者，是以右手大指面直按之或用大指背屈而按之，或以两指对过合按之，其于胸腹则又以掌心按之。宜轻宜重，以当时相机行之。按法具有通经活络，祛寒止痛和促进消化等作用。</w:t>
            </w:r>
          </w:p>
        </w:tc>
        <w:tc>
          <w:tcPr>
            <w:tcW w:w="0" w:type="auto"/>
            <w:noWrap w:val="0"/>
            <w:vAlign w:val="top"/>
          </w:tcPr>
          <w:p w14:paraId="2C2DA4C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0.11</w:t>
            </w:r>
          </w:p>
        </w:tc>
        <w:tc>
          <w:tcPr>
            <w:tcW w:w="0" w:type="auto"/>
            <w:noWrap w:val="0"/>
            <w:vAlign w:val="top"/>
          </w:tcPr>
          <w:p w14:paraId="4B4F45F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88.89%</w:t>
            </w:r>
          </w:p>
        </w:tc>
        <w:tc>
          <w:tcPr>
            <w:tcW w:w="0" w:type="auto"/>
            <w:noWrap w:val="0"/>
            <w:vAlign w:val="top"/>
          </w:tcPr>
          <w:p w14:paraId="1C6F5D6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r>
      <w:tr w14:paraId="245ED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C62856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D.沿用国家标准原文。</w:t>
            </w:r>
          </w:p>
        </w:tc>
        <w:tc>
          <w:tcPr>
            <w:tcW w:w="0" w:type="auto"/>
            <w:noWrap w:val="0"/>
            <w:vAlign w:val="top"/>
          </w:tcPr>
          <w:p w14:paraId="011AD3D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0" w:type="auto"/>
            <w:noWrap w:val="0"/>
            <w:vAlign w:val="top"/>
          </w:tcPr>
          <w:p w14:paraId="102734A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0" w:type="auto"/>
            <w:noWrap w:val="0"/>
            <w:vAlign w:val="top"/>
          </w:tcPr>
          <w:p w14:paraId="60F59D7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bl>
    <w:p w14:paraId="16014E1A">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2.7摩法调查结果</w:t>
      </w:r>
    </w:p>
    <w:p w14:paraId="3056E3FC">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14 摩法调查结果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58519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061550B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584" w:type="dxa"/>
            <w:noWrap w:val="0"/>
            <w:vAlign w:val="top"/>
          </w:tcPr>
          <w:p w14:paraId="638EDF3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15"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15" DrawAspect="Content" ObjectID="_1468075738" r:id="rId28">
                  <o:LockedField>false</o:LockedField>
                </o:OLEObject>
              </w:object>
            </w:r>
          </w:p>
        </w:tc>
        <w:tc>
          <w:tcPr>
            <w:tcW w:w="846" w:type="dxa"/>
            <w:noWrap w:val="0"/>
            <w:vAlign w:val="top"/>
          </w:tcPr>
          <w:p w14:paraId="70ADFE2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0F82A2B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51A0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6BDF59A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 摩法分为指摩法、掌摩法、旋摩法三种。顺摩为补，逆摩为泻；掌摩为补，指摩为泻；缓摩为补，急摩为泻。摩者，谓徐徐揉摩之也。摩其痈聚，以散瘀结之肿。</w:t>
            </w:r>
          </w:p>
          <w:p w14:paraId="08E9573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——指摩法：以食、中、无名三指指腹在穴位上，作不间断的回旋抚摩，称指摩。</w:t>
            </w:r>
          </w:p>
          <w:p w14:paraId="038F065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——掌摩法：以右手掌心在穴位上作回旋抚摩，称掌摩，多用于腹部。</w:t>
            </w:r>
          </w:p>
          <w:p w14:paraId="6977307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——旋摩法：以双手全掌指面着力，从小儿下腹部开始沿升结肠、横结肠、降结肠的部位，两手一前一后作交替旋转运摩，称旋摩法。能消食化积行气，用于脘腹胀满、肠鸣腹痛等。                                           </w:t>
            </w:r>
          </w:p>
        </w:tc>
        <w:tc>
          <w:tcPr>
            <w:tcW w:w="584" w:type="dxa"/>
            <w:noWrap w:val="0"/>
            <w:vAlign w:val="top"/>
          </w:tcPr>
          <w:p w14:paraId="43A2444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0.33</w:t>
            </w:r>
          </w:p>
        </w:tc>
        <w:tc>
          <w:tcPr>
            <w:tcW w:w="846" w:type="dxa"/>
            <w:noWrap w:val="0"/>
            <w:vAlign w:val="top"/>
          </w:tcPr>
          <w:p w14:paraId="1D99D54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66.67%</w:t>
            </w:r>
          </w:p>
        </w:tc>
        <w:tc>
          <w:tcPr>
            <w:tcW w:w="0" w:type="auto"/>
            <w:noWrap w:val="0"/>
            <w:vAlign w:val="top"/>
          </w:tcPr>
          <w:p w14:paraId="411ACFD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w:t>
            </w:r>
          </w:p>
        </w:tc>
      </w:tr>
      <w:tr w14:paraId="0A981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5FB082A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 沿用国家标准原文。</w:t>
            </w:r>
          </w:p>
        </w:tc>
        <w:tc>
          <w:tcPr>
            <w:tcW w:w="584" w:type="dxa"/>
            <w:noWrap w:val="0"/>
            <w:vAlign w:val="top"/>
          </w:tcPr>
          <w:p w14:paraId="4FD803E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0.59</w:t>
            </w:r>
          </w:p>
        </w:tc>
        <w:tc>
          <w:tcPr>
            <w:tcW w:w="846" w:type="dxa"/>
            <w:noWrap w:val="0"/>
            <w:vAlign w:val="top"/>
          </w:tcPr>
          <w:p w14:paraId="6ED2E8C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40.74%</w:t>
            </w:r>
          </w:p>
        </w:tc>
        <w:tc>
          <w:tcPr>
            <w:tcW w:w="0" w:type="auto"/>
            <w:noWrap w:val="0"/>
            <w:vAlign w:val="top"/>
          </w:tcPr>
          <w:p w14:paraId="30C1040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16</w:t>
            </w:r>
          </w:p>
        </w:tc>
      </w:tr>
    </w:tbl>
    <w:p w14:paraId="5CC8BD0E">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2.8拍法调查结果</w:t>
      </w:r>
    </w:p>
    <w:p w14:paraId="1E93FBFD">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15 拍法调查结果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67"/>
        <w:gridCol w:w="696"/>
        <w:gridCol w:w="951"/>
        <w:gridCol w:w="456"/>
      </w:tblGrid>
      <w:tr w14:paraId="1E10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B57758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584" w:type="dxa"/>
            <w:noWrap w:val="0"/>
            <w:vAlign w:val="top"/>
          </w:tcPr>
          <w:p w14:paraId="6CB06AF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16"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16" DrawAspect="Content" ObjectID="_1468075739" r:id="rId29">
                  <o:LockedField>false</o:LockedField>
                </o:OLEObject>
              </w:object>
            </w:r>
          </w:p>
        </w:tc>
        <w:tc>
          <w:tcPr>
            <w:tcW w:w="951" w:type="dxa"/>
            <w:noWrap w:val="0"/>
            <w:vAlign w:val="top"/>
          </w:tcPr>
          <w:p w14:paraId="17B23D7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002B1A6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475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2DA375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 拍法 具体如下：</w:t>
            </w:r>
          </w:p>
          <w:p w14:paraId="60FE637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a）操作 五指并拢，用屈曲的掌面在体表进行有节律拍打的手法，称为拍法。</w:t>
            </w:r>
          </w:p>
          <w:p w14:paraId="75D189A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b）动作要领 五指并拢，掌指关节微屈，使掌心空虚；以肘关节屈伸为主，带动腕关节的协调活动，以虚掌拍击体表。</w:t>
            </w:r>
          </w:p>
          <w:p w14:paraId="2D59F3C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c）动作要求   1）腕关节应充分放松，在前臂的带动下协调活动。</w:t>
            </w:r>
          </w:p>
          <w:p w14:paraId="6F07D09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              2）操作中，应保持虚掌不变，平整地拍击体表，可闻及清脆的空气暴鸣声，不可出现拖抽的动作。 </w:t>
            </w:r>
          </w:p>
          <w:p w14:paraId="3E3F349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3）拍击的动作要均匀、灵活、连贯、快起快落，不可在操作部位出现停顿，以免影响振荡效应。</w:t>
            </w:r>
          </w:p>
          <w:p w14:paraId="7BD109E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4）拍击的刺激量应根据受医者的体质、病情及耐受力而灵活掌握。</w:t>
            </w:r>
          </w:p>
          <w:p w14:paraId="602D7A8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d）临床应用 拍法轻快柔和，是临床常用的辅助手法，有疏经通络、行气活血、振奋阳气、缓解痉挛、消除疲乏的功效。适用于肩背、腰臀及下肢部。常用于治疗的整理结束阶段。对小儿烦躁不安，哭闹不休，具有调和气血的作用，对肩部知觉迟钝或肌肉痉挛等症，有促进血液循环，消除肌肉疲劳和缓解肌肉痉挛的作用。                                    </w:t>
            </w:r>
          </w:p>
        </w:tc>
        <w:tc>
          <w:tcPr>
            <w:tcW w:w="584" w:type="dxa"/>
            <w:noWrap w:val="0"/>
            <w:vAlign w:val="top"/>
          </w:tcPr>
          <w:p w14:paraId="17DA0D1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0.70</w:t>
            </w:r>
          </w:p>
        </w:tc>
        <w:tc>
          <w:tcPr>
            <w:tcW w:w="951" w:type="dxa"/>
            <w:noWrap w:val="0"/>
            <w:vAlign w:val="top"/>
          </w:tcPr>
          <w:p w14:paraId="6524E4D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29.63%</w:t>
            </w:r>
          </w:p>
        </w:tc>
        <w:tc>
          <w:tcPr>
            <w:tcW w:w="0" w:type="auto"/>
            <w:noWrap w:val="0"/>
            <w:vAlign w:val="top"/>
          </w:tcPr>
          <w:p w14:paraId="16EF2AE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r>
      <w:tr w14:paraId="02EF4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BDFE0E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 沿用国家标准原文。</w:t>
            </w:r>
          </w:p>
        </w:tc>
        <w:tc>
          <w:tcPr>
            <w:tcW w:w="584" w:type="dxa"/>
            <w:noWrap w:val="0"/>
            <w:vAlign w:val="top"/>
          </w:tcPr>
          <w:p w14:paraId="44E3DC2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951" w:type="dxa"/>
            <w:noWrap w:val="0"/>
            <w:vAlign w:val="top"/>
          </w:tcPr>
          <w:p w14:paraId="4942CBE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465DDD2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bl>
    <w:p w14:paraId="69479472">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2.9飞经走气法调查结果</w:t>
      </w:r>
    </w:p>
    <w:p w14:paraId="31FCDA8D">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16 飞经走气法调查结果</w:t>
      </w:r>
    </w:p>
    <w:tbl>
      <w:tblPr>
        <w:tblStyle w:val="81"/>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5"/>
        <w:gridCol w:w="1022"/>
        <w:gridCol w:w="1185"/>
        <w:gridCol w:w="1174"/>
      </w:tblGrid>
      <w:tr w14:paraId="6FC47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5685" w:type="dxa"/>
            <w:noWrap w:val="0"/>
            <w:vAlign w:val="top"/>
          </w:tcPr>
          <w:p w14:paraId="736BAA9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1022" w:type="dxa"/>
            <w:noWrap w:val="0"/>
            <w:vAlign w:val="top"/>
          </w:tcPr>
          <w:p w14:paraId="5615317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17"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17" DrawAspect="Content" ObjectID="_1468075740" r:id="rId30">
                  <o:LockedField>false</o:LockedField>
                </o:OLEObject>
              </w:object>
            </w:r>
          </w:p>
        </w:tc>
        <w:tc>
          <w:tcPr>
            <w:tcW w:w="1185" w:type="dxa"/>
            <w:noWrap w:val="0"/>
            <w:vAlign w:val="top"/>
          </w:tcPr>
          <w:p w14:paraId="6AF40C2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1174" w:type="dxa"/>
            <w:noWrap w:val="0"/>
            <w:vAlign w:val="top"/>
          </w:tcPr>
          <w:p w14:paraId="692FF6A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97E7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85" w:type="dxa"/>
            <w:noWrap w:val="0"/>
            <w:vAlign w:val="top"/>
          </w:tcPr>
          <w:p w14:paraId="45317BF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 先运五经穴，后张开五指在内关穴处拍打，再推心经，揉气关。                                 </w:t>
            </w:r>
          </w:p>
        </w:tc>
        <w:tc>
          <w:tcPr>
            <w:tcW w:w="1022" w:type="dxa"/>
            <w:noWrap w:val="0"/>
            <w:vAlign w:val="top"/>
          </w:tcPr>
          <w:p w14:paraId="36FB63C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85" w:type="dxa"/>
            <w:noWrap w:val="0"/>
            <w:vAlign w:val="top"/>
          </w:tcPr>
          <w:p w14:paraId="2E6FADF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1174" w:type="dxa"/>
            <w:noWrap w:val="0"/>
            <w:vAlign w:val="top"/>
          </w:tcPr>
          <w:p w14:paraId="49CA0BC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43FC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85" w:type="dxa"/>
            <w:noWrap w:val="0"/>
            <w:vAlign w:val="top"/>
          </w:tcPr>
          <w:p w14:paraId="4A21D9D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 用拇指按小儿总筋处，示中二指推向手腕处。                                         </w:t>
            </w:r>
          </w:p>
        </w:tc>
        <w:tc>
          <w:tcPr>
            <w:tcW w:w="1022" w:type="dxa"/>
            <w:noWrap w:val="0"/>
            <w:vAlign w:val="top"/>
          </w:tcPr>
          <w:p w14:paraId="25BE486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85" w:type="dxa"/>
            <w:noWrap w:val="0"/>
            <w:vAlign w:val="top"/>
          </w:tcPr>
          <w:p w14:paraId="19462A8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1174" w:type="dxa"/>
            <w:noWrap w:val="0"/>
            <w:vAlign w:val="top"/>
          </w:tcPr>
          <w:p w14:paraId="3A9C295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38DA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85" w:type="dxa"/>
            <w:noWrap w:val="0"/>
            <w:vAlign w:val="top"/>
          </w:tcPr>
          <w:p w14:paraId="4E098731">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滴凉水于小儿内劳宫穴，以右手中指引水至天河，前行3次退转一次，并用口吹气，跟水上行。</w:t>
            </w:r>
          </w:p>
        </w:tc>
        <w:tc>
          <w:tcPr>
            <w:tcW w:w="1022" w:type="dxa"/>
            <w:noWrap w:val="0"/>
            <w:vAlign w:val="top"/>
          </w:tcPr>
          <w:p w14:paraId="70963C4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85" w:type="dxa"/>
            <w:noWrap w:val="0"/>
            <w:vAlign w:val="top"/>
          </w:tcPr>
          <w:p w14:paraId="552B6C0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1174" w:type="dxa"/>
            <w:noWrap w:val="0"/>
            <w:vAlign w:val="top"/>
          </w:tcPr>
          <w:p w14:paraId="31A7876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7A63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85" w:type="dxa"/>
            <w:noWrap w:val="0"/>
            <w:vAlign w:val="top"/>
          </w:tcPr>
          <w:p w14:paraId="6AF0AF7E">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右手拿小儿四指不动，左手四指从小儿曲池边轮流跳至总经几遍，再拿阴阳，将右手向上向外，一伸一缩，传送其气，徐徐过关。用于痰鸣、气逆。</w:t>
            </w:r>
          </w:p>
        </w:tc>
        <w:tc>
          <w:tcPr>
            <w:tcW w:w="1022" w:type="dxa"/>
            <w:noWrap w:val="0"/>
            <w:vAlign w:val="top"/>
          </w:tcPr>
          <w:p w14:paraId="559D431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185" w:type="dxa"/>
            <w:noWrap w:val="0"/>
            <w:vAlign w:val="top"/>
          </w:tcPr>
          <w:p w14:paraId="630FED7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1174" w:type="dxa"/>
            <w:noWrap w:val="0"/>
            <w:vAlign w:val="top"/>
          </w:tcPr>
          <w:p w14:paraId="0DE7594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427D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85" w:type="dxa"/>
            <w:noWrap w:val="0"/>
            <w:vAlign w:val="top"/>
          </w:tcPr>
          <w:p w14:paraId="27AF90F7">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患儿取坐位或仰卧位。术者坐其身前一侧，用一手拿住患儿四指，使掌面与前臂掌侧向上，用另一手的食、中、无名、小四指螺纹面着力，从曲池穴起向下弹击至总筋穴处，如此反复数遍，然后拿住患儿阴池、阳池二穴，前手将患儿四指屈伸摆动数次。</w:t>
            </w:r>
          </w:p>
        </w:tc>
        <w:tc>
          <w:tcPr>
            <w:tcW w:w="1022" w:type="dxa"/>
            <w:noWrap w:val="0"/>
            <w:vAlign w:val="top"/>
          </w:tcPr>
          <w:p w14:paraId="2D53333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0.52</w:t>
            </w:r>
          </w:p>
        </w:tc>
        <w:tc>
          <w:tcPr>
            <w:tcW w:w="1185" w:type="dxa"/>
            <w:noWrap w:val="0"/>
            <w:vAlign w:val="top"/>
          </w:tcPr>
          <w:p w14:paraId="6E02E0F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48.15%</w:t>
            </w:r>
          </w:p>
        </w:tc>
        <w:tc>
          <w:tcPr>
            <w:tcW w:w="1174" w:type="dxa"/>
            <w:noWrap w:val="0"/>
            <w:vAlign w:val="top"/>
          </w:tcPr>
          <w:p w14:paraId="2F5C700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r>
      <w:tr w14:paraId="6A794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85" w:type="dxa"/>
            <w:noWrap w:val="0"/>
            <w:vAlign w:val="top"/>
          </w:tcPr>
          <w:p w14:paraId="641DB5BA">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.沿用国家标准原文。</w:t>
            </w:r>
          </w:p>
        </w:tc>
        <w:tc>
          <w:tcPr>
            <w:tcW w:w="1022" w:type="dxa"/>
            <w:noWrap w:val="0"/>
            <w:vAlign w:val="top"/>
          </w:tcPr>
          <w:p w14:paraId="2A223AB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0.44</w:t>
            </w:r>
          </w:p>
        </w:tc>
        <w:tc>
          <w:tcPr>
            <w:tcW w:w="1185" w:type="dxa"/>
            <w:noWrap w:val="0"/>
            <w:vAlign w:val="top"/>
          </w:tcPr>
          <w:p w14:paraId="6892030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55.56%</w:t>
            </w:r>
          </w:p>
        </w:tc>
        <w:tc>
          <w:tcPr>
            <w:tcW w:w="1174" w:type="dxa"/>
            <w:noWrap w:val="0"/>
            <w:vAlign w:val="top"/>
          </w:tcPr>
          <w:p w14:paraId="2DE8131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12</w:t>
            </w:r>
          </w:p>
        </w:tc>
      </w:tr>
      <w:tr w14:paraId="2288C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685" w:type="dxa"/>
            <w:noWrap w:val="0"/>
            <w:vAlign w:val="top"/>
          </w:tcPr>
          <w:p w14:paraId="3475045B">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G.</w:t>
            </w:r>
            <w:r>
              <w:rPr>
                <w:rFonts w:hint="eastAsia" w:ascii="仿宋" w:hAnsi="仿宋" w:eastAsia="仿宋" w:cs="Calibri"/>
                <w:kern w:val="0"/>
                <w:sz w:val="24"/>
                <w:szCs w:val="24"/>
                <w:lang w:val="en-US" w:eastAsia="zh-CN"/>
              </w:rPr>
              <w:t>其他</w:t>
            </w:r>
          </w:p>
        </w:tc>
        <w:tc>
          <w:tcPr>
            <w:tcW w:w="1022" w:type="dxa"/>
            <w:noWrap w:val="0"/>
            <w:vAlign w:val="top"/>
          </w:tcPr>
          <w:p w14:paraId="5330CB2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85" w:type="dxa"/>
            <w:noWrap w:val="0"/>
            <w:vAlign w:val="top"/>
          </w:tcPr>
          <w:p w14:paraId="7463184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1174" w:type="dxa"/>
            <w:noWrap w:val="0"/>
            <w:vAlign w:val="top"/>
          </w:tcPr>
          <w:p w14:paraId="1C69181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7F747039">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2.10水底捞月调查结果</w:t>
      </w:r>
    </w:p>
    <w:p w14:paraId="0A09E6BF">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17 水底捞月调查结果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2"/>
        <w:gridCol w:w="696"/>
        <w:gridCol w:w="1056"/>
        <w:gridCol w:w="456"/>
      </w:tblGrid>
      <w:tr w14:paraId="260BE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6BCEE77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05C7162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18"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18" DrawAspect="Content" ObjectID="_1468075741" r:id="rId31">
                  <o:LockedField>false</o:LockedField>
                </o:OLEObject>
              </w:object>
            </w:r>
          </w:p>
        </w:tc>
        <w:tc>
          <w:tcPr>
            <w:tcW w:w="0" w:type="auto"/>
            <w:noWrap w:val="0"/>
            <w:vAlign w:val="top"/>
          </w:tcPr>
          <w:p w14:paraId="204B1AF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4BD4CD8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6B032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66C1FB64">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 xml:space="preserve">A. </w:t>
            </w:r>
            <w:r>
              <w:rPr>
                <w:rFonts w:hint="eastAsia" w:ascii="仿宋" w:hAnsi="仿宋" w:eastAsia="仿宋" w:cs="Calibri"/>
                <w:kern w:val="0"/>
                <w:sz w:val="24"/>
                <w:szCs w:val="24"/>
                <w:lang w:val="en-US" w:eastAsia="zh-CN"/>
              </w:rPr>
              <w:t>医者用左手拿小儿四指，掌心向上，先掐总经，清天河水，右手滴凉水于内劳宫处，用手扇几下，再滴一点水于总筋处，然后用屈曲的中指节往右运劳宫穴，并以口吹气，随吹随运。</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 xml:space="preserve">                                   </w:t>
            </w:r>
          </w:p>
        </w:tc>
        <w:tc>
          <w:tcPr>
            <w:tcW w:w="0" w:type="auto"/>
            <w:noWrap w:val="0"/>
            <w:vAlign w:val="top"/>
          </w:tcPr>
          <w:p w14:paraId="737A0D0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0" w:type="auto"/>
            <w:noWrap w:val="0"/>
            <w:vAlign w:val="top"/>
          </w:tcPr>
          <w:p w14:paraId="3D28214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14C4E44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047A8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1D64527C">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 xml:space="preserve">B. </w:t>
            </w:r>
            <w:r>
              <w:rPr>
                <w:rFonts w:hint="eastAsia" w:ascii="仿宋" w:hAnsi="仿宋" w:eastAsia="仿宋" w:cs="Calibri"/>
                <w:kern w:val="0"/>
                <w:sz w:val="24"/>
                <w:szCs w:val="24"/>
                <w:lang w:val="en-US" w:eastAsia="zh-CN"/>
              </w:rPr>
              <w:t>医者用中指端蘸水由小指尖经掌小横纹推向手掌根部坎宫穴，再回转至内劳宫穴，边推运边吹凉气。用于高热烦躁、神昏谵语、邪入营血、便秘等实热证。</w:t>
            </w:r>
            <w:r>
              <w:rPr>
                <w:rFonts w:hint="default" w:ascii="仿宋" w:hAnsi="仿宋" w:eastAsia="仿宋" w:cs="Calibri"/>
                <w:kern w:val="0"/>
                <w:sz w:val="24"/>
                <w:szCs w:val="24"/>
                <w:lang w:val="en-US" w:eastAsia="zh-CN"/>
              </w:rPr>
              <w:t xml:space="preserve">                                      </w:t>
            </w:r>
          </w:p>
        </w:tc>
        <w:tc>
          <w:tcPr>
            <w:tcW w:w="0" w:type="auto"/>
            <w:noWrap w:val="0"/>
            <w:vAlign w:val="top"/>
          </w:tcPr>
          <w:p w14:paraId="2CDE0C6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0.15</w:t>
            </w:r>
          </w:p>
        </w:tc>
        <w:tc>
          <w:tcPr>
            <w:tcW w:w="0" w:type="auto"/>
            <w:noWrap w:val="0"/>
            <w:vAlign w:val="top"/>
          </w:tcPr>
          <w:p w14:paraId="4D505C3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85.19%</w:t>
            </w:r>
          </w:p>
        </w:tc>
        <w:tc>
          <w:tcPr>
            <w:tcW w:w="0" w:type="auto"/>
            <w:noWrap w:val="0"/>
            <w:vAlign w:val="top"/>
          </w:tcPr>
          <w:p w14:paraId="7C22CF8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w:t>
            </w:r>
          </w:p>
        </w:tc>
      </w:tr>
      <w:tr w14:paraId="59085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7C44F20E">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右手四指扇七下，再滴水于总经中即是心经，又滴水天河水即关腑居中，医口吹气四五口，将儿中指屈之，医左大指掐住，医右手捏卷，将中指节自总上按摩到曲池。</w:t>
            </w:r>
          </w:p>
        </w:tc>
        <w:tc>
          <w:tcPr>
            <w:tcW w:w="0" w:type="auto"/>
            <w:noWrap w:val="0"/>
            <w:vAlign w:val="top"/>
          </w:tcPr>
          <w:p w14:paraId="17844B1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0" w:type="auto"/>
            <w:noWrap w:val="0"/>
            <w:vAlign w:val="top"/>
          </w:tcPr>
          <w:p w14:paraId="257BCA3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7E568FF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787D4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40CB46F9">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患儿取坐位或仰卧位。术者坐其身前一侧，用一手握捏住患儿四指，将掌面向上，用冷水滴入患儿掌心，用另一手拇指螺纹面着力，紧贴患儿掌心并做旋推法，或由小指根推运起，经掌小横纹、坎宫至掌心，边推边用口对着掌心吹凉气，反复操作3</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5分钟。</w:t>
            </w:r>
          </w:p>
        </w:tc>
        <w:tc>
          <w:tcPr>
            <w:tcW w:w="0" w:type="auto"/>
            <w:noWrap w:val="0"/>
            <w:vAlign w:val="top"/>
          </w:tcPr>
          <w:p w14:paraId="29FBCD0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0.52</w:t>
            </w:r>
          </w:p>
        </w:tc>
        <w:tc>
          <w:tcPr>
            <w:tcW w:w="0" w:type="auto"/>
            <w:noWrap w:val="0"/>
            <w:vAlign w:val="top"/>
          </w:tcPr>
          <w:p w14:paraId="0237BD6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48.15%</w:t>
            </w:r>
          </w:p>
        </w:tc>
        <w:tc>
          <w:tcPr>
            <w:tcW w:w="0" w:type="auto"/>
            <w:noWrap w:val="0"/>
            <w:vAlign w:val="top"/>
          </w:tcPr>
          <w:p w14:paraId="423DA20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r>
      <w:tr w14:paraId="3924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7A3F625D">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沿用国家标准原文。</w:t>
            </w:r>
          </w:p>
        </w:tc>
        <w:tc>
          <w:tcPr>
            <w:tcW w:w="0" w:type="auto"/>
            <w:noWrap w:val="0"/>
            <w:vAlign w:val="top"/>
          </w:tcPr>
          <w:p w14:paraId="1F86B20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0.33</w:t>
            </w:r>
          </w:p>
        </w:tc>
        <w:tc>
          <w:tcPr>
            <w:tcW w:w="0" w:type="auto"/>
            <w:noWrap w:val="0"/>
            <w:vAlign w:val="top"/>
          </w:tcPr>
          <w:p w14:paraId="25C1897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66.67%</w:t>
            </w:r>
          </w:p>
        </w:tc>
        <w:tc>
          <w:tcPr>
            <w:tcW w:w="0" w:type="auto"/>
            <w:noWrap w:val="0"/>
            <w:vAlign w:val="top"/>
          </w:tcPr>
          <w:p w14:paraId="100B690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w:t>
            </w:r>
          </w:p>
        </w:tc>
      </w:tr>
      <w:tr w14:paraId="4CA2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0" w:type="auto"/>
            <w:noWrap w:val="0"/>
            <w:vAlign w:val="top"/>
          </w:tcPr>
          <w:p w14:paraId="24BFBFE6">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其他</w:t>
            </w:r>
          </w:p>
        </w:tc>
        <w:tc>
          <w:tcPr>
            <w:tcW w:w="0" w:type="auto"/>
            <w:noWrap w:val="0"/>
            <w:vAlign w:val="top"/>
          </w:tcPr>
          <w:p w14:paraId="2CB7B3F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0" w:type="auto"/>
            <w:noWrap w:val="0"/>
            <w:vAlign w:val="top"/>
          </w:tcPr>
          <w:p w14:paraId="26E0D08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7D48F91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6C7BC6D3">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2.11打马过天河调查结果</w:t>
      </w:r>
    </w:p>
    <w:p w14:paraId="39FB9566">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18 打马过天河调查结果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2"/>
        <w:gridCol w:w="696"/>
        <w:gridCol w:w="1056"/>
        <w:gridCol w:w="456"/>
      </w:tblGrid>
      <w:tr w14:paraId="3B522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10A6A8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584" w:type="dxa"/>
            <w:noWrap w:val="0"/>
            <w:vAlign w:val="top"/>
          </w:tcPr>
          <w:p w14:paraId="4BC35FA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19"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19" DrawAspect="Content" ObjectID="_1468075742" r:id="rId32">
                  <o:LockedField>false</o:LockedField>
                </o:OLEObject>
              </w:object>
            </w:r>
          </w:p>
        </w:tc>
        <w:tc>
          <w:tcPr>
            <w:tcW w:w="951" w:type="dxa"/>
            <w:noWrap w:val="0"/>
            <w:vAlign w:val="top"/>
          </w:tcPr>
          <w:p w14:paraId="3890C2A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0D965DF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72CE6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BD8DB53">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用右大指面运儿内劳宫，再将四肢屈起，使其指尖向上，以右大指自总经弹至天河。</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 xml:space="preserve">                                  </w:t>
            </w:r>
          </w:p>
        </w:tc>
        <w:tc>
          <w:tcPr>
            <w:tcW w:w="584" w:type="dxa"/>
            <w:noWrap w:val="0"/>
            <w:vAlign w:val="top"/>
          </w:tcPr>
          <w:p w14:paraId="5BA03E8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951" w:type="dxa"/>
            <w:noWrap w:val="0"/>
            <w:vAlign w:val="top"/>
          </w:tcPr>
          <w:p w14:paraId="76CC8A8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1451B04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59158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FEA0A0D">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B.</w:t>
            </w:r>
            <w:r>
              <w:rPr>
                <w:rFonts w:hint="eastAsia" w:ascii="仿宋" w:hAnsi="仿宋" w:eastAsia="仿宋" w:cs="Calibri"/>
                <w:kern w:val="0"/>
                <w:sz w:val="24"/>
                <w:szCs w:val="24"/>
                <w:lang w:val="en-US" w:eastAsia="zh-CN"/>
              </w:rPr>
              <w:t>用示、中、环指由儿上马穴边经手背推到天河，与捞明月相似。</w:t>
            </w:r>
            <w:r>
              <w:rPr>
                <w:rFonts w:hint="default" w:ascii="仿宋" w:hAnsi="仿宋" w:eastAsia="仿宋" w:cs="Calibri"/>
                <w:kern w:val="0"/>
                <w:sz w:val="24"/>
                <w:szCs w:val="24"/>
                <w:lang w:val="en-US" w:eastAsia="zh-CN"/>
              </w:rPr>
              <w:t xml:space="preserve">                                              </w:t>
            </w:r>
          </w:p>
        </w:tc>
        <w:tc>
          <w:tcPr>
            <w:tcW w:w="584" w:type="dxa"/>
            <w:noWrap w:val="0"/>
            <w:vAlign w:val="top"/>
          </w:tcPr>
          <w:p w14:paraId="4E70879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951" w:type="dxa"/>
            <w:noWrap w:val="0"/>
            <w:vAlign w:val="top"/>
          </w:tcPr>
          <w:p w14:paraId="015836D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39235E7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15C6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934F403">
            <w:pPr>
              <w:widowControl/>
              <w:spacing w:line="400" w:lineRule="exact"/>
              <w:jc w:val="left"/>
              <w:rPr>
                <w:rFonts w:hint="default" w:ascii="仿宋" w:hAnsi="仿宋" w:eastAsia="仿宋" w:cs="Calibri"/>
                <w:kern w:val="0"/>
                <w:sz w:val="24"/>
                <w:szCs w:val="24"/>
                <w:lang w:val="en-US" w:eastAsia="zh-CN"/>
              </w:rPr>
            </w:pPr>
            <w:bookmarkStart w:id="1" w:name="OLE_LINK1"/>
            <w:r>
              <w:rPr>
                <w:rFonts w:hint="eastAsia" w:ascii="仿宋" w:hAnsi="仿宋" w:eastAsia="仿宋" w:cs="Calibri"/>
                <w:kern w:val="0"/>
                <w:sz w:val="24"/>
                <w:szCs w:val="24"/>
                <w:lang w:val="en-US" w:eastAsia="zh-CN"/>
              </w:rPr>
              <w:t>C</w:t>
            </w:r>
            <w:r>
              <w:rPr>
                <w:rFonts w:hint="default" w:ascii="仿宋" w:hAnsi="仿宋" w:eastAsia="仿宋" w:cs="Calibri"/>
                <w:kern w:val="0"/>
                <w:sz w:val="24"/>
                <w:szCs w:val="24"/>
                <w:lang w:val="en-US" w:eastAsia="zh-CN"/>
              </w:rPr>
              <w:t>.</w:t>
            </w:r>
            <w:r>
              <w:rPr>
                <w:rFonts w:hint="eastAsia" w:ascii="仿宋" w:hAnsi="仿宋" w:eastAsia="仿宋" w:cs="Calibri"/>
                <w:kern w:val="0"/>
                <w:sz w:val="24"/>
                <w:szCs w:val="24"/>
                <w:lang w:val="en-US" w:eastAsia="zh-CN"/>
              </w:rPr>
              <w:t>用示、中指从儿上马穴边打起，直到天河，去四回三，至曲池处弹一下。</w:t>
            </w:r>
          </w:p>
        </w:tc>
        <w:tc>
          <w:tcPr>
            <w:tcW w:w="584" w:type="dxa"/>
            <w:noWrap w:val="0"/>
            <w:vAlign w:val="top"/>
          </w:tcPr>
          <w:p w14:paraId="6D64D8A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951" w:type="dxa"/>
            <w:noWrap w:val="0"/>
            <w:vAlign w:val="top"/>
          </w:tcPr>
          <w:p w14:paraId="11E7B4A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0343404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6480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3E7F55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D</w:t>
            </w:r>
            <w:r>
              <w:rPr>
                <w:rFonts w:hint="default" w:ascii="仿宋" w:hAnsi="仿宋" w:eastAsia="仿宋" w:cs="Calibri"/>
                <w:kern w:val="0"/>
                <w:sz w:val="24"/>
                <w:szCs w:val="24"/>
                <w:lang w:val="en-US" w:eastAsia="zh-CN"/>
              </w:rPr>
              <w:t>.</w:t>
            </w:r>
            <w:r>
              <w:rPr>
                <w:rFonts w:hint="eastAsia" w:ascii="仿宋" w:hAnsi="仿宋" w:eastAsia="仿宋" w:cs="Calibri"/>
                <w:kern w:val="0"/>
                <w:sz w:val="24"/>
                <w:szCs w:val="24"/>
                <w:lang w:val="en-US" w:eastAsia="zh-CN"/>
              </w:rPr>
              <w:t>中指为午位，属马。用示、中指弹儿中指甲10余次，随后拿至天河。按摇数次，再用示、中指沿天河打至手弯处数次。以上五法性温凉，可行气和血、通关节脉窍。</w:t>
            </w:r>
          </w:p>
        </w:tc>
        <w:tc>
          <w:tcPr>
            <w:tcW w:w="584" w:type="dxa"/>
            <w:noWrap w:val="0"/>
            <w:vAlign w:val="top"/>
          </w:tcPr>
          <w:p w14:paraId="0ADD49A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951" w:type="dxa"/>
            <w:noWrap w:val="0"/>
            <w:vAlign w:val="top"/>
          </w:tcPr>
          <w:p w14:paraId="42D982C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0" w:type="auto"/>
            <w:noWrap w:val="0"/>
            <w:vAlign w:val="top"/>
          </w:tcPr>
          <w:p w14:paraId="0234A52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40325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43ED48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E</w:t>
            </w:r>
            <w:r>
              <w:rPr>
                <w:rFonts w:hint="default" w:ascii="仿宋" w:hAnsi="仿宋" w:eastAsia="仿宋" w:cs="Calibri"/>
                <w:kern w:val="0"/>
                <w:sz w:val="24"/>
                <w:szCs w:val="24"/>
                <w:lang w:val="en-US" w:eastAsia="zh-CN"/>
              </w:rPr>
              <w:t>.</w:t>
            </w:r>
            <w:r>
              <w:rPr>
                <w:rFonts w:hint="eastAsia" w:ascii="仿宋" w:hAnsi="仿宋" w:eastAsia="仿宋" w:cs="Calibri"/>
                <w:kern w:val="0"/>
                <w:sz w:val="24"/>
                <w:szCs w:val="24"/>
                <w:lang w:val="en-US" w:eastAsia="zh-CN"/>
              </w:rPr>
              <w:t>一手握住患儿手掌，一手用拇指由其手心劳宫穴往上推至腕上3寸间使穴，然后左转推回至劳宫穴。推左手者经腕臂尺侧部而还；推右手者经腕臂桡侧部而还。推劳宫可补心气，推左手由尺侧而还可通小肠之气，推右手经桡侧而还可通大肠之气。用于寒热往来、高热神昏。</w:t>
            </w:r>
          </w:p>
        </w:tc>
        <w:tc>
          <w:tcPr>
            <w:tcW w:w="584" w:type="dxa"/>
            <w:noWrap w:val="0"/>
            <w:vAlign w:val="top"/>
          </w:tcPr>
          <w:p w14:paraId="481642D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951" w:type="dxa"/>
            <w:noWrap w:val="0"/>
            <w:vAlign w:val="top"/>
          </w:tcPr>
          <w:p w14:paraId="63A7A1C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44FF4CE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11C0F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BDBB86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F</w:t>
            </w:r>
            <w:r>
              <w:rPr>
                <w:rFonts w:hint="default" w:ascii="仿宋" w:hAnsi="仿宋" w:eastAsia="仿宋" w:cs="Calibri"/>
                <w:kern w:val="0"/>
                <w:sz w:val="24"/>
                <w:szCs w:val="24"/>
                <w:lang w:val="en-US" w:eastAsia="zh-CN"/>
              </w:rPr>
              <w:t>.</w:t>
            </w:r>
            <w:r>
              <w:rPr>
                <w:rFonts w:hint="eastAsia" w:ascii="仿宋" w:hAnsi="仿宋" w:eastAsia="仿宋" w:cs="Calibri"/>
                <w:kern w:val="0"/>
                <w:sz w:val="24"/>
                <w:szCs w:val="24"/>
                <w:lang w:val="en-US" w:eastAsia="zh-CN"/>
              </w:rPr>
              <w:t>凡做此法，右运劳宫毕，曲指向上，弹内关出、间使天河边。</w:t>
            </w:r>
          </w:p>
        </w:tc>
        <w:tc>
          <w:tcPr>
            <w:tcW w:w="584" w:type="dxa"/>
            <w:noWrap w:val="0"/>
            <w:vAlign w:val="top"/>
          </w:tcPr>
          <w:p w14:paraId="62C7A5A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951" w:type="dxa"/>
            <w:noWrap w:val="0"/>
            <w:vAlign w:val="top"/>
          </w:tcPr>
          <w:p w14:paraId="16C3DED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2786A2F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2523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7690C4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G</w:t>
            </w:r>
            <w:r>
              <w:rPr>
                <w:rFonts w:hint="default" w:ascii="仿宋" w:hAnsi="仿宋" w:eastAsia="仿宋" w:cs="Calibri"/>
                <w:kern w:val="0"/>
                <w:sz w:val="24"/>
                <w:szCs w:val="24"/>
                <w:lang w:val="en-US" w:eastAsia="zh-CN"/>
              </w:rPr>
              <w:t>.</w:t>
            </w:r>
            <w:r>
              <w:rPr>
                <w:rFonts w:hint="eastAsia" w:ascii="仿宋" w:hAnsi="仿宋" w:eastAsia="仿宋" w:cs="Calibri"/>
                <w:kern w:val="0"/>
                <w:sz w:val="24"/>
                <w:szCs w:val="24"/>
                <w:lang w:val="en-US" w:eastAsia="zh-CN"/>
              </w:rPr>
              <w:t>医用左大指掐儿总筋，右大中指如弹琴，当河弹过曲池，弹九次，再将右大指掐儿肩井、琵琶、走马三穴，掐下五次是也。</w:t>
            </w:r>
          </w:p>
        </w:tc>
        <w:tc>
          <w:tcPr>
            <w:tcW w:w="584" w:type="dxa"/>
            <w:noWrap w:val="0"/>
            <w:vAlign w:val="top"/>
          </w:tcPr>
          <w:p w14:paraId="5858102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951" w:type="dxa"/>
            <w:noWrap w:val="0"/>
            <w:vAlign w:val="top"/>
          </w:tcPr>
          <w:p w14:paraId="1DE62E5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7209144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151A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7BFC97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H</w:t>
            </w:r>
            <w:r>
              <w:rPr>
                <w:rFonts w:hint="default" w:ascii="仿宋" w:hAnsi="仿宋" w:eastAsia="仿宋" w:cs="Calibri"/>
                <w:kern w:val="0"/>
                <w:sz w:val="24"/>
                <w:szCs w:val="24"/>
                <w:lang w:val="en-US" w:eastAsia="zh-CN"/>
              </w:rPr>
              <w:t>.患儿取坐位或仰卧位。术者坐其前旁，用一手捏住患儿四指，将掌心向上，用另一手的中指面运内劳宫后，再用食、中、无名指三指沾凉水，由总筋起沿天河水打至洪池穴，或用食、中两指沿天河水弹击至肘弯处，边弹打边吹凉气，弹击20</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30遍。</w:t>
            </w:r>
          </w:p>
        </w:tc>
        <w:tc>
          <w:tcPr>
            <w:tcW w:w="584" w:type="dxa"/>
            <w:noWrap w:val="0"/>
            <w:vAlign w:val="top"/>
          </w:tcPr>
          <w:p w14:paraId="29CE7D1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0.7</w:t>
            </w:r>
          </w:p>
        </w:tc>
        <w:tc>
          <w:tcPr>
            <w:tcW w:w="951" w:type="dxa"/>
            <w:noWrap w:val="0"/>
            <w:vAlign w:val="top"/>
          </w:tcPr>
          <w:p w14:paraId="47A9B49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29.63%</w:t>
            </w:r>
          </w:p>
        </w:tc>
        <w:tc>
          <w:tcPr>
            <w:tcW w:w="0" w:type="auto"/>
            <w:noWrap w:val="0"/>
            <w:vAlign w:val="top"/>
          </w:tcPr>
          <w:p w14:paraId="230AA03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r>
      <w:tr w14:paraId="3EEE8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913006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I</w:t>
            </w:r>
            <w:r>
              <w:rPr>
                <w:rFonts w:hint="default" w:ascii="仿宋" w:hAnsi="仿宋" w:eastAsia="仿宋" w:cs="Calibri"/>
                <w:kern w:val="0"/>
                <w:sz w:val="24"/>
                <w:szCs w:val="24"/>
                <w:lang w:val="en-US" w:eastAsia="zh-CN"/>
              </w:rPr>
              <w:t>.</w:t>
            </w:r>
            <w:r>
              <w:rPr>
                <w:rFonts w:hint="eastAsia" w:ascii="仿宋" w:hAnsi="仿宋" w:eastAsia="仿宋" w:cs="Calibri"/>
                <w:kern w:val="0"/>
                <w:sz w:val="24"/>
                <w:szCs w:val="24"/>
                <w:lang w:val="en-US" w:eastAsia="zh-CN"/>
              </w:rPr>
              <w:t>沿用国家标准原文。</w:t>
            </w:r>
          </w:p>
        </w:tc>
        <w:tc>
          <w:tcPr>
            <w:tcW w:w="584" w:type="dxa"/>
            <w:noWrap w:val="0"/>
            <w:vAlign w:val="top"/>
          </w:tcPr>
          <w:p w14:paraId="2B8974A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951" w:type="dxa"/>
            <w:noWrap w:val="0"/>
            <w:vAlign w:val="top"/>
          </w:tcPr>
          <w:p w14:paraId="17678E5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0" w:type="auto"/>
            <w:noWrap w:val="0"/>
            <w:vAlign w:val="top"/>
          </w:tcPr>
          <w:p w14:paraId="1E02923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r w14:paraId="30DD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EAF620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J.其他</w:t>
            </w:r>
          </w:p>
        </w:tc>
        <w:tc>
          <w:tcPr>
            <w:tcW w:w="584" w:type="dxa"/>
            <w:noWrap w:val="0"/>
            <w:vAlign w:val="top"/>
          </w:tcPr>
          <w:p w14:paraId="0F3F73B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0.07</w:t>
            </w:r>
          </w:p>
        </w:tc>
        <w:tc>
          <w:tcPr>
            <w:tcW w:w="951" w:type="dxa"/>
            <w:noWrap w:val="0"/>
            <w:vAlign w:val="top"/>
          </w:tcPr>
          <w:p w14:paraId="65C663F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92.59%</w:t>
            </w:r>
          </w:p>
        </w:tc>
        <w:tc>
          <w:tcPr>
            <w:tcW w:w="0" w:type="auto"/>
            <w:noWrap w:val="0"/>
            <w:vAlign w:val="top"/>
          </w:tcPr>
          <w:p w14:paraId="498684A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w:t>
            </w:r>
          </w:p>
        </w:tc>
      </w:tr>
    </w:tbl>
    <w:p w14:paraId="1033B135">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2.12黄蜂入洞调查结果</w:t>
      </w:r>
    </w:p>
    <w:p w14:paraId="38283475">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19 黄蜂入洞调查结果</w:t>
      </w:r>
    </w:p>
    <w:tbl>
      <w:tblPr>
        <w:tblStyle w:val="81"/>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8"/>
        <w:gridCol w:w="1054"/>
        <w:gridCol w:w="1120"/>
        <w:gridCol w:w="844"/>
      </w:tblGrid>
      <w:tr w14:paraId="3027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3C24AC2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1054" w:type="dxa"/>
            <w:noWrap w:val="0"/>
            <w:vAlign w:val="top"/>
          </w:tcPr>
          <w:p w14:paraId="27B439E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0"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0" DrawAspect="Content" ObjectID="_1468075743" r:id="rId33">
                  <o:LockedField>false</o:LockedField>
                </o:OLEObject>
              </w:object>
            </w:r>
          </w:p>
        </w:tc>
        <w:tc>
          <w:tcPr>
            <w:tcW w:w="1120" w:type="dxa"/>
            <w:noWrap w:val="0"/>
            <w:vAlign w:val="top"/>
          </w:tcPr>
          <w:p w14:paraId="286D626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844" w:type="dxa"/>
            <w:noWrap w:val="0"/>
            <w:vAlign w:val="top"/>
          </w:tcPr>
          <w:p w14:paraId="442BBB2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3DD6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62E41972">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原文：“黄蜂入洞：屈儿小指，揉儿劳宫，去风寒也”。施术部位位于手掌心，主要涉及内劳宫穴，操作手法以揉法为主。</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 xml:space="preserve">                                  </w:t>
            </w:r>
          </w:p>
        </w:tc>
        <w:tc>
          <w:tcPr>
            <w:tcW w:w="1054" w:type="dxa"/>
            <w:noWrap w:val="0"/>
            <w:vAlign w:val="top"/>
          </w:tcPr>
          <w:p w14:paraId="0AD4B1C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120" w:type="dxa"/>
            <w:noWrap w:val="0"/>
            <w:vAlign w:val="top"/>
          </w:tcPr>
          <w:p w14:paraId="751287B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844" w:type="dxa"/>
            <w:noWrap w:val="0"/>
            <w:vAlign w:val="top"/>
          </w:tcPr>
          <w:p w14:paraId="65BA9F4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0780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5A4320F9">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B.</w:t>
            </w:r>
            <w:r>
              <w:rPr>
                <w:rFonts w:hint="eastAsia" w:ascii="仿宋" w:hAnsi="仿宋" w:eastAsia="仿宋" w:cs="Calibri"/>
                <w:kern w:val="0"/>
                <w:sz w:val="24"/>
                <w:szCs w:val="24"/>
                <w:lang w:val="en-US" w:eastAsia="zh-CN"/>
              </w:rPr>
              <w:t>原文：“黄蜂入洞法：大热。一掐心经，二掐劳宫，先开三关，后做此法。将左右二大指先分阴阳，二大指并向前，众小指随后，一撮，一上，发汗可用”。施术部位位于中指、手掌心、腕部及前臂，涉及心经、内劳宫、三关、手阴阳等穴位。操作手法与顺序分别为掐法（心经、内劳宫）、直推法（三关）、分推法（手阴阳）、捏法（前臂正中及两侧）。</w:t>
            </w:r>
            <w:r>
              <w:rPr>
                <w:rFonts w:hint="default" w:ascii="仿宋" w:hAnsi="仿宋" w:eastAsia="仿宋" w:cs="Calibri"/>
                <w:kern w:val="0"/>
                <w:sz w:val="24"/>
                <w:szCs w:val="24"/>
                <w:lang w:val="en-US" w:eastAsia="zh-CN"/>
              </w:rPr>
              <w:t xml:space="preserve">                                      </w:t>
            </w:r>
          </w:p>
        </w:tc>
        <w:tc>
          <w:tcPr>
            <w:tcW w:w="1054" w:type="dxa"/>
            <w:noWrap w:val="0"/>
            <w:vAlign w:val="top"/>
          </w:tcPr>
          <w:p w14:paraId="1CCBC8F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0" w:type="dxa"/>
            <w:noWrap w:val="0"/>
            <w:vAlign w:val="top"/>
          </w:tcPr>
          <w:p w14:paraId="64C2247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44" w:type="dxa"/>
            <w:noWrap w:val="0"/>
            <w:vAlign w:val="top"/>
          </w:tcPr>
          <w:p w14:paraId="6D87521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58CC5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491E10BA">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原文：“黄蜂入洞（属火）：医将二大指，跪入两耳数十次，能通气。如前所云，扳耳、掩耳门俱是，余皆非”。施术部位位于耳部，风门穴（耳风门）。操作手法为按法。</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 xml:space="preserve">                                  </w:t>
            </w:r>
          </w:p>
        </w:tc>
        <w:tc>
          <w:tcPr>
            <w:tcW w:w="1054" w:type="dxa"/>
            <w:noWrap w:val="0"/>
            <w:vAlign w:val="top"/>
          </w:tcPr>
          <w:p w14:paraId="4610F19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0" w:type="dxa"/>
            <w:noWrap w:val="0"/>
            <w:vAlign w:val="top"/>
          </w:tcPr>
          <w:p w14:paraId="095510B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44" w:type="dxa"/>
            <w:noWrap w:val="0"/>
            <w:vAlign w:val="top"/>
          </w:tcPr>
          <w:p w14:paraId="1B0186A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7EFC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6C64CD2D">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原文：“黄蜂入洞（三法）：二大指跪入儿两耳数十次能通气。又，屈儿小指揉劳宫。又，用大食二指掐儿中指根两边”。施术部位第一法：位于耳部，风门（耳风门）穴；第二法：位于手掌心，内劳宫穴；第三法：位于中指根部两边，二扇门穴。操作手法为按法、揉法、掐法。</w:t>
            </w:r>
            <w:r>
              <w:rPr>
                <w:rFonts w:hint="default" w:ascii="仿宋" w:hAnsi="仿宋" w:eastAsia="仿宋" w:cs="Calibri"/>
                <w:kern w:val="0"/>
                <w:sz w:val="24"/>
                <w:szCs w:val="24"/>
                <w:lang w:val="en-US" w:eastAsia="zh-CN"/>
              </w:rPr>
              <w:t xml:space="preserve">                                                                           </w:t>
            </w:r>
          </w:p>
        </w:tc>
        <w:tc>
          <w:tcPr>
            <w:tcW w:w="1054" w:type="dxa"/>
            <w:noWrap w:val="0"/>
            <w:vAlign w:val="top"/>
          </w:tcPr>
          <w:p w14:paraId="7F7BDD9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0" w:type="dxa"/>
            <w:noWrap w:val="0"/>
            <w:vAlign w:val="top"/>
          </w:tcPr>
          <w:p w14:paraId="38C3EAC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44" w:type="dxa"/>
            <w:noWrap w:val="0"/>
            <w:vAlign w:val="top"/>
          </w:tcPr>
          <w:p w14:paraId="0B31555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022C3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22F8C222">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原文：“黄蜂入洞法：以儿左手掌向上，医用两手中名小三指托住，将两大指在三关六腑之中，左食指靠腑，右食指靠关，中掐傍揉，自总经起循环转动至曲池边，横空三指，自下而复上，三四转为妙”。施术部位位于前臂掌面及两侧，主要涉及三关、六腑、总经（筋）、曲池等穴位。操作手法为掐法和揉法。</w:t>
            </w:r>
          </w:p>
        </w:tc>
        <w:tc>
          <w:tcPr>
            <w:tcW w:w="1054" w:type="dxa"/>
            <w:noWrap w:val="0"/>
            <w:vAlign w:val="top"/>
          </w:tcPr>
          <w:p w14:paraId="72EDDAB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0" w:type="dxa"/>
            <w:noWrap w:val="0"/>
            <w:vAlign w:val="top"/>
          </w:tcPr>
          <w:p w14:paraId="7E81706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44" w:type="dxa"/>
            <w:noWrap w:val="0"/>
            <w:vAlign w:val="top"/>
          </w:tcPr>
          <w:p w14:paraId="62CC167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306CB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115665B9">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原文：“黄蜂入洞：洞在小儿两鼻孔，我食、将二指头，一对黄蜂也。其法屈我大指，伸我食将二指，入小儿两鼻孔揉之，如黄蜂入洞之状”。施术部位位于鼻孔。操作手法为揉法。</w:t>
            </w:r>
          </w:p>
        </w:tc>
        <w:tc>
          <w:tcPr>
            <w:tcW w:w="1054" w:type="dxa"/>
            <w:noWrap w:val="0"/>
            <w:vAlign w:val="top"/>
          </w:tcPr>
          <w:p w14:paraId="53194C7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0.07</w:t>
            </w:r>
          </w:p>
        </w:tc>
        <w:tc>
          <w:tcPr>
            <w:tcW w:w="1120" w:type="dxa"/>
            <w:noWrap w:val="0"/>
            <w:vAlign w:val="top"/>
          </w:tcPr>
          <w:p w14:paraId="2E9C99E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92.59%</w:t>
            </w:r>
          </w:p>
        </w:tc>
        <w:tc>
          <w:tcPr>
            <w:tcW w:w="844" w:type="dxa"/>
            <w:noWrap w:val="0"/>
            <w:vAlign w:val="top"/>
          </w:tcPr>
          <w:p w14:paraId="6D74A34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w:t>
            </w:r>
          </w:p>
        </w:tc>
      </w:tr>
      <w:tr w14:paraId="1662A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6F48D2B9">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G.</w:t>
            </w:r>
            <w:r>
              <w:rPr>
                <w:rFonts w:hint="eastAsia" w:ascii="仿宋" w:hAnsi="仿宋" w:eastAsia="仿宋" w:cs="Calibri"/>
                <w:kern w:val="0"/>
                <w:sz w:val="24"/>
                <w:szCs w:val="24"/>
                <w:lang w:val="en-US" w:eastAsia="zh-CN"/>
              </w:rPr>
              <w:t>原文：“曲儿左手小指，重揉外劳宫，名曰黄蜂入洞。”施术部位位于手掌背面外劳宫穴。操作手法为揉法。</w:t>
            </w:r>
          </w:p>
        </w:tc>
        <w:tc>
          <w:tcPr>
            <w:tcW w:w="1054" w:type="dxa"/>
            <w:noWrap w:val="0"/>
            <w:vAlign w:val="top"/>
          </w:tcPr>
          <w:p w14:paraId="57D1B06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0" w:type="dxa"/>
            <w:noWrap w:val="0"/>
            <w:vAlign w:val="top"/>
          </w:tcPr>
          <w:p w14:paraId="1DCC6F0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44" w:type="dxa"/>
            <w:noWrap w:val="0"/>
            <w:vAlign w:val="top"/>
          </w:tcPr>
          <w:p w14:paraId="4C7228B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4CB3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48DB7E86">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H.</w:t>
            </w:r>
            <w:r>
              <w:rPr>
                <w:rFonts w:hint="eastAsia" w:ascii="仿宋" w:hAnsi="仿宋" w:eastAsia="仿宋" w:cs="Calibri"/>
                <w:kern w:val="0"/>
                <w:sz w:val="24"/>
                <w:szCs w:val="24"/>
                <w:lang w:val="en-US" w:eastAsia="zh-CN"/>
              </w:rPr>
              <w:t>原文：“按风门：风门即耳门，在耳前起肉当耳缺陷中，将两大指背跪按两耳门，所谓黄蜂入洞法也”。施术部位位于耳部，风门穴（耳门）。操作手法为按法。</w:t>
            </w:r>
          </w:p>
        </w:tc>
        <w:tc>
          <w:tcPr>
            <w:tcW w:w="1054" w:type="dxa"/>
            <w:noWrap w:val="0"/>
            <w:vAlign w:val="top"/>
          </w:tcPr>
          <w:p w14:paraId="36815E7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0" w:type="dxa"/>
            <w:noWrap w:val="0"/>
            <w:vAlign w:val="top"/>
          </w:tcPr>
          <w:p w14:paraId="044C2DA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44" w:type="dxa"/>
            <w:noWrap w:val="0"/>
            <w:vAlign w:val="top"/>
          </w:tcPr>
          <w:p w14:paraId="0EF549E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1A80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20EB2C1E">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I.</w:t>
            </w:r>
            <w:r>
              <w:rPr>
                <w:rFonts w:hint="eastAsia" w:ascii="仿宋" w:hAnsi="仿宋" w:eastAsia="仿宋" w:cs="Calibri"/>
                <w:kern w:val="0"/>
                <w:sz w:val="24"/>
                <w:szCs w:val="24"/>
                <w:lang w:val="en-US" w:eastAsia="zh-CN"/>
              </w:rPr>
              <w:t>医用两大指屈于病耳，名板耳掩耳门，此法开关清热而能通气。（又云）从总心经上起，遂步而行，跳至曲池窝，一掐若蜂之入洞也。能化寒取热两手并行，施术部位在患儿耳朵与前臂。</w:t>
            </w:r>
          </w:p>
        </w:tc>
        <w:tc>
          <w:tcPr>
            <w:tcW w:w="1054" w:type="dxa"/>
            <w:noWrap w:val="0"/>
            <w:vAlign w:val="top"/>
          </w:tcPr>
          <w:p w14:paraId="2BCAFE9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0" w:type="dxa"/>
            <w:noWrap w:val="0"/>
            <w:vAlign w:val="top"/>
          </w:tcPr>
          <w:p w14:paraId="5336C0F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44" w:type="dxa"/>
            <w:noWrap w:val="0"/>
            <w:vAlign w:val="top"/>
          </w:tcPr>
          <w:p w14:paraId="7235C1D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6289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64B7483D">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J.</w:t>
            </w:r>
            <w:r>
              <w:rPr>
                <w:rFonts w:hint="eastAsia" w:ascii="仿宋" w:hAnsi="仿宋" w:eastAsia="仿宋" w:cs="Calibri"/>
                <w:kern w:val="0"/>
                <w:sz w:val="24"/>
                <w:szCs w:val="24"/>
                <w:lang w:val="en-US" w:eastAsia="zh-CN"/>
              </w:rPr>
              <w:t>黄蜂入洞穴位于鼻翼两侧，操作时医者以食、中两指分开，在鼻翼两侧微上鼻骨边缘处，上下揉之，反复操作。本法操作部位在鼻翼两侧。</w:t>
            </w:r>
          </w:p>
        </w:tc>
        <w:tc>
          <w:tcPr>
            <w:tcW w:w="1054" w:type="dxa"/>
            <w:noWrap w:val="0"/>
            <w:vAlign w:val="top"/>
          </w:tcPr>
          <w:p w14:paraId="6DA186C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120" w:type="dxa"/>
            <w:noWrap w:val="0"/>
            <w:vAlign w:val="top"/>
          </w:tcPr>
          <w:p w14:paraId="02E6A45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844" w:type="dxa"/>
            <w:noWrap w:val="0"/>
            <w:vAlign w:val="top"/>
          </w:tcPr>
          <w:p w14:paraId="0C7AEC8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29385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4DCF4C99">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K.患儿取仰卧或坐位。以一手轻扶患儿头部，使患儿头部相对固定，另一手食、中两指的指端着力，紧贴在患儿两鼻孔下缘处，以腕关节为主动，带动着力部位做反复、不间断揉动50</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100次。</w:t>
            </w:r>
          </w:p>
        </w:tc>
        <w:tc>
          <w:tcPr>
            <w:tcW w:w="1054" w:type="dxa"/>
            <w:noWrap w:val="0"/>
            <w:vAlign w:val="top"/>
          </w:tcPr>
          <w:p w14:paraId="202411E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0.56</w:t>
            </w:r>
          </w:p>
        </w:tc>
        <w:tc>
          <w:tcPr>
            <w:tcW w:w="1120" w:type="dxa"/>
            <w:noWrap w:val="0"/>
            <w:vAlign w:val="top"/>
          </w:tcPr>
          <w:p w14:paraId="009F1FD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44.44%</w:t>
            </w:r>
          </w:p>
        </w:tc>
        <w:tc>
          <w:tcPr>
            <w:tcW w:w="844" w:type="dxa"/>
            <w:noWrap w:val="0"/>
            <w:vAlign w:val="top"/>
          </w:tcPr>
          <w:p w14:paraId="6B2654D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15</w:t>
            </w:r>
          </w:p>
        </w:tc>
      </w:tr>
      <w:tr w14:paraId="6A7D5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5F3DBB11">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L.</w:t>
            </w:r>
            <w:r>
              <w:rPr>
                <w:rFonts w:hint="eastAsia" w:ascii="仿宋" w:hAnsi="仿宋" w:eastAsia="仿宋" w:cs="Calibri"/>
                <w:kern w:val="0"/>
                <w:sz w:val="24"/>
                <w:szCs w:val="24"/>
                <w:lang w:val="en-US" w:eastAsia="zh-CN"/>
              </w:rPr>
              <w:t>沿用国家标准原文。</w:t>
            </w:r>
          </w:p>
        </w:tc>
        <w:tc>
          <w:tcPr>
            <w:tcW w:w="1054" w:type="dxa"/>
            <w:noWrap w:val="0"/>
            <w:vAlign w:val="top"/>
          </w:tcPr>
          <w:p w14:paraId="0DA7806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0.26</w:t>
            </w:r>
          </w:p>
        </w:tc>
        <w:tc>
          <w:tcPr>
            <w:tcW w:w="1120" w:type="dxa"/>
            <w:noWrap w:val="0"/>
            <w:vAlign w:val="top"/>
          </w:tcPr>
          <w:p w14:paraId="7C4CC26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74.07%</w:t>
            </w:r>
          </w:p>
        </w:tc>
        <w:tc>
          <w:tcPr>
            <w:tcW w:w="844" w:type="dxa"/>
            <w:noWrap w:val="0"/>
            <w:vAlign w:val="top"/>
          </w:tcPr>
          <w:p w14:paraId="60FC064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w:t>
            </w:r>
          </w:p>
        </w:tc>
      </w:tr>
      <w:tr w14:paraId="056A4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29C02167">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M.</w:t>
            </w:r>
            <w:r>
              <w:rPr>
                <w:rFonts w:hint="eastAsia" w:ascii="仿宋" w:hAnsi="仿宋" w:eastAsia="仿宋" w:cs="Calibri"/>
                <w:kern w:val="0"/>
                <w:sz w:val="24"/>
                <w:szCs w:val="24"/>
                <w:lang w:val="en-US" w:eastAsia="zh-CN"/>
              </w:rPr>
              <w:t>其他</w:t>
            </w:r>
          </w:p>
        </w:tc>
        <w:tc>
          <w:tcPr>
            <w:tcW w:w="1054" w:type="dxa"/>
            <w:noWrap w:val="0"/>
            <w:vAlign w:val="top"/>
          </w:tcPr>
          <w:p w14:paraId="5C62428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120" w:type="dxa"/>
            <w:noWrap w:val="0"/>
            <w:vAlign w:val="top"/>
          </w:tcPr>
          <w:p w14:paraId="7EB0E67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844" w:type="dxa"/>
            <w:noWrap w:val="0"/>
            <w:vAlign w:val="top"/>
          </w:tcPr>
          <w:p w14:paraId="342A340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bookmarkEnd w:id="1"/>
    </w:tbl>
    <w:p w14:paraId="799D479D">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2.13按弦搓摩调查结果</w:t>
      </w:r>
    </w:p>
    <w:p w14:paraId="52F6F112">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20 按弦搓摩调查结果</w:t>
      </w:r>
    </w:p>
    <w:tbl>
      <w:tblPr>
        <w:tblStyle w:val="81"/>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2"/>
        <w:gridCol w:w="1055"/>
        <w:gridCol w:w="1097"/>
        <w:gridCol w:w="900"/>
      </w:tblGrid>
      <w:tr w14:paraId="6A4E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3AD0B51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1055" w:type="dxa"/>
            <w:noWrap w:val="0"/>
            <w:vAlign w:val="top"/>
          </w:tcPr>
          <w:p w14:paraId="6E60BD6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1"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1" DrawAspect="Content" ObjectID="_1468075744" r:id="rId34">
                  <o:LockedField>false</o:LockedField>
                </o:OLEObject>
              </w:object>
            </w:r>
          </w:p>
        </w:tc>
        <w:tc>
          <w:tcPr>
            <w:tcW w:w="1097" w:type="dxa"/>
            <w:noWrap w:val="0"/>
            <w:vAlign w:val="top"/>
          </w:tcPr>
          <w:p w14:paraId="2ED30D7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900" w:type="dxa"/>
            <w:noWrap w:val="0"/>
            <w:vAlign w:val="top"/>
          </w:tcPr>
          <w:p w14:paraId="0292E75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27DD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1969328A">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操作手法为先运八卦，后用指搓患儿手，关上一搓，关中一搓，关下一搓，拿患儿手，轻轻慢慢而摇，施术部位为手掌。</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 xml:space="preserve">                                  </w:t>
            </w:r>
          </w:p>
        </w:tc>
        <w:tc>
          <w:tcPr>
            <w:tcW w:w="1055" w:type="dxa"/>
            <w:noWrap w:val="0"/>
            <w:vAlign w:val="top"/>
          </w:tcPr>
          <w:p w14:paraId="294C29E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97" w:type="dxa"/>
            <w:noWrap w:val="0"/>
            <w:vAlign w:val="top"/>
          </w:tcPr>
          <w:p w14:paraId="6F0AC66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900" w:type="dxa"/>
            <w:noWrap w:val="0"/>
            <w:vAlign w:val="top"/>
          </w:tcPr>
          <w:p w14:paraId="4E049F3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4ABE4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585FD3BC">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 xml:space="preserve">B. </w:t>
            </w:r>
            <w:r>
              <w:rPr>
                <w:rFonts w:hint="eastAsia" w:ascii="仿宋" w:hAnsi="仿宋" w:eastAsia="仿宋" w:cs="Calibri"/>
                <w:kern w:val="0"/>
                <w:sz w:val="24"/>
                <w:szCs w:val="24"/>
                <w:lang w:val="en-US" w:eastAsia="zh-CN"/>
              </w:rPr>
              <w:t>操作手法为医者用二大指搓儿手与肱之背面各数下，再拿儿手掌轻轻慢慢而摇。施术部位为手掌。</w:t>
            </w:r>
            <w:r>
              <w:rPr>
                <w:rFonts w:hint="default" w:ascii="仿宋" w:hAnsi="仿宋" w:eastAsia="仿宋" w:cs="Calibri"/>
                <w:kern w:val="0"/>
                <w:sz w:val="24"/>
                <w:szCs w:val="24"/>
                <w:lang w:val="en-US" w:eastAsia="zh-CN"/>
              </w:rPr>
              <w:t xml:space="preserve">                                              </w:t>
            </w:r>
          </w:p>
        </w:tc>
        <w:tc>
          <w:tcPr>
            <w:tcW w:w="1055" w:type="dxa"/>
            <w:noWrap w:val="0"/>
            <w:vAlign w:val="top"/>
          </w:tcPr>
          <w:p w14:paraId="21F2F12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97" w:type="dxa"/>
            <w:noWrap w:val="0"/>
            <w:vAlign w:val="top"/>
          </w:tcPr>
          <w:p w14:paraId="0813D02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900" w:type="dxa"/>
            <w:noWrap w:val="0"/>
            <w:vAlign w:val="top"/>
          </w:tcPr>
          <w:p w14:paraId="7FE742D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2B669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27D58DC2">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医用左手拿儿手掌向上，右手大、食二指，自阳穴上轻轻按摩至曲池，又轻轻按摩至阴穴止，如此一上一下九次为止。阳证关轻腑重，阴证关重腑轻。再用两手从曲池推摩至关腑三四次，医又将右大、食、中掐儿脾指，左大、食、中掐儿月斗肘，往外摇二十四下。施术部位为手臂。</w:t>
            </w:r>
          </w:p>
        </w:tc>
        <w:tc>
          <w:tcPr>
            <w:tcW w:w="1055" w:type="dxa"/>
            <w:noWrap w:val="0"/>
            <w:vAlign w:val="top"/>
          </w:tcPr>
          <w:p w14:paraId="36C0E1F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97" w:type="dxa"/>
            <w:noWrap w:val="0"/>
            <w:vAlign w:val="top"/>
          </w:tcPr>
          <w:p w14:paraId="10C7DC5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900" w:type="dxa"/>
            <w:noWrap w:val="0"/>
            <w:vAlign w:val="top"/>
          </w:tcPr>
          <w:p w14:paraId="3F1318F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0EC05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3EE1022C">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弦者，勒肘骨也，在两胁上。其法着一人抱小儿坐于怀中，将小儿两手抄搭小儿两肩上，以我两手对小儿两胁上搓摩至肚角下。施术部位为胸胁。</w:t>
            </w:r>
          </w:p>
        </w:tc>
        <w:tc>
          <w:tcPr>
            <w:tcW w:w="1055" w:type="dxa"/>
            <w:noWrap w:val="0"/>
            <w:vAlign w:val="top"/>
          </w:tcPr>
          <w:p w14:paraId="24DDAE6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0.11</w:t>
            </w:r>
          </w:p>
        </w:tc>
        <w:tc>
          <w:tcPr>
            <w:tcW w:w="1097" w:type="dxa"/>
            <w:noWrap w:val="0"/>
            <w:vAlign w:val="top"/>
          </w:tcPr>
          <w:p w14:paraId="28DF551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88.89%</w:t>
            </w:r>
          </w:p>
        </w:tc>
        <w:tc>
          <w:tcPr>
            <w:tcW w:w="900" w:type="dxa"/>
            <w:noWrap w:val="0"/>
            <w:vAlign w:val="top"/>
          </w:tcPr>
          <w:p w14:paraId="3599B09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r>
      <w:tr w14:paraId="4538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5CDC3663">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E.患儿取坐位，或家长将患儿抱坐怀中。患儿两手自然下垂，术者立于患儿身后，用两手掌面着力，轻贴在患儿两侧胁肋部，呈对称性地搓摩，并自上而下搓摩至肚角处，50</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500次。</w:t>
            </w:r>
          </w:p>
        </w:tc>
        <w:tc>
          <w:tcPr>
            <w:tcW w:w="1055" w:type="dxa"/>
            <w:noWrap w:val="0"/>
            <w:vAlign w:val="top"/>
          </w:tcPr>
          <w:p w14:paraId="6761B22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0.63</w:t>
            </w:r>
          </w:p>
        </w:tc>
        <w:tc>
          <w:tcPr>
            <w:tcW w:w="1097" w:type="dxa"/>
            <w:noWrap w:val="0"/>
            <w:vAlign w:val="top"/>
          </w:tcPr>
          <w:p w14:paraId="3D4D5F4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37.04%</w:t>
            </w:r>
          </w:p>
        </w:tc>
        <w:tc>
          <w:tcPr>
            <w:tcW w:w="900" w:type="dxa"/>
            <w:noWrap w:val="0"/>
            <w:vAlign w:val="top"/>
          </w:tcPr>
          <w:p w14:paraId="458658E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17</w:t>
            </w:r>
          </w:p>
        </w:tc>
      </w:tr>
      <w:tr w14:paraId="28703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1D9C6051">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沿用国家标准原文。</w:t>
            </w:r>
          </w:p>
        </w:tc>
        <w:tc>
          <w:tcPr>
            <w:tcW w:w="1055" w:type="dxa"/>
            <w:noWrap w:val="0"/>
            <w:vAlign w:val="top"/>
          </w:tcPr>
          <w:p w14:paraId="72B5B32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1097" w:type="dxa"/>
            <w:noWrap w:val="0"/>
            <w:vAlign w:val="top"/>
          </w:tcPr>
          <w:p w14:paraId="332CFFD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900" w:type="dxa"/>
            <w:noWrap w:val="0"/>
            <w:vAlign w:val="top"/>
          </w:tcPr>
          <w:p w14:paraId="467526F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1E7F5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5DBC0950">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G.</w:t>
            </w:r>
            <w:r>
              <w:rPr>
                <w:rFonts w:hint="eastAsia" w:ascii="仿宋" w:hAnsi="仿宋" w:eastAsia="仿宋" w:cs="Calibri"/>
                <w:kern w:val="0"/>
                <w:sz w:val="24"/>
                <w:szCs w:val="24"/>
                <w:lang w:val="en-US" w:eastAsia="zh-CN"/>
              </w:rPr>
              <w:t>其他</w:t>
            </w:r>
          </w:p>
        </w:tc>
        <w:tc>
          <w:tcPr>
            <w:tcW w:w="1055" w:type="dxa"/>
            <w:noWrap w:val="0"/>
            <w:vAlign w:val="top"/>
          </w:tcPr>
          <w:p w14:paraId="5383F90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97" w:type="dxa"/>
            <w:noWrap w:val="0"/>
            <w:vAlign w:val="top"/>
          </w:tcPr>
          <w:p w14:paraId="759DF55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900" w:type="dxa"/>
            <w:noWrap w:val="0"/>
            <w:vAlign w:val="top"/>
          </w:tcPr>
          <w:p w14:paraId="43463C6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39C1378D">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2.14二龙戏珠调查结果</w:t>
      </w:r>
    </w:p>
    <w:p w14:paraId="74BE5320">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21 二龙戏珠调查结果</w:t>
      </w:r>
    </w:p>
    <w:tbl>
      <w:tblPr>
        <w:tblStyle w:val="81"/>
        <w:tblW w:w="8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4"/>
        <w:gridCol w:w="935"/>
        <w:gridCol w:w="1130"/>
        <w:gridCol w:w="805"/>
      </w:tblGrid>
      <w:tr w14:paraId="36E4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6744FFA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935" w:type="dxa"/>
            <w:noWrap w:val="0"/>
            <w:vAlign w:val="top"/>
          </w:tcPr>
          <w:p w14:paraId="2CF2E90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2"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2" DrawAspect="Content" ObjectID="_1468075745" r:id="rId35">
                  <o:LockedField>false</o:LockedField>
                </o:OLEObject>
              </w:object>
            </w:r>
          </w:p>
        </w:tc>
        <w:tc>
          <w:tcPr>
            <w:tcW w:w="1130" w:type="dxa"/>
            <w:noWrap w:val="0"/>
            <w:vAlign w:val="top"/>
          </w:tcPr>
          <w:p w14:paraId="377A89B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805" w:type="dxa"/>
            <w:noWrap w:val="0"/>
            <w:vAlign w:val="top"/>
          </w:tcPr>
          <w:p w14:paraId="1A02522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0EB1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49251D2B">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右手拿小儿示指、无名指端，左手按捏阴穴、阳穴，往上按捏及曲池，寒证重按阳穴，热证重按阴穴，最后左手捏拿阴、阳穴处，右手拿小儿示、无名指摇动</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 xml:space="preserve">                                  </w:t>
            </w:r>
          </w:p>
        </w:tc>
        <w:tc>
          <w:tcPr>
            <w:tcW w:w="935" w:type="dxa"/>
            <w:noWrap w:val="0"/>
            <w:vAlign w:val="top"/>
          </w:tcPr>
          <w:p w14:paraId="656C4C0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130" w:type="dxa"/>
            <w:noWrap w:val="0"/>
            <w:vAlign w:val="top"/>
          </w:tcPr>
          <w:p w14:paraId="7A19996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w:t>
            </w:r>
          </w:p>
        </w:tc>
        <w:tc>
          <w:tcPr>
            <w:tcW w:w="805" w:type="dxa"/>
            <w:noWrap w:val="0"/>
            <w:vAlign w:val="top"/>
          </w:tcPr>
          <w:p w14:paraId="042048C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746FF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7A41B27C">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 xml:space="preserve">B. </w:t>
            </w:r>
            <w:r>
              <w:rPr>
                <w:rFonts w:hint="eastAsia" w:ascii="仿宋" w:hAnsi="仿宋" w:eastAsia="仿宋" w:cs="Calibri"/>
                <w:kern w:val="0"/>
                <w:sz w:val="24"/>
                <w:szCs w:val="24"/>
                <w:lang w:val="en-US" w:eastAsia="zh-CN"/>
              </w:rPr>
              <w:t>揉捏或牵拉小儿两耳耳廓。</w:t>
            </w:r>
            <w:r>
              <w:rPr>
                <w:rFonts w:hint="default" w:ascii="仿宋" w:hAnsi="仿宋" w:eastAsia="仿宋" w:cs="Calibri"/>
                <w:kern w:val="0"/>
                <w:sz w:val="24"/>
                <w:szCs w:val="24"/>
                <w:lang w:val="en-US" w:eastAsia="zh-CN"/>
              </w:rPr>
              <w:t xml:space="preserve">                                              </w:t>
            </w:r>
          </w:p>
        </w:tc>
        <w:tc>
          <w:tcPr>
            <w:tcW w:w="935" w:type="dxa"/>
            <w:noWrap w:val="0"/>
            <w:vAlign w:val="top"/>
          </w:tcPr>
          <w:p w14:paraId="51B41BA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30" w:type="dxa"/>
            <w:noWrap w:val="0"/>
            <w:vAlign w:val="top"/>
          </w:tcPr>
          <w:p w14:paraId="7CE599C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05" w:type="dxa"/>
            <w:noWrap w:val="0"/>
            <w:vAlign w:val="top"/>
          </w:tcPr>
          <w:p w14:paraId="7461AC7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6EAC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074F5747">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用两手小指分别掐住小儿治疗部位的两旁，两手示、中指分别并拢。在治疗部位上一前一后作来回推动。</w:t>
            </w:r>
          </w:p>
        </w:tc>
        <w:tc>
          <w:tcPr>
            <w:tcW w:w="935" w:type="dxa"/>
            <w:noWrap w:val="0"/>
            <w:vAlign w:val="top"/>
          </w:tcPr>
          <w:p w14:paraId="2EB96F1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30" w:type="dxa"/>
            <w:noWrap w:val="0"/>
            <w:vAlign w:val="top"/>
          </w:tcPr>
          <w:p w14:paraId="29BF430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05" w:type="dxa"/>
            <w:noWrap w:val="0"/>
            <w:vAlign w:val="top"/>
          </w:tcPr>
          <w:p w14:paraId="23836E3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3630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45ED8A4F">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用示、中两指并端在小儿前臂屈侧部正中，交替向前按压，自总筋穴起直至肘横纹处。用于寒热不和、四肢抽搐、惊厥等。</w:t>
            </w:r>
          </w:p>
        </w:tc>
        <w:tc>
          <w:tcPr>
            <w:tcW w:w="935" w:type="dxa"/>
            <w:noWrap w:val="0"/>
            <w:vAlign w:val="top"/>
          </w:tcPr>
          <w:p w14:paraId="5180934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0.11</w:t>
            </w:r>
          </w:p>
        </w:tc>
        <w:tc>
          <w:tcPr>
            <w:tcW w:w="1130" w:type="dxa"/>
            <w:noWrap w:val="0"/>
            <w:vAlign w:val="top"/>
          </w:tcPr>
          <w:p w14:paraId="2F19F0B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88.89%</w:t>
            </w:r>
          </w:p>
        </w:tc>
        <w:tc>
          <w:tcPr>
            <w:tcW w:w="805" w:type="dxa"/>
            <w:noWrap w:val="0"/>
            <w:vAlign w:val="top"/>
          </w:tcPr>
          <w:p w14:paraId="2A04111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r>
      <w:tr w14:paraId="25E28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7E63EE16">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医以两手摄儿两耳轮戏之，又用两手指在两鼻孔揉之。施术部位为耳轮。</w:t>
            </w:r>
          </w:p>
        </w:tc>
        <w:tc>
          <w:tcPr>
            <w:tcW w:w="935" w:type="dxa"/>
            <w:noWrap w:val="0"/>
            <w:vAlign w:val="top"/>
          </w:tcPr>
          <w:p w14:paraId="6ED7795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30" w:type="dxa"/>
            <w:noWrap w:val="0"/>
            <w:vAlign w:val="top"/>
          </w:tcPr>
          <w:p w14:paraId="6B06600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05" w:type="dxa"/>
            <w:noWrap w:val="0"/>
            <w:vAlign w:val="top"/>
          </w:tcPr>
          <w:p w14:paraId="6B57B82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1EEAA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7D6BC698">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此法性温。医将右大、食、中三指，捏儿肝肺二指，左大、食、中三指捏儿阴阳二穴，往上一捏一捏，捏至曲池五次。热症阴捏重而阳捏轻；寒证阳重而阴轻。再捏阴阳，将肝、肺二指摇摆二九、三九是也。施术部位前臂、肘关节、肝肺二指（食指、环指）。</w:t>
            </w:r>
          </w:p>
        </w:tc>
        <w:tc>
          <w:tcPr>
            <w:tcW w:w="935" w:type="dxa"/>
            <w:noWrap w:val="0"/>
            <w:vAlign w:val="top"/>
          </w:tcPr>
          <w:p w14:paraId="6230BCA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30" w:type="dxa"/>
            <w:noWrap w:val="0"/>
            <w:vAlign w:val="top"/>
          </w:tcPr>
          <w:p w14:paraId="1CA01E5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05" w:type="dxa"/>
            <w:noWrap w:val="0"/>
            <w:vAlign w:val="top"/>
          </w:tcPr>
          <w:p w14:paraId="1363B58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78F3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1D341B30">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G.</w:t>
            </w:r>
            <w:r>
              <w:rPr>
                <w:rFonts w:hint="eastAsia" w:ascii="仿宋" w:hAnsi="仿宋" w:eastAsia="仿宋" w:cs="Calibri"/>
                <w:kern w:val="0"/>
                <w:sz w:val="24"/>
                <w:szCs w:val="24"/>
                <w:lang w:val="en-US" w:eastAsia="zh-CN"/>
              </w:rPr>
              <w:t>以两手摄儿两耳垂揉之。儿眼向左斜则揉右垂，右斜则揉左垂，上斜则揉下垂，下斜则揉上垂，如初惊眼不斜，揉皆轻重如一。施术部位为耳垂。</w:t>
            </w:r>
          </w:p>
        </w:tc>
        <w:tc>
          <w:tcPr>
            <w:tcW w:w="935" w:type="dxa"/>
            <w:noWrap w:val="0"/>
            <w:vAlign w:val="top"/>
          </w:tcPr>
          <w:p w14:paraId="2E7AD07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30" w:type="dxa"/>
            <w:noWrap w:val="0"/>
            <w:vAlign w:val="top"/>
          </w:tcPr>
          <w:p w14:paraId="0574D37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05" w:type="dxa"/>
            <w:noWrap w:val="0"/>
            <w:vAlign w:val="top"/>
          </w:tcPr>
          <w:p w14:paraId="2C5FD34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4D247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3B036BDC">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H.患儿取坐位或仰卧位，或由家长抱坐怀中。术者坐其身旁，用一手拿捏患儿食指、无名指的指端，用另一手按捏患儿阴池、阳池两穴，并由此边按捏边缓缓向上移动至曲池穴，如此5次左右。寒证重按阳穴，热证重按阴穴。最后一手拿捏阴、阳两穴5</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6次，另一手拿捏患儿食指、无名指的指端各摇动20~40次。</w:t>
            </w:r>
          </w:p>
        </w:tc>
        <w:tc>
          <w:tcPr>
            <w:tcW w:w="935" w:type="dxa"/>
            <w:noWrap w:val="0"/>
            <w:vAlign w:val="top"/>
          </w:tcPr>
          <w:p w14:paraId="79EEED8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0.52</w:t>
            </w:r>
          </w:p>
        </w:tc>
        <w:tc>
          <w:tcPr>
            <w:tcW w:w="1130" w:type="dxa"/>
            <w:noWrap w:val="0"/>
            <w:vAlign w:val="top"/>
          </w:tcPr>
          <w:p w14:paraId="53F88BB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48.15%</w:t>
            </w:r>
          </w:p>
        </w:tc>
        <w:tc>
          <w:tcPr>
            <w:tcW w:w="805" w:type="dxa"/>
            <w:noWrap w:val="0"/>
            <w:vAlign w:val="top"/>
          </w:tcPr>
          <w:p w14:paraId="030E71E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r>
      <w:tr w14:paraId="06A6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690B060F">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I.</w:t>
            </w:r>
            <w:r>
              <w:rPr>
                <w:rFonts w:hint="eastAsia" w:ascii="仿宋" w:hAnsi="仿宋" w:eastAsia="仿宋" w:cs="Calibri"/>
                <w:kern w:val="0"/>
                <w:sz w:val="24"/>
                <w:szCs w:val="24"/>
                <w:lang w:val="en-US" w:eastAsia="zh-CN"/>
              </w:rPr>
              <w:t>沿用国家标准原文。</w:t>
            </w:r>
          </w:p>
        </w:tc>
        <w:tc>
          <w:tcPr>
            <w:tcW w:w="935" w:type="dxa"/>
            <w:noWrap w:val="0"/>
            <w:vAlign w:val="top"/>
          </w:tcPr>
          <w:p w14:paraId="1964917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0.26</w:t>
            </w:r>
          </w:p>
        </w:tc>
        <w:tc>
          <w:tcPr>
            <w:tcW w:w="1130" w:type="dxa"/>
            <w:noWrap w:val="0"/>
            <w:vAlign w:val="top"/>
          </w:tcPr>
          <w:p w14:paraId="47240C5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74.07%</w:t>
            </w:r>
          </w:p>
        </w:tc>
        <w:tc>
          <w:tcPr>
            <w:tcW w:w="805" w:type="dxa"/>
            <w:noWrap w:val="0"/>
            <w:vAlign w:val="top"/>
          </w:tcPr>
          <w:p w14:paraId="4BFCE07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w:t>
            </w:r>
          </w:p>
        </w:tc>
      </w:tr>
      <w:tr w14:paraId="15C6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5824" w:type="dxa"/>
            <w:noWrap w:val="0"/>
            <w:vAlign w:val="top"/>
          </w:tcPr>
          <w:p w14:paraId="1FEB84FD">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J.</w:t>
            </w:r>
            <w:r>
              <w:rPr>
                <w:rFonts w:hint="eastAsia" w:ascii="仿宋" w:hAnsi="仿宋" w:eastAsia="仿宋" w:cs="Calibri"/>
                <w:kern w:val="0"/>
                <w:sz w:val="24"/>
                <w:szCs w:val="24"/>
                <w:lang w:val="en-US" w:eastAsia="zh-CN"/>
              </w:rPr>
              <w:t>其他</w:t>
            </w:r>
          </w:p>
        </w:tc>
        <w:tc>
          <w:tcPr>
            <w:tcW w:w="935" w:type="dxa"/>
            <w:noWrap w:val="0"/>
            <w:vAlign w:val="top"/>
          </w:tcPr>
          <w:p w14:paraId="54D7089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130" w:type="dxa"/>
            <w:noWrap w:val="0"/>
            <w:vAlign w:val="top"/>
          </w:tcPr>
          <w:p w14:paraId="6E98556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805" w:type="dxa"/>
            <w:noWrap w:val="0"/>
            <w:vAlign w:val="top"/>
          </w:tcPr>
          <w:p w14:paraId="0961E25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bl>
    <w:p w14:paraId="01790E09">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2.15操作顺序调查结果</w:t>
      </w:r>
    </w:p>
    <w:p w14:paraId="4F22EE74">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22 操作顺序调查结果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781D6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BEBE7A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1039AC1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3"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3" DrawAspect="Content" ObjectID="_1468075746" r:id="rId36">
                  <o:LockedField>false</o:LockedField>
                </o:OLEObject>
              </w:object>
            </w:r>
          </w:p>
        </w:tc>
        <w:tc>
          <w:tcPr>
            <w:tcW w:w="0" w:type="auto"/>
            <w:noWrap w:val="0"/>
            <w:vAlign w:val="top"/>
          </w:tcPr>
          <w:p w14:paraId="7A94583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04A32C0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09D9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E9E77F2">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操作顺序：一般有三种方式，可根据实际情况选择应用：（a）先操作头面部穴位，再依次操作胸腹，四肢、腰 背部穴位。（b）先操作主穴，后操作配穴；先操作轻手法，后操作重手法。（c）根据病情轻重缓急，决定推拿的操作顺序。部位选择：上肢部穴位，可根据操作者习惯操作儿童左手或右手一侧的穴位；非上肢部位的双侧穴位，两侧均可选择操作。</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 xml:space="preserve">                                  </w:t>
            </w:r>
          </w:p>
        </w:tc>
        <w:tc>
          <w:tcPr>
            <w:tcW w:w="0" w:type="auto"/>
            <w:noWrap w:val="0"/>
            <w:vAlign w:val="top"/>
          </w:tcPr>
          <w:p w14:paraId="46EA97E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0.30</w:t>
            </w:r>
          </w:p>
        </w:tc>
        <w:tc>
          <w:tcPr>
            <w:tcW w:w="0" w:type="auto"/>
            <w:noWrap w:val="0"/>
            <w:vAlign w:val="top"/>
          </w:tcPr>
          <w:p w14:paraId="77A3B8C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c>
          <w:tcPr>
            <w:tcW w:w="0" w:type="auto"/>
            <w:noWrap w:val="0"/>
            <w:vAlign w:val="top"/>
          </w:tcPr>
          <w:p w14:paraId="13DDE2B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w:t>
            </w:r>
          </w:p>
        </w:tc>
      </w:tr>
      <w:tr w14:paraId="0C282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621D886">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B.</w:t>
            </w:r>
            <w:r>
              <w:rPr>
                <w:rFonts w:hint="eastAsia" w:ascii="仿宋" w:hAnsi="仿宋" w:eastAsia="仿宋" w:cs="Calibri"/>
                <w:kern w:val="0"/>
                <w:sz w:val="24"/>
                <w:szCs w:val="24"/>
                <w:lang w:val="en-US" w:eastAsia="zh-CN"/>
              </w:rPr>
              <w:t>操作顺序小儿推拿一般有3种顺序，可根据实际情况选择应用，包括：a）先操作手部穴位，再依次操作头面、胸腹、下肢、腰背部穴位。b）先操作主穴，后操作配穴；先采用轻手法，后用重手法操作。c）根据体征轻重缓急，决定推拿的顺序。</w:t>
            </w:r>
            <w:r>
              <w:rPr>
                <w:rFonts w:hint="default" w:ascii="仿宋" w:hAnsi="仿宋" w:eastAsia="仿宋" w:cs="Calibri"/>
                <w:kern w:val="0"/>
                <w:sz w:val="24"/>
                <w:szCs w:val="24"/>
                <w:lang w:val="en-US" w:eastAsia="zh-CN"/>
              </w:rPr>
              <w:t xml:space="preserve">                                                 </w:t>
            </w:r>
          </w:p>
        </w:tc>
        <w:tc>
          <w:tcPr>
            <w:tcW w:w="0" w:type="auto"/>
            <w:noWrap w:val="0"/>
            <w:vAlign w:val="top"/>
          </w:tcPr>
          <w:p w14:paraId="5EEC9DB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0.15</w:t>
            </w:r>
          </w:p>
        </w:tc>
        <w:tc>
          <w:tcPr>
            <w:tcW w:w="0" w:type="auto"/>
            <w:noWrap w:val="0"/>
            <w:vAlign w:val="top"/>
          </w:tcPr>
          <w:p w14:paraId="5DE78B9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85.19%</w:t>
            </w:r>
          </w:p>
        </w:tc>
        <w:tc>
          <w:tcPr>
            <w:tcW w:w="0" w:type="auto"/>
            <w:noWrap w:val="0"/>
            <w:vAlign w:val="top"/>
          </w:tcPr>
          <w:p w14:paraId="3B9BAA6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w:t>
            </w:r>
          </w:p>
        </w:tc>
      </w:tr>
      <w:tr w14:paraId="5042F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C5ED2F6">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沿用国家标准原文。</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 xml:space="preserve">                                  </w:t>
            </w:r>
          </w:p>
        </w:tc>
        <w:tc>
          <w:tcPr>
            <w:tcW w:w="0" w:type="auto"/>
            <w:noWrap w:val="0"/>
            <w:vAlign w:val="top"/>
          </w:tcPr>
          <w:p w14:paraId="38BFA99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0.41</w:t>
            </w:r>
          </w:p>
        </w:tc>
        <w:tc>
          <w:tcPr>
            <w:tcW w:w="0" w:type="auto"/>
            <w:noWrap w:val="0"/>
            <w:vAlign w:val="top"/>
          </w:tcPr>
          <w:p w14:paraId="641658E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59.26%</w:t>
            </w:r>
          </w:p>
        </w:tc>
        <w:tc>
          <w:tcPr>
            <w:tcW w:w="0" w:type="auto"/>
            <w:noWrap w:val="0"/>
            <w:vAlign w:val="top"/>
          </w:tcPr>
          <w:p w14:paraId="7D86BAF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w:t>
            </w:r>
          </w:p>
        </w:tc>
      </w:tr>
      <w:tr w14:paraId="54B65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37CEB4A">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 xml:space="preserve">D.综合以上内容。                                                                           </w:t>
            </w:r>
          </w:p>
        </w:tc>
        <w:tc>
          <w:tcPr>
            <w:tcW w:w="0" w:type="auto"/>
            <w:noWrap w:val="0"/>
            <w:vAlign w:val="top"/>
          </w:tcPr>
          <w:p w14:paraId="7591BC6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0.15</w:t>
            </w:r>
          </w:p>
        </w:tc>
        <w:tc>
          <w:tcPr>
            <w:tcW w:w="0" w:type="auto"/>
            <w:noWrap w:val="0"/>
            <w:vAlign w:val="top"/>
          </w:tcPr>
          <w:p w14:paraId="04CC7CF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85.19%</w:t>
            </w:r>
          </w:p>
        </w:tc>
        <w:tc>
          <w:tcPr>
            <w:tcW w:w="0" w:type="auto"/>
            <w:noWrap w:val="0"/>
            <w:vAlign w:val="top"/>
          </w:tcPr>
          <w:p w14:paraId="659931B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w:t>
            </w:r>
          </w:p>
        </w:tc>
      </w:tr>
    </w:tbl>
    <w:p w14:paraId="59FE6E0C">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2.16操作补泻调查结果</w:t>
      </w:r>
    </w:p>
    <w:p w14:paraId="40220D76">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23 操作补泻调查结果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3F68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453BD13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764FF46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4"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4" DrawAspect="Content" ObjectID="_1468075747" r:id="rId37">
                  <o:LockedField>false</o:LockedField>
                </o:OLEObject>
              </w:object>
            </w:r>
          </w:p>
        </w:tc>
        <w:tc>
          <w:tcPr>
            <w:tcW w:w="0" w:type="auto"/>
            <w:noWrap w:val="0"/>
            <w:vAlign w:val="top"/>
          </w:tcPr>
          <w:p w14:paraId="05654C8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7E698A6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57C1A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0B5FC0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A.小儿推拿一般补泻原则：方向补泻法 此种补泻方法主要用于小儿手部与腹部的穴位。一般而言，在手部穴位上做向心性方向直推为补法，离心性方向直推为泻法；逆时针摩腹为补法，顺时针摩腹为泻法。轻重补泻法 轻重是指医者在患儿体表穴位上操作时用力的大小。轻手法操作为补法，重手法操作为泻法。快慢补泻法 快慢是指医者运用某一手法在患儿体表穴位上操作的速度。速度快慢会影响手法频率的高低，一般而言，手法操作频率低为补法，反之为泻法。迎随补泻法 随（顺）其经络走行方向操作为补法，迎（逆）其经络走行方向操作为泻法。又称为顺逆补泻法。平补平泻法 患儿病情虚实不明显，或平素小儿保健时常用的一种方法。一般采用快慢结合、顺逆结合的方式。                                                               </w:t>
            </w:r>
          </w:p>
        </w:tc>
        <w:tc>
          <w:tcPr>
            <w:tcW w:w="0" w:type="auto"/>
            <w:noWrap w:val="0"/>
            <w:vAlign w:val="top"/>
          </w:tcPr>
          <w:p w14:paraId="6BE034D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0.44</w:t>
            </w:r>
          </w:p>
        </w:tc>
        <w:tc>
          <w:tcPr>
            <w:tcW w:w="0" w:type="auto"/>
            <w:noWrap w:val="0"/>
            <w:vAlign w:val="top"/>
          </w:tcPr>
          <w:p w14:paraId="0A90F75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55.56%</w:t>
            </w:r>
          </w:p>
        </w:tc>
        <w:tc>
          <w:tcPr>
            <w:tcW w:w="0" w:type="auto"/>
            <w:noWrap w:val="0"/>
            <w:vAlign w:val="top"/>
          </w:tcPr>
          <w:p w14:paraId="1A283B3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12</w:t>
            </w:r>
          </w:p>
        </w:tc>
      </w:tr>
      <w:tr w14:paraId="52166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7B83A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B.沿用国家标准原文。                                                    </w:t>
            </w:r>
          </w:p>
        </w:tc>
        <w:tc>
          <w:tcPr>
            <w:tcW w:w="0" w:type="auto"/>
            <w:noWrap w:val="0"/>
            <w:vAlign w:val="top"/>
          </w:tcPr>
          <w:p w14:paraId="29BAAC7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0.33</w:t>
            </w:r>
          </w:p>
        </w:tc>
        <w:tc>
          <w:tcPr>
            <w:tcW w:w="0" w:type="auto"/>
            <w:noWrap w:val="0"/>
            <w:vAlign w:val="top"/>
          </w:tcPr>
          <w:p w14:paraId="66041E0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66.67%</w:t>
            </w:r>
          </w:p>
        </w:tc>
        <w:tc>
          <w:tcPr>
            <w:tcW w:w="0" w:type="auto"/>
            <w:noWrap w:val="0"/>
            <w:vAlign w:val="top"/>
          </w:tcPr>
          <w:p w14:paraId="3B88C24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w:t>
            </w:r>
          </w:p>
        </w:tc>
      </w:tr>
      <w:tr w14:paraId="6182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56CCD51">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 xml:space="preserve">综合以上内容。                                                                           </w:t>
            </w:r>
          </w:p>
        </w:tc>
        <w:tc>
          <w:tcPr>
            <w:tcW w:w="0" w:type="auto"/>
            <w:noWrap w:val="0"/>
            <w:vAlign w:val="top"/>
          </w:tcPr>
          <w:p w14:paraId="50E1DC2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0.15</w:t>
            </w:r>
          </w:p>
        </w:tc>
        <w:tc>
          <w:tcPr>
            <w:tcW w:w="846" w:type="dxa"/>
            <w:noWrap w:val="0"/>
            <w:vAlign w:val="top"/>
          </w:tcPr>
          <w:p w14:paraId="2C18782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85.19%</w:t>
            </w:r>
          </w:p>
        </w:tc>
        <w:tc>
          <w:tcPr>
            <w:tcW w:w="0" w:type="auto"/>
            <w:noWrap w:val="0"/>
            <w:vAlign w:val="top"/>
          </w:tcPr>
          <w:p w14:paraId="296549E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w:t>
            </w:r>
          </w:p>
        </w:tc>
      </w:tr>
    </w:tbl>
    <w:p w14:paraId="00A71157">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2.17小儿推拿治疗时间调查结果</w:t>
      </w:r>
    </w:p>
    <w:p w14:paraId="3AE810D4">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24 小儿推拿治疗时间调查结果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2"/>
        <w:gridCol w:w="696"/>
        <w:gridCol w:w="936"/>
        <w:gridCol w:w="336"/>
      </w:tblGrid>
      <w:tr w14:paraId="0D3A5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3C5399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1DF3B54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5"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5" DrawAspect="Content" ObjectID="_1468075748" r:id="rId38">
                  <o:LockedField>false</o:LockedField>
                </o:OLEObject>
              </w:object>
            </w:r>
          </w:p>
        </w:tc>
        <w:tc>
          <w:tcPr>
            <w:tcW w:w="0" w:type="auto"/>
            <w:noWrap w:val="0"/>
            <w:vAlign w:val="top"/>
          </w:tcPr>
          <w:p w14:paraId="6A7AB38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3AD2C3C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DFA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8C57F8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A.治疗时间 可根据年龄、病情、体质和手法特性等情况而定。一般每个穴位操作时间为1分钟～2分钟，总的治疗时间为10分钟～40分钟。对于年龄小、体质弱、虚证者，采用刺激性较强的手法者可适当缩短治疗时间。年龄较大、体质强、实证者，手法可再适当增加治疗时间。 </w:t>
            </w:r>
          </w:p>
        </w:tc>
        <w:tc>
          <w:tcPr>
            <w:tcW w:w="0" w:type="auto"/>
            <w:noWrap w:val="0"/>
            <w:vAlign w:val="top"/>
          </w:tcPr>
          <w:p w14:paraId="1AEFB0A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0.15</w:t>
            </w:r>
          </w:p>
        </w:tc>
        <w:tc>
          <w:tcPr>
            <w:tcW w:w="846" w:type="dxa"/>
            <w:noWrap w:val="0"/>
            <w:vAlign w:val="top"/>
          </w:tcPr>
          <w:p w14:paraId="4798771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85.19%</w:t>
            </w:r>
          </w:p>
        </w:tc>
        <w:tc>
          <w:tcPr>
            <w:tcW w:w="0" w:type="auto"/>
            <w:noWrap w:val="0"/>
            <w:vAlign w:val="top"/>
          </w:tcPr>
          <w:p w14:paraId="7079D55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w:t>
            </w:r>
          </w:p>
        </w:tc>
      </w:tr>
      <w:tr w14:paraId="1F266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484B3E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小儿推拿操作时间可根据不同年龄、不同体质和手法特性等情况而定。一般每穴操作时间为1分钟～2分钟；总的治疗时间为20分钟～30分钟；对于年龄小、体质弱、采用刺激性较强的手法者可适当缩短操作时间。若以1岁为标准，每穴推2分钟左右（强刺激手法除外），每个主穴推300次左右；小于1岁或体质较弱者，推拿操作的时间可适当缩短，次数可适当减少；大于1岁或体质强壮者，时间适当延长，次数适当增加。</w:t>
            </w:r>
          </w:p>
        </w:tc>
        <w:tc>
          <w:tcPr>
            <w:tcW w:w="0" w:type="auto"/>
            <w:noWrap w:val="0"/>
            <w:vAlign w:val="top"/>
          </w:tcPr>
          <w:p w14:paraId="1FD1A89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0.07</w:t>
            </w:r>
          </w:p>
        </w:tc>
        <w:tc>
          <w:tcPr>
            <w:tcW w:w="0" w:type="auto"/>
            <w:noWrap w:val="0"/>
            <w:vAlign w:val="top"/>
          </w:tcPr>
          <w:p w14:paraId="6FB7C19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92.59%</w:t>
            </w:r>
          </w:p>
        </w:tc>
        <w:tc>
          <w:tcPr>
            <w:tcW w:w="0" w:type="auto"/>
            <w:noWrap w:val="0"/>
            <w:vAlign w:val="top"/>
          </w:tcPr>
          <w:p w14:paraId="033A3D1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w:t>
            </w:r>
          </w:p>
        </w:tc>
      </w:tr>
      <w:tr w14:paraId="44EF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DAE24E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C.操作时间 可根据年龄、病情、体质和手法特性等情况而定。一般每个穴位操作时间为1-2分钟，合计治疗时间为20～40分钟。对于年龄小、体质弱、虚证者、采用刺激性较强的手法者可适当缩短操作时间。年龄较大、体质强、实证者，可适当增加操作时间。                                                                  </w:t>
            </w:r>
          </w:p>
        </w:tc>
        <w:tc>
          <w:tcPr>
            <w:tcW w:w="0" w:type="auto"/>
            <w:noWrap w:val="0"/>
            <w:vAlign w:val="top"/>
          </w:tcPr>
          <w:p w14:paraId="585D34E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846" w:type="dxa"/>
            <w:noWrap w:val="0"/>
            <w:vAlign w:val="top"/>
          </w:tcPr>
          <w:p w14:paraId="7C5A5BB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68BE13D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1045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191F20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D.沿用国家标准原文。                                                                           </w:t>
            </w:r>
          </w:p>
        </w:tc>
        <w:tc>
          <w:tcPr>
            <w:tcW w:w="0" w:type="auto"/>
            <w:noWrap w:val="0"/>
            <w:vAlign w:val="top"/>
          </w:tcPr>
          <w:p w14:paraId="2C5CB60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0.26</w:t>
            </w:r>
          </w:p>
        </w:tc>
        <w:tc>
          <w:tcPr>
            <w:tcW w:w="0" w:type="auto"/>
            <w:noWrap w:val="0"/>
            <w:vAlign w:val="top"/>
          </w:tcPr>
          <w:p w14:paraId="00DF4A9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74.07%</w:t>
            </w:r>
          </w:p>
        </w:tc>
        <w:tc>
          <w:tcPr>
            <w:tcW w:w="0" w:type="auto"/>
            <w:noWrap w:val="0"/>
            <w:vAlign w:val="top"/>
          </w:tcPr>
          <w:p w14:paraId="26A49C6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w:t>
            </w:r>
          </w:p>
        </w:tc>
      </w:tr>
      <w:tr w14:paraId="08030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B0ACA7A">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综合以上内容。</w:t>
            </w:r>
          </w:p>
        </w:tc>
        <w:tc>
          <w:tcPr>
            <w:tcW w:w="0" w:type="auto"/>
            <w:noWrap w:val="0"/>
            <w:vAlign w:val="top"/>
          </w:tcPr>
          <w:p w14:paraId="3F0DDF4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0" w:type="auto"/>
            <w:noWrap w:val="0"/>
            <w:vAlign w:val="top"/>
          </w:tcPr>
          <w:p w14:paraId="2CA6188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34CE5E1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bl>
    <w:p w14:paraId="364E9F6F">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2.18小儿推拿治疗操作间隔与疗程调查结果</w:t>
      </w:r>
    </w:p>
    <w:p w14:paraId="4C8FF9EA">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25 小儿推拿治疗操作间隔与疗程调查结果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5D7BD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328CFD6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74E286C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6"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6" DrawAspect="Content" ObjectID="_1468075749" r:id="rId39">
                  <o:LockedField>false</o:LockedField>
                </o:OLEObject>
              </w:object>
            </w:r>
          </w:p>
        </w:tc>
        <w:tc>
          <w:tcPr>
            <w:tcW w:w="0" w:type="auto"/>
            <w:noWrap w:val="0"/>
            <w:vAlign w:val="top"/>
          </w:tcPr>
          <w:p w14:paraId="0382535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4A2B8BA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7E577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5D8FB4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A.操作频率：推拿操作一般为每日1次或隔天1次；部分病症，在情况允许时，可每日推拿2次；日常保健和疾病稳定期，可每周推拿1-2次。 </w:t>
            </w:r>
          </w:p>
        </w:tc>
        <w:tc>
          <w:tcPr>
            <w:tcW w:w="0" w:type="auto"/>
            <w:noWrap w:val="0"/>
            <w:vAlign w:val="top"/>
          </w:tcPr>
          <w:p w14:paraId="44BF1B6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0.37</w:t>
            </w:r>
          </w:p>
        </w:tc>
        <w:tc>
          <w:tcPr>
            <w:tcW w:w="846" w:type="dxa"/>
            <w:noWrap w:val="0"/>
            <w:vAlign w:val="top"/>
          </w:tcPr>
          <w:p w14:paraId="15411EB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62.96%</w:t>
            </w:r>
          </w:p>
        </w:tc>
        <w:tc>
          <w:tcPr>
            <w:tcW w:w="0" w:type="auto"/>
            <w:noWrap w:val="0"/>
            <w:vAlign w:val="top"/>
          </w:tcPr>
          <w:p w14:paraId="7C8E47B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r>
      <w:tr w14:paraId="41E35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F063C0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 沿用国家标准原文。                                                                  </w:t>
            </w:r>
          </w:p>
        </w:tc>
        <w:tc>
          <w:tcPr>
            <w:tcW w:w="0" w:type="auto"/>
            <w:noWrap w:val="0"/>
            <w:vAlign w:val="top"/>
          </w:tcPr>
          <w:p w14:paraId="62482CE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846" w:type="dxa"/>
            <w:noWrap w:val="0"/>
            <w:vAlign w:val="top"/>
          </w:tcPr>
          <w:p w14:paraId="05214E2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771CC04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7DDFD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3CFF45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C. 综合以上内容。                                                                           </w:t>
            </w:r>
          </w:p>
        </w:tc>
        <w:tc>
          <w:tcPr>
            <w:tcW w:w="0" w:type="auto"/>
            <w:noWrap w:val="0"/>
            <w:vAlign w:val="top"/>
          </w:tcPr>
          <w:p w14:paraId="0665C0E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0.37</w:t>
            </w:r>
          </w:p>
        </w:tc>
        <w:tc>
          <w:tcPr>
            <w:tcW w:w="846" w:type="dxa"/>
            <w:noWrap w:val="0"/>
            <w:vAlign w:val="top"/>
          </w:tcPr>
          <w:p w14:paraId="1E30922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62.96%</w:t>
            </w:r>
          </w:p>
        </w:tc>
        <w:tc>
          <w:tcPr>
            <w:tcW w:w="0" w:type="auto"/>
            <w:noWrap w:val="0"/>
            <w:vAlign w:val="top"/>
          </w:tcPr>
          <w:p w14:paraId="329BF14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r>
    </w:tbl>
    <w:p w14:paraId="64AD39A0">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2.19小儿推拿常用介质 A.1油类调查结果</w:t>
      </w:r>
    </w:p>
    <w:p w14:paraId="418615CE">
      <w:pPr>
        <w:widowControl/>
        <w:spacing w:after="0" w:line="400" w:lineRule="exact"/>
        <w:ind w:firstLine="480"/>
        <w:jc w:val="center"/>
        <w:rPr>
          <w:rFonts w:hint="eastAsia" w:ascii="宋体" w:hAnsi="宋体" w:eastAsia="宋体" w:cs="Calibri"/>
          <w:color w:val="000000"/>
          <w:kern w:val="0"/>
          <w:sz w:val="21"/>
          <w:szCs w:val="21"/>
        </w:rPr>
      </w:pPr>
      <w:r>
        <w:rPr>
          <w:rFonts w:hint="eastAsia" w:ascii="仿宋" w:hAnsi="仿宋" w:eastAsia="仿宋" w:cs="Calibri"/>
          <w:bCs/>
          <w:kern w:val="0"/>
          <w:sz w:val="24"/>
          <w:szCs w:val="24"/>
          <w:lang w:eastAsia="zh-CN"/>
        </w:rPr>
        <w:t>表 26 小儿推拿常用介质 A.1油类调查结果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2"/>
        <w:gridCol w:w="696"/>
        <w:gridCol w:w="936"/>
        <w:gridCol w:w="336"/>
      </w:tblGrid>
      <w:tr w14:paraId="3F28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83147E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01F7AF1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7"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7" DrawAspect="Content" ObjectID="_1468075750" r:id="rId40">
                  <o:LockedField>false</o:LockedField>
                </o:OLEObject>
              </w:object>
            </w:r>
          </w:p>
        </w:tc>
        <w:tc>
          <w:tcPr>
            <w:tcW w:w="0" w:type="auto"/>
            <w:noWrap w:val="0"/>
            <w:vAlign w:val="top"/>
          </w:tcPr>
          <w:p w14:paraId="4EC6CB2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5FD9CCB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6C58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81F9F4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油按摩：油类物质能为婴儿提供温暖与营养，有助于促进体重增长。研究显示，椰子油、葵花籽油、合成油和矿物油均可用于婴儿按摩。与未使用油类的按摩相比，使用油类按摩的婴儿表现出更少的压力行为，且皮质醇水平更低。由此可见，油类按摩具有多重益处，因此值得推荐。</w:t>
            </w:r>
          </w:p>
        </w:tc>
        <w:tc>
          <w:tcPr>
            <w:tcW w:w="0" w:type="auto"/>
            <w:noWrap w:val="0"/>
            <w:vAlign w:val="top"/>
          </w:tcPr>
          <w:p w14:paraId="6FA040A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0" w:type="auto"/>
            <w:noWrap w:val="0"/>
            <w:vAlign w:val="top"/>
          </w:tcPr>
          <w:p w14:paraId="0813A55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0" w:type="auto"/>
            <w:noWrap w:val="0"/>
            <w:vAlign w:val="top"/>
          </w:tcPr>
          <w:p w14:paraId="68C64A6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4EFF0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9E409D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B.油类：食用芝麻油、食用椰子油、食用橄榄油、婴儿外用油等。具有润滑除燥作用，适用于小儿身体各部位推拿，也可用于刮法。                                                                  </w:t>
            </w:r>
          </w:p>
        </w:tc>
        <w:tc>
          <w:tcPr>
            <w:tcW w:w="0" w:type="auto"/>
            <w:noWrap w:val="0"/>
            <w:vAlign w:val="top"/>
          </w:tcPr>
          <w:p w14:paraId="47974E5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846" w:type="dxa"/>
            <w:noWrap w:val="0"/>
            <w:vAlign w:val="top"/>
          </w:tcPr>
          <w:p w14:paraId="41180F2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44AA3C2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07106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CBAE26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C.油类：由成份安全的动植物油脂类物质等为主构成的介质。常用有：麻油 食用芝麻油具有润滑除燥作用，适用于身体各部位推拿，也可用于刮法。椰子油 食用椰子油具有润滑除燥作用，适用于身体各部位推拿，也可用于刮法。橄榄油 食用橄榄油具有润滑除燥作用，适用于身体各部位推拿，也可用于刮法。</w:t>
            </w:r>
          </w:p>
        </w:tc>
        <w:tc>
          <w:tcPr>
            <w:tcW w:w="0" w:type="auto"/>
            <w:noWrap w:val="0"/>
            <w:vAlign w:val="top"/>
          </w:tcPr>
          <w:p w14:paraId="5D754FC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0" w:type="auto"/>
            <w:noWrap w:val="0"/>
            <w:vAlign w:val="top"/>
          </w:tcPr>
          <w:p w14:paraId="4FDBB48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2AD3C2E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7E8E2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A2F888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D.沿用国家标准原文。</w:t>
            </w:r>
          </w:p>
        </w:tc>
        <w:tc>
          <w:tcPr>
            <w:tcW w:w="0" w:type="auto"/>
            <w:noWrap w:val="0"/>
            <w:vAlign w:val="top"/>
          </w:tcPr>
          <w:p w14:paraId="1EC3AB0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0" w:type="auto"/>
            <w:noWrap w:val="0"/>
            <w:vAlign w:val="top"/>
          </w:tcPr>
          <w:p w14:paraId="2B81500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0" w:type="auto"/>
            <w:noWrap w:val="0"/>
            <w:vAlign w:val="top"/>
          </w:tcPr>
          <w:p w14:paraId="495D96E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r w14:paraId="74E1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4116230">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综合以上内容。</w:t>
            </w:r>
          </w:p>
        </w:tc>
        <w:tc>
          <w:tcPr>
            <w:tcW w:w="0" w:type="auto"/>
            <w:noWrap w:val="0"/>
            <w:vAlign w:val="top"/>
          </w:tcPr>
          <w:p w14:paraId="18851EE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0.30</w:t>
            </w:r>
          </w:p>
        </w:tc>
        <w:tc>
          <w:tcPr>
            <w:tcW w:w="0" w:type="auto"/>
            <w:noWrap w:val="0"/>
            <w:vAlign w:val="top"/>
          </w:tcPr>
          <w:p w14:paraId="068743A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c>
          <w:tcPr>
            <w:tcW w:w="0" w:type="auto"/>
            <w:noWrap w:val="0"/>
            <w:vAlign w:val="top"/>
          </w:tcPr>
          <w:p w14:paraId="592EDFF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w:t>
            </w:r>
          </w:p>
        </w:tc>
      </w:tr>
    </w:tbl>
    <w:p w14:paraId="14D9FC2A">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2.20小儿推拿常用介质 A.3清水调查结果</w:t>
      </w:r>
    </w:p>
    <w:p w14:paraId="1483B366">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27 小儿推拿常用介质 A.3清水调查结果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58A9F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0" w:type="auto"/>
            <w:noWrap w:val="0"/>
            <w:vAlign w:val="top"/>
          </w:tcPr>
          <w:p w14:paraId="19D05F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405FC0D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8"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8" DrawAspect="Content" ObjectID="_1468075751" r:id="rId41">
                  <o:LockedField>false</o:LockedField>
                </o:OLEObject>
              </w:object>
            </w:r>
          </w:p>
        </w:tc>
        <w:tc>
          <w:tcPr>
            <w:tcW w:w="0" w:type="auto"/>
            <w:noWrap w:val="0"/>
            <w:vAlign w:val="top"/>
          </w:tcPr>
          <w:p w14:paraId="475AB32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69FE7F8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0809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0" w:type="auto"/>
            <w:noWrap w:val="0"/>
            <w:vAlign w:val="top"/>
          </w:tcPr>
          <w:p w14:paraId="49BAF97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A.将“清水、自来水、蒸馏水等各种清洁水”改为“符合本国卫生标准的饮用水”。                                 </w:t>
            </w:r>
          </w:p>
        </w:tc>
        <w:tc>
          <w:tcPr>
            <w:tcW w:w="0" w:type="auto"/>
            <w:noWrap w:val="0"/>
            <w:vAlign w:val="top"/>
          </w:tcPr>
          <w:p w14:paraId="534407D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0.44</w:t>
            </w:r>
          </w:p>
        </w:tc>
        <w:tc>
          <w:tcPr>
            <w:tcW w:w="0" w:type="auto"/>
            <w:noWrap w:val="0"/>
            <w:vAlign w:val="top"/>
          </w:tcPr>
          <w:p w14:paraId="1D00F23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55.56%</w:t>
            </w:r>
          </w:p>
        </w:tc>
        <w:tc>
          <w:tcPr>
            <w:tcW w:w="0" w:type="auto"/>
            <w:noWrap w:val="0"/>
            <w:vAlign w:val="top"/>
          </w:tcPr>
          <w:p w14:paraId="0FC66E0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12</w:t>
            </w:r>
          </w:p>
        </w:tc>
      </w:tr>
      <w:tr w14:paraId="2509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3FF3D1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B.沿用国家标准原文。                      </w:t>
            </w:r>
          </w:p>
        </w:tc>
        <w:tc>
          <w:tcPr>
            <w:tcW w:w="0" w:type="auto"/>
            <w:noWrap w:val="0"/>
            <w:vAlign w:val="top"/>
          </w:tcPr>
          <w:p w14:paraId="45C258C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0.52</w:t>
            </w:r>
          </w:p>
        </w:tc>
        <w:tc>
          <w:tcPr>
            <w:tcW w:w="0" w:type="auto"/>
            <w:noWrap w:val="0"/>
            <w:vAlign w:val="top"/>
          </w:tcPr>
          <w:p w14:paraId="0D511B4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48.15%</w:t>
            </w:r>
          </w:p>
        </w:tc>
        <w:tc>
          <w:tcPr>
            <w:tcW w:w="0" w:type="auto"/>
            <w:noWrap w:val="0"/>
            <w:vAlign w:val="top"/>
          </w:tcPr>
          <w:p w14:paraId="53FDF27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r>
    </w:tbl>
    <w:p w14:paraId="1BE8ED74">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2.21小儿推拿常用介质 膏类调查结果</w:t>
      </w:r>
    </w:p>
    <w:p w14:paraId="5FA0E0BB">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28 小儿推拿常用介质 膏类调查结果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2"/>
        <w:gridCol w:w="696"/>
        <w:gridCol w:w="936"/>
        <w:gridCol w:w="456"/>
      </w:tblGrid>
      <w:tr w14:paraId="0E23D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4D98D2B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277CD28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29"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29" DrawAspect="Content" ObjectID="_1468075752" r:id="rId42">
                  <o:LockedField>false</o:LockedField>
                </o:OLEObject>
              </w:object>
            </w:r>
          </w:p>
        </w:tc>
        <w:tc>
          <w:tcPr>
            <w:tcW w:w="0" w:type="auto"/>
            <w:noWrap w:val="0"/>
            <w:vAlign w:val="top"/>
          </w:tcPr>
          <w:p w14:paraId="39C26C5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7EF1768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60277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8CC11A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A.增添膏类表述。冬青膏 由冬青油、凡士林等混合配制，具有温经散寒的作用，适用于寒凝经络所致的病症。健脾膏 由具有健脾作用的中药提取物与油脂混合调制，具有健脾开胃的作用，适用于脾胃功能虚弱的病症。            </w:t>
            </w:r>
          </w:p>
        </w:tc>
        <w:tc>
          <w:tcPr>
            <w:tcW w:w="0" w:type="auto"/>
            <w:noWrap w:val="0"/>
            <w:vAlign w:val="top"/>
          </w:tcPr>
          <w:p w14:paraId="6A0AE38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0.11</w:t>
            </w:r>
          </w:p>
        </w:tc>
        <w:tc>
          <w:tcPr>
            <w:tcW w:w="0" w:type="auto"/>
            <w:noWrap w:val="0"/>
            <w:vAlign w:val="top"/>
          </w:tcPr>
          <w:p w14:paraId="3E2352C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88.89%</w:t>
            </w:r>
          </w:p>
        </w:tc>
        <w:tc>
          <w:tcPr>
            <w:tcW w:w="0" w:type="auto"/>
            <w:noWrap w:val="0"/>
            <w:vAlign w:val="top"/>
          </w:tcPr>
          <w:p w14:paraId="520E107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r>
      <w:tr w14:paraId="6937D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30E6BE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B.增添膏类表述。用动植物油、蜂蜜或羊毛脂、凡士林等为基质，加药物细粉或提取的有效成分混合而成。具有相应药效的介质。常用有：冬青膏 由冬青油、凡士林等混合配制而成。具有温经散寒的作用，适用于寒凝经络所致的病症。健脾膏 由具有健脾作用的中药提取物与油脂混合调制而成。具有健脾开胃的作用，适用于脾胃功能虚弱的病症。                                                                  </w:t>
            </w:r>
          </w:p>
        </w:tc>
        <w:tc>
          <w:tcPr>
            <w:tcW w:w="0" w:type="auto"/>
            <w:noWrap w:val="0"/>
            <w:vAlign w:val="top"/>
          </w:tcPr>
          <w:p w14:paraId="44AE061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0.67</w:t>
            </w:r>
          </w:p>
        </w:tc>
        <w:tc>
          <w:tcPr>
            <w:tcW w:w="0" w:type="auto"/>
            <w:noWrap w:val="0"/>
            <w:vAlign w:val="top"/>
          </w:tcPr>
          <w:p w14:paraId="6FA66CE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33.33%</w:t>
            </w:r>
          </w:p>
        </w:tc>
        <w:tc>
          <w:tcPr>
            <w:tcW w:w="0" w:type="auto"/>
            <w:noWrap w:val="0"/>
            <w:vAlign w:val="top"/>
          </w:tcPr>
          <w:p w14:paraId="6436F92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18</w:t>
            </w:r>
          </w:p>
        </w:tc>
      </w:tr>
      <w:tr w14:paraId="1227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053BCE8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C.不增添膏类表述，沿用国家标准原文。                                                                           </w:t>
            </w:r>
          </w:p>
        </w:tc>
        <w:tc>
          <w:tcPr>
            <w:tcW w:w="0" w:type="auto"/>
            <w:noWrap w:val="0"/>
            <w:vAlign w:val="top"/>
          </w:tcPr>
          <w:p w14:paraId="71DBEC4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846" w:type="dxa"/>
            <w:noWrap w:val="0"/>
            <w:vAlign w:val="top"/>
          </w:tcPr>
          <w:p w14:paraId="317F5E5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3E55DF0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bl>
    <w:p w14:paraId="1950031D">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2.22脾经（土）（定位）调查结果</w:t>
      </w:r>
    </w:p>
    <w:p w14:paraId="2534608E">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29 脾经（土）（定位）调查结果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6"/>
        <w:gridCol w:w="696"/>
        <w:gridCol w:w="1056"/>
        <w:gridCol w:w="456"/>
      </w:tblGrid>
      <w:tr w14:paraId="0FB4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40E1A28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2A7A30A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0"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0" DrawAspect="Content" ObjectID="_1468075753" r:id="rId43">
                  <o:LockedField>false</o:LockedField>
                </o:OLEObject>
              </w:object>
            </w:r>
          </w:p>
        </w:tc>
        <w:tc>
          <w:tcPr>
            <w:tcW w:w="0" w:type="auto"/>
            <w:noWrap w:val="0"/>
            <w:vAlign w:val="top"/>
          </w:tcPr>
          <w:p w14:paraId="41286F3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680D721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2D347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1BAAA4B8">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 xml:space="preserve">位于拇指罗纹面上。                 </w:t>
            </w:r>
          </w:p>
        </w:tc>
        <w:tc>
          <w:tcPr>
            <w:tcW w:w="0" w:type="auto"/>
            <w:noWrap w:val="0"/>
            <w:vAlign w:val="top"/>
          </w:tcPr>
          <w:p w14:paraId="0A2A856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0" w:type="auto"/>
            <w:noWrap w:val="0"/>
            <w:vAlign w:val="top"/>
          </w:tcPr>
          <w:p w14:paraId="542C56D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0" w:type="auto"/>
            <w:noWrap w:val="0"/>
            <w:vAlign w:val="top"/>
          </w:tcPr>
          <w:p w14:paraId="1ECC5D6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10F1B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1F37C79A">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B.</w:t>
            </w:r>
            <w:r>
              <w:rPr>
                <w:rFonts w:hint="eastAsia" w:ascii="仿宋" w:hAnsi="仿宋" w:eastAsia="仿宋" w:cs="Calibri"/>
                <w:kern w:val="0"/>
                <w:sz w:val="24"/>
                <w:szCs w:val="24"/>
                <w:lang w:val="en-US" w:eastAsia="zh-CN"/>
              </w:rPr>
              <w:t xml:space="preserve">位于大指外侧边从指尖到指根一线。                                                                  </w:t>
            </w:r>
          </w:p>
        </w:tc>
        <w:tc>
          <w:tcPr>
            <w:tcW w:w="0" w:type="auto"/>
            <w:noWrap w:val="0"/>
            <w:vAlign w:val="top"/>
          </w:tcPr>
          <w:p w14:paraId="63BD598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0" w:type="auto"/>
            <w:noWrap w:val="0"/>
            <w:vAlign w:val="top"/>
          </w:tcPr>
          <w:p w14:paraId="2D71417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87.00%</w:t>
            </w:r>
          </w:p>
        </w:tc>
        <w:tc>
          <w:tcPr>
            <w:tcW w:w="0" w:type="auto"/>
            <w:noWrap w:val="0"/>
            <w:vAlign w:val="top"/>
          </w:tcPr>
          <w:p w14:paraId="7930D26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5C91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1C537B09">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 xml:space="preserve">位于大指端螺纹面。                                                                           </w:t>
            </w:r>
          </w:p>
        </w:tc>
        <w:tc>
          <w:tcPr>
            <w:tcW w:w="0" w:type="auto"/>
            <w:noWrap w:val="0"/>
            <w:vAlign w:val="top"/>
          </w:tcPr>
          <w:p w14:paraId="3D1D5C8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0" w:type="auto"/>
            <w:noWrap w:val="0"/>
            <w:vAlign w:val="top"/>
          </w:tcPr>
          <w:p w14:paraId="25DCB40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0B63733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4103E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04A91F14">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D.拇指末节螺纹面或拇指桡侧缘，由指尖至指根呈一直线。</w:t>
            </w:r>
          </w:p>
        </w:tc>
        <w:tc>
          <w:tcPr>
            <w:tcW w:w="0" w:type="auto"/>
            <w:noWrap w:val="0"/>
            <w:vAlign w:val="top"/>
          </w:tcPr>
          <w:p w14:paraId="0AB3E54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0.37</w:t>
            </w:r>
          </w:p>
        </w:tc>
        <w:tc>
          <w:tcPr>
            <w:tcW w:w="0" w:type="auto"/>
            <w:noWrap w:val="0"/>
            <w:vAlign w:val="top"/>
          </w:tcPr>
          <w:p w14:paraId="65A4CDF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62.96%</w:t>
            </w:r>
          </w:p>
        </w:tc>
        <w:tc>
          <w:tcPr>
            <w:tcW w:w="0" w:type="auto"/>
            <w:noWrap w:val="0"/>
            <w:vAlign w:val="top"/>
          </w:tcPr>
          <w:p w14:paraId="128E0A3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r>
      <w:tr w14:paraId="3D0C0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52616814">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沿用国家标准原文。</w:t>
            </w:r>
          </w:p>
        </w:tc>
        <w:tc>
          <w:tcPr>
            <w:tcW w:w="0" w:type="auto"/>
            <w:noWrap w:val="0"/>
            <w:vAlign w:val="top"/>
          </w:tcPr>
          <w:p w14:paraId="267C9A8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0.56</w:t>
            </w:r>
          </w:p>
        </w:tc>
        <w:tc>
          <w:tcPr>
            <w:tcW w:w="0" w:type="auto"/>
            <w:noWrap w:val="0"/>
            <w:vAlign w:val="top"/>
          </w:tcPr>
          <w:p w14:paraId="551B968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44.44%</w:t>
            </w:r>
          </w:p>
        </w:tc>
        <w:tc>
          <w:tcPr>
            <w:tcW w:w="0" w:type="auto"/>
            <w:noWrap w:val="0"/>
            <w:vAlign w:val="top"/>
          </w:tcPr>
          <w:p w14:paraId="3517720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15</w:t>
            </w:r>
          </w:p>
        </w:tc>
      </w:tr>
      <w:tr w14:paraId="5D11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3A22C386">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其他</w:t>
            </w:r>
          </w:p>
        </w:tc>
        <w:tc>
          <w:tcPr>
            <w:tcW w:w="0" w:type="auto"/>
            <w:noWrap w:val="0"/>
            <w:vAlign w:val="top"/>
          </w:tcPr>
          <w:p w14:paraId="736C824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0" w:type="auto"/>
            <w:noWrap w:val="0"/>
            <w:vAlign w:val="top"/>
          </w:tcPr>
          <w:p w14:paraId="326D6AA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0FF7837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718F8924">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2.23四横纹（定位）调查结果</w:t>
      </w:r>
    </w:p>
    <w:p w14:paraId="2E716AC2">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30 四横纹（定位）调查结果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2"/>
        <w:gridCol w:w="696"/>
        <w:gridCol w:w="1056"/>
        <w:gridCol w:w="456"/>
      </w:tblGrid>
      <w:tr w14:paraId="2FADA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F96383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7C68CF0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1"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1" DrawAspect="Content" ObjectID="_1468075754" r:id="rId44">
                  <o:LockedField>false</o:LockedField>
                </o:OLEObject>
              </w:object>
            </w:r>
          </w:p>
        </w:tc>
        <w:tc>
          <w:tcPr>
            <w:tcW w:w="0" w:type="auto"/>
            <w:noWrap w:val="0"/>
            <w:vAlign w:val="top"/>
          </w:tcPr>
          <w:p w14:paraId="33CBDAF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76FE7A1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25AD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915EE87">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四横纹穴, 别名四缝, 位于掌面, 食、中、无名、小指第一指间关节横纹处。</w:t>
            </w:r>
            <w:r>
              <w:rPr>
                <w:rFonts w:hint="default" w:ascii="仿宋" w:hAnsi="仿宋" w:eastAsia="仿宋" w:cs="Calibri"/>
                <w:kern w:val="0"/>
                <w:sz w:val="24"/>
                <w:szCs w:val="24"/>
                <w:lang w:val="en-US" w:eastAsia="zh-CN"/>
              </w:rPr>
              <w:t xml:space="preserve">     </w:t>
            </w:r>
          </w:p>
        </w:tc>
        <w:tc>
          <w:tcPr>
            <w:tcW w:w="0" w:type="auto"/>
            <w:noWrap w:val="0"/>
            <w:vAlign w:val="top"/>
          </w:tcPr>
          <w:p w14:paraId="30C37A5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0" w:type="auto"/>
            <w:noWrap w:val="0"/>
            <w:vAlign w:val="top"/>
          </w:tcPr>
          <w:p w14:paraId="282EDE4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0" w:type="auto"/>
            <w:noWrap w:val="0"/>
            <w:vAlign w:val="top"/>
          </w:tcPr>
          <w:p w14:paraId="09E72BE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r w14:paraId="2BFD2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F6A75A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w:t>
            </w:r>
            <w:r>
              <w:rPr>
                <w:rFonts w:hint="default" w:ascii="仿宋" w:hAnsi="仿宋" w:eastAsia="仿宋" w:cs="Calibri"/>
                <w:kern w:val="0"/>
                <w:sz w:val="24"/>
                <w:szCs w:val="24"/>
                <w:lang w:val="en-US" w:eastAsia="zh-CN"/>
              </w:rPr>
              <w:t xml:space="preserve">.掌面食指、中指、无名指、小指近侧指间关节横纹处。。                                </w:t>
            </w:r>
            <w:r>
              <w:rPr>
                <w:rFonts w:hint="eastAsia" w:ascii="仿宋" w:hAnsi="仿宋" w:eastAsia="仿宋" w:cs="Calibri"/>
                <w:kern w:val="0"/>
                <w:sz w:val="24"/>
                <w:szCs w:val="24"/>
                <w:lang w:val="en-US" w:eastAsia="zh-CN"/>
              </w:rPr>
              <w:t xml:space="preserve">                                  </w:t>
            </w:r>
          </w:p>
        </w:tc>
        <w:tc>
          <w:tcPr>
            <w:tcW w:w="0" w:type="auto"/>
            <w:noWrap w:val="0"/>
            <w:vAlign w:val="top"/>
          </w:tcPr>
          <w:p w14:paraId="0C2CD44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0" w:type="auto"/>
            <w:noWrap w:val="0"/>
            <w:vAlign w:val="top"/>
          </w:tcPr>
          <w:p w14:paraId="11EBAA7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0" w:type="auto"/>
            <w:noWrap w:val="0"/>
            <w:vAlign w:val="top"/>
          </w:tcPr>
          <w:p w14:paraId="6CA7E82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r w14:paraId="1CE6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71AB120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w:t>
            </w:r>
            <w:r>
              <w:rPr>
                <w:rFonts w:hint="default" w:ascii="仿宋" w:hAnsi="仿宋" w:eastAsia="仿宋" w:cs="Calibri"/>
                <w:kern w:val="0"/>
                <w:sz w:val="24"/>
                <w:szCs w:val="24"/>
                <w:lang w:val="en-US" w:eastAsia="zh-CN"/>
              </w:rPr>
              <w:t>.</w:t>
            </w:r>
            <w:r>
              <w:rPr>
                <w:rFonts w:hint="eastAsia" w:ascii="仿宋" w:hAnsi="仿宋" w:eastAsia="仿宋" w:cs="Calibri"/>
                <w:kern w:val="0"/>
                <w:sz w:val="24"/>
                <w:szCs w:val="24"/>
                <w:lang w:val="en-US" w:eastAsia="zh-CN"/>
              </w:rPr>
              <w:t>沿用国家标准原文。</w:t>
            </w:r>
            <w:r>
              <w:rPr>
                <w:rFonts w:hint="default" w:ascii="仿宋" w:hAnsi="仿宋" w:eastAsia="仿宋" w:cs="Calibri"/>
                <w:kern w:val="0"/>
                <w:sz w:val="24"/>
                <w:szCs w:val="24"/>
                <w:lang w:val="en-US" w:eastAsia="zh-CN"/>
              </w:rPr>
              <w:t xml:space="preserve">                                                                           </w:t>
            </w:r>
          </w:p>
        </w:tc>
        <w:tc>
          <w:tcPr>
            <w:tcW w:w="0" w:type="auto"/>
            <w:noWrap w:val="0"/>
            <w:vAlign w:val="top"/>
          </w:tcPr>
          <w:p w14:paraId="29D7A82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0.63</w:t>
            </w:r>
          </w:p>
        </w:tc>
        <w:tc>
          <w:tcPr>
            <w:tcW w:w="0" w:type="auto"/>
            <w:noWrap w:val="0"/>
            <w:vAlign w:val="top"/>
          </w:tcPr>
          <w:p w14:paraId="679B82E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37.04%</w:t>
            </w:r>
          </w:p>
        </w:tc>
        <w:tc>
          <w:tcPr>
            <w:tcW w:w="0" w:type="auto"/>
            <w:noWrap w:val="0"/>
            <w:vAlign w:val="top"/>
          </w:tcPr>
          <w:p w14:paraId="3546F3B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17</w:t>
            </w:r>
          </w:p>
        </w:tc>
      </w:tr>
      <w:tr w14:paraId="6A9D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9C97EA4">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其他</w:t>
            </w:r>
          </w:p>
        </w:tc>
        <w:tc>
          <w:tcPr>
            <w:tcW w:w="0" w:type="auto"/>
            <w:noWrap w:val="0"/>
            <w:vAlign w:val="top"/>
          </w:tcPr>
          <w:p w14:paraId="5A312D6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0" w:type="auto"/>
            <w:noWrap w:val="0"/>
            <w:vAlign w:val="top"/>
          </w:tcPr>
          <w:p w14:paraId="5D535E9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3A16448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4911B2FD">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2.24二人上马（穴位名</w:t>
      </w:r>
      <w:r>
        <w:rPr>
          <w:rFonts w:hint="eastAsia" w:ascii="仿宋" w:hAnsi="仿宋" w:eastAsia="仿宋" w:cs="Calibri"/>
          <w:b/>
          <w:kern w:val="0"/>
          <w:sz w:val="24"/>
          <w:szCs w:val="24"/>
          <w:lang w:eastAsia="zh-CN"/>
        </w:rPr>
        <w:t>）</w:t>
      </w:r>
      <w:r>
        <w:rPr>
          <w:rFonts w:hint="eastAsia" w:ascii="仿宋" w:hAnsi="仿宋" w:eastAsia="仿宋" w:cs="Calibri"/>
          <w:b/>
          <w:kern w:val="0"/>
          <w:sz w:val="24"/>
          <w:szCs w:val="24"/>
        </w:rPr>
        <w:t>调查结果</w:t>
      </w:r>
    </w:p>
    <w:p w14:paraId="6CBD783B">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31 二人上马（穴位名）调查结果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77"/>
        <w:gridCol w:w="796"/>
        <w:gridCol w:w="977"/>
        <w:gridCol w:w="733"/>
      </w:tblGrid>
      <w:tr w14:paraId="75F81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77" w:type="dxa"/>
            <w:noWrap w:val="0"/>
            <w:vAlign w:val="top"/>
          </w:tcPr>
          <w:p w14:paraId="453727D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796" w:type="dxa"/>
            <w:noWrap w:val="0"/>
            <w:vAlign w:val="top"/>
          </w:tcPr>
          <w:p w14:paraId="0731074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2"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2" DrawAspect="Content" ObjectID="_1468075755" r:id="rId45">
                  <o:LockedField>false</o:LockedField>
                </o:OLEObject>
              </w:object>
            </w:r>
          </w:p>
        </w:tc>
        <w:tc>
          <w:tcPr>
            <w:tcW w:w="977" w:type="dxa"/>
            <w:noWrap w:val="0"/>
            <w:vAlign w:val="top"/>
          </w:tcPr>
          <w:p w14:paraId="47F6FDF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733" w:type="dxa"/>
            <w:noWrap w:val="0"/>
            <w:vAlign w:val="top"/>
          </w:tcPr>
          <w:p w14:paraId="4CC6F19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B459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77" w:type="dxa"/>
            <w:noWrap w:val="0"/>
            <w:vAlign w:val="top"/>
          </w:tcPr>
          <w:p w14:paraId="46932DD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A.二马</w:t>
            </w:r>
          </w:p>
        </w:tc>
        <w:tc>
          <w:tcPr>
            <w:tcW w:w="796" w:type="dxa"/>
            <w:noWrap w:val="0"/>
            <w:vAlign w:val="top"/>
          </w:tcPr>
          <w:p w14:paraId="3F0853F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0.07</w:t>
            </w:r>
          </w:p>
        </w:tc>
        <w:tc>
          <w:tcPr>
            <w:tcW w:w="977" w:type="dxa"/>
            <w:noWrap w:val="0"/>
            <w:vAlign w:val="top"/>
          </w:tcPr>
          <w:p w14:paraId="23BCF33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92.59%</w:t>
            </w:r>
          </w:p>
        </w:tc>
        <w:tc>
          <w:tcPr>
            <w:tcW w:w="733" w:type="dxa"/>
            <w:noWrap w:val="0"/>
            <w:vAlign w:val="top"/>
          </w:tcPr>
          <w:p w14:paraId="6796C3C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w:t>
            </w:r>
          </w:p>
        </w:tc>
      </w:tr>
      <w:tr w14:paraId="795D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77" w:type="dxa"/>
            <w:noWrap w:val="0"/>
            <w:vAlign w:val="top"/>
          </w:tcPr>
          <w:p w14:paraId="16BFF2A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B.上马                                                                  </w:t>
            </w:r>
          </w:p>
        </w:tc>
        <w:tc>
          <w:tcPr>
            <w:tcW w:w="796" w:type="dxa"/>
            <w:noWrap w:val="0"/>
            <w:vAlign w:val="top"/>
          </w:tcPr>
          <w:p w14:paraId="237758A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977" w:type="dxa"/>
            <w:noWrap w:val="0"/>
            <w:vAlign w:val="top"/>
          </w:tcPr>
          <w:p w14:paraId="707A094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733" w:type="dxa"/>
            <w:noWrap w:val="0"/>
            <w:vAlign w:val="top"/>
          </w:tcPr>
          <w:p w14:paraId="28B6733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4657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77" w:type="dxa"/>
            <w:noWrap w:val="0"/>
            <w:vAlign w:val="top"/>
          </w:tcPr>
          <w:p w14:paraId="0DD0DA6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C.沿用国家标准原文                                                                           </w:t>
            </w:r>
          </w:p>
        </w:tc>
        <w:tc>
          <w:tcPr>
            <w:tcW w:w="796" w:type="dxa"/>
            <w:noWrap w:val="0"/>
            <w:vAlign w:val="top"/>
          </w:tcPr>
          <w:p w14:paraId="249AF1B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0.81</w:t>
            </w:r>
          </w:p>
        </w:tc>
        <w:tc>
          <w:tcPr>
            <w:tcW w:w="977" w:type="dxa"/>
            <w:noWrap w:val="0"/>
            <w:vAlign w:val="top"/>
          </w:tcPr>
          <w:p w14:paraId="24A6AD6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18.52%</w:t>
            </w:r>
          </w:p>
        </w:tc>
        <w:tc>
          <w:tcPr>
            <w:tcW w:w="733" w:type="dxa"/>
            <w:noWrap w:val="0"/>
            <w:vAlign w:val="top"/>
          </w:tcPr>
          <w:p w14:paraId="2E4DFBF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22</w:t>
            </w:r>
          </w:p>
        </w:tc>
      </w:tr>
      <w:tr w14:paraId="670E5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777" w:type="dxa"/>
            <w:noWrap w:val="0"/>
            <w:vAlign w:val="top"/>
          </w:tcPr>
          <w:p w14:paraId="2F0A8C20">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其他</w:t>
            </w:r>
          </w:p>
        </w:tc>
        <w:tc>
          <w:tcPr>
            <w:tcW w:w="796" w:type="dxa"/>
            <w:noWrap w:val="0"/>
            <w:vAlign w:val="top"/>
          </w:tcPr>
          <w:p w14:paraId="7C6DD10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0.07</w:t>
            </w:r>
          </w:p>
        </w:tc>
        <w:tc>
          <w:tcPr>
            <w:tcW w:w="977" w:type="dxa"/>
            <w:noWrap w:val="0"/>
            <w:vAlign w:val="top"/>
          </w:tcPr>
          <w:p w14:paraId="30BB76F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92.59%</w:t>
            </w:r>
          </w:p>
        </w:tc>
        <w:tc>
          <w:tcPr>
            <w:tcW w:w="733" w:type="dxa"/>
            <w:noWrap w:val="0"/>
            <w:vAlign w:val="top"/>
          </w:tcPr>
          <w:p w14:paraId="71741ED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w:t>
            </w:r>
          </w:p>
        </w:tc>
      </w:tr>
    </w:tbl>
    <w:p w14:paraId="673A5515">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2.25二人上马（定位）调查结果</w:t>
      </w:r>
    </w:p>
    <w:p w14:paraId="14801AFD">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32 二人上马（定位）调查结果</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2"/>
        <w:gridCol w:w="696"/>
        <w:gridCol w:w="1056"/>
        <w:gridCol w:w="456"/>
      </w:tblGrid>
      <w:tr w14:paraId="6B7C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7201763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0" w:type="auto"/>
            <w:noWrap w:val="0"/>
            <w:vAlign w:val="top"/>
          </w:tcPr>
          <w:p w14:paraId="0536438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3"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3" DrawAspect="Content" ObjectID="_1468075756" r:id="rId46">
                  <o:LockedField>false</o:LockedField>
                </o:OLEObject>
              </w:object>
            </w:r>
          </w:p>
        </w:tc>
        <w:tc>
          <w:tcPr>
            <w:tcW w:w="0" w:type="auto"/>
            <w:noWrap w:val="0"/>
            <w:vAlign w:val="top"/>
          </w:tcPr>
          <w:p w14:paraId="5B09DC3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0" w:type="auto"/>
            <w:noWrap w:val="0"/>
            <w:vAlign w:val="top"/>
          </w:tcPr>
          <w:p w14:paraId="02C0363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1C724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8BC2FB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A.位于手背无名指与小指掌指关节后凹陷中，与另一特定穴内八卦中的兑宫相对。                                   </w:t>
            </w:r>
          </w:p>
        </w:tc>
        <w:tc>
          <w:tcPr>
            <w:tcW w:w="0" w:type="auto"/>
            <w:noWrap w:val="0"/>
            <w:vAlign w:val="top"/>
          </w:tcPr>
          <w:p w14:paraId="642F7A3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0" w:type="auto"/>
            <w:noWrap w:val="0"/>
            <w:vAlign w:val="top"/>
          </w:tcPr>
          <w:p w14:paraId="2927484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0" w:type="auto"/>
            <w:noWrap w:val="0"/>
            <w:vAlign w:val="top"/>
          </w:tcPr>
          <w:p w14:paraId="691BC8C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5210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CC7015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B.位于小指旁二指横纹及掌乾宫旁。                                                                  </w:t>
            </w:r>
          </w:p>
        </w:tc>
        <w:tc>
          <w:tcPr>
            <w:tcW w:w="0" w:type="auto"/>
            <w:noWrap w:val="0"/>
            <w:vAlign w:val="top"/>
          </w:tcPr>
          <w:p w14:paraId="41B0D4B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0" w:type="auto"/>
            <w:noWrap w:val="0"/>
            <w:vAlign w:val="top"/>
          </w:tcPr>
          <w:p w14:paraId="13C63AC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7227A9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137A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848912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C.位于小指旁三四横纹、及掌乾宫旁。                                                                           </w:t>
            </w:r>
          </w:p>
        </w:tc>
        <w:tc>
          <w:tcPr>
            <w:tcW w:w="0" w:type="auto"/>
            <w:noWrap w:val="0"/>
            <w:vAlign w:val="top"/>
          </w:tcPr>
          <w:p w14:paraId="2236354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0" w:type="auto"/>
            <w:noWrap w:val="0"/>
            <w:vAlign w:val="top"/>
          </w:tcPr>
          <w:p w14:paraId="034D509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0" w:type="auto"/>
            <w:noWrap w:val="0"/>
            <w:vAlign w:val="top"/>
          </w:tcPr>
          <w:p w14:paraId="48AC780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4756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C375DA8">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D.手背无名指与小指掌指关节后凹陷中。</w:t>
            </w:r>
          </w:p>
        </w:tc>
        <w:tc>
          <w:tcPr>
            <w:tcW w:w="0" w:type="auto"/>
            <w:noWrap w:val="0"/>
            <w:vAlign w:val="top"/>
          </w:tcPr>
          <w:p w14:paraId="0A7E14D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0" w:type="auto"/>
            <w:noWrap w:val="0"/>
            <w:vAlign w:val="top"/>
          </w:tcPr>
          <w:p w14:paraId="44C828B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0" w:type="auto"/>
            <w:noWrap w:val="0"/>
            <w:vAlign w:val="top"/>
          </w:tcPr>
          <w:p w14:paraId="59FB582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58CB8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A65EEA3">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沿用国家标准原文。</w:t>
            </w:r>
          </w:p>
        </w:tc>
        <w:tc>
          <w:tcPr>
            <w:tcW w:w="0" w:type="auto"/>
            <w:noWrap w:val="0"/>
            <w:vAlign w:val="top"/>
          </w:tcPr>
          <w:p w14:paraId="5254441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0.70</w:t>
            </w:r>
          </w:p>
        </w:tc>
        <w:tc>
          <w:tcPr>
            <w:tcW w:w="0" w:type="auto"/>
            <w:noWrap w:val="0"/>
            <w:vAlign w:val="top"/>
          </w:tcPr>
          <w:p w14:paraId="101C7EF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29.63%</w:t>
            </w:r>
          </w:p>
        </w:tc>
        <w:tc>
          <w:tcPr>
            <w:tcW w:w="0" w:type="auto"/>
            <w:noWrap w:val="0"/>
            <w:vAlign w:val="top"/>
          </w:tcPr>
          <w:p w14:paraId="7B63BBC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r>
      <w:tr w14:paraId="33E83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7224C5C">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其他</w:t>
            </w:r>
          </w:p>
        </w:tc>
        <w:tc>
          <w:tcPr>
            <w:tcW w:w="0" w:type="auto"/>
            <w:noWrap w:val="0"/>
            <w:vAlign w:val="top"/>
          </w:tcPr>
          <w:p w14:paraId="3EE171B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0" w:type="auto"/>
            <w:noWrap w:val="0"/>
            <w:vAlign w:val="top"/>
          </w:tcPr>
          <w:p w14:paraId="36AC712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0" w:type="auto"/>
            <w:noWrap w:val="0"/>
            <w:vAlign w:val="top"/>
          </w:tcPr>
          <w:p w14:paraId="2DF2D62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bl>
    <w:p w14:paraId="22C7BE04">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2.26三关（定位）调查结果</w:t>
      </w:r>
    </w:p>
    <w:p w14:paraId="5A6B7DFA">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33 三关（定位）调查结果</w:t>
      </w:r>
    </w:p>
    <w:tbl>
      <w:tblPr>
        <w:tblStyle w:val="81"/>
        <w:tblW w:w="8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73"/>
        <w:gridCol w:w="1062"/>
        <w:gridCol w:w="1124"/>
        <w:gridCol w:w="850"/>
      </w:tblGrid>
      <w:tr w14:paraId="26BD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73" w:type="dxa"/>
            <w:noWrap w:val="0"/>
            <w:vAlign w:val="top"/>
          </w:tcPr>
          <w:p w14:paraId="37B9C5E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1062" w:type="dxa"/>
            <w:noWrap w:val="0"/>
            <w:vAlign w:val="top"/>
          </w:tcPr>
          <w:p w14:paraId="4D09914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4"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4" DrawAspect="Content" ObjectID="_1468075757" r:id="rId47">
                  <o:LockedField>false</o:LockedField>
                </o:OLEObject>
              </w:object>
            </w:r>
          </w:p>
        </w:tc>
        <w:tc>
          <w:tcPr>
            <w:tcW w:w="1124" w:type="dxa"/>
            <w:noWrap w:val="0"/>
            <w:vAlign w:val="top"/>
          </w:tcPr>
          <w:p w14:paraId="6E1C0C0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850" w:type="dxa"/>
            <w:noWrap w:val="0"/>
            <w:vAlign w:val="top"/>
          </w:tcPr>
          <w:p w14:paraId="12D6F66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15843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20" w:hRule="atLeast"/>
          <w:jc w:val="center"/>
        </w:trPr>
        <w:tc>
          <w:tcPr>
            <w:tcW w:w="5073" w:type="dxa"/>
            <w:noWrap w:val="0"/>
            <w:vAlign w:val="top"/>
          </w:tcPr>
          <w:p w14:paraId="2DE3471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A.以男子左手正面图和女子右手正面图显示三关穴位大致在前臂桡侧，腕横纹至肘关节之间。</w:t>
            </w:r>
          </w:p>
        </w:tc>
        <w:tc>
          <w:tcPr>
            <w:tcW w:w="1062" w:type="dxa"/>
            <w:noWrap w:val="0"/>
            <w:vAlign w:val="top"/>
          </w:tcPr>
          <w:p w14:paraId="141BDB7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124" w:type="dxa"/>
            <w:noWrap w:val="0"/>
            <w:vAlign w:val="top"/>
          </w:tcPr>
          <w:p w14:paraId="23B2F81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850" w:type="dxa"/>
            <w:noWrap w:val="0"/>
            <w:vAlign w:val="top"/>
          </w:tcPr>
          <w:p w14:paraId="09F477A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4E985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20" w:hRule="atLeast"/>
          <w:jc w:val="center"/>
        </w:trPr>
        <w:tc>
          <w:tcPr>
            <w:tcW w:w="5073" w:type="dxa"/>
            <w:noWrap w:val="0"/>
            <w:vAlign w:val="top"/>
          </w:tcPr>
          <w:p w14:paraId="0E7C3BA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B.三关穴在手膊上旁边，又称大三关……其穴从鱼际穴，往膀上边，到手弯曲池，故曰侧。  </w:t>
            </w:r>
          </w:p>
        </w:tc>
        <w:tc>
          <w:tcPr>
            <w:tcW w:w="1062" w:type="dxa"/>
            <w:noWrap w:val="0"/>
            <w:vAlign w:val="top"/>
          </w:tcPr>
          <w:p w14:paraId="1B2CF49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4" w:type="dxa"/>
            <w:noWrap w:val="0"/>
            <w:vAlign w:val="top"/>
          </w:tcPr>
          <w:p w14:paraId="1E0D6D6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50" w:type="dxa"/>
            <w:noWrap w:val="0"/>
            <w:vAlign w:val="top"/>
          </w:tcPr>
          <w:p w14:paraId="2AED6AD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6C37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20" w:hRule="atLeast"/>
          <w:jc w:val="center"/>
        </w:trPr>
        <w:tc>
          <w:tcPr>
            <w:tcW w:w="5073" w:type="dxa"/>
            <w:noWrap w:val="0"/>
            <w:vAlign w:val="top"/>
          </w:tcPr>
          <w:p w14:paraId="1A7F9C0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C.位于男左手直骨背面。结合古书图示，三关处在前臂背面，腕至肘间。                                                                  </w:t>
            </w:r>
          </w:p>
        </w:tc>
        <w:tc>
          <w:tcPr>
            <w:tcW w:w="1062" w:type="dxa"/>
            <w:noWrap w:val="0"/>
            <w:vAlign w:val="top"/>
          </w:tcPr>
          <w:p w14:paraId="1E4BED6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4" w:type="dxa"/>
            <w:noWrap w:val="0"/>
            <w:vAlign w:val="top"/>
          </w:tcPr>
          <w:p w14:paraId="07B0FC8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50" w:type="dxa"/>
            <w:noWrap w:val="0"/>
            <w:vAlign w:val="top"/>
          </w:tcPr>
          <w:p w14:paraId="5D2B0E6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2456B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90" w:hRule="atLeast"/>
          <w:jc w:val="center"/>
        </w:trPr>
        <w:tc>
          <w:tcPr>
            <w:tcW w:w="5073" w:type="dxa"/>
            <w:noWrap w:val="0"/>
            <w:vAlign w:val="top"/>
          </w:tcPr>
          <w:p w14:paraId="67CEF165">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 xml:space="preserve">位于肱背面。                                                                           </w:t>
            </w:r>
          </w:p>
        </w:tc>
        <w:tc>
          <w:tcPr>
            <w:tcW w:w="1062" w:type="dxa"/>
            <w:noWrap w:val="0"/>
            <w:vAlign w:val="top"/>
          </w:tcPr>
          <w:p w14:paraId="51C51F7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4" w:type="dxa"/>
            <w:noWrap w:val="0"/>
            <w:vAlign w:val="top"/>
          </w:tcPr>
          <w:p w14:paraId="24BDBE7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50" w:type="dxa"/>
            <w:noWrap w:val="0"/>
            <w:vAlign w:val="top"/>
          </w:tcPr>
          <w:p w14:paraId="195D45C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6218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90" w:hRule="atLeast"/>
          <w:jc w:val="center"/>
        </w:trPr>
        <w:tc>
          <w:tcPr>
            <w:tcW w:w="5073" w:type="dxa"/>
            <w:noWrap w:val="0"/>
            <w:vAlign w:val="top"/>
          </w:tcPr>
          <w:p w14:paraId="0FE649BA">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位于在手肘大指边。</w:t>
            </w:r>
          </w:p>
        </w:tc>
        <w:tc>
          <w:tcPr>
            <w:tcW w:w="1062" w:type="dxa"/>
            <w:noWrap w:val="0"/>
            <w:vAlign w:val="top"/>
          </w:tcPr>
          <w:p w14:paraId="5C44ABF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4" w:type="dxa"/>
            <w:noWrap w:val="0"/>
            <w:vAlign w:val="top"/>
          </w:tcPr>
          <w:p w14:paraId="559638C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50" w:type="dxa"/>
            <w:noWrap w:val="0"/>
            <w:vAlign w:val="top"/>
          </w:tcPr>
          <w:p w14:paraId="71A916F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1295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20" w:hRule="atLeast"/>
          <w:jc w:val="center"/>
        </w:trPr>
        <w:tc>
          <w:tcPr>
            <w:tcW w:w="5073" w:type="dxa"/>
            <w:noWrap w:val="0"/>
            <w:vAlign w:val="top"/>
          </w:tcPr>
          <w:p w14:paraId="4BB64CD1">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前臂桡侧缘，自阳池至曲池呈一直线。</w:t>
            </w:r>
          </w:p>
        </w:tc>
        <w:tc>
          <w:tcPr>
            <w:tcW w:w="1062" w:type="dxa"/>
            <w:noWrap w:val="0"/>
            <w:vAlign w:val="top"/>
          </w:tcPr>
          <w:p w14:paraId="4D7175C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0.26</w:t>
            </w:r>
          </w:p>
        </w:tc>
        <w:tc>
          <w:tcPr>
            <w:tcW w:w="1124" w:type="dxa"/>
            <w:noWrap w:val="0"/>
            <w:vAlign w:val="top"/>
          </w:tcPr>
          <w:p w14:paraId="750BF08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74.07%</w:t>
            </w:r>
          </w:p>
        </w:tc>
        <w:tc>
          <w:tcPr>
            <w:tcW w:w="850" w:type="dxa"/>
            <w:noWrap w:val="0"/>
            <w:vAlign w:val="top"/>
          </w:tcPr>
          <w:p w14:paraId="0DC8FF2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w:t>
            </w:r>
          </w:p>
        </w:tc>
      </w:tr>
      <w:tr w14:paraId="70B50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20" w:hRule="atLeast"/>
          <w:jc w:val="center"/>
        </w:trPr>
        <w:tc>
          <w:tcPr>
            <w:tcW w:w="5073" w:type="dxa"/>
            <w:noWrap w:val="0"/>
            <w:vAlign w:val="top"/>
          </w:tcPr>
          <w:p w14:paraId="5EB5BD2D">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G.</w:t>
            </w:r>
            <w:r>
              <w:rPr>
                <w:rFonts w:hint="eastAsia" w:ascii="仿宋" w:hAnsi="仿宋" w:eastAsia="仿宋" w:cs="Calibri"/>
                <w:kern w:val="0"/>
                <w:sz w:val="24"/>
                <w:szCs w:val="24"/>
                <w:lang w:val="en-US" w:eastAsia="zh-CN"/>
              </w:rPr>
              <w:t>沿用国家标准原文。</w:t>
            </w:r>
          </w:p>
        </w:tc>
        <w:tc>
          <w:tcPr>
            <w:tcW w:w="1062" w:type="dxa"/>
            <w:noWrap w:val="0"/>
            <w:vAlign w:val="top"/>
          </w:tcPr>
          <w:p w14:paraId="2DB65DD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0.74</w:t>
            </w:r>
          </w:p>
        </w:tc>
        <w:tc>
          <w:tcPr>
            <w:tcW w:w="1124" w:type="dxa"/>
            <w:noWrap w:val="0"/>
            <w:vAlign w:val="top"/>
          </w:tcPr>
          <w:p w14:paraId="2016999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25.93%</w:t>
            </w:r>
          </w:p>
        </w:tc>
        <w:tc>
          <w:tcPr>
            <w:tcW w:w="850" w:type="dxa"/>
            <w:noWrap w:val="0"/>
            <w:vAlign w:val="top"/>
          </w:tcPr>
          <w:p w14:paraId="679F469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20</w:t>
            </w:r>
          </w:p>
        </w:tc>
      </w:tr>
      <w:tr w14:paraId="70DF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Before w:w="0" w:type="auto"/>
          <w:trHeight w:val="20" w:hRule="atLeast"/>
          <w:jc w:val="center"/>
        </w:trPr>
        <w:tc>
          <w:tcPr>
            <w:tcW w:w="5073" w:type="dxa"/>
            <w:noWrap w:val="0"/>
            <w:vAlign w:val="top"/>
          </w:tcPr>
          <w:p w14:paraId="01FBD463">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H.</w:t>
            </w:r>
            <w:r>
              <w:rPr>
                <w:rFonts w:hint="eastAsia" w:ascii="仿宋" w:hAnsi="仿宋" w:eastAsia="仿宋" w:cs="Calibri"/>
                <w:kern w:val="0"/>
                <w:sz w:val="24"/>
                <w:szCs w:val="24"/>
                <w:lang w:val="en-US" w:eastAsia="zh-CN"/>
              </w:rPr>
              <w:t>其他</w:t>
            </w:r>
          </w:p>
        </w:tc>
        <w:tc>
          <w:tcPr>
            <w:tcW w:w="1062" w:type="dxa"/>
            <w:noWrap w:val="0"/>
            <w:vAlign w:val="top"/>
          </w:tcPr>
          <w:p w14:paraId="4FA6C54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124" w:type="dxa"/>
            <w:noWrap w:val="0"/>
            <w:vAlign w:val="top"/>
          </w:tcPr>
          <w:p w14:paraId="10EC5D1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50" w:type="dxa"/>
            <w:noWrap w:val="0"/>
            <w:vAlign w:val="top"/>
          </w:tcPr>
          <w:p w14:paraId="1DF6DAB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1CA66999">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2.27六腑（定位）调查结果</w:t>
      </w:r>
    </w:p>
    <w:p w14:paraId="53566A99">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34六腑（定位）调查结果</w:t>
      </w:r>
    </w:p>
    <w:tbl>
      <w:tblPr>
        <w:tblStyle w:val="81"/>
        <w:tblW w:w="7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6"/>
        <w:gridCol w:w="1021"/>
        <w:gridCol w:w="1056"/>
        <w:gridCol w:w="870"/>
      </w:tblGrid>
      <w:tr w14:paraId="0495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4597" w:type="dxa"/>
            <w:noWrap w:val="0"/>
            <w:vAlign w:val="top"/>
          </w:tcPr>
          <w:p w14:paraId="00B5CDD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1023" w:type="dxa"/>
            <w:noWrap w:val="0"/>
            <w:vAlign w:val="top"/>
          </w:tcPr>
          <w:p w14:paraId="185D3A2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5"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5" DrawAspect="Content" ObjectID="_1468075758" r:id="rId48">
                  <o:LockedField>false</o:LockedField>
                </o:OLEObject>
              </w:object>
            </w:r>
          </w:p>
        </w:tc>
        <w:tc>
          <w:tcPr>
            <w:tcW w:w="1031" w:type="dxa"/>
            <w:noWrap w:val="0"/>
            <w:vAlign w:val="top"/>
          </w:tcPr>
          <w:p w14:paraId="69F4D2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872" w:type="dxa"/>
            <w:noWrap w:val="0"/>
            <w:vAlign w:val="top"/>
          </w:tcPr>
          <w:p w14:paraId="71A05C7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327A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97" w:type="dxa"/>
            <w:noWrap w:val="0"/>
            <w:vAlign w:val="top"/>
          </w:tcPr>
          <w:p w14:paraId="3716E88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A.六腑穴在膀之下，上对三关。</w:t>
            </w:r>
          </w:p>
        </w:tc>
        <w:tc>
          <w:tcPr>
            <w:tcW w:w="1023" w:type="dxa"/>
            <w:noWrap w:val="0"/>
            <w:vAlign w:val="top"/>
          </w:tcPr>
          <w:p w14:paraId="1CCFA59C">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031" w:type="dxa"/>
            <w:noWrap w:val="0"/>
            <w:vAlign w:val="top"/>
          </w:tcPr>
          <w:p w14:paraId="40735B9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872" w:type="dxa"/>
            <w:noWrap w:val="0"/>
            <w:vAlign w:val="top"/>
          </w:tcPr>
          <w:p w14:paraId="5F69709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33ADA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97" w:type="dxa"/>
            <w:noWrap w:val="0"/>
            <w:vAlign w:val="top"/>
          </w:tcPr>
          <w:p w14:paraId="0490CC7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B.六腑位于前臂正面，腕至肘间。                   </w:t>
            </w:r>
          </w:p>
        </w:tc>
        <w:tc>
          <w:tcPr>
            <w:tcW w:w="1023" w:type="dxa"/>
            <w:noWrap w:val="0"/>
            <w:vAlign w:val="top"/>
          </w:tcPr>
          <w:p w14:paraId="4E14B26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31" w:type="dxa"/>
            <w:noWrap w:val="0"/>
            <w:vAlign w:val="top"/>
          </w:tcPr>
          <w:p w14:paraId="207645F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72" w:type="dxa"/>
            <w:noWrap w:val="0"/>
            <w:vAlign w:val="top"/>
          </w:tcPr>
          <w:p w14:paraId="469DDF8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6EA1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97" w:type="dxa"/>
            <w:noWrap w:val="0"/>
            <w:vAlign w:val="top"/>
          </w:tcPr>
          <w:p w14:paraId="27B02A1E">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六腑，在小指边。</w:t>
            </w:r>
          </w:p>
        </w:tc>
        <w:tc>
          <w:tcPr>
            <w:tcW w:w="1023" w:type="dxa"/>
            <w:noWrap w:val="0"/>
            <w:vAlign w:val="top"/>
          </w:tcPr>
          <w:p w14:paraId="05C4991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31" w:type="dxa"/>
            <w:noWrap w:val="0"/>
            <w:vAlign w:val="top"/>
          </w:tcPr>
          <w:p w14:paraId="481256E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72" w:type="dxa"/>
            <w:noWrap w:val="0"/>
            <w:vAlign w:val="top"/>
          </w:tcPr>
          <w:p w14:paraId="4BE89F8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3936A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97" w:type="dxa"/>
            <w:noWrap w:val="0"/>
            <w:vAlign w:val="top"/>
          </w:tcPr>
          <w:p w14:paraId="51020913">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前臂尺侧，自阴池至斗肘呈一直线。</w:t>
            </w:r>
          </w:p>
        </w:tc>
        <w:tc>
          <w:tcPr>
            <w:tcW w:w="1023" w:type="dxa"/>
            <w:noWrap w:val="0"/>
            <w:vAlign w:val="top"/>
          </w:tcPr>
          <w:p w14:paraId="44E9EC9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1031" w:type="dxa"/>
            <w:noWrap w:val="0"/>
            <w:vAlign w:val="top"/>
          </w:tcPr>
          <w:p w14:paraId="0A5D23A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872" w:type="dxa"/>
            <w:noWrap w:val="0"/>
            <w:vAlign w:val="top"/>
          </w:tcPr>
          <w:p w14:paraId="7892D88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r w14:paraId="71CA1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97" w:type="dxa"/>
            <w:noWrap w:val="0"/>
            <w:vAlign w:val="top"/>
          </w:tcPr>
          <w:p w14:paraId="092E8B85">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沿用国家标准原文。</w:t>
            </w:r>
          </w:p>
        </w:tc>
        <w:tc>
          <w:tcPr>
            <w:tcW w:w="1023" w:type="dxa"/>
            <w:noWrap w:val="0"/>
            <w:vAlign w:val="top"/>
          </w:tcPr>
          <w:p w14:paraId="3CFE437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0.70</w:t>
            </w:r>
          </w:p>
        </w:tc>
        <w:tc>
          <w:tcPr>
            <w:tcW w:w="1031" w:type="dxa"/>
            <w:noWrap w:val="0"/>
            <w:vAlign w:val="top"/>
          </w:tcPr>
          <w:p w14:paraId="45C8710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29.63%</w:t>
            </w:r>
          </w:p>
        </w:tc>
        <w:tc>
          <w:tcPr>
            <w:tcW w:w="872" w:type="dxa"/>
            <w:noWrap w:val="0"/>
            <w:vAlign w:val="top"/>
          </w:tcPr>
          <w:p w14:paraId="469B6E1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r>
      <w:tr w14:paraId="26989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597" w:type="dxa"/>
            <w:noWrap w:val="0"/>
            <w:vAlign w:val="top"/>
          </w:tcPr>
          <w:p w14:paraId="4134B4F9">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其他</w:t>
            </w:r>
          </w:p>
        </w:tc>
        <w:tc>
          <w:tcPr>
            <w:tcW w:w="1023" w:type="dxa"/>
            <w:noWrap w:val="0"/>
            <w:vAlign w:val="top"/>
          </w:tcPr>
          <w:p w14:paraId="39CD688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0.07</w:t>
            </w:r>
          </w:p>
        </w:tc>
        <w:tc>
          <w:tcPr>
            <w:tcW w:w="1031" w:type="dxa"/>
            <w:noWrap w:val="0"/>
            <w:vAlign w:val="top"/>
          </w:tcPr>
          <w:p w14:paraId="039AD55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92.59%</w:t>
            </w:r>
          </w:p>
        </w:tc>
        <w:tc>
          <w:tcPr>
            <w:tcW w:w="872" w:type="dxa"/>
            <w:noWrap w:val="0"/>
            <w:vAlign w:val="top"/>
          </w:tcPr>
          <w:p w14:paraId="253F9AA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w:t>
            </w:r>
          </w:p>
        </w:tc>
      </w:tr>
    </w:tbl>
    <w:p w14:paraId="57094397">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2.28天河水（定位）调查结果</w:t>
      </w:r>
    </w:p>
    <w:p w14:paraId="4D78BB37">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35天河水（定位）调查结果</w:t>
      </w:r>
    </w:p>
    <w:tbl>
      <w:tblPr>
        <w:tblStyle w:val="81"/>
        <w:tblW w:w="7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51"/>
        <w:gridCol w:w="1031"/>
        <w:gridCol w:w="1056"/>
        <w:gridCol w:w="879"/>
      </w:tblGrid>
      <w:tr w14:paraId="18D91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65" w:type="dxa"/>
            <w:noWrap w:val="0"/>
            <w:vAlign w:val="top"/>
          </w:tcPr>
          <w:p w14:paraId="596F35C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1032" w:type="dxa"/>
            <w:noWrap w:val="0"/>
            <w:vAlign w:val="top"/>
          </w:tcPr>
          <w:p w14:paraId="7BC7C7F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6"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6" DrawAspect="Content" ObjectID="_1468075759" r:id="rId49">
                  <o:LockedField>false</o:LockedField>
                </o:OLEObject>
              </w:object>
            </w:r>
          </w:p>
        </w:tc>
        <w:tc>
          <w:tcPr>
            <w:tcW w:w="1040" w:type="dxa"/>
            <w:noWrap w:val="0"/>
            <w:vAlign w:val="top"/>
          </w:tcPr>
          <w:p w14:paraId="6379088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880" w:type="dxa"/>
            <w:noWrap w:val="0"/>
            <w:vAlign w:val="top"/>
          </w:tcPr>
          <w:p w14:paraId="6896A76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58110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65" w:type="dxa"/>
            <w:noWrap w:val="0"/>
            <w:vAlign w:val="top"/>
          </w:tcPr>
          <w:p w14:paraId="6D08151E">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位于前臂屈侧正中线，腕横纹上三横指处。</w:t>
            </w:r>
          </w:p>
        </w:tc>
        <w:tc>
          <w:tcPr>
            <w:tcW w:w="1032" w:type="dxa"/>
            <w:noWrap w:val="0"/>
            <w:vAlign w:val="top"/>
          </w:tcPr>
          <w:p w14:paraId="2183298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0.04</w:t>
            </w:r>
          </w:p>
        </w:tc>
        <w:tc>
          <w:tcPr>
            <w:tcW w:w="1040" w:type="dxa"/>
            <w:noWrap w:val="0"/>
            <w:vAlign w:val="top"/>
          </w:tcPr>
          <w:p w14:paraId="339A0AA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96.30%</w:t>
            </w:r>
          </w:p>
        </w:tc>
        <w:tc>
          <w:tcPr>
            <w:tcW w:w="880" w:type="dxa"/>
            <w:noWrap w:val="0"/>
            <w:vAlign w:val="top"/>
          </w:tcPr>
          <w:p w14:paraId="5F096E8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r>
      <w:tr w14:paraId="15B7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65" w:type="dxa"/>
            <w:noWrap w:val="0"/>
            <w:vAlign w:val="top"/>
          </w:tcPr>
          <w:p w14:paraId="23EBEF50">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B.</w:t>
            </w:r>
            <w:r>
              <w:rPr>
                <w:rFonts w:hint="eastAsia" w:ascii="仿宋" w:hAnsi="仿宋" w:eastAsia="仿宋" w:cs="Calibri"/>
                <w:kern w:val="0"/>
                <w:sz w:val="24"/>
                <w:szCs w:val="24"/>
                <w:lang w:val="en-US" w:eastAsia="zh-CN"/>
              </w:rPr>
              <w:t>位于前臂屈侧正中线，小天心至曲池处。</w:t>
            </w:r>
            <w:r>
              <w:rPr>
                <w:rFonts w:hint="default" w:ascii="仿宋" w:hAnsi="仿宋" w:eastAsia="仿宋" w:cs="Calibri"/>
                <w:kern w:val="0"/>
                <w:sz w:val="24"/>
                <w:szCs w:val="24"/>
                <w:lang w:val="en-US" w:eastAsia="zh-CN"/>
              </w:rPr>
              <w:t xml:space="preserve">          </w:t>
            </w:r>
          </w:p>
        </w:tc>
        <w:tc>
          <w:tcPr>
            <w:tcW w:w="1032" w:type="dxa"/>
            <w:noWrap w:val="0"/>
            <w:vAlign w:val="top"/>
          </w:tcPr>
          <w:p w14:paraId="34E974F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40" w:type="dxa"/>
            <w:noWrap w:val="0"/>
            <w:vAlign w:val="top"/>
          </w:tcPr>
          <w:p w14:paraId="1B1103F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80" w:type="dxa"/>
            <w:noWrap w:val="0"/>
            <w:vAlign w:val="top"/>
          </w:tcPr>
          <w:p w14:paraId="0FAFD92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562A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65" w:type="dxa"/>
            <w:noWrap w:val="0"/>
            <w:vAlign w:val="top"/>
          </w:tcPr>
          <w:p w14:paraId="2CC14ACC">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位于前臂屈侧正中线，总筋至曲池处。</w:t>
            </w:r>
          </w:p>
        </w:tc>
        <w:tc>
          <w:tcPr>
            <w:tcW w:w="1032" w:type="dxa"/>
            <w:noWrap w:val="0"/>
            <w:vAlign w:val="top"/>
          </w:tcPr>
          <w:p w14:paraId="192E5A1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40" w:type="dxa"/>
            <w:noWrap w:val="0"/>
            <w:vAlign w:val="top"/>
          </w:tcPr>
          <w:p w14:paraId="05D03C6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80" w:type="dxa"/>
            <w:noWrap w:val="0"/>
            <w:vAlign w:val="top"/>
          </w:tcPr>
          <w:p w14:paraId="5FEA76D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r w14:paraId="56C4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65" w:type="dxa"/>
            <w:noWrap w:val="0"/>
            <w:vAlign w:val="top"/>
          </w:tcPr>
          <w:p w14:paraId="31D308EF">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D.前臂正中，自总筋至洪池呈一直线。</w:t>
            </w:r>
          </w:p>
        </w:tc>
        <w:tc>
          <w:tcPr>
            <w:tcW w:w="1032" w:type="dxa"/>
            <w:noWrap w:val="0"/>
            <w:vAlign w:val="top"/>
          </w:tcPr>
          <w:p w14:paraId="7944DDE2">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0.30</w:t>
            </w:r>
          </w:p>
        </w:tc>
        <w:tc>
          <w:tcPr>
            <w:tcW w:w="1040" w:type="dxa"/>
            <w:noWrap w:val="0"/>
            <w:vAlign w:val="top"/>
          </w:tcPr>
          <w:p w14:paraId="3627AC1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c>
          <w:tcPr>
            <w:tcW w:w="880" w:type="dxa"/>
            <w:noWrap w:val="0"/>
            <w:vAlign w:val="top"/>
          </w:tcPr>
          <w:p w14:paraId="3151366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w:t>
            </w:r>
          </w:p>
        </w:tc>
      </w:tr>
      <w:tr w14:paraId="4A81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65" w:type="dxa"/>
            <w:noWrap w:val="0"/>
            <w:vAlign w:val="top"/>
          </w:tcPr>
          <w:p w14:paraId="4F39BE66">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沿用国家标准原文。</w:t>
            </w:r>
          </w:p>
        </w:tc>
        <w:tc>
          <w:tcPr>
            <w:tcW w:w="1032" w:type="dxa"/>
            <w:noWrap w:val="0"/>
            <w:vAlign w:val="top"/>
          </w:tcPr>
          <w:p w14:paraId="0E14719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0.70</w:t>
            </w:r>
          </w:p>
        </w:tc>
        <w:tc>
          <w:tcPr>
            <w:tcW w:w="1040" w:type="dxa"/>
            <w:noWrap w:val="0"/>
            <w:vAlign w:val="top"/>
          </w:tcPr>
          <w:p w14:paraId="567BBFC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29.63%</w:t>
            </w:r>
          </w:p>
        </w:tc>
        <w:tc>
          <w:tcPr>
            <w:tcW w:w="880" w:type="dxa"/>
            <w:noWrap w:val="0"/>
            <w:vAlign w:val="top"/>
          </w:tcPr>
          <w:p w14:paraId="4B95AE5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r>
      <w:tr w14:paraId="6BD9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765" w:type="dxa"/>
            <w:noWrap w:val="0"/>
            <w:vAlign w:val="top"/>
          </w:tcPr>
          <w:p w14:paraId="2C79D03A">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F.</w:t>
            </w:r>
            <w:r>
              <w:rPr>
                <w:rFonts w:hint="eastAsia" w:ascii="仿宋" w:hAnsi="仿宋" w:eastAsia="仿宋" w:cs="Calibri"/>
                <w:kern w:val="0"/>
                <w:sz w:val="24"/>
                <w:szCs w:val="24"/>
                <w:lang w:val="en-US" w:eastAsia="zh-CN"/>
              </w:rPr>
              <w:t>其他</w:t>
            </w:r>
          </w:p>
        </w:tc>
        <w:tc>
          <w:tcPr>
            <w:tcW w:w="1032" w:type="dxa"/>
            <w:noWrap w:val="0"/>
            <w:vAlign w:val="top"/>
          </w:tcPr>
          <w:p w14:paraId="15DD6A5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c>
          <w:tcPr>
            <w:tcW w:w="1040" w:type="dxa"/>
            <w:noWrap w:val="0"/>
            <w:vAlign w:val="top"/>
          </w:tcPr>
          <w:p w14:paraId="74E3EC2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880" w:type="dxa"/>
            <w:noWrap w:val="0"/>
            <w:vAlign w:val="top"/>
          </w:tcPr>
          <w:p w14:paraId="7B3FB33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410D3A59">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2.29小儿推拿安全保障注意事项调查结果</w:t>
      </w:r>
    </w:p>
    <w:p w14:paraId="5480E09E">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36小儿推拿安全保障注意事项调查结果</w:t>
      </w:r>
    </w:p>
    <w:tbl>
      <w:tblPr>
        <w:tblStyle w:val="81"/>
        <w:tblW w:w="88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9"/>
        <w:gridCol w:w="805"/>
        <w:gridCol w:w="1065"/>
        <w:gridCol w:w="1023"/>
      </w:tblGrid>
      <w:tr w14:paraId="0900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99" w:type="dxa"/>
            <w:noWrap w:val="0"/>
            <w:vAlign w:val="top"/>
          </w:tcPr>
          <w:p w14:paraId="158E0AF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805" w:type="dxa"/>
            <w:noWrap w:val="0"/>
            <w:vAlign w:val="top"/>
          </w:tcPr>
          <w:p w14:paraId="4432F32D">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object>
                <v:shape id="_x0000_i1137"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7" DrawAspect="Content" ObjectID="_1468075760" r:id="rId50">
                  <o:LockedField>false</o:LockedField>
                </o:OLEObject>
              </w:object>
            </w:r>
          </w:p>
        </w:tc>
        <w:tc>
          <w:tcPr>
            <w:tcW w:w="1065" w:type="dxa"/>
            <w:noWrap w:val="0"/>
            <w:vAlign w:val="top"/>
          </w:tcPr>
          <w:p w14:paraId="4F1935FC">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R</w:t>
            </w:r>
          </w:p>
        </w:tc>
        <w:tc>
          <w:tcPr>
            <w:tcW w:w="1023" w:type="dxa"/>
            <w:noWrap w:val="0"/>
            <w:vAlign w:val="top"/>
          </w:tcPr>
          <w:p w14:paraId="7266EFE6">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S</w:t>
            </w:r>
          </w:p>
        </w:tc>
      </w:tr>
      <w:tr w14:paraId="1CFC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99" w:type="dxa"/>
            <w:noWrap w:val="0"/>
            <w:vAlign w:val="top"/>
          </w:tcPr>
          <w:p w14:paraId="1666049C">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A.</w:t>
            </w:r>
            <w:r>
              <w:rPr>
                <w:rFonts w:hint="eastAsia" w:ascii="仿宋" w:hAnsi="仿宋" w:eastAsia="仿宋" w:cs="Calibri"/>
                <w:kern w:val="0"/>
                <w:sz w:val="24"/>
                <w:szCs w:val="24"/>
                <w:lang w:val="en-US" w:eastAsia="zh-CN"/>
              </w:rPr>
              <w:t>操注意事项：7.1 对小儿实施推拿治疗，不仅要求医师手法熟练、用力均匀、动作轻柔、深透平稳，而且要求掌握好推拿的时长、次数、强度等。一般根据年龄、体质、病情来确定。若以1岁为标准，每穴推2min左右（强刺激手法除外），每个主穴推300次左右。小于1岁或体质较弱者，推拿的时间可适当缩短，次数可适当减少；大于1岁或体质强壮者，时间适当延长，推次适当增加。年龄小、体质弱、病证属虚者，手法宜轻；年龄较大、体质强、属实者，手法可加重。</w:t>
            </w:r>
          </w:p>
          <w:p w14:paraId="62EE650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7.2 在治疗过程中，医师和家长要注意保护小儿安全，防止从诊疗床上跌落受伤；医师或家长不要用力牵拉小儿四肢，避免扭伤。</w:t>
            </w:r>
          </w:p>
          <w:p w14:paraId="0725983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7.3 小儿推拿操作前后30min之内不应进食。</w:t>
            </w:r>
          </w:p>
          <w:p w14:paraId="22DF48D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7.4 小儿饥饿者不可进行推拿治疗。</w:t>
            </w:r>
          </w:p>
          <w:p w14:paraId="5232051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7.5 出汗多者要及时补充水分。</w:t>
            </w:r>
          </w:p>
          <w:p w14:paraId="361B864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7.6 需忌食生冷、注意保暖等。</w:t>
            </w:r>
          </w:p>
        </w:tc>
        <w:tc>
          <w:tcPr>
            <w:tcW w:w="805" w:type="dxa"/>
            <w:noWrap w:val="0"/>
            <w:vAlign w:val="top"/>
          </w:tcPr>
          <w:p w14:paraId="6E0C832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1065" w:type="dxa"/>
            <w:noWrap w:val="0"/>
            <w:vAlign w:val="top"/>
          </w:tcPr>
          <w:p w14:paraId="549189E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1023" w:type="dxa"/>
            <w:noWrap w:val="0"/>
            <w:vAlign w:val="top"/>
          </w:tcPr>
          <w:p w14:paraId="6AFA728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r w14:paraId="1F997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99" w:type="dxa"/>
            <w:noWrap w:val="0"/>
            <w:vAlign w:val="top"/>
          </w:tcPr>
          <w:p w14:paraId="417E1BA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B.7.2.4 操作后的处理：7.2.4.1 局部皮肤可能出现充血泛红，片刻后可恢复正常，属推拿后的正常反应，一般无需处理。</w:t>
            </w:r>
          </w:p>
          <w:p w14:paraId="558ABB6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7.2.4.2 需将儿童身上的汗液擦干，注意保暖避风寒，防止感冒，并忌食生冷。</w:t>
            </w:r>
          </w:p>
          <w:p w14:paraId="5F20567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7.2.4.3 操作者应认真清洗或使用免洗消毒液清洁双手，保持手部清洁，避免交叉感染发生。       </w:t>
            </w:r>
          </w:p>
        </w:tc>
        <w:tc>
          <w:tcPr>
            <w:tcW w:w="805" w:type="dxa"/>
            <w:noWrap w:val="0"/>
            <w:vAlign w:val="top"/>
          </w:tcPr>
          <w:p w14:paraId="3B072AF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0.19</w:t>
            </w:r>
          </w:p>
        </w:tc>
        <w:tc>
          <w:tcPr>
            <w:tcW w:w="1065" w:type="dxa"/>
            <w:noWrap w:val="0"/>
            <w:vAlign w:val="top"/>
          </w:tcPr>
          <w:p w14:paraId="37A473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c>
          <w:tcPr>
            <w:tcW w:w="1023" w:type="dxa"/>
            <w:noWrap w:val="0"/>
            <w:vAlign w:val="top"/>
          </w:tcPr>
          <w:p w14:paraId="0B1C8D1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r>
      <w:tr w14:paraId="4618D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99" w:type="dxa"/>
            <w:noWrap w:val="0"/>
            <w:vAlign w:val="top"/>
          </w:tcPr>
          <w:p w14:paraId="18B36F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w:t>
            </w:r>
            <w:r>
              <w:rPr>
                <w:rFonts w:hint="default" w:ascii="仿宋" w:hAnsi="仿宋" w:eastAsia="仿宋" w:cs="Calibri"/>
                <w:kern w:val="0"/>
                <w:sz w:val="24"/>
                <w:szCs w:val="24"/>
                <w:lang w:val="en-US" w:eastAsia="zh-CN"/>
              </w:rPr>
              <w:t>.</w:t>
            </w:r>
            <w:r>
              <w:rPr>
                <w:rFonts w:hint="eastAsia" w:ascii="仿宋" w:hAnsi="仿宋" w:eastAsia="仿宋" w:cs="Calibri"/>
                <w:kern w:val="0"/>
                <w:sz w:val="24"/>
                <w:szCs w:val="24"/>
                <w:lang w:val="en-US" w:eastAsia="zh-CN"/>
              </w:rPr>
              <w:t>沿用国家标准原文。</w:t>
            </w:r>
          </w:p>
        </w:tc>
        <w:tc>
          <w:tcPr>
            <w:tcW w:w="805" w:type="dxa"/>
            <w:noWrap w:val="0"/>
            <w:vAlign w:val="top"/>
          </w:tcPr>
          <w:p w14:paraId="05216CD7">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0.22</w:t>
            </w:r>
          </w:p>
        </w:tc>
        <w:tc>
          <w:tcPr>
            <w:tcW w:w="1065" w:type="dxa"/>
            <w:noWrap w:val="0"/>
            <w:vAlign w:val="top"/>
          </w:tcPr>
          <w:p w14:paraId="69DE29A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77.78%</w:t>
            </w:r>
          </w:p>
        </w:tc>
        <w:tc>
          <w:tcPr>
            <w:tcW w:w="1023" w:type="dxa"/>
            <w:noWrap w:val="0"/>
            <w:vAlign w:val="top"/>
          </w:tcPr>
          <w:p w14:paraId="3A29F63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r>
      <w:tr w14:paraId="401E8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99" w:type="dxa"/>
            <w:noWrap w:val="0"/>
            <w:vAlign w:val="top"/>
          </w:tcPr>
          <w:p w14:paraId="203D1415">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w:t>
            </w:r>
            <w:r>
              <w:rPr>
                <w:rFonts w:hint="eastAsia" w:ascii="仿宋" w:hAnsi="仿宋" w:eastAsia="仿宋" w:cs="Calibri"/>
                <w:kern w:val="0"/>
                <w:sz w:val="24"/>
                <w:szCs w:val="24"/>
                <w:lang w:val="en-US" w:eastAsia="zh-CN"/>
              </w:rPr>
              <w:t>综合以上内容。</w:t>
            </w:r>
          </w:p>
        </w:tc>
        <w:tc>
          <w:tcPr>
            <w:tcW w:w="805" w:type="dxa"/>
            <w:noWrap w:val="0"/>
            <w:vAlign w:val="top"/>
          </w:tcPr>
          <w:p w14:paraId="446E1A2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0.41</w:t>
            </w:r>
          </w:p>
        </w:tc>
        <w:tc>
          <w:tcPr>
            <w:tcW w:w="1065" w:type="dxa"/>
            <w:noWrap w:val="0"/>
            <w:vAlign w:val="top"/>
          </w:tcPr>
          <w:p w14:paraId="76FC9D4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59.26%</w:t>
            </w:r>
          </w:p>
        </w:tc>
        <w:tc>
          <w:tcPr>
            <w:tcW w:w="1023" w:type="dxa"/>
            <w:noWrap w:val="0"/>
            <w:vAlign w:val="top"/>
          </w:tcPr>
          <w:p w14:paraId="5D7E3EF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w:t>
            </w:r>
          </w:p>
        </w:tc>
      </w:tr>
    </w:tbl>
    <w:p w14:paraId="6319CF05">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2.30修改“范围”调查结果</w:t>
      </w:r>
    </w:p>
    <w:p w14:paraId="525DD5A5">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37修改“范围”调查结果</w:t>
      </w:r>
    </w:p>
    <w:tbl>
      <w:tblPr>
        <w:tblStyle w:val="81"/>
        <w:tblW w:w="40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9"/>
        <w:gridCol w:w="1260"/>
        <w:gridCol w:w="2421"/>
        <w:gridCol w:w="1168"/>
      </w:tblGrid>
      <w:tr w14:paraId="2764C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499C64A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814" w:type="pct"/>
            <w:noWrap w:val="0"/>
            <w:vAlign w:val="top"/>
          </w:tcPr>
          <w:p w14:paraId="671A2DC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8"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8" DrawAspect="Content" ObjectID="_1468075761" r:id="rId51">
                  <o:LockedField>false</o:LockedField>
                </o:OLEObject>
              </w:object>
            </w:r>
          </w:p>
        </w:tc>
        <w:tc>
          <w:tcPr>
            <w:tcW w:w="1564" w:type="pct"/>
            <w:noWrap w:val="0"/>
            <w:vAlign w:val="top"/>
          </w:tcPr>
          <w:p w14:paraId="7E42245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754" w:type="pct"/>
            <w:noWrap w:val="0"/>
            <w:vAlign w:val="top"/>
          </w:tcPr>
          <w:p w14:paraId="21C7A20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4A08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601C9C3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A.同意</w:t>
            </w:r>
          </w:p>
        </w:tc>
        <w:tc>
          <w:tcPr>
            <w:tcW w:w="814" w:type="pct"/>
            <w:noWrap w:val="0"/>
            <w:vAlign w:val="top"/>
          </w:tcPr>
          <w:p w14:paraId="41AB0F8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c>
          <w:tcPr>
            <w:tcW w:w="1564" w:type="pct"/>
            <w:noWrap w:val="0"/>
            <w:vAlign w:val="top"/>
          </w:tcPr>
          <w:p w14:paraId="79886F9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0.00%</w:t>
            </w:r>
          </w:p>
        </w:tc>
        <w:tc>
          <w:tcPr>
            <w:tcW w:w="754" w:type="pct"/>
            <w:noWrap w:val="0"/>
            <w:vAlign w:val="top"/>
          </w:tcPr>
          <w:p w14:paraId="4BD088EF">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27</w:t>
            </w:r>
          </w:p>
        </w:tc>
      </w:tr>
      <w:tr w14:paraId="25F0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6837705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B.不同意                    </w:t>
            </w:r>
          </w:p>
        </w:tc>
        <w:tc>
          <w:tcPr>
            <w:tcW w:w="814" w:type="pct"/>
            <w:noWrap w:val="0"/>
            <w:vAlign w:val="top"/>
          </w:tcPr>
          <w:p w14:paraId="30DAE0A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w:t>
            </w:r>
          </w:p>
        </w:tc>
        <w:tc>
          <w:tcPr>
            <w:tcW w:w="1564" w:type="pct"/>
            <w:noWrap w:val="0"/>
            <w:vAlign w:val="top"/>
          </w:tcPr>
          <w:p w14:paraId="0612911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754" w:type="pct"/>
            <w:noWrap w:val="0"/>
            <w:vAlign w:val="top"/>
          </w:tcPr>
          <w:p w14:paraId="5CB0FFC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5E7DFB5A">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2.31修改“规范性引用文件”调查结果</w:t>
      </w:r>
    </w:p>
    <w:p w14:paraId="392F2D2F">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38修改“规范性引用文件”调查结果</w:t>
      </w:r>
    </w:p>
    <w:tbl>
      <w:tblPr>
        <w:tblStyle w:val="81"/>
        <w:tblW w:w="40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9"/>
        <w:gridCol w:w="1260"/>
        <w:gridCol w:w="2421"/>
        <w:gridCol w:w="1168"/>
      </w:tblGrid>
      <w:tr w14:paraId="745B3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7A64BD9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814" w:type="pct"/>
            <w:noWrap w:val="0"/>
            <w:vAlign w:val="top"/>
          </w:tcPr>
          <w:p w14:paraId="3A23087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39"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39" DrawAspect="Content" ObjectID="_1468075762" r:id="rId52">
                  <o:LockedField>false</o:LockedField>
                </o:OLEObject>
              </w:object>
            </w:r>
          </w:p>
        </w:tc>
        <w:tc>
          <w:tcPr>
            <w:tcW w:w="1564" w:type="pct"/>
            <w:noWrap w:val="0"/>
            <w:vAlign w:val="top"/>
          </w:tcPr>
          <w:p w14:paraId="615CE70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754" w:type="pct"/>
            <w:noWrap w:val="0"/>
            <w:vAlign w:val="top"/>
          </w:tcPr>
          <w:p w14:paraId="1AC13B3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1F7D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3B1F4B6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A.同意</w:t>
            </w:r>
          </w:p>
        </w:tc>
        <w:tc>
          <w:tcPr>
            <w:tcW w:w="814" w:type="pct"/>
            <w:noWrap w:val="0"/>
            <w:vAlign w:val="top"/>
          </w:tcPr>
          <w:p w14:paraId="59E54DF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c>
          <w:tcPr>
            <w:tcW w:w="1564" w:type="pct"/>
            <w:noWrap w:val="0"/>
            <w:vAlign w:val="top"/>
          </w:tcPr>
          <w:p w14:paraId="6A61A92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0.00%</w:t>
            </w:r>
          </w:p>
        </w:tc>
        <w:tc>
          <w:tcPr>
            <w:tcW w:w="754" w:type="pct"/>
            <w:noWrap w:val="0"/>
            <w:vAlign w:val="top"/>
          </w:tcPr>
          <w:p w14:paraId="5C37519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27</w:t>
            </w:r>
          </w:p>
        </w:tc>
      </w:tr>
      <w:tr w14:paraId="5DE29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423EBA0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B.不同意                    </w:t>
            </w:r>
          </w:p>
        </w:tc>
        <w:tc>
          <w:tcPr>
            <w:tcW w:w="814" w:type="pct"/>
            <w:noWrap w:val="0"/>
            <w:vAlign w:val="top"/>
          </w:tcPr>
          <w:p w14:paraId="6F3A730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w:t>
            </w:r>
          </w:p>
        </w:tc>
        <w:tc>
          <w:tcPr>
            <w:tcW w:w="1564" w:type="pct"/>
            <w:noWrap w:val="0"/>
            <w:vAlign w:val="top"/>
          </w:tcPr>
          <w:p w14:paraId="70479D2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754" w:type="pct"/>
            <w:noWrap w:val="0"/>
            <w:vAlign w:val="top"/>
          </w:tcPr>
          <w:p w14:paraId="6DAEDF1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3929F831">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2.3</w:t>
      </w:r>
      <w:r>
        <w:rPr>
          <w:rFonts w:hint="eastAsia" w:ascii="仿宋" w:hAnsi="仿宋" w:eastAsia="仿宋" w:cs="Calibri"/>
          <w:b/>
          <w:kern w:val="0"/>
          <w:sz w:val="24"/>
          <w:szCs w:val="24"/>
          <w:lang w:val="en-US" w:eastAsia="zh-CN"/>
        </w:rPr>
        <w:t>2</w:t>
      </w:r>
      <w:r>
        <w:rPr>
          <w:rFonts w:hint="eastAsia" w:ascii="仿宋" w:hAnsi="仿宋" w:eastAsia="仿宋" w:cs="Calibri"/>
          <w:b/>
          <w:kern w:val="0"/>
          <w:sz w:val="24"/>
          <w:szCs w:val="24"/>
        </w:rPr>
        <w:t>增添小儿推拿疗法禁忌调查结果</w:t>
      </w:r>
    </w:p>
    <w:p w14:paraId="7B2742E7">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 3</w:t>
      </w:r>
      <w:r>
        <w:rPr>
          <w:rFonts w:hint="eastAsia" w:ascii="仿宋" w:hAnsi="仿宋" w:eastAsia="仿宋" w:cs="Calibri"/>
          <w:bCs/>
          <w:kern w:val="0"/>
          <w:sz w:val="24"/>
          <w:szCs w:val="24"/>
          <w:lang w:val="en-US" w:eastAsia="zh-CN"/>
        </w:rPr>
        <w:t>9</w:t>
      </w:r>
      <w:r>
        <w:rPr>
          <w:rFonts w:hint="eastAsia" w:ascii="仿宋" w:hAnsi="仿宋" w:eastAsia="仿宋" w:cs="Calibri"/>
          <w:bCs/>
          <w:kern w:val="0"/>
          <w:sz w:val="24"/>
          <w:szCs w:val="24"/>
          <w:lang w:eastAsia="zh-CN"/>
        </w:rPr>
        <w:t>增添小儿推拿疗法禁忌调查结果</w:t>
      </w:r>
    </w:p>
    <w:tbl>
      <w:tblPr>
        <w:tblStyle w:val="81"/>
        <w:tblW w:w="40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9"/>
        <w:gridCol w:w="1260"/>
        <w:gridCol w:w="2421"/>
        <w:gridCol w:w="1168"/>
      </w:tblGrid>
      <w:tr w14:paraId="52F2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1358BFE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814" w:type="pct"/>
            <w:noWrap w:val="0"/>
            <w:vAlign w:val="top"/>
          </w:tcPr>
          <w:p w14:paraId="7A10398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40"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40" DrawAspect="Content" ObjectID="_1468075763" r:id="rId53">
                  <o:LockedField>false</o:LockedField>
                </o:OLEObject>
              </w:object>
            </w:r>
          </w:p>
        </w:tc>
        <w:tc>
          <w:tcPr>
            <w:tcW w:w="1564" w:type="pct"/>
            <w:noWrap w:val="0"/>
            <w:vAlign w:val="top"/>
          </w:tcPr>
          <w:p w14:paraId="417F57B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754" w:type="pct"/>
            <w:noWrap w:val="0"/>
            <w:vAlign w:val="top"/>
          </w:tcPr>
          <w:p w14:paraId="27AC5E2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76EB0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48B1829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A.同意</w:t>
            </w:r>
          </w:p>
        </w:tc>
        <w:tc>
          <w:tcPr>
            <w:tcW w:w="814" w:type="pct"/>
            <w:noWrap w:val="0"/>
            <w:vAlign w:val="top"/>
          </w:tcPr>
          <w:p w14:paraId="18697F4A">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0.89</w:t>
            </w:r>
          </w:p>
        </w:tc>
        <w:tc>
          <w:tcPr>
            <w:tcW w:w="1564" w:type="pct"/>
            <w:noWrap w:val="0"/>
            <w:vAlign w:val="top"/>
          </w:tcPr>
          <w:p w14:paraId="7173C13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11.11%</w:t>
            </w:r>
          </w:p>
        </w:tc>
        <w:tc>
          <w:tcPr>
            <w:tcW w:w="754" w:type="pct"/>
            <w:noWrap w:val="0"/>
            <w:vAlign w:val="top"/>
          </w:tcPr>
          <w:p w14:paraId="349F5DF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24</w:t>
            </w:r>
          </w:p>
        </w:tc>
      </w:tr>
      <w:tr w14:paraId="48CC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4037058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B.不同意                    </w:t>
            </w:r>
          </w:p>
        </w:tc>
        <w:tc>
          <w:tcPr>
            <w:tcW w:w="814" w:type="pct"/>
            <w:noWrap w:val="0"/>
            <w:vAlign w:val="top"/>
          </w:tcPr>
          <w:p w14:paraId="51BBE0B1">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0.11</w:t>
            </w:r>
          </w:p>
        </w:tc>
        <w:tc>
          <w:tcPr>
            <w:tcW w:w="1564" w:type="pct"/>
            <w:noWrap w:val="0"/>
            <w:vAlign w:val="top"/>
          </w:tcPr>
          <w:p w14:paraId="79B505F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88.89%</w:t>
            </w:r>
          </w:p>
        </w:tc>
        <w:tc>
          <w:tcPr>
            <w:tcW w:w="754" w:type="pct"/>
            <w:noWrap w:val="0"/>
            <w:vAlign w:val="top"/>
          </w:tcPr>
          <w:p w14:paraId="437D165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r>
    </w:tbl>
    <w:p w14:paraId="1C23AEAE">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2.3</w:t>
      </w:r>
      <w:r>
        <w:rPr>
          <w:rFonts w:hint="eastAsia" w:ascii="仿宋" w:hAnsi="仿宋" w:eastAsia="仿宋" w:cs="Calibri"/>
          <w:b/>
          <w:kern w:val="0"/>
          <w:sz w:val="24"/>
          <w:szCs w:val="24"/>
          <w:lang w:val="en-US" w:eastAsia="zh-CN"/>
        </w:rPr>
        <w:t>3</w:t>
      </w:r>
      <w:r>
        <w:rPr>
          <w:rFonts w:hint="eastAsia" w:ascii="仿宋" w:hAnsi="仿宋" w:eastAsia="仿宋" w:cs="Calibri"/>
          <w:b/>
          <w:kern w:val="0"/>
          <w:sz w:val="24"/>
          <w:szCs w:val="24"/>
        </w:rPr>
        <w:t>增加“参考文献”调查结果</w:t>
      </w:r>
    </w:p>
    <w:p w14:paraId="49ADFD84">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 xml:space="preserve">表 </w:t>
      </w:r>
      <w:r>
        <w:rPr>
          <w:rFonts w:hint="eastAsia" w:ascii="仿宋" w:hAnsi="仿宋" w:eastAsia="仿宋" w:cs="Calibri"/>
          <w:bCs/>
          <w:kern w:val="0"/>
          <w:sz w:val="24"/>
          <w:szCs w:val="24"/>
          <w:lang w:val="en-US" w:eastAsia="zh-CN"/>
        </w:rPr>
        <w:t>40</w:t>
      </w:r>
      <w:r>
        <w:rPr>
          <w:rFonts w:hint="eastAsia" w:ascii="仿宋" w:hAnsi="仿宋" w:eastAsia="仿宋" w:cs="Calibri"/>
          <w:bCs/>
          <w:kern w:val="0"/>
          <w:sz w:val="24"/>
          <w:szCs w:val="24"/>
          <w:lang w:eastAsia="zh-CN"/>
        </w:rPr>
        <w:t>增加“参考文献”调查结果</w:t>
      </w:r>
    </w:p>
    <w:tbl>
      <w:tblPr>
        <w:tblStyle w:val="81"/>
        <w:tblW w:w="40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9"/>
        <w:gridCol w:w="1260"/>
        <w:gridCol w:w="2421"/>
        <w:gridCol w:w="1168"/>
      </w:tblGrid>
      <w:tr w14:paraId="0294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305C39B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选项</w:t>
            </w:r>
          </w:p>
        </w:tc>
        <w:tc>
          <w:tcPr>
            <w:tcW w:w="814" w:type="pct"/>
            <w:noWrap w:val="0"/>
            <w:vAlign w:val="top"/>
          </w:tcPr>
          <w:p w14:paraId="5C570C7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object>
                <v:shape id="_x0000_i1141" o:spt="75" type="#_x0000_t75" style="height:16.9pt;width:9.25pt;" o:ole="t" filled="f" o:preferrelative="t" stroked="f" coordsize="21600,21600">
                  <v:path/>
                  <v:fill on="f" focussize="0,0"/>
                  <v:stroke on="f" joinstyle="miter"/>
                  <v:imagedata r:id="rId10" o:title=""/>
                  <o:lock v:ext="edit" aspectratio="t"/>
                  <w10:wrap type="none"/>
                  <w10:anchorlock/>
                </v:shape>
                <o:OLEObject Type="Embed" ProgID="Equation.3" ShapeID="_x0000_i1141" DrawAspect="Content" ObjectID="_1468075764" r:id="rId54">
                  <o:LockedField>false</o:LockedField>
                </o:OLEObject>
              </w:object>
            </w:r>
          </w:p>
        </w:tc>
        <w:tc>
          <w:tcPr>
            <w:tcW w:w="1564" w:type="pct"/>
            <w:noWrap w:val="0"/>
            <w:vAlign w:val="top"/>
          </w:tcPr>
          <w:p w14:paraId="155D96A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R</w:t>
            </w:r>
          </w:p>
        </w:tc>
        <w:tc>
          <w:tcPr>
            <w:tcW w:w="754" w:type="pct"/>
            <w:noWrap w:val="0"/>
            <w:vAlign w:val="top"/>
          </w:tcPr>
          <w:p w14:paraId="70BE97E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S</w:t>
            </w:r>
          </w:p>
        </w:tc>
      </w:tr>
      <w:tr w14:paraId="4E31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235A91C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A.同意</w:t>
            </w:r>
          </w:p>
        </w:tc>
        <w:tc>
          <w:tcPr>
            <w:tcW w:w="814" w:type="pct"/>
            <w:noWrap w:val="0"/>
            <w:vAlign w:val="top"/>
          </w:tcPr>
          <w:p w14:paraId="69E4CFF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c>
          <w:tcPr>
            <w:tcW w:w="1564" w:type="pct"/>
            <w:noWrap w:val="0"/>
            <w:vAlign w:val="top"/>
          </w:tcPr>
          <w:p w14:paraId="06D6821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0.00%</w:t>
            </w:r>
          </w:p>
        </w:tc>
        <w:tc>
          <w:tcPr>
            <w:tcW w:w="754" w:type="pct"/>
            <w:noWrap w:val="0"/>
            <w:vAlign w:val="top"/>
          </w:tcPr>
          <w:p w14:paraId="5FB914A8">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27</w:t>
            </w:r>
          </w:p>
        </w:tc>
      </w:tr>
      <w:tr w14:paraId="6ABC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66" w:type="pct"/>
            <w:noWrap w:val="0"/>
            <w:vAlign w:val="top"/>
          </w:tcPr>
          <w:p w14:paraId="1A6C581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B.不同意                    </w:t>
            </w:r>
          </w:p>
        </w:tc>
        <w:tc>
          <w:tcPr>
            <w:tcW w:w="814" w:type="pct"/>
            <w:noWrap w:val="0"/>
            <w:vAlign w:val="top"/>
          </w:tcPr>
          <w:p w14:paraId="69EA834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0.0</w:t>
            </w:r>
          </w:p>
        </w:tc>
        <w:tc>
          <w:tcPr>
            <w:tcW w:w="1564" w:type="pct"/>
            <w:noWrap w:val="0"/>
            <w:vAlign w:val="top"/>
          </w:tcPr>
          <w:p w14:paraId="0EC9BCF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c>
          <w:tcPr>
            <w:tcW w:w="754" w:type="pct"/>
            <w:noWrap w:val="0"/>
            <w:vAlign w:val="top"/>
          </w:tcPr>
          <w:p w14:paraId="2A2DFDE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0</w:t>
            </w:r>
          </w:p>
        </w:tc>
      </w:tr>
    </w:tbl>
    <w:p w14:paraId="1A7B7F39">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3问卷结果处理与分析</w:t>
      </w:r>
    </w:p>
    <w:p w14:paraId="0009F0B9">
      <w:pPr>
        <w:widowControl/>
        <w:spacing w:line="400" w:lineRule="exact"/>
        <w:jc w:val="left"/>
        <w:rPr>
          <w:rFonts w:hint="eastAsia" w:ascii="仿宋" w:hAnsi="仿宋" w:eastAsia="仿宋" w:cs="Calibri"/>
          <w:b/>
          <w:kern w:val="0"/>
          <w:sz w:val="24"/>
          <w:szCs w:val="24"/>
        </w:rPr>
      </w:pPr>
      <w:r>
        <w:rPr>
          <w:rFonts w:hint="eastAsia" w:ascii="仿宋" w:hAnsi="仿宋" w:eastAsia="仿宋" w:cs="Calibri"/>
          <w:b/>
          <w:kern w:val="0"/>
          <w:sz w:val="24"/>
          <w:szCs w:val="24"/>
        </w:rPr>
        <w:t>3.1直接接受修改意见</w:t>
      </w:r>
    </w:p>
    <w:p w14:paraId="7E2AB302">
      <w:pPr>
        <w:widowControl/>
        <w:spacing w:after="0" w:line="400" w:lineRule="exact"/>
        <w:ind w:firstLine="480"/>
        <w:jc w:val="left"/>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保留超过50%的专家支持的选项，即等级和大于答卷总数一半者，作为直接接受修改意见的条目。将直接接受修改意见的条目选项列表汇总如下：</w:t>
      </w:r>
    </w:p>
    <w:p w14:paraId="717F0CC5">
      <w:pPr>
        <w:widowControl/>
        <w:spacing w:after="0" w:line="400" w:lineRule="exact"/>
        <w:ind w:firstLine="480"/>
        <w:jc w:val="center"/>
        <w:rPr>
          <w:rFonts w:hint="eastAsia" w:ascii="仿宋" w:hAnsi="仿宋" w:eastAsia="仿宋" w:cs="Calibri"/>
          <w:bCs/>
          <w:kern w:val="0"/>
          <w:sz w:val="24"/>
          <w:szCs w:val="24"/>
          <w:lang w:eastAsia="zh-CN"/>
        </w:rPr>
      </w:pPr>
      <w:r>
        <w:rPr>
          <w:rFonts w:hint="eastAsia" w:ascii="仿宋" w:hAnsi="仿宋" w:eastAsia="仿宋" w:cs="Calibri"/>
          <w:bCs/>
          <w:kern w:val="0"/>
          <w:sz w:val="24"/>
          <w:szCs w:val="24"/>
          <w:lang w:eastAsia="zh-CN"/>
        </w:rPr>
        <w:t>表</w:t>
      </w:r>
      <w:r>
        <w:rPr>
          <w:rFonts w:hint="eastAsia" w:ascii="仿宋" w:hAnsi="仿宋" w:eastAsia="仿宋" w:cs="Calibri"/>
          <w:bCs/>
          <w:kern w:val="0"/>
          <w:sz w:val="24"/>
          <w:szCs w:val="24"/>
          <w:lang w:val="en-US" w:eastAsia="zh-CN"/>
        </w:rPr>
        <w:t>41</w:t>
      </w:r>
      <w:r>
        <w:rPr>
          <w:rFonts w:hint="eastAsia" w:ascii="仿宋" w:hAnsi="仿宋" w:eastAsia="仿宋" w:cs="Calibri"/>
          <w:bCs/>
          <w:kern w:val="0"/>
          <w:sz w:val="24"/>
          <w:szCs w:val="24"/>
          <w:lang w:eastAsia="zh-CN"/>
        </w:rPr>
        <w:t>直接接受修改意见条目</w:t>
      </w:r>
    </w:p>
    <w:tbl>
      <w:tblPr>
        <w:tblStyle w:val="81"/>
        <w:tblW w:w="91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67"/>
        <w:gridCol w:w="4718"/>
        <w:gridCol w:w="1054"/>
        <w:gridCol w:w="1207"/>
      </w:tblGrid>
      <w:tr w14:paraId="4FE23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09" w:type="dxa"/>
            <w:noWrap w:val="0"/>
            <w:vAlign w:val="top"/>
          </w:tcPr>
          <w:p w14:paraId="315A5F4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序号</w:t>
            </w:r>
          </w:p>
        </w:tc>
        <w:tc>
          <w:tcPr>
            <w:tcW w:w="1467" w:type="dxa"/>
            <w:noWrap w:val="0"/>
            <w:vAlign w:val="top"/>
          </w:tcPr>
          <w:p w14:paraId="7BEF399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条目</w:t>
            </w:r>
          </w:p>
        </w:tc>
        <w:tc>
          <w:tcPr>
            <w:tcW w:w="4718" w:type="dxa"/>
            <w:noWrap w:val="0"/>
            <w:vAlign w:val="top"/>
          </w:tcPr>
          <w:p w14:paraId="53CC406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最高支持选项</w:t>
            </w:r>
          </w:p>
        </w:tc>
        <w:tc>
          <w:tcPr>
            <w:tcW w:w="1054" w:type="dxa"/>
            <w:noWrap w:val="0"/>
            <w:vAlign w:val="top"/>
          </w:tcPr>
          <w:p w14:paraId="11430F6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频数</w:t>
            </w:r>
          </w:p>
        </w:tc>
        <w:tc>
          <w:tcPr>
            <w:tcW w:w="1207" w:type="dxa"/>
            <w:noWrap w:val="0"/>
            <w:vAlign w:val="top"/>
          </w:tcPr>
          <w:p w14:paraId="5833D17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百分比</w:t>
            </w:r>
          </w:p>
        </w:tc>
      </w:tr>
      <w:tr w14:paraId="05251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457126C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w:t>
            </w:r>
          </w:p>
        </w:tc>
        <w:tc>
          <w:tcPr>
            <w:tcW w:w="1467" w:type="dxa"/>
            <w:noWrap w:val="0"/>
            <w:vAlign w:val="top"/>
          </w:tcPr>
          <w:p w14:paraId="65FA48F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摩法</w:t>
            </w:r>
          </w:p>
        </w:tc>
        <w:tc>
          <w:tcPr>
            <w:tcW w:w="4718" w:type="dxa"/>
            <w:noWrap w:val="0"/>
            <w:vAlign w:val="top"/>
          </w:tcPr>
          <w:p w14:paraId="07BB1D0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B.沿用国家标准原文。</w:t>
            </w:r>
          </w:p>
        </w:tc>
        <w:tc>
          <w:tcPr>
            <w:tcW w:w="1054" w:type="dxa"/>
            <w:noWrap w:val="0"/>
            <w:vAlign w:val="top"/>
          </w:tcPr>
          <w:p w14:paraId="2550279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16</w:t>
            </w:r>
          </w:p>
        </w:tc>
        <w:tc>
          <w:tcPr>
            <w:tcW w:w="1207" w:type="dxa"/>
            <w:noWrap w:val="0"/>
            <w:vAlign w:val="top"/>
          </w:tcPr>
          <w:p w14:paraId="1585FC2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59.26%</w:t>
            </w:r>
          </w:p>
        </w:tc>
      </w:tr>
      <w:tr w14:paraId="7F98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51DD27C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w:t>
            </w:r>
          </w:p>
        </w:tc>
        <w:tc>
          <w:tcPr>
            <w:tcW w:w="1467" w:type="dxa"/>
            <w:noWrap w:val="0"/>
            <w:vAlign w:val="top"/>
          </w:tcPr>
          <w:p w14:paraId="24B8E9E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拍法</w:t>
            </w:r>
          </w:p>
        </w:tc>
        <w:tc>
          <w:tcPr>
            <w:tcW w:w="4718" w:type="dxa"/>
            <w:noWrap w:val="0"/>
            <w:vAlign w:val="top"/>
          </w:tcPr>
          <w:p w14:paraId="094511D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 拍法 具体如下：</w:t>
            </w:r>
          </w:p>
          <w:p w14:paraId="6CB824D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a）操作 五指并拢，用屈曲的掌面在体表进行有节律拍打的手法，称为拍法。</w:t>
            </w:r>
          </w:p>
          <w:p w14:paraId="5E6D75E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b）动作要领 五指并拢，掌指关节微屈，使掌心空虚；以肘关节屈伸为主，带动腕关节的协调活动，以虚掌拍击体表。</w:t>
            </w:r>
          </w:p>
          <w:p w14:paraId="27F2FAF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c）动作要求   1）腕关节应充分放松，在前臂的带动下协调活动。</w:t>
            </w:r>
          </w:p>
          <w:p w14:paraId="306809D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              2）操作中，应保持虚掌不变，平整地拍击体表，可闻及清脆的空气暴鸣声，不可出现拖抽的动作。 </w:t>
            </w:r>
          </w:p>
          <w:p w14:paraId="4B048EC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3）拍击的动作要均匀、灵活、连贯、快起快落，不可在操作部位出现停顿，以免影响振荡效应。</w:t>
            </w:r>
          </w:p>
          <w:p w14:paraId="03FC11D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4）拍击的刺激量应根据受医者的体质、病情及耐受力而灵活掌握。</w:t>
            </w:r>
          </w:p>
          <w:p w14:paraId="116B0B2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d）临床应用 拍法轻快柔和，是临床常用的辅助手法，有疏经通络、行气活血、振奋阳气、缓解痉挛、消除疲乏的功效。适用于肩背、腰臀及下肢部。常用于治疗的整理结束阶段。对小儿烦躁不安，哭闹不休，具有调和气血的作用，对肩部知觉迟钝或肌肉痉挛等症，有促进血液循环，消除肌肉疲劳和缓解肌肉痉挛的作用。</w:t>
            </w:r>
          </w:p>
        </w:tc>
        <w:tc>
          <w:tcPr>
            <w:tcW w:w="1054" w:type="dxa"/>
            <w:noWrap w:val="0"/>
            <w:vAlign w:val="top"/>
          </w:tcPr>
          <w:p w14:paraId="004BDFF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c>
          <w:tcPr>
            <w:tcW w:w="1207" w:type="dxa"/>
            <w:noWrap w:val="0"/>
            <w:vAlign w:val="top"/>
          </w:tcPr>
          <w:p w14:paraId="0E8BAB6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r>
      <w:tr w14:paraId="28C50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7EE6598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3</w:t>
            </w:r>
          </w:p>
        </w:tc>
        <w:tc>
          <w:tcPr>
            <w:tcW w:w="1467" w:type="dxa"/>
            <w:noWrap w:val="0"/>
            <w:vAlign w:val="top"/>
          </w:tcPr>
          <w:p w14:paraId="2BC51D24">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飞经走气法</w:t>
            </w:r>
          </w:p>
        </w:tc>
        <w:tc>
          <w:tcPr>
            <w:tcW w:w="4718" w:type="dxa"/>
            <w:noWrap w:val="0"/>
            <w:vAlign w:val="top"/>
          </w:tcPr>
          <w:p w14:paraId="14349EC5">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患儿取坐位或仰卧位。术者坐其身前一侧，用一手拿住患儿四指，使掌面与前臂掌侧向上，用另一手的食、中、无名、小四指螺纹面着力，从曲池穴起向下弹击至总筋穴处，如此反复数遍，然后拿住患儿阴池、阳池二穴，前手将患儿四指屈伸摆动数次。</w:t>
            </w:r>
            <w:r>
              <w:rPr>
                <w:rFonts w:hint="eastAsia" w:ascii="仿宋" w:hAnsi="仿宋" w:eastAsia="仿宋" w:cs="Calibri"/>
                <w:kern w:val="0"/>
                <w:sz w:val="24"/>
                <w:szCs w:val="24"/>
                <w:lang w:val="en-US" w:eastAsia="zh-CN"/>
              </w:rPr>
              <w:t xml:space="preserve"> </w:t>
            </w:r>
          </w:p>
        </w:tc>
        <w:tc>
          <w:tcPr>
            <w:tcW w:w="1054" w:type="dxa"/>
            <w:noWrap w:val="0"/>
            <w:vAlign w:val="top"/>
          </w:tcPr>
          <w:p w14:paraId="0D906A40">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c>
          <w:tcPr>
            <w:tcW w:w="1207" w:type="dxa"/>
            <w:noWrap w:val="0"/>
            <w:vAlign w:val="top"/>
          </w:tcPr>
          <w:p w14:paraId="1CE3B41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51.85%</w:t>
            </w:r>
          </w:p>
        </w:tc>
      </w:tr>
      <w:tr w14:paraId="135F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69AF57B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4</w:t>
            </w:r>
          </w:p>
        </w:tc>
        <w:tc>
          <w:tcPr>
            <w:tcW w:w="1467" w:type="dxa"/>
            <w:noWrap w:val="0"/>
            <w:vAlign w:val="top"/>
          </w:tcPr>
          <w:p w14:paraId="5852B5E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水底捞月</w:t>
            </w:r>
          </w:p>
        </w:tc>
        <w:tc>
          <w:tcPr>
            <w:tcW w:w="4718" w:type="dxa"/>
            <w:noWrap w:val="0"/>
            <w:vAlign w:val="top"/>
          </w:tcPr>
          <w:p w14:paraId="327D256A">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D.患儿取坐位或仰卧位。术者坐其身前一侧，用一手握捏住患儿四指，将掌面向上，用冷水滴入患儿掌心，用另一手拇指螺纹面着力，紧贴患儿掌心并做旋推法，或由小指根推运起，经掌小横纹、坎宫至掌心，边推边用口对着掌心吹凉气，反复操作3</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5分钟。</w:t>
            </w:r>
          </w:p>
        </w:tc>
        <w:tc>
          <w:tcPr>
            <w:tcW w:w="1054" w:type="dxa"/>
            <w:noWrap w:val="0"/>
            <w:vAlign w:val="top"/>
          </w:tcPr>
          <w:p w14:paraId="61EB756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c>
          <w:tcPr>
            <w:tcW w:w="1207" w:type="dxa"/>
            <w:noWrap w:val="0"/>
            <w:vAlign w:val="top"/>
          </w:tcPr>
          <w:p w14:paraId="6B5D820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51.85%</w:t>
            </w:r>
          </w:p>
        </w:tc>
      </w:tr>
      <w:tr w14:paraId="58C3E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5B7D8318">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w:t>
            </w:r>
          </w:p>
        </w:tc>
        <w:tc>
          <w:tcPr>
            <w:tcW w:w="1467" w:type="dxa"/>
            <w:noWrap w:val="0"/>
            <w:vAlign w:val="top"/>
          </w:tcPr>
          <w:p w14:paraId="5D04733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打马过天河</w:t>
            </w:r>
          </w:p>
        </w:tc>
        <w:tc>
          <w:tcPr>
            <w:tcW w:w="4718" w:type="dxa"/>
            <w:noWrap w:val="0"/>
            <w:vAlign w:val="top"/>
          </w:tcPr>
          <w:p w14:paraId="05E8D83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H</w:t>
            </w:r>
            <w:r>
              <w:rPr>
                <w:rFonts w:hint="default" w:ascii="仿宋" w:hAnsi="仿宋" w:eastAsia="仿宋" w:cs="Calibri"/>
                <w:kern w:val="0"/>
                <w:sz w:val="24"/>
                <w:szCs w:val="24"/>
                <w:lang w:val="en-US" w:eastAsia="zh-CN"/>
              </w:rPr>
              <w:t>.患儿取坐位或仰卧位。术者坐其前旁，用一手捏住患儿四指，将掌心向上，用另一手的中指面运内劳宫后，再用食、中、无名指三指沾凉水，由总筋起沿天河水打至洪池穴，或用食、中两指沿天河水弹击至肘弯处，边弹打边吹凉气，弹击20</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30遍。</w:t>
            </w:r>
          </w:p>
        </w:tc>
        <w:tc>
          <w:tcPr>
            <w:tcW w:w="1054" w:type="dxa"/>
            <w:noWrap w:val="0"/>
            <w:vAlign w:val="top"/>
          </w:tcPr>
          <w:p w14:paraId="206A8A3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c>
          <w:tcPr>
            <w:tcW w:w="1207" w:type="dxa"/>
            <w:noWrap w:val="0"/>
            <w:vAlign w:val="top"/>
          </w:tcPr>
          <w:p w14:paraId="1091CED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r>
      <w:tr w14:paraId="47B4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06791AE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w:t>
            </w:r>
          </w:p>
        </w:tc>
        <w:tc>
          <w:tcPr>
            <w:tcW w:w="1467" w:type="dxa"/>
            <w:noWrap w:val="0"/>
            <w:vAlign w:val="top"/>
          </w:tcPr>
          <w:p w14:paraId="3804FC2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黄蜂入洞</w:t>
            </w:r>
          </w:p>
        </w:tc>
        <w:tc>
          <w:tcPr>
            <w:tcW w:w="4718" w:type="dxa"/>
            <w:noWrap w:val="0"/>
            <w:vAlign w:val="top"/>
          </w:tcPr>
          <w:p w14:paraId="7C7D3D02">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K.患儿取仰卧或坐位。以一手轻扶患儿头部，使患儿头部相对固定，另一手食、中两指的指端着力，紧贴在患儿两鼻孔下缘处，以腕关节为主动，带动着力部位做反复、不间断揉动50</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100次。</w:t>
            </w:r>
          </w:p>
        </w:tc>
        <w:tc>
          <w:tcPr>
            <w:tcW w:w="1054" w:type="dxa"/>
            <w:noWrap w:val="0"/>
            <w:vAlign w:val="top"/>
          </w:tcPr>
          <w:p w14:paraId="2888252D">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15</w:t>
            </w:r>
          </w:p>
        </w:tc>
        <w:tc>
          <w:tcPr>
            <w:tcW w:w="1207" w:type="dxa"/>
            <w:noWrap w:val="0"/>
            <w:vAlign w:val="top"/>
          </w:tcPr>
          <w:p w14:paraId="57C5448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55.56%</w:t>
            </w:r>
          </w:p>
        </w:tc>
      </w:tr>
      <w:tr w14:paraId="3925E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5A2736D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w:t>
            </w:r>
          </w:p>
        </w:tc>
        <w:tc>
          <w:tcPr>
            <w:tcW w:w="1467" w:type="dxa"/>
            <w:noWrap w:val="0"/>
            <w:vAlign w:val="top"/>
          </w:tcPr>
          <w:p w14:paraId="4D13E44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按弦搓摩</w:t>
            </w:r>
          </w:p>
        </w:tc>
        <w:tc>
          <w:tcPr>
            <w:tcW w:w="4718" w:type="dxa"/>
            <w:noWrap w:val="0"/>
            <w:vAlign w:val="top"/>
          </w:tcPr>
          <w:p w14:paraId="5614892B">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E.患儿取坐位，或家长将患儿抱坐怀中。患儿两手自然下垂，术者立于患儿身后，用两手掌面着力，轻贴在患儿两侧胁肋部，呈对称性地搓摩，并自上而下搓摩至肚角处，50</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500次。</w:t>
            </w:r>
            <w:r>
              <w:rPr>
                <w:rFonts w:hint="eastAsia" w:ascii="仿宋" w:hAnsi="仿宋" w:eastAsia="仿宋" w:cs="Calibri"/>
                <w:kern w:val="0"/>
                <w:sz w:val="24"/>
                <w:szCs w:val="24"/>
                <w:lang w:val="en-US" w:eastAsia="zh-CN"/>
              </w:rPr>
              <w:t xml:space="preserve">   </w:t>
            </w:r>
          </w:p>
        </w:tc>
        <w:tc>
          <w:tcPr>
            <w:tcW w:w="1054" w:type="dxa"/>
            <w:noWrap w:val="0"/>
            <w:vAlign w:val="top"/>
          </w:tcPr>
          <w:p w14:paraId="25742AE9">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17</w:t>
            </w:r>
          </w:p>
        </w:tc>
        <w:tc>
          <w:tcPr>
            <w:tcW w:w="1207" w:type="dxa"/>
            <w:noWrap w:val="0"/>
            <w:vAlign w:val="top"/>
          </w:tcPr>
          <w:p w14:paraId="12A7B88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62.96%</w:t>
            </w:r>
          </w:p>
        </w:tc>
      </w:tr>
      <w:tr w14:paraId="05AA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23EC55D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w:t>
            </w:r>
          </w:p>
        </w:tc>
        <w:tc>
          <w:tcPr>
            <w:tcW w:w="1467" w:type="dxa"/>
            <w:noWrap w:val="0"/>
            <w:vAlign w:val="top"/>
          </w:tcPr>
          <w:p w14:paraId="41E346D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二龙戏珠</w:t>
            </w:r>
          </w:p>
        </w:tc>
        <w:tc>
          <w:tcPr>
            <w:tcW w:w="4718" w:type="dxa"/>
            <w:noWrap w:val="0"/>
            <w:vAlign w:val="top"/>
          </w:tcPr>
          <w:p w14:paraId="7124DEFB">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H.患儿取坐位或仰卧位，或由家长抱坐怀中。术者坐其身旁，用一手拿捏患儿食指、无名指的指端，用另一手按捏患儿阴池、阳池两穴，并由此边按捏边缓缓向上移动至曲池穴，如此5次左右。寒证重按阳穴，热证重按阴穴。最后一手拿捏阴、阳两穴5</w:t>
            </w:r>
            <w:r>
              <w:rPr>
                <w:rFonts w:hint="eastAsia" w:ascii="仿宋" w:hAnsi="仿宋" w:eastAsia="仿宋" w:cs="Calibri"/>
                <w:kern w:val="0"/>
                <w:sz w:val="24"/>
                <w:szCs w:val="24"/>
                <w:lang w:val="en-US" w:eastAsia="zh-CN"/>
              </w:rPr>
              <w:t>～</w:t>
            </w:r>
            <w:r>
              <w:rPr>
                <w:rFonts w:hint="default" w:ascii="仿宋" w:hAnsi="仿宋" w:eastAsia="仿宋" w:cs="Calibri"/>
                <w:kern w:val="0"/>
                <w:sz w:val="24"/>
                <w:szCs w:val="24"/>
                <w:lang w:val="en-US" w:eastAsia="zh-CN"/>
              </w:rPr>
              <w:t>6次，另一手拿捏患儿食指、无名指的指端各摇动20~40次。</w:t>
            </w:r>
          </w:p>
        </w:tc>
        <w:tc>
          <w:tcPr>
            <w:tcW w:w="1054" w:type="dxa"/>
            <w:noWrap w:val="0"/>
            <w:vAlign w:val="top"/>
          </w:tcPr>
          <w:p w14:paraId="489F392B">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c>
          <w:tcPr>
            <w:tcW w:w="1207" w:type="dxa"/>
            <w:noWrap w:val="0"/>
            <w:vAlign w:val="top"/>
          </w:tcPr>
          <w:p w14:paraId="04262AC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51.85%</w:t>
            </w:r>
          </w:p>
        </w:tc>
      </w:tr>
      <w:tr w14:paraId="31F2A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3B8919A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9</w:t>
            </w:r>
          </w:p>
        </w:tc>
        <w:tc>
          <w:tcPr>
            <w:tcW w:w="1467" w:type="dxa"/>
            <w:noWrap w:val="0"/>
            <w:vAlign w:val="top"/>
          </w:tcPr>
          <w:p w14:paraId="5F540F4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小儿推拿常用介质</w:t>
            </w:r>
            <w:r>
              <w:rPr>
                <w:rFonts w:hint="default" w:ascii="仿宋" w:hAnsi="仿宋" w:eastAsia="仿宋" w:cs="Calibri"/>
                <w:kern w:val="0"/>
                <w:sz w:val="24"/>
                <w:szCs w:val="24"/>
                <w:lang w:val="en-US" w:eastAsia="zh-CN"/>
              </w:rPr>
              <w:t xml:space="preserve"> A.3</w:t>
            </w:r>
            <w:r>
              <w:rPr>
                <w:rFonts w:hint="eastAsia" w:ascii="仿宋" w:hAnsi="仿宋" w:eastAsia="仿宋" w:cs="Calibri"/>
                <w:kern w:val="0"/>
                <w:sz w:val="24"/>
                <w:szCs w:val="24"/>
                <w:lang w:val="en-US" w:eastAsia="zh-CN"/>
              </w:rPr>
              <w:t>清水</w:t>
            </w:r>
          </w:p>
        </w:tc>
        <w:tc>
          <w:tcPr>
            <w:tcW w:w="4718" w:type="dxa"/>
            <w:noWrap w:val="0"/>
            <w:vAlign w:val="top"/>
          </w:tcPr>
          <w:p w14:paraId="6028524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B.沿用国家标准原文。</w:t>
            </w:r>
          </w:p>
        </w:tc>
        <w:tc>
          <w:tcPr>
            <w:tcW w:w="1054" w:type="dxa"/>
            <w:noWrap w:val="0"/>
            <w:vAlign w:val="top"/>
          </w:tcPr>
          <w:p w14:paraId="797EB2D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c>
          <w:tcPr>
            <w:tcW w:w="1207" w:type="dxa"/>
            <w:noWrap w:val="0"/>
            <w:vAlign w:val="top"/>
          </w:tcPr>
          <w:p w14:paraId="0ECE8B8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51.85%</w:t>
            </w:r>
          </w:p>
        </w:tc>
      </w:tr>
      <w:tr w14:paraId="47379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178EC6A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w:t>
            </w:r>
          </w:p>
        </w:tc>
        <w:tc>
          <w:tcPr>
            <w:tcW w:w="1467" w:type="dxa"/>
            <w:noWrap w:val="0"/>
            <w:vAlign w:val="top"/>
          </w:tcPr>
          <w:p w14:paraId="14552C9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小儿推拿常用介质</w:t>
            </w:r>
            <w:r>
              <w:rPr>
                <w:rFonts w:hint="default" w:ascii="仿宋" w:hAnsi="仿宋" w:eastAsia="仿宋" w:cs="Calibri"/>
                <w:kern w:val="0"/>
                <w:sz w:val="24"/>
                <w:szCs w:val="24"/>
                <w:lang w:val="en-US" w:eastAsia="zh-CN"/>
              </w:rPr>
              <w:t xml:space="preserve"> </w:t>
            </w:r>
            <w:r>
              <w:rPr>
                <w:rFonts w:hint="eastAsia" w:ascii="仿宋" w:hAnsi="仿宋" w:eastAsia="仿宋" w:cs="Calibri"/>
                <w:kern w:val="0"/>
                <w:sz w:val="24"/>
                <w:szCs w:val="24"/>
                <w:lang w:val="en-US" w:eastAsia="zh-CN"/>
              </w:rPr>
              <w:t>膏类</w:t>
            </w:r>
          </w:p>
        </w:tc>
        <w:tc>
          <w:tcPr>
            <w:tcW w:w="4718" w:type="dxa"/>
            <w:noWrap w:val="0"/>
            <w:vAlign w:val="top"/>
          </w:tcPr>
          <w:p w14:paraId="3A978AA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B.增添膏类表述。用动植物油、蜂蜜或羊毛脂、凡士林等为基质，加药物细粉或提取的有效成分混合而成。具有相应药效的介质。常用有：冬青膏 由冬青油、凡士林等混合配制而成。具有温经散寒的作用，适用于寒凝经络所致的病症。健脾膏 由具有健脾作用的中药提取物与油脂混合调制而成。具有健脾开胃的作用，适用于脾胃功能虚弱的病症。                                      </w:t>
            </w:r>
          </w:p>
        </w:tc>
        <w:tc>
          <w:tcPr>
            <w:tcW w:w="1054" w:type="dxa"/>
            <w:noWrap w:val="0"/>
            <w:vAlign w:val="top"/>
          </w:tcPr>
          <w:p w14:paraId="13A4664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18</w:t>
            </w:r>
          </w:p>
        </w:tc>
        <w:tc>
          <w:tcPr>
            <w:tcW w:w="1207" w:type="dxa"/>
            <w:noWrap w:val="0"/>
            <w:vAlign w:val="top"/>
          </w:tcPr>
          <w:p w14:paraId="7099930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66.67%</w:t>
            </w:r>
          </w:p>
        </w:tc>
      </w:tr>
      <w:tr w14:paraId="37F4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16748EA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11</w:t>
            </w:r>
          </w:p>
        </w:tc>
        <w:tc>
          <w:tcPr>
            <w:tcW w:w="1467" w:type="dxa"/>
            <w:noWrap w:val="0"/>
            <w:vAlign w:val="top"/>
          </w:tcPr>
          <w:p w14:paraId="1C60524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脾经（土）（定位）</w:t>
            </w:r>
          </w:p>
        </w:tc>
        <w:tc>
          <w:tcPr>
            <w:tcW w:w="4718" w:type="dxa"/>
            <w:noWrap w:val="0"/>
            <w:vAlign w:val="top"/>
          </w:tcPr>
          <w:p w14:paraId="61973E83">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 xml:space="preserve">沿用国家标准原文。    </w:t>
            </w:r>
          </w:p>
        </w:tc>
        <w:tc>
          <w:tcPr>
            <w:tcW w:w="1054" w:type="dxa"/>
            <w:noWrap w:val="0"/>
            <w:vAlign w:val="top"/>
          </w:tcPr>
          <w:p w14:paraId="7A65A243">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15</w:t>
            </w:r>
          </w:p>
        </w:tc>
        <w:tc>
          <w:tcPr>
            <w:tcW w:w="1207" w:type="dxa"/>
            <w:noWrap w:val="0"/>
            <w:vAlign w:val="top"/>
          </w:tcPr>
          <w:p w14:paraId="7ED00AF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55.56%</w:t>
            </w:r>
          </w:p>
        </w:tc>
      </w:tr>
      <w:tr w14:paraId="27D22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45235B5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12</w:t>
            </w:r>
          </w:p>
        </w:tc>
        <w:tc>
          <w:tcPr>
            <w:tcW w:w="1467" w:type="dxa"/>
            <w:noWrap w:val="0"/>
            <w:vAlign w:val="top"/>
          </w:tcPr>
          <w:p w14:paraId="1E7EDEC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四横纹（定位）</w:t>
            </w:r>
          </w:p>
        </w:tc>
        <w:tc>
          <w:tcPr>
            <w:tcW w:w="4718" w:type="dxa"/>
            <w:noWrap w:val="0"/>
            <w:vAlign w:val="top"/>
          </w:tcPr>
          <w:p w14:paraId="511DA1C7">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C.</w:t>
            </w:r>
            <w:r>
              <w:rPr>
                <w:rFonts w:hint="eastAsia" w:ascii="仿宋" w:hAnsi="仿宋" w:eastAsia="仿宋" w:cs="Calibri"/>
                <w:kern w:val="0"/>
                <w:sz w:val="24"/>
                <w:szCs w:val="24"/>
                <w:lang w:val="en-US" w:eastAsia="zh-CN"/>
              </w:rPr>
              <w:t xml:space="preserve">沿用国家标准原文。                                                </w:t>
            </w:r>
          </w:p>
        </w:tc>
        <w:tc>
          <w:tcPr>
            <w:tcW w:w="1054" w:type="dxa"/>
            <w:noWrap w:val="0"/>
            <w:vAlign w:val="top"/>
          </w:tcPr>
          <w:p w14:paraId="37744BCD">
            <w:pPr>
              <w:widowControl/>
              <w:spacing w:line="400" w:lineRule="exact"/>
              <w:jc w:val="left"/>
              <w:rPr>
                <w:rFonts w:hint="default"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17</w:t>
            </w:r>
          </w:p>
        </w:tc>
        <w:tc>
          <w:tcPr>
            <w:tcW w:w="1207" w:type="dxa"/>
            <w:noWrap w:val="0"/>
            <w:vAlign w:val="top"/>
          </w:tcPr>
          <w:p w14:paraId="60D1D2B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62.96%</w:t>
            </w:r>
          </w:p>
        </w:tc>
      </w:tr>
      <w:tr w14:paraId="1061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3BBE1EC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13</w:t>
            </w:r>
          </w:p>
        </w:tc>
        <w:tc>
          <w:tcPr>
            <w:tcW w:w="1467" w:type="dxa"/>
            <w:noWrap w:val="0"/>
            <w:vAlign w:val="top"/>
          </w:tcPr>
          <w:p w14:paraId="16DDAE9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二人上马（穴位名）</w:t>
            </w:r>
          </w:p>
        </w:tc>
        <w:tc>
          <w:tcPr>
            <w:tcW w:w="4718" w:type="dxa"/>
            <w:noWrap w:val="0"/>
            <w:vAlign w:val="top"/>
          </w:tcPr>
          <w:p w14:paraId="0BBAA9D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 xml:space="preserve">C.沿用国家标准原文 </w:t>
            </w:r>
          </w:p>
        </w:tc>
        <w:tc>
          <w:tcPr>
            <w:tcW w:w="1054" w:type="dxa"/>
            <w:noWrap w:val="0"/>
            <w:vAlign w:val="top"/>
          </w:tcPr>
          <w:p w14:paraId="2D30CAF5">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22</w:t>
            </w:r>
          </w:p>
        </w:tc>
        <w:tc>
          <w:tcPr>
            <w:tcW w:w="1207" w:type="dxa"/>
            <w:noWrap w:val="0"/>
            <w:vAlign w:val="top"/>
          </w:tcPr>
          <w:p w14:paraId="6FD52AD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81.48%</w:t>
            </w:r>
          </w:p>
        </w:tc>
      </w:tr>
      <w:tr w14:paraId="7CFDA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4C0CE40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14</w:t>
            </w:r>
          </w:p>
        </w:tc>
        <w:tc>
          <w:tcPr>
            <w:tcW w:w="1467" w:type="dxa"/>
            <w:noWrap w:val="0"/>
            <w:vAlign w:val="top"/>
          </w:tcPr>
          <w:p w14:paraId="7C10834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二人上马（定位）</w:t>
            </w:r>
          </w:p>
        </w:tc>
        <w:tc>
          <w:tcPr>
            <w:tcW w:w="4718" w:type="dxa"/>
            <w:noWrap w:val="0"/>
            <w:vAlign w:val="top"/>
          </w:tcPr>
          <w:p w14:paraId="418629FD">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沿用国家标准原文</w:t>
            </w:r>
          </w:p>
        </w:tc>
        <w:tc>
          <w:tcPr>
            <w:tcW w:w="1054" w:type="dxa"/>
            <w:noWrap w:val="0"/>
            <w:vAlign w:val="top"/>
          </w:tcPr>
          <w:p w14:paraId="78747D2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c>
          <w:tcPr>
            <w:tcW w:w="1207" w:type="dxa"/>
            <w:noWrap w:val="0"/>
            <w:vAlign w:val="top"/>
          </w:tcPr>
          <w:p w14:paraId="36EDB64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r>
      <w:tr w14:paraId="0EA58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7177570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15</w:t>
            </w:r>
          </w:p>
        </w:tc>
        <w:tc>
          <w:tcPr>
            <w:tcW w:w="1467" w:type="dxa"/>
            <w:noWrap w:val="0"/>
            <w:vAlign w:val="top"/>
          </w:tcPr>
          <w:p w14:paraId="0C30C00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三关（定位）</w:t>
            </w:r>
          </w:p>
        </w:tc>
        <w:tc>
          <w:tcPr>
            <w:tcW w:w="4718" w:type="dxa"/>
            <w:noWrap w:val="0"/>
            <w:vAlign w:val="top"/>
          </w:tcPr>
          <w:p w14:paraId="01A6C95C">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G</w:t>
            </w:r>
            <w:r>
              <w:rPr>
                <w:rFonts w:hint="eastAsia" w:ascii="仿宋" w:hAnsi="仿宋" w:eastAsia="仿宋" w:cs="Calibri"/>
                <w:kern w:val="0"/>
                <w:sz w:val="24"/>
                <w:szCs w:val="24"/>
                <w:lang w:val="en-US" w:eastAsia="zh-CN"/>
              </w:rPr>
              <w:t>.沿用国家标准原文。</w:t>
            </w:r>
          </w:p>
        </w:tc>
        <w:tc>
          <w:tcPr>
            <w:tcW w:w="1054" w:type="dxa"/>
            <w:noWrap w:val="0"/>
            <w:vAlign w:val="top"/>
          </w:tcPr>
          <w:p w14:paraId="7757EFC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20</w:t>
            </w:r>
          </w:p>
        </w:tc>
        <w:tc>
          <w:tcPr>
            <w:tcW w:w="1207" w:type="dxa"/>
            <w:noWrap w:val="0"/>
            <w:vAlign w:val="top"/>
          </w:tcPr>
          <w:p w14:paraId="69C8F0F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74.07%</w:t>
            </w:r>
          </w:p>
        </w:tc>
      </w:tr>
      <w:tr w14:paraId="69EC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56CA869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16</w:t>
            </w:r>
          </w:p>
        </w:tc>
        <w:tc>
          <w:tcPr>
            <w:tcW w:w="1467" w:type="dxa"/>
            <w:noWrap w:val="0"/>
            <w:vAlign w:val="top"/>
          </w:tcPr>
          <w:p w14:paraId="3D94EE7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六腑（定位）</w:t>
            </w:r>
          </w:p>
        </w:tc>
        <w:tc>
          <w:tcPr>
            <w:tcW w:w="4718" w:type="dxa"/>
            <w:noWrap w:val="0"/>
            <w:vAlign w:val="top"/>
          </w:tcPr>
          <w:p w14:paraId="6C3600C7">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沿用国家标准原文。</w:t>
            </w:r>
          </w:p>
        </w:tc>
        <w:tc>
          <w:tcPr>
            <w:tcW w:w="1054" w:type="dxa"/>
            <w:noWrap w:val="0"/>
            <w:vAlign w:val="top"/>
          </w:tcPr>
          <w:p w14:paraId="4D51547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c>
          <w:tcPr>
            <w:tcW w:w="1207" w:type="dxa"/>
            <w:noWrap w:val="0"/>
            <w:vAlign w:val="top"/>
          </w:tcPr>
          <w:p w14:paraId="105DB25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r>
      <w:tr w14:paraId="67D87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30667FC5">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17</w:t>
            </w:r>
          </w:p>
        </w:tc>
        <w:tc>
          <w:tcPr>
            <w:tcW w:w="1467" w:type="dxa"/>
            <w:noWrap w:val="0"/>
            <w:vAlign w:val="top"/>
          </w:tcPr>
          <w:p w14:paraId="3CE095A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天河水（定位）</w:t>
            </w:r>
          </w:p>
        </w:tc>
        <w:tc>
          <w:tcPr>
            <w:tcW w:w="4718" w:type="dxa"/>
            <w:noWrap w:val="0"/>
            <w:vAlign w:val="top"/>
          </w:tcPr>
          <w:p w14:paraId="4160FBB4">
            <w:pPr>
              <w:widowControl/>
              <w:spacing w:line="400" w:lineRule="exact"/>
              <w:jc w:val="left"/>
              <w:rPr>
                <w:rFonts w:hint="eastAsia" w:ascii="仿宋" w:hAnsi="仿宋" w:eastAsia="仿宋" w:cs="Calibri"/>
                <w:kern w:val="0"/>
                <w:sz w:val="24"/>
                <w:szCs w:val="24"/>
                <w:lang w:val="en-US" w:eastAsia="zh-CN"/>
              </w:rPr>
            </w:pPr>
            <w:r>
              <w:rPr>
                <w:rFonts w:hint="default" w:ascii="仿宋" w:hAnsi="仿宋" w:eastAsia="仿宋" w:cs="Calibri"/>
                <w:kern w:val="0"/>
                <w:sz w:val="24"/>
                <w:szCs w:val="24"/>
                <w:lang w:val="en-US" w:eastAsia="zh-CN"/>
              </w:rPr>
              <w:t>E.</w:t>
            </w:r>
            <w:r>
              <w:rPr>
                <w:rFonts w:hint="eastAsia" w:ascii="仿宋" w:hAnsi="仿宋" w:eastAsia="仿宋" w:cs="Calibri"/>
                <w:kern w:val="0"/>
                <w:sz w:val="24"/>
                <w:szCs w:val="24"/>
                <w:lang w:val="en-US" w:eastAsia="zh-CN"/>
              </w:rPr>
              <w:t xml:space="preserve">沿用国家标准原文。        </w:t>
            </w:r>
          </w:p>
        </w:tc>
        <w:tc>
          <w:tcPr>
            <w:tcW w:w="1054" w:type="dxa"/>
            <w:noWrap w:val="0"/>
            <w:vAlign w:val="top"/>
          </w:tcPr>
          <w:p w14:paraId="0C6C6E5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c>
          <w:tcPr>
            <w:tcW w:w="1207" w:type="dxa"/>
            <w:noWrap w:val="0"/>
            <w:vAlign w:val="top"/>
          </w:tcPr>
          <w:p w14:paraId="1E37375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70.37%</w:t>
            </w:r>
          </w:p>
        </w:tc>
      </w:tr>
      <w:tr w14:paraId="603E4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6F28A29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18</w:t>
            </w:r>
          </w:p>
        </w:tc>
        <w:tc>
          <w:tcPr>
            <w:tcW w:w="1467" w:type="dxa"/>
            <w:noWrap w:val="0"/>
            <w:vAlign w:val="top"/>
          </w:tcPr>
          <w:p w14:paraId="0ACCA32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修改“范围”</w:t>
            </w:r>
          </w:p>
        </w:tc>
        <w:tc>
          <w:tcPr>
            <w:tcW w:w="4718" w:type="dxa"/>
            <w:noWrap w:val="0"/>
            <w:vAlign w:val="top"/>
          </w:tcPr>
          <w:p w14:paraId="4F2C27D2">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同意</w:t>
            </w:r>
          </w:p>
          <w:p w14:paraId="61AB6C7A">
            <w:pPr>
              <w:widowControl/>
              <w:spacing w:line="400" w:lineRule="exact"/>
              <w:jc w:val="left"/>
              <w:rPr>
                <w:rFonts w:hint="eastAsia" w:ascii="仿宋" w:hAnsi="仿宋" w:eastAsia="仿宋" w:cs="Calibri"/>
                <w:kern w:val="0"/>
                <w:sz w:val="24"/>
                <w:szCs w:val="24"/>
                <w:lang w:val="en-US" w:eastAsia="zh-CN"/>
              </w:rPr>
            </w:pPr>
          </w:p>
        </w:tc>
        <w:tc>
          <w:tcPr>
            <w:tcW w:w="1054" w:type="dxa"/>
            <w:noWrap w:val="0"/>
            <w:vAlign w:val="top"/>
          </w:tcPr>
          <w:p w14:paraId="24FE07C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27</w:t>
            </w:r>
          </w:p>
        </w:tc>
        <w:tc>
          <w:tcPr>
            <w:tcW w:w="1207" w:type="dxa"/>
            <w:noWrap w:val="0"/>
            <w:vAlign w:val="top"/>
          </w:tcPr>
          <w:p w14:paraId="19B45C41">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r>
      <w:tr w14:paraId="3011B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4765D766">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19</w:t>
            </w:r>
          </w:p>
        </w:tc>
        <w:tc>
          <w:tcPr>
            <w:tcW w:w="1467" w:type="dxa"/>
            <w:noWrap w:val="0"/>
            <w:vAlign w:val="top"/>
          </w:tcPr>
          <w:p w14:paraId="603680FF">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修改“规范性引用文件”</w:t>
            </w:r>
          </w:p>
        </w:tc>
        <w:tc>
          <w:tcPr>
            <w:tcW w:w="4718" w:type="dxa"/>
            <w:noWrap w:val="0"/>
            <w:vAlign w:val="top"/>
          </w:tcPr>
          <w:p w14:paraId="51108ADC">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同意</w:t>
            </w:r>
          </w:p>
          <w:p w14:paraId="7A800C68">
            <w:pPr>
              <w:widowControl/>
              <w:spacing w:line="400" w:lineRule="exact"/>
              <w:jc w:val="left"/>
              <w:rPr>
                <w:rFonts w:hint="eastAsia" w:ascii="仿宋" w:hAnsi="仿宋" w:eastAsia="仿宋" w:cs="Calibri"/>
                <w:kern w:val="0"/>
                <w:sz w:val="24"/>
                <w:szCs w:val="24"/>
                <w:lang w:val="en-US" w:eastAsia="zh-CN"/>
              </w:rPr>
            </w:pPr>
          </w:p>
        </w:tc>
        <w:tc>
          <w:tcPr>
            <w:tcW w:w="1054" w:type="dxa"/>
            <w:noWrap w:val="0"/>
            <w:vAlign w:val="top"/>
          </w:tcPr>
          <w:p w14:paraId="259BC716">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27</w:t>
            </w:r>
          </w:p>
        </w:tc>
        <w:tc>
          <w:tcPr>
            <w:tcW w:w="1207" w:type="dxa"/>
            <w:noWrap w:val="0"/>
            <w:vAlign w:val="top"/>
          </w:tcPr>
          <w:p w14:paraId="2A028FAE">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r>
      <w:tr w14:paraId="129DF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5DE33414">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20</w:t>
            </w:r>
          </w:p>
        </w:tc>
        <w:tc>
          <w:tcPr>
            <w:tcW w:w="1467" w:type="dxa"/>
            <w:noWrap w:val="0"/>
            <w:vAlign w:val="top"/>
          </w:tcPr>
          <w:p w14:paraId="5043748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增添小儿推拿疗法禁忌。</w:t>
            </w:r>
          </w:p>
        </w:tc>
        <w:tc>
          <w:tcPr>
            <w:tcW w:w="4718" w:type="dxa"/>
            <w:noWrap w:val="0"/>
            <w:vAlign w:val="top"/>
          </w:tcPr>
          <w:p w14:paraId="1EE0F7BB">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同意</w:t>
            </w:r>
          </w:p>
        </w:tc>
        <w:tc>
          <w:tcPr>
            <w:tcW w:w="1054" w:type="dxa"/>
            <w:noWrap w:val="0"/>
            <w:vAlign w:val="top"/>
          </w:tcPr>
          <w:p w14:paraId="52F107A3">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24</w:t>
            </w:r>
          </w:p>
        </w:tc>
        <w:tc>
          <w:tcPr>
            <w:tcW w:w="1207" w:type="dxa"/>
            <w:noWrap w:val="0"/>
            <w:vAlign w:val="top"/>
          </w:tcPr>
          <w:p w14:paraId="108CC4E7">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88.89%</w:t>
            </w:r>
          </w:p>
        </w:tc>
      </w:tr>
      <w:tr w14:paraId="429A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noWrap w:val="0"/>
            <w:vAlign w:val="top"/>
          </w:tcPr>
          <w:p w14:paraId="46814B79">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21</w:t>
            </w:r>
          </w:p>
        </w:tc>
        <w:tc>
          <w:tcPr>
            <w:tcW w:w="1467" w:type="dxa"/>
            <w:noWrap w:val="0"/>
            <w:vAlign w:val="top"/>
          </w:tcPr>
          <w:p w14:paraId="0A670D60">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增加“参考文献”</w:t>
            </w:r>
          </w:p>
        </w:tc>
        <w:tc>
          <w:tcPr>
            <w:tcW w:w="4718" w:type="dxa"/>
            <w:noWrap w:val="0"/>
            <w:vAlign w:val="top"/>
          </w:tcPr>
          <w:p w14:paraId="7C7D9A5A">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同意</w:t>
            </w:r>
          </w:p>
        </w:tc>
        <w:tc>
          <w:tcPr>
            <w:tcW w:w="1054" w:type="dxa"/>
            <w:noWrap w:val="0"/>
            <w:vAlign w:val="top"/>
          </w:tcPr>
          <w:p w14:paraId="67D1653E">
            <w:pPr>
              <w:widowControl/>
              <w:spacing w:line="400" w:lineRule="exact"/>
              <w:jc w:val="left"/>
              <w:rPr>
                <w:rFonts w:hint="default"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27</w:t>
            </w:r>
          </w:p>
        </w:tc>
        <w:tc>
          <w:tcPr>
            <w:tcW w:w="1207" w:type="dxa"/>
            <w:noWrap w:val="0"/>
            <w:vAlign w:val="top"/>
          </w:tcPr>
          <w:p w14:paraId="626C698D">
            <w:pPr>
              <w:widowControl/>
              <w:spacing w:line="400" w:lineRule="exact"/>
              <w:jc w:val="left"/>
              <w:rPr>
                <w:rFonts w:hint="eastAsia" w:ascii="仿宋" w:hAnsi="仿宋" w:eastAsia="仿宋" w:cs="Calibri"/>
                <w:kern w:val="0"/>
                <w:sz w:val="24"/>
                <w:szCs w:val="24"/>
                <w:lang w:val="en-US" w:eastAsia="zh-CN"/>
              </w:rPr>
            </w:pPr>
            <w:r>
              <w:rPr>
                <w:rFonts w:hint="eastAsia" w:ascii="仿宋" w:hAnsi="仿宋" w:eastAsia="仿宋" w:cs="Calibri"/>
                <w:kern w:val="0"/>
                <w:sz w:val="24"/>
                <w:szCs w:val="24"/>
                <w:lang w:val="en-US" w:eastAsia="zh-CN"/>
              </w:rPr>
              <w:t>100.00%</w:t>
            </w:r>
          </w:p>
        </w:tc>
      </w:tr>
    </w:tbl>
    <w:p w14:paraId="09A4F909">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根据统计结果，共有2</w:t>
      </w:r>
      <w:r>
        <w:rPr>
          <w:rFonts w:hint="eastAsia" w:ascii="仿宋" w:hAnsi="仿宋" w:eastAsia="仿宋" w:cs="黑体"/>
          <w:kern w:val="0"/>
          <w:sz w:val="24"/>
          <w:szCs w:val="24"/>
          <w:lang w:val="en-US" w:eastAsia="zh-CN"/>
        </w:rPr>
        <w:t>1</w:t>
      </w:r>
      <w:r>
        <w:rPr>
          <w:rFonts w:hint="eastAsia" w:ascii="仿宋" w:hAnsi="仿宋" w:eastAsia="仿宋" w:cs="黑体"/>
          <w:kern w:val="0"/>
          <w:sz w:val="24"/>
          <w:szCs w:val="24"/>
        </w:rPr>
        <w:t>项内容超过50%专家支持，根据“1.2统计结果处理方案”，将上表2</w:t>
      </w:r>
      <w:r>
        <w:rPr>
          <w:rFonts w:hint="eastAsia" w:ascii="仿宋" w:hAnsi="仿宋" w:eastAsia="仿宋" w:cs="黑体"/>
          <w:kern w:val="0"/>
          <w:sz w:val="24"/>
          <w:szCs w:val="24"/>
          <w:lang w:val="en-US" w:eastAsia="zh-CN"/>
        </w:rPr>
        <w:t>1</w:t>
      </w:r>
      <w:r>
        <w:rPr>
          <w:rFonts w:hint="eastAsia" w:ascii="仿宋" w:hAnsi="仿宋" w:eastAsia="仿宋" w:cs="黑体"/>
          <w:kern w:val="0"/>
          <w:sz w:val="24"/>
          <w:szCs w:val="24"/>
        </w:rPr>
        <w:t>条内容列为“直接修改意见”条目（对应表</w:t>
      </w:r>
      <w:r>
        <w:rPr>
          <w:rFonts w:hint="eastAsia" w:ascii="仿宋" w:hAnsi="仿宋" w:eastAsia="仿宋" w:cs="黑体"/>
          <w:kern w:val="0"/>
          <w:sz w:val="24"/>
          <w:szCs w:val="24"/>
          <w:lang w:val="en-US" w:eastAsia="zh-CN"/>
        </w:rPr>
        <w:t>41</w:t>
      </w:r>
      <w:r>
        <w:rPr>
          <w:rFonts w:hint="eastAsia" w:ascii="仿宋" w:hAnsi="仿宋" w:eastAsia="仿宋" w:cs="黑体"/>
          <w:kern w:val="0"/>
          <w:sz w:val="24"/>
          <w:szCs w:val="24"/>
        </w:rPr>
        <w:t>）。这些条目多集中于：某些操作步骤、</w:t>
      </w:r>
      <w:r>
        <w:rPr>
          <w:rFonts w:hint="eastAsia" w:ascii="仿宋" w:hAnsi="仿宋" w:eastAsia="仿宋" w:cs="黑体"/>
          <w:kern w:val="0"/>
          <w:sz w:val="24"/>
          <w:szCs w:val="24"/>
          <w:lang w:val="en-US" w:eastAsia="zh-CN"/>
        </w:rPr>
        <w:t>穴位定位、</w:t>
      </w:r>
      <w:r>
        <w:rPr>
          <w:rFonts w:hint="eastAsia" w:ascii="仿宋" w:hAnsi="仿宋" w:eastAsia="仿宋" w:cs="黑体"/>
          <w:kern w:val="0"/>
          <w:sz w:val="24"/>
          <w:szCs w:val="24"/>
        </w:rPr>
        <w:t>新增或修改条目，这表明专家对上述内容已有较强共识。根据最高支持选项对原条目进行修改，另外针对部分条目进行专家意见汇总。</w:t>
      </w:r>
    </w:p>
    <w:p w14:paraId="06F204B0">
      <w:pPr>
        <w:autoSpaceDE w:val="0"/>
        <w:autoSpaceDN w:val="0"/>
        <w:adjustRightInd w:val="0"/>
        <w:spacing w:line="400" w:lineRule="exact"/>
        <w:ind w:firstLine="480" w:firstLineChars="200"/>
        <w:jc w:val="left"/>
        <w:rPr>
          <w:rFonts w:hint="default" w:ascii="宋体" w:hAnsi="宋体" w:eastAsia="宋体" w:cs="黑体"/>
          <w:kern w:val="0"/>
          <w:sz w:val="21"/>
          <w:szCs w:val="21"/>
          <w:lang w:val="en-US"/>
        </w:rPr>
      </w:pPr>
      <w:r>
        <w:rPr>
          <w:rFonts w:hint="eastAsia" w:ascii="仿宋" w:hAnsi="仿宋" w:eastAsia="仿宋" w:cs="黑体"/>
          <w:kern w:val="0"/>
          <w:sz w:val="24"/>
          <w:szCs w:val="24"/>
        </w:rPr>
        <w:t>汇总专家意见如下：（1）</w:t>
      </w:r>
      <w:r>
        <w:rPr>
          <w:rFonts w:hint="eastAsia" w:ascii="仿宋" w:hAnsi="仿宋" w:eastAsia="仿宋" w:cs="黑体"/>
          <w:kern w:val="0"/>
          <w:sz w:val="24"/>
          <w:szCs w:val="24"/>
          <w:lang w:val="en-US" w:eastAsia="zh-CN"/>
        </w:rPr>
        <w:t>针对摩法，建议可增加语句：不带动皮下组织。建议表述为医师用手掌掌面或食、中、无名三指指面附着于一定部位上，以腕关节连同前臂做环形的有节律的轻柔抚摩。</w:t>
      </w:r>
      <w:r>
        <w:rPr>
          <w:rFonts w:hint="eastAsia" w:ascii="仿宋" w:hAnsi="仿宋" w:eastAsia="仿宋" w:cs="黑体"/>
          <w:kern w:val="0"/>
          <w:sz w:val="24"/>
          <w:szCs w:val="24"/>
        </w:rPr>
        <w:t>（2）针对</w:t>
      </w:r>
      <w:r>
        <w:rPr>
          <w:rFonts w:hint="eastAsia" w:ascii="仿宋" w:hAnsi="仿宋" w:eastAsia="仿宋" w:cs="黑体"/>
          <w:kern w:val="0"/>
          <w:sz w:val="24"/>
          <w:szCs w:val="24"/>
          <w:lang w:val="en-US" w:eastAsia="zh-CN"/>
        </w:rPr>
        <w:t>拍法，建议综合以上内容。建议表述为医师腕关节放松，五指并拢，掌指关节微屈，掌心空虚，以前臂带动虚掌快速、灵活、均匀地拍打体表一定部位，力量由轻到重。</w:t>
      </w:r>
      <w:r>
        <w:rPr>
          <w:rFonts w:hint="eastAsia" w:ascii="仿宋" w:hAnsi="仿宋" w:eastAsia="仿宋" w:cs="黑体"/>
          <w:kern w:val="0"/>
          <w:sz w:val="24"/>
          <w:szCs w:val="24"/>
        </w:rPr>
        <w:t>（3）针对</w:t>
      </w:r>
      <w:r>
        <w:rPr>
          <w:rFonts w:hint="eastAsia" w:ascii="仿宋" w:hAnsi="仿宋" w:eastAsia="仿宋" w:cs="黑体"/>
          <w:kern w:val="0"/>
          <w:sz w:val="24"/>
          <w:szCs w:val="24"/>
          <w:lang w:val="en-US" w:eastAsia="zh-CN"/>
        </w:rPr>
        <w:t>水底捞月操作手法</w:t>
      </w:r>
      <w:r>
        <w:rPr>
          <w:rFonts w:hint="eastAsia" w:ascii="仿宋" w:hAnsi="仿宋" w:eastAsia="仿宋" w:cs="黑体"/>
          <w:kern w:val="0"/>
          <w:sz w:val="24"/>
          <w:szCs w:val="24"/>
        </w:rPr>
        <w:t>，</w:t>
      </w:r>
      <w:r>
        <w:rPr>
          <w:rFonts w:hint="eastAsia" w:ascii="仿宋" w:hAnsi="仿宋" w:eastAsia="仿宋" w:cs="黑体"/>
          <w:kern w:val="0"/>
          <w:sz w:val="24"/>
          <w:szCs w:val="24"/>
          <w:lang w:val="en-US" w:eastAsia="zh-CN"/>
        </w:rPr>
        <w:t>提出</w:t>
      </w:r>
      <w:r>
        <w:rPr>
          <w:rFonts w:hint="eastAsia" w:ascii="仿宋" w:hAnsi="仿宋" w:eastAsia="仿宋" w:cs="黑体"/>
          <w:kern w:val="0"/>
          <w:sz w:val="24"/>
          <w:szCs w:val="24"/>
        </w:rPr>
        <w:t>凉水点入孩子的内劳宫穴。虚热者不宜用。（</w:t>
      </w:r>
      <w:r>
        <w:rPr>
          <w:rFonts w:hint="eastAsia" w:ascii="仿宋" w:hAnsi="仿宋" w:eastAsia="仿宋" w:cs="黑体"/>
          <w:kern w:val="0"/>
          <w:sz w:val="24"/>
          <w:szCs w:val="24"/>
          <w:lang w:val="en-US" w:eastAsia="zh-CN"/>
        </w:rPr>
        <w:t>4</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打马过天河操作手法</w:t>
      </w:r>
      <w:r>
        <w:rPr>
          <w:rFonts w:hint="eastAsia" w:ascii="仿宋" w:hAnsi="仿宋" w:eastAsia="仿宋" w:cs="黑体"/>
          <w:kern w:val="0"/>
          <w:sz w:val="24"/>
          <w:szCs w:val="24"/>
        </w:rPr>
        <w:t>，</w:t>
      </w:r>
      <w:r>
        <w:rPr>
          <w:rFonts w:hint="eastAsia" w:ascii="仿宋" w:hAnsi="仿宋" w:eastAsia="仿宋" w:cs="黑体"/>
          <w:kern w:val="0"/>
          <w:sz w:val="24"/>
          <w:szCs w:val="24"/>
          <w:lang w:val="en-US" w:eastAsia="zh-CN"/>
        </w:rPr>
        <w:t>建议经综合I、H表述为好。或建议表述为考虑小儿前臂较短，食、中、无名指操作面积过大，改为用食中指操作，且用食中指操作更为灵活。定位 前臂正中，总筋至洪池（曲泽）成一直线。 操作 用食、中二指沾水自总筋处，一起一落弹打如弹琴状，直至洪池，同时一面用口吹气随之。或先用指端揉内劳宫，然后用食、中二指沾水自总筋处，一起一落弹打如弹琴状，直至洪池，同时一面用口吹气随之。（出处：T/CACM 1476—2023 医疗机构小儿推拿技术规范)</w:t>
      </w:r>
      <w:r>
        <w:rPr>
          <w:rFonts w:hint="eastAsia" w:ascii="仿宋" w:hAnsi="仿宋" w:eastAsia="仿宋" w:cs="黑体"/>
          <w:kern w:val="0"/>
          <w:sz w:val="24"/>
          <w:szCs w:val="24"/>
        </w:rPr>
        <w:t>（</w:t>
      </w:r>
      <w:r>
        <w:rPr>
          <w:rFonts w:hint="eastAsia" w:ascii="仿宋" w:hAnsi="仿宋" w:eastAsia="仿宋" w:cs="黑体"/>
          <w:kern w:val="0"/>
          <w:sz w:val="24"/>
          <w:szCs w:val="24"/>
          <w:lang w:val="en-US" w:eastAsia="zh-CN"/>
        </w:rPr>
        <w:t>5</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黄蜂入洞操作手法</w:t>
      </w:r>
      <w:r>
        <w:rPr>
          <w:rFonts w:hint="eastAsia" w:ascii="仿宋" w:hAnsi="仿宋" w:eastAsia="仿宋" w:cs="黑体"/>
          <w:kern w:val="0"/>
          <w:sz w:val="24"/>
          <w:szCs w:val="24"/>
        </w:rPr>
        <w:t>，建议经综合L、K表述为好。</w:t>
      </w:r>
      <w:r>
        <w:rPr>
          <w:rFonts w:hint="eastAsia" w:ascii="仿宋" w:hAnsi="仿宋" w:eastAsia="仿宋" w:cs="黑体"/>
          <w:kern w:val="0"/>
          <w:sz w:val="24"/>
          <w:szCs w:val="24"/>
          <w:lang w:val="en-US" w:eastAsia="zh-CN"/>
        </w:rPr>
        <w:t>建议增加“或放于鼻翼两侧，操作时医者以食、中两指分开，在鼻翼两侧微上鼻骨边缘处，上下揉之，反复操作”（《小儿推拿学概要》）</w:t>
      </w:r>
      <w:r>
        <w:rPr>
          <w:rFonts w:hint="eastAsia" w:ascii="仿宋" w:hAnsi="仿宋" w:eastAsia="仿宋" w:cs="黑体"/>
          <w:kern w:val="0"/>
          <w:sz w:val="24"/>
          <w:szCs w:val="24"/>
        </w:rPr>
        <w:t>（</w:t>
      </w:r>
      <w:r>
        <w:rPr>
          <w:rFonts w:hint="eastAsia" w:ascii="仿宋" w:hAnsi="仿宋" w:eastAsia="仿宋" w:cs="黑体"/>
          <w:kern w:val="0"/>
          <w:sz w:val="24"/>
          <w:szCs w:val="24"/>
          <w:lang w:val="en-US" w:eastAsia="zh-CN"/>
        </w:rPr>
        <w:t>6</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按弦搓摩操作手法，建议以F为主，结合E表述。</w:t>
      </w:r>
      <w:r>
        <w:rPr>
          <w:rFonts w:hint="eastAsia" w:ascii="仿宋" w:hAnsi="仿宋" w:eastAsia="仿宋" w:cs="黑体"/>
          <w:kern w:val="0"/>
          <w:sz w:val="24"/>
          <w:szCs w:val="24"/>
        </w:rPr>
        <w:t>（</w:t>
      </w:r>
      <w:r>
        <w:rPr>
          <w:rFonts w:hint="eastAsia" w:ascii="仿宋" w:hAnsi="仿宋" w:eastAsia="仿宋" w:cs="黑体"/>
          <w:kern w:val="0"/>
          <w:sz w:val="24"/>
          <w:szCs w:val="24"/>
          <w:lang w:val="en-US" w:eastAsia="zh-CN"/>
        </w:rPr>
        <w:t>7</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二龙戏珠操作手法，建议以I为主，结合H、A表述（寒证、热证选穴）。建议表述为定位：前臂正中，总筋至洪池（曲泽）成一直线。操作：以左手持患儿手，使掌心向上，前臂伸直，右手食指、中指自患儿总经（总筋）处起，以指端交互向前按之，直至洪池为一遍。（出处：T/CACM 1476—2023 医疗机构小儿推拿技术规范)</w:t>
      </w:r>
      <w:r>
        <w:rPr>
          <w:rFonts w:hint="eastAsia" w:ascii="仿宋" w:hAnsi="仿宋" w:eastAsia="仿宋" w:cs="黑体"/>
          <w:kern w:val="0"/>
          <w:sz w:val="24"/>
          <w:szCs w:val="24"/>
        </w:rPr>
        <w:t>（</w:t>
      </w:r>
      <w:r>
        <w:rPr>
          <w:rFonts w:hint="eastAsia" w:ascii="仿宋" w:hAnsi="仿宋" w:eastAsia="仿宋" w:cs="黑体"/>
          <w:kern w:val="0"/>
          <w:sz w:val="24"/>
          <w:szCs w:val="24"/>
          <w:lang w:val="en-US" w:eastAsia="zh-CN"/>
        </w:rPr>
        <w:t>8</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小儿推拿常用介质</w:t>
      </w:r>
      <w:r>
        <w:rPr>
          <w:rFonts w:hint="default" w:ascii="仿宋" w:hAnsi="仿宋" w:eastAsia="仿宋" w:cs="黑体"/>
          <w:kern w:val="0"/>
          <w:sz w:val="24"/>
          <w:szCs w:val="24"/>
          <w:lang w:val="en-US" w:eastAsia="zh-CN"/>
        </w:rPr>
        <w:t xml:space="preserve"> A.3</w:t>
      </w:r>
      <w:r>
        <w:rPr>
          <w:rFonts w:hint="eastAsia" w:ascii="仿宋" w:hAnsi="仿宋" w:eastAsia="仿宋" w:cs="黑体"/>
          <w:kern w:val="0"/>
          <w:sz w:val="24"/>
          <w:szCs w:val="24"/>
          <w:lang w:val="en-US" w:eastAsia="zh-CN"/>
        </w:rPr>
        <w:t>清水，建议可增加水类：水、葱白水、生姜水、薄荷水。建议修改为：自来水、蒸馏水等符合本国卫生标准的饮用水。一般用于小儿发热等病症。</w:t>
      </w:r>
      <w:r>
        <w:rPr>
          <w:rFonts w:hint="eastAsia" w:ascii="仿宋" w:hAnsi="仿宋" w:eastAsia="仿宋" w:cs="黑体"/>
          <w:kern w:val="0"/>
          <w:sz w:val="24"/>
          <w:szCs w:val="24"/>
        </w:rPr>
        <w:t>（</w:t>
      </w:r>
      <w:r>
        <w:rPr>
          <w:rFonts w:hint="eastAsia" w:ascii="仿宋" w:hAnsi="仿宋" w:eastAsia="仿宋" w:cs="黑体"/>
          <w:kern w:val="0"/>
          <w:sz w:val="24"/>
          <w:szCs w:val="24"/>
          <w:lang w:val="en-US" w:eastAsia="zh-CN"/>
        </w:rPr>
        <w:t>9</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小儿推拿常用介质</w:t>
      </w:r>
      <w:r>
        <w:rPr>
          <w:rFonts w:hint="default" w:ascii="仿宋" w:hAnsi="仿宋" w:eastAsia="仿宋" w:cs="黑体"/>
          <w:kern w:val="0"/>
          <w:sz w:val="24"/>
          <w:szCs w:val="24"/>
          <w:lang w:val="en-US" w:eastAsia="zh-CN"/>
        </w:rPr>
        <w:t xml:space="preserve"> </w:t>
      </w:r>
      <w:r>
        <w:rPr>
          <w:rFonts w:hint="eastAsia" w:ascii="仿宋" w:hAnsi="仿宋" w:eastAsia="仿宋" w:cs="黑体"/>
          <w:kern w:val="0"/>
          <w:sz w:val="24"/>
          <w:szCs w:val="24"/>
          <w:lang w:val="en-US" w:eastAsia="zh-CN"/>
        </w:rPr>
        <w:t>膏类</w:t>
      </w:r>
      <w:r>
        <w:rPr>
          <w:rFonts w:hint="eastAsia" w:ascii="仿宋" w:hAnsi="仿宋" w:eastAsia="仿宋" w:cs="黑体"/>
          <w:kern w:val="0"/>
          <w:sz w:val="24"/>
          <w:szCs w:val="24"/>
        </w:rPr>
        <w:t>，</w:t>
      </w:r>
      <w:r>
        <w:rPr>
          <w:rFonts w:hint="eastAsia" w:ascii="仿宋" w:hAnsi="仿宋" w:eastAsia="仿宋" w:cs="黑体"/>
          <w:kern w:val="0"/>
          <w:sz w:val="24"/>
          <w:szCs w:val="24"/>
          <w:lang w:val="en-US" w:eastAsia="zh-CN"/>
        </w:rPr>
        <w:t>建议表述健脾膏、冬青膏。不建议用爽身粉，因为有香味，孩子会过敏。</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0</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脾经（土）（定位），建议表述推拇指桡侧（弯曲）。从指尖推到指根为补，直推为泻。建议用“拇指末节螺纹面或桡侧缘，自指尖至指根成一直线”的教材化表述，定位清晰、可重复性高；建议配图。</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1</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四横纹（定位），建议掐后再推，疗效会更好。建议“近侧指间关节横纹处”的表述与现代教材一致，语言更规范，便于图示与英文对照（Four Creases / Sifeng）。（</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2</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二人上马（穴位名），建议二人上马，又名二马、上马。（</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3</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二人上马（定位），建议掐后再揉，建议“手背无名指与小指掌指关节后凹陷中”——现代教材定位精确、便于示教与临床复现；建议与手背示意图联动。（</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4</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六腑（定位），建议表述臂尺侧，自肘关节至掌跟成一直线。建议表述前臂尺侧，阴池至肘成一直线。（出处：T/CACM 1476—2023 医疗机构小儿推拿技术规范)（</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5</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天河水（定位），建议池穴向心推为泻是其特点，泻法要快，滋阴要慢。（</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6</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修改“规范性引用文件”，建议最终列出时，仅列出引用到的文件。建议补充：WHO benchmarks for the practice of tuina（最新版），以及SCM-C 0056-2023《小儿推拿技术操作规范》，便于与国际/团体规范衔接。（</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7</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增添小儿推拿疗法禁忌。提出局部水肿不是推拿禁忌。提出与“注意事项/安全要求”章节保持术语一致，避免重复或冲突。（</w:t>
      </w:r>
      <w:r>
        <w:rPr>
          <w:rFonts w:hint="eastAsia" w:ascii="仿宋" w:hAnsi="仿宋" w:eastAsia="仿宋" w:cs="黑体"/>
          <w:kern w:val="0"/>
          <w:sz w:val="24"/>
          <w:szCs w:val="24"/>
        </w:rPr>
        <w:t>1</w:t>
      </w:r>
      <w:r>
        <w:rPr>
          <w:rFonts w:hint="eastAsia" w:ascii="仿宋" w:hAnsi="仿宋" w:eastAsia="仿宋" w:cs="黑体"/>
          <w:kern w:val="0"/>
          <w:sz w:val="24"/>
          <w:szCs w:val="24"/>
          <w:lang w:val="en-US" w:eastAsia="zh-CN"/>
        </w:rPr>
        <w:t>8</w:t>
      </w:r>
      <w:r>
        <w:rPr>
          <w:rFonts w:hint="eastAsia" w:ascii="仿宋" w:hAnsi="仿宋" w:eastAsia="仿宋" w:cs="黑体"/>
          <w:kern w:val="0"/>
          <w:sz w:val="24"/>
          <w:szCs w:val="24"/>
        </w:rPr>
        <w:t>）针对</w:t>
      </w:r>
      <w:r>
        <w:rPr>
          <w:rFonts w:hint="eastAsia" w:ascii="仿宋" w:hAnsi="仿宋" w:eastAsia="仿宋" w:cs="黑体"/>
          <w:kern w:val="0"/>
          <w:sz w:val="24"/>
          <w:szCs w:val="24"/>
          <w:lang w:val="en-US" w:eastAsia="zh-CN"/>
        </w:rPr>
        <w:t>增加“参考文献”，同意更新并扩充。建议按文献类型与时序分类：国际标准/指南 → 国家标准 → 团体/行业标准 → 教材/专著 → 学术文献。</w:t>
      </w:r>
    </w:p>
    <w:p w14:paraId="5E78D888">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 xml:space="preserve">3.2 争议条目分析 </w:t>
      </w:r>
    </w:p>
    <w:p w14:paraId="6439A443">
      <w:pPr>
        <w:autoSpaceDE w:val="0"/>
        <w:autoSpaceDN w:val="0"/>
        <w:adjustRightInd w:val="0"/>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根据“1.2统计结果处理方案”，仍有</w:t>
      </w:r>
      <w:r>
        <w:rPr>
          <w:rFonts w:hint="eastAsia" w:ascii="仿宋" w:hAnsi="仿宋" w:eastAsia="仿宋" w:cs="黑体"/>
          <w:kern w:val="0"/>
          <w:sz w:val="24"/>
          <w:szCs w:val="24"/>
          <w:lang w:val="en-US" w:eastAsia="zh-CN"/>
        </w:rPr>
        <w:t>12</w:t>
      </w:r>
      <w:r>
        <w:rPr>
          <w:rFonts w:hint="eastAsia" w:ascii="仿宋" w:hAnsi="仿宋" w:eastAsia="仿宋" w:cs="黑体"/>
          <w:kern w:val="0"/>
          <w:sz w:val="24"/>
          <w:szCs w:val="24"/>
        </w:rPr>
        <w:t>条条目无超过50%的选项，分别为：“小儿推拿（Tuina in pediatrics）”定义</w:t>
      </w:r>
      <w:r>
        <w:rPr>
          <w:rFonts w:hint="eastAsia" w:ascii="仿宋" w:hAnsi="仿宋" w:eastAsia="仿宋" w:cs="黑体"/>
          <w:kern w:val="0"/>
          <w:sz w:val="24"/>
          <w:szCs w:val="24"/>
          <w:lang w:eastAsia="zh-CN"/>
        </w:rPr>
        <w:t>、</w:t>
      </w:r>
      <w:r>
        <w:rPr>
          <w:rFonts w:hint="eastAsia" w:ascii="仿宋" w:hAnsi="仿宋" w:eastAsia="仿宋" w:cs="黑体"/>
          <w:kern w:val="0"/>
          <w:sz w:val="24"/>
          <w:szCs w:val="24"/>
          <w:lang w:val="en-US" w:eastAsia="zh-CN"/>
        </w:rPr>
        <w:t>环境、体位、医师、旋推法、按法、操作顺序、操作补泻、小儿推拿治疗时间、小儿推拿治疗操作间隔与疗程、小儿推拿常用介质 A.1油类、小儿推拿安全保障注意事项。</w:t>
      </w:r>
      <w:r>
        <w:rPr>
          <w:rFonts w:hint="eastAsia" w:ascii="仿宋" w:hAnsi="仿宋" w:eastAsia="仿宋" w:cs="黑体"/>
          <w:kern w:val="0"/>
          <w:sz w:val="24"/>
          <w:szCs w:val="24"/>
        </w:rPr>
        <w:t>争议条目主题及最高选项汇总如下：</w:t>
      </w:r>
    </w:p>
    <w:p w14:paraId="3564047F">
      <w:pPr>
        <w:widowControl/>
        <w:spacing w:after="0" w:line="400" w:lineRule="exact"/>
        <w:ind w:firstLine="480"/>
        <w:jc w:val="center"/>
        <w:rPr>
          <w:rFonts w:hint="eastAsia" w:ascii="宋体" w:hAnsi="宋体" w:eastAsia="宋体" w:cs="Calibri"/>
          <w:color w:val="000000"/>
          <w:kern w:val="0"/>
          <w:sz w:val="21"/>
          <w:szCs w:val="21"/>
        </w:rPr>
      </w:pPr>
      <w:r>
        <w:rPr>
          <w:rFonts w:hint="eastAsia" w:ascii="仿宋" w:hAnsi="仿宋" w:eastAsia="仿宋" w:cs="Calibri"/>
          <w:color w:val="000000"/>
          <w:kern w:val="0"/>
          <w:sz w:val="24"/>
          <w:szCs w:val="24"/>
        </w:rPr>
        <w:t>表4</w:t>
      </w:r>
      <w:r>
        <w:rPr>
          <w:rFonts w:hint="eastAsia" w:ascii="仿宋" w:hAnsi="仿宋" w:eastAsia="仿宋" w:cs="Calibri"/>
          <w:color w:val="000000"/>
          <w:kern w:val="0"/>
          <w:sz w:val="24"/>
          <w:szCs w:val="24"/>
          <w:lang w:val="en-US" w:eastAsia="zh-CN"/>
        </w:rPr>
        <w:t>2</w:t>
      </w:r>
      <w:r>
        <w:rPr>
          <w:rFonts w:hint="eastAsia" w:ascii="仿宋" w:hAnsi="仿宋" w:eastAsia="仿宋" w:cs="Calibri"/>
          <w:color w:val="000000"/>
          <w:kern w:val="0"/>
          <w:sz w:val="24"/>
          <w:szCs w:val="24"/>
        </w:rPr>
        <w:t xml:space="preserve"> 争议条目主题及最高选项汇总表</w:t>
      </w:r>
    </w:p>
    <w:tbl>
      <w:tblPr>
        <w:tblStyle w:val="81"/>
        <w:tblW w:w="9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466"/>
        <w:gridCol w:w="4663"/>
        <w:gridCol w:w="946"/>
        <w:gridCol w:w="1337"/>
      </w:tblGrid>
      <w:tr w14:paraId="2CEBC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09" w:type="dxa"/>
            <w:noWrap w:val="0"/>
            <w:vAlign w:val="top"/>
          </w:tcPr>
          <w:p w14:paraId="26A5ECB3">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序号</w:t>
            </w:r>
          </w:p>
        </w:tc>
        <w:tc>
          <w:tcPr>
            <w:tcW w:w="1466" w:type="dxa"/>
            <w:noWrap w:val="0"/>
            <w:vAlign w:val="top"/>
          </w:tcPr>
          <w:p w14:paraId="206A5BD6">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条目</w:t>
            </w:r>
          </w:p>
        </w:tc>
        <w:tc>
          <w:tcPr>
            <w:tcW w:w="4663" w:type="dxa"/>
            <w:noWrap w:val="0"/>
            <w:vAlign w:val="top"/>
          </w:tcPr>
          <w:p w14:paraId="24E63609">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最高支持选项</w:t>
            </w:r>
          </w:p>
        </w:tc>
        <w:tc>
          <w:tcPr>
            <w:tcW w:w="946" w:type="dxa"/>
            <w:noWrap w:val="0"/>
            <w:vAlign w:val="top"/>
          </w:tcPr>
          <w:p w14:paraId="705434DA">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频数</w:t>
            </w:r>
          </w:p>
        </w:tc>
        <w:tc>
          <w:tcPr>
            <w:tcW w:w="1337" w:type="dxa"/>
            <w:noWrap w:val="0"/>
            <w:vAlign w:val="top"/>
          </w:tcPr>
          <w:p w14:paraId="7B32801B">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百分比</w:t>
            </w:r>
          </w:p>
        </w:tc>
      </w:tr>
      <w:tr w14:paraId="0D794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044898EF">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1</w:t>
            </w:r>
          </w:p>
        </w:tc>
        <w:tc>
          <w:tcPr>
            <w:tcW w:w="1466" w:type="dxa"/>
            <w:noWrap w:val="0"/>
            <w:vAlign w:val="top"/>
          </w:tcPr>
          <w:p w14:paraId="436FF62C">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小儿推拿（Tuina in pediatrics）”定义</w:t>
            </w:r>
          </w:p>
        </w:tc>
        <w:tc>
          <w:tcPr>
            <w:tcW w:w="4663" w:type="dxa"/>
            <w:noWrap w:val="0"/>
            <w:vAlign w:val="top"/>
          </w:tcPr>
          <w:p w14:paraId="08FF636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A.医生通过四诊合参，对儿科疾病进行辨证论治后，由医生或操作者按照推拿处方，用手触及儿童肢体的某些部位和穴位，根据病情的不同采取不同的操作手法以求达到疏通经络、调和气血、平衡阴阳、提升机体自然抗病能力作用的中医技术。</w:t>
            </w:r>
          </w:p>
          <w:p w14:paraId="116145B5">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C.</w:t>
            </w:r>
            <w:r>
              <w:rPr>
                <w:rFonts w:hint="eastAsia" w:ascii="仿宋" w:hAnsi="仿宋" w:eastAsia="仿宋" w:cs="Segoe UI"/>
                <w:color w:val="000000"/>
                <w:sz w:val="24"/>
                <w:szCs w:val="24"/>
                <w:lang w:val="en-US" w:eastAsia="zh-CN"/>
              </w:rPr>
              <w:t>综合以上内容。</w:t>
            </w:r>
          </w:p>
        </w:tc>
        <w:tc>
          <w:tcPr>
            <w:tcW w:w="946" w:type="dxa"/>
            <w:noWrap w:val="0"/>
            <w:vAlign w:val="top"/>
          </w:tcPr>
          <w:p w14:paraId="0988D49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rPr>
              <w:t>1</w:t>
            </w:r>
            <w:r>
              <w:rPr>
                <w:rFonts w:hint="eastAsia" w:ascii="仿宋" w:hAnsi="仿宋" w:eastAsia="仿宋" w:cs="Segoe UI"/>
                <w:color w:val="000000"/>
                <w:sz w:val="24"/>
                <w:szCs w:val="24"/>
                <w:lang w:val="en-US" w:eastAsia="zh-CN"/>
              </w:rPr>
              <w:t>0</w:t>
            </w:r>
          </w:p>
        </w:tc>
        <w:tc>
          <w:tcPr>
            <w:tcW w:w="1337" w:type="dxa"/>
            <w:noWrap w:val="0"/>
            <w:vAlign w:val="top"/>
          </w:tcPr>
          <w:p w14:paraId="374D06AC">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37.04</w:t>
            </w:r>
            <w:r>
              <w:rPr>
                <w:rFonts w:hint="eastAsia" w:ascii="仿宋" w:hAnsi="仿宋" w:eastAsia="仿宋" w:cs="Segoe UI"/>
                <w:color w:val="000000"/>
                <w:sz w:val="24"/>
                <w:szCs w:val="24"/>
              </w:rPr>
              <w:t>%</w:t>
            </w:r>
          </w:p>
        </w:tc>
      </w:tr>
      <w:tr w14:paraId="47B4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2B4F134A">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2</w:t>
            </w:r>
          </w:p>
        </w:tc>
        <w:tc>
          <w:tcPr>
            <w:tcW w:w="1466" w:type="dxa"/>
            <w:noWrap w:val="0"/>
            <w:vAlign w:val="top"/>
          </w:tcPr>
          <w:p w14:paraId="6EAD2C20">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环境</w:t>
            </w:r>
          </w:p>
        </w:tc>
        <w:tc>
          <w:tcPr>
            <w:tcW w:w="4663" w:type="dxa"/>
            <w:noWrap w:val="0"/>
            <w:vAlign w:val="top"/>
          </w:tcPr>
          <w:p w14:paraId="35ABCB23">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E</w:t>
            </w:r>
            <w:r>
              <w:rPr>
                <w:rFonts w:hint="eastAsia" w:ascii="仿宋" w:hAnsi="仿宋" w:eastAsia="仿宋" w:cs="Segoe UI"/>
                <w:color w:val="000000"/>
                <w:sz w:val="24"/>
                <w:szCs w:val="24"/>
                <w:lang w:val="en-US" w:eastAsia="zh-CN"/>
              </w:rPr>
              <w:t>.综合以上内容，沿用国家标准原文加上“定期消毒”。</w:t>
            </w:r>
          </w:p>
        </w:tc>
        <w:tc>
          <w:tcPr>
            <w:tcW w:w="946" w:type="dxa"/>
            <w:noWrap w:val="0"/>
            <w:vAlign w:val="top"/>
          </w:tcPr>
          <w:p w14:paraId="6B880C6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9</w:t>
            </w:r>
          </w:p>
        </w:tc>
        <w:tc>
          <w:tcPr>
            <w:tcW w:w="1337" w:type="dxa"/>
            <w:noWrap w:val="0"/>
            <w:vAlign w:val="top"/>
          </w:tcPr>
          <w:p w14:paraId="465D66F2">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33.33%</w:t>
            </w:r>
          </w:p>
        </w:tc>
      </w:tr>
      <w:tr w14:paraId="6D67B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54225461">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3</w:t>
            </w:r>
          </w:p>
        </w:tc>
        <w:tc>
          <w:tcPr>
            <w:tcW w:w="1466" w:type="dxa"/>
            <w:noWrap w:val="0"/>
            <w:vAlign w:val="top"/>
          </w:tcPr>
          <w:p w14:paraId="65076381">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体位</w:t>
            </w:r>
          </w:p>
        </w:tc>
        <w:tc>
          <w:tcPr>
            <w:tcW w:w="4663" w:type="dxa"/>
            <w:noWrap w:val="0"/>
            <w:vAlign w:val="top"/>
          </w:tcPr>
          <w:p w14:paraId="6596454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E.综合以上内容，沿用国家标准原文加上“抱位（正抱、背抱、侧抱）”。</w:t>
            </w:r>
          </w:p>
        </w:tc>
        <w:tc>
          <w:tcPr>
            <w:tcW w:w="946" w:type="dxa"/>
            <w:noWrap w:val="0"/>
            <w:vAlign w:val="top"/>
          </w:tcPr>
          <w:p w14:paraId="34B7435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rPr>
              <w:t>1</w:t>
            </w:r>
            <w:r>
              <w:rPr>
                <w:rFonts w:hint="eastAsia" w:ascii="仿宋" w:hAnsi="仿宋" w:eastAsia="仿宋" w:cs="Segoe UI"/>
                <w:color w:val="000000"/>
                <w:sz w:val="24"/>
                <w:szCs w:val="24"/>
                <w:lang w:val="en-US" w:eastAsia="zh-CN"/>
              </w:rPr>
              <w:t>0</w:t>
            </w:r>
          </w:p>
        </w:tc>
        <w:tc>
          <w:tcPr>
            <w:tcW w:w="1337" w:type="dxa"/>
            <w:noWrap w:val="0"/>
            <w:vAlign w:val="top"/>
          </w:tcPr>
          <w:p w14:paraId="361CA124">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37.04</w:t>
            </w:r>
            <w:r>
              <w:rPr>
                <w:rFonts w:hint="eastAsia" w:ascii="仿宋" w:hAnsi="仿宋" w:eastAsia="仿宋" w:cs="Segoe UI"/>
                <w:color w:val="000000"/>
                <w:sz w:val="24"/>
                <w:szCs w:val="24"/>
              </w:rPr>
              <w:t>%</w:t>
            </w:r>
          </w:p>
        </w:tc>
      </w:tr>
      <w:tr w14:paraId="36E93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2F4B1B15">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4</w:t>
            </w:r>
          </w:p>
        </w:tc>
        <w:tc>
          <w:tcPr>
            <w:tcW w:w="1466" w:type="dxa"/>
            <w:noWrap w:val="0"/>
            <w:vAlign w:val="top"/>
          </w:tcPr>
          <w:p w14:paraId="14C38CE8">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医师</w:t>
            </w:r>
          </w:p>
        </w:tc>
        <w:tc>
          <w:tcPr>
            <w:tcW w:w="4663" w:type="dxa"/>
            <w:noWrap w:val="0"/>
            <w:vAlign w:val="top"/>
          </w:tcPr>
          <w:p w14:paraId="1C3F79F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A.操作者 操作者为医生或具有小儿推拿技术操作资质的人员。操作前，操作者应取下影响推拿的手和腕部饰物，修剪指甲并锉平。在操作开始前，应先询问儿童是否存在推拿慎用证的相关情况。消毒 洗净双手，并用医用消毒剂进行手部消毒。  </w:t>
            </w:r>
          </w:p>
        </w:tc>
        <w:tc>
          <w:tcPr>
            <w:tcW w:w="946" w:type="dxa"/>
            <w:noWrap w:val="0"/>
            <w:vAlign w:val="top"/>
          </w:tcPr>
          <w:p w14:paraId="0E875882">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rPr>
              <w:t>1</w:t>
            </w:r>
            <w:r>
              <w:rPr>
                <w:rFonts w:hint="eastAsia" w:ascii="仿宋" w:hAnsi="仿宋" w:eastAsia="仿宋" w:cs="Segoe UI"/>
                <w:color w:val="000000"/>
                <w:sz w:val="24"/>
                <w:szCs w:val="24"/>
                <w:lang w:val="en-US" w:eastAsia="zh-CN"/>
              </w:rPr>
              <w:t>1</w:t>
            </w:r>
          </w:p>
        </w:tc>
        <w:tc>
          <w:tcPr>
            <w:tcW w:w="1337" w:type="dxa"/>
            <w:noWrap w:val="0"/>
            <w:vAlign w:val="top"/>
          </w:tcPr>
          <w:p w14:paraId="6C31F9E2">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40.74</w:t>
            </w:r>
            <w:r>
              <w:rPr>
                <w:rFonts w:hint="eastAsia" w:ascii="仿宋" w:hAnsi="仿宋" w:eastAsia="仿宋" w:cs="Segoe UI"/>
                <w:color w:val="000000"/>
                <w:sz w:val="24"/>
                <w:szCs w:val="24"/>
              </w:rPr>
              <w:t>%</w:t>
            </w:r>
          </w:p>
        </w:tc>
      </w:tr>
      <w:tr w14:paraId="07F68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63AA58D1">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5</w:t>
            </w:r>
          </w:p>
        </w:tc>
        <w:tc>
          <w:tcPr>
            <w:tcW w:w="1466" w:type="dxa"/>
            <w:noWrap w:val="0"/>
            <w:vAlign w:val="top"/>
          </w:tcPr>
          <w:p w14:paraId="4DFAA488">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旋推法</w:t>
            </w:r>
          </w:p>
        </w:tc>
        <w:tc>
          <w:tcPr>
            <w:tcW w:w="4663" w:type="dxa"/>
            <w:noWrap w:val="0"/>
            <w:vAlign w:val="top"/>
          </w:tcPr>
          <w:p w14:paraId="06E36C7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B.用拇指罗纹面在穴位上做环形旋转推动的手法，称为旋推法。        </w:t>
            </w:r>
          </w:p>
        </w:tc>
        <w:tc>
          <w:tcPr>
            <w:tcW w:w="946" w:type="dxa"/>
            <w:noWrap w:val="0"/>
            <w:vAlign w:val="top"/>
          </w:tcPr>
          <w:p w14:paraId="6FC39FE4">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11</w:t>
            </w:r>
          </w:p>
        </w:tc>
        <w:tc>
          <w:tcPr>
            <w:tcW w:w="1337" w:type="dxa"/>
            <w:noWrap w:val="0"/>
            <w:vAlign w:val="top"/>
          </w:tcPr>
          <w:p w14:paraId="6027732C">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40.74</w:t>
            </w:r>
            <w:r>
              <w:rPr>
                <w:rFonts w:hint="eastAsia" w:ascii="仿宋" w:hAnsi="仿宋" w:eastAsia="仿宋" w:cs="Segoe UI"/>
                <w:color w:val="000000"/>
                <w:sz w:val="24"/>
                <w:szCs w:val="24"/>
              </w:rPr>
              <w:t>%</w:t>
            </w:r>
          </w:p>
        </w:tc>
      </w:tr>
      <w:tr w14:paraId="4783D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338F757A">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6</w:t>
            </w:r>
          </w:p>
        </w:tc>
        <w:tc>
          <w:tcPr>
            <w:tcW w:w="1466" w:type="dxa"/>
            <w:noWrap w:val="0"/>
            <w:vAlign w:val="top"/>
          </w:tcPr>
          <w:p w14:paraId="3FE57C40">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按法</w:t>
            </w:r>
          </w:p>
        </w:tc>
        <w:tc>
          <w:tcPr>
            <w:tcW w:w="4663" w:type="dxa"/>
            <w:noWrap w:val="0"/>
            <w:vAlign w:val="top"/>
          </w:tcPr>
          <w:p w14:paraId="5A814A7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B.按法 </w:t>
            </w:r>
          </w:p>
          <w:p w14:paraId="5B1DCF0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a）操作 以手指、掌根或鱼际在一定的穴位或部位上逐渐向下用力按压的手法，称按法。可分为指按法与掌按法。</w:t>
            </w:r>
          </w:p>
          <w:p w14:paraId="527301C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b）动作要领 医者用手指、掌根或鱼际在操作部位上由轻到重垂直向下用力，按而留之后，再由重到轻逐渐放松。</w:t>
            </w:r>
          </w:p>
          <w:p w14:paraId="2C987095">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c）动作要求 切忌用力粗暴，突然发力。本法常与揉法配合应用。</w:t>
            </w:r>
          </w:p>
          <w:p w14:paraId="323111E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d）临床应用 多用于点状穴、面状穴等部位的操作，具有通经、活络、止痛的作用                                      </w:t>
            </w:r>
          </w:p>
        </w:tc>
        <w:tc>
          <w:tcPr>
            <w:tcW w:w="946" w:type="dxa"/>
            <w:noWrap w:val="0"/>
            <w:vAlign w:val="top"/>
          </w:tcPr>
          <w:p w14:paraId="333AC34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rPr>
              <w:t>1</w:t>
            </w:r>
            <w:r>
              <w:rPr>
                <w:rFonts w:hint="eastAsia" w:ascii="仿宋" w:hAnsi="仿宋" w:eastAsia="仿宋" w:cs="Segoe UI"/>
                <w:color w:val="000000"/>
                <w:sz w:val="24"/>
                <w:szCs w:val="24"/>
                <w:lang w:val="en-US" w:eastAsia="zh-CN"/>
              </w:rPr>
              <w:t>2</w:t>
            </w:r>
          </w:p>
        </w:tc>
        <w:tc>
          <w:tcPr>
            <w:tcW w:w="1337" w:type="dxa"/>
            <w:noWrap w:val="0"/>
            <w:vAlign w:val="top"/>
          </w:tcPr>
          <w:p w14:paraId="149F1D80">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44.44</w:t>
            </w:r>
            <w:r>
              <w:rPr>
                <w:rFonts w:hint="eastAsia" w:ascii="仿宋" w:hAnsi="仿宋" w:eastAsia="仿宋" w:cs="Segoe UI"/>
                <w:color w:val="000000"/>
                <w:sz w:val="24"/>
                <w:szCs w:val="24"/>
              </w:rPr>
              <w:t>%</w:t>
            </w:r>
          </w:p>
        </w:tc>
      </w:tr>
      <w:tr w14:paraId="5228E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66724900">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7</w:t>
            </w:r>
          </w:p>
        </w:tc>
        <w:tc>
          <w:tcPr>
            <w:tcW w:w="1466" w:type="dxa"/>
            <w:noWrap w:val="0"/>
            <w:vAlign w:val="top"/>
          </w:tcPr>
          <w:p w14:paraId="58AC34F4">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操作顺序</w:t>
            </w:r>
          </w:p>
        </w:tc>
        <w:tc>
          <w:tcPr>
            <w:tcW w:w="4663" w:type="dxa"/>
            <w:noWrap w:val="0"/>
            <w:vAlign w:val="top"/>
          </w:tcPr>
          <w:p w14:paraId="3F9008A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C.沿用国家标准原文。                           </w:t>
            </w:r>
          </w:p>
        </w:tc>
        <w:tc>
          <w:tcPr>
            <w:tcW w:w="946" w:type="dxa"/>
            <w:noWrap w:val="0"/>
            <w:vAlign w:val="top"/>
          </w:tcPr>
          <w:p w14:paraId="52263B8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rPr>
              <w:t>1</w:t>
            </w:r>
            <w:r>
              <w:rPr>
                <w:rFonts w:hint="eastAsia" w:ascii="仿宋" w:hAnsi="仿宋" w:eastAsia="仿宋" w:cs="Segoe UI"/>
                <w:color w:val="000000"/>
                <w:sz w:val="24"/>
                <w:szCs w:val="24"/>
                <w:lang w:val="en-US" w:eastAsia="zh-CN"/>
              </w:rPr>
              <w:t>1</w:t>
            </w:r>
          </w:p>
        </w:tc>
        <w:tc>
          <w:tcPr>
            <w:tcW w:w="1337" w:type="dxa"/>
            <w:noWrap w:val="0"/>
            <w:vAlign w:val="top"/>
          </w:tcPr>
          <w:p w14:paraId="01025893">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40.74</w:t>
            </w:r>
            <w:r>
              <w:rPr>
                <w:rFonts w:hint="eastAsia" w:ascii="仿宋" w:hAnsi="仿宋" w:eastAsia="仿宋" w:cs="Segoe UI"/>
                <w:color w:val="000000"/>
                <w:sz w:val="24"/>
                <w:szCs w:val="24"/>
              </w:rPr>
              <w:t>%</w:t>
            </w:r>
          </w:p>
        </w:tc>
      </w:tr>
      <w:tr w14:paraId="0C7B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660D60A3">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8</w:t>
            </w:r>
          </w:p>
        </w:tc>
        <w:tc>
          <w:tcPr>
            <w:tcW w:w="1466" w:type="dxa"/>
            <w:noWrap w:val="0"/>
            <w:vAlign w:val="top"/>
          </w:tcPr>
          <w:p w14:paraId="4E08947F">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操作补泻</w:t>
            </w:r>
          </w:p>
        </w:tc>
        <w:tc>
          <w:tcPr>
            <w:tcW w:w="4663" w:type="dxa"/>
            <w:noWrap w:val="0"/>
            <w:vAlign w:val="top"/>
          </w:tcPr>
          <w:p w14:paraId="7AB5D6C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A.小儿推拿一般补泻原则：方向补泻法 此种补泻方法主要用于小儿手部与腹部的穴位。一般而言，在手部穴位上做向心性方向直推为补法，离心性方向直推为泻法；逆时针摩腹为补法，顺时针摩腹为泻法。轻重补泻法 轻重是指医者在患儿体表穴位上操作时用力的大小。轻手法操作为补法，重手法操作为泻法。快慢补泻法 快慢是指医者运用某一手法在患儿体表穴位上操作的速度。速度快慢会影响手法频率的高低，一般而言，手法操作频率低为补法，反之为泻法。迎随补泻法 随（顺）其经络走行方向操作为补法，迎（逆）其经络走行方向操作为泻法。又称为顺逆补泻法。平补平泻法 患儿病情虚实不明显，或平素小儿保健时常用的一种方法。一般采用快慢结合、顺逆结合的方式。    </w:t>
            </w:r>
          </w:p>
        </w:tc>
        <w:tc>
          <w:tcPr>
            <w:tcW w:w="946" w:type="dxa"/>
            <w:noWrap w:val="0"/>
            <w:vAlign w:val="top"/>
          </w:tcPr>
          <w:p w14:paraId="5961B95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rPr>
              <w:t>1</w:t>
            </w:r>
            <w:r>
              <w:rPr>
                <w:rFonts w:hint="eastAsia" w:ascii="仿宋" w:hAnsi="仿宋" w:eastAsia="仿宋" w:cs="Segoe UI"/>
                <w:color w:val="000000"/>
                <w:sz w:val="24"/>
                <w:szCs w:val="24"/>
                <w:lang w:val="en-US" w:eastAsia="zh-CN"/>
              </w:rPr>
              <w:t>2</w:t>
            </w:r>
          </w:p>
        </w:tc>
        <w:tc>
          <w:tcPr>
            <w:tcW w:w="1337" w:type="dxa"/>
            <w:noWrap w:val="0"/>
            <w:vAlign w:val="top"/>
          </w:tcPr>
          <w:p w14:paraId="65E50529">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44.44</w:t>
            </w:r>
            <w:r>
              <w:rPr>
                <w:rFonts w:hint="eastAsia" w:ascii="仿宋" w:hAnsi="仿宋" w:eastAsia="仿宋" w:cs="Segoe UI"/>
                <w:color w:val="000000"/>
                <w:sz w:val="24"/>
                <w:szCs w:val="24"/>
              </w:rPr>
              <w:t>%</w:t>
            </w:r>
          </w:p>
        </w:tc>
      </w:tr>
      <w:tr w14:paraId="2E7F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59F0545F">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rPr>
              <w:t>9</w:t>
            </w:r>
          </w:p>
        </w:tc>
        <w:tc>
          <w:tcPr>
            <w:tcW w:w="1466" w:type="dxa"/>
            <w:noWrap w:val="0"/>
            <w:vAlign w:val="top"/>
          </w:tcPr>
          <w:p w14:paraId="66765CD6">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小儿推拿治疗时间</w:t>
            </w:r>
          </w:p>
        </w:tc>
        <w:tc>
          <w:tcPr>
            <w:tcW w:w="4663" w:type="dxa"/>
            <w:noWrap w:val="0"/>
            <w:vAlign w:val="top"/>
          </w:tcPr>
          <w:p w14:paraId="7D362065">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D.</w:t>
            </w:r>
            <w:r>
              <w:rPr>
                <w:rFonts w:hint="eastAsia" w:ascii="仿宋" w:hAnsi="仿宋" w:eastAsia="仿宋" w:cs="Segoe UI"/>
                <w:color w:val="000000"/>
                <w:sz w:val="24"/>
                <w:szCs w:val="24"/>
                <w:lang w:val="en-US" w:eastAsia="zh-CN"/>
              </w:rPr>
              <w:t xml:space="preserve">沿用国家标准原文。 </w:t>
            </w:r>
          </w:p>
        </w:tc>
        <w:tc>
          <w:tcPr>
            <w:tcW w:w="946" w:type="dxa"/>
            <w:noWrap w:val="0"/>
            <w:vAlign w:val="top"/>
          </w:tcPr>
          <w:p w14:paraId="6285120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w:t>
            </w:r>
          </w:p>
        </w:tc>
        <w:tc>
          <w:tcPr>
            <w:tcW w:w="1337" w:type="dxa"/>
            <w:noWrap w:val="0"/>
            <w:vAlign w:val="top"/>
          </w:tcPr>
          <w:p w14:paraId="39460B3D">
            <w:pPr>
              <w:widowControl/>
              <w:spacing w:line="400" w:lineRule="exact"/>
              <w:jc w:val="left"/>
              <w:rPr>
                <w:rFonts w:hint="eastAsia" w:ascii="仿宋" w:hAnsi="仿宋" w:eastAsia="仿宋" w:cs="Segoe UI"/>
                <w:color w:val="000000"/>
                <w:sz w:val="24"/>
                <w:szCs w:val="24"/>
              </w:rPr>
            </w:pPr>
            <w:r>
              <w:rPr>
                <w:rFonts w:hint="eastAsia" w:ascii="仿宋" w:hAnsi="仿宋" w:eastAsia="仿宋" w:cs="Segoe UI"/>
                <w:color w:val="000000"/>
                <w:sz w:val="24"/>
                <w:szCs w:val="24"/>
                <w:lang w:val="en-US" w:eastAsia="zh-CN"/>
              </w:rPr>
              <w:t>25.93</w:t>
            </w:r>
            <w:r>
              <w:rPr>
                <w:rFonts w:hint="eastAsia" w:ascii="仿宋" w:hAnsi="仿宋" w:eastAsia="仿宋" w:cs="Segoe UI"/>
                <w:color w:val="000000"/>
                <w:sz w:val="24"/>
                <w:szCs w:val="24"/>
              </w:rPr>
              <w:t>%</w:t>
            </w:r>
          </w:p>
        </w:tc>
      </w:tr>
      <w:tr w14:paraId="61D0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22282E7A">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10</w:t>
            </w:r>
          </w:p>
        </w:tc>
        <w:tc>
          <w:tcPr>
            <w:tcW w:w="1466" w:type="dxa"/>
            <w:noWrap w:val="0"/>
            <w:vAlign w:val="top"/>
          </w:tcPr>
          <w:p w14:paraId="3891421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小儿推拿治疗操作间隔与疗程</w:t>
            </w:r>
          </w:p>
        </w:tc>
        <w:tc>
          <w:tcPr>
            <w:tcW w:w="4663" w:type="dxa"/>
            <w:noWrap w:val="0"/>
            <w:vAlign w:val="top"/>
          </w:tcPr>
          <w:p w14:paraId="33FF0F2A">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A.</w:t>
            </w:r>
            <w:r>
              <w:rPr>
                <w:rFonts w:hint="eastAsia" w:ascii="仿宋" w:hAnsi="仿宋" w:eastAsia="仿宋" w:cs="Segoe UI"/>
                <w:color w:val="000000"/>
                <w:sz w:val="24"/>
                <w:szCs w:val="24"/>
                <w:lang w:val="en-US" w:eastAsia="zh-CN"/>
              </w:rPr>
              <w:t>操作频率：推拿操作一般为每日1次或隔天1次；部分病症，在情况允许时，可每日推拿2次；日常保健和疾病稳定期，可每周推拿1-2次。</w:t>
            </w:r>
          </w:p>
          <w:p w14:paraId="0E2D9F0B">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C.</w:t>
            </w:r>
            <w:r>
              <w:rPr>
                <w:rFonts w:hint="eastAsia" w:ascii="仿宋" w:hAnsi="仿宋" w:eastAsia="仿宋" w:cs="Segoe UI"/>
                <w:color w:val="000000"/>
                <w:sz w:val="24"/>
                <w:szCs w:val="24"/>
                <w:lang w:val="en-US" w:eastAsia="zh-CN"/>
              </w:rPr>
              <w:t>综合以上内容。</w:t>
            </w:r>
          </w:p>
        </w:tc>
        <w:tc>
          <w:tcPr>
            <w:tcW w:w="946" w:type="dxa"/>
            <w:noWrap w:val="0"/>
            <w:vAlign w:val="top"/>
          </w:tcPr>
          <w:p w14:paraId="126DC0F8">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10</w:t>
            </w:r>
          </w:p>
        </w:tc>
        <w:tc>
          <w:tcPr>
            <w:tcW w:w="1337" w:type="dxa"/>
            <w:noWrap w:val="0"/>
            <w:vAlign w:val="top"/>
          </w:tcPr>
          <w:p w14:paraId="7AEC5A8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37.04</w:t>
            </w:r>
            <w:r>
              <w:rPr>
                <w:rFonts w:hint="eastAsia" w:ascii="仿宋" w:hAnsi="仿宋" w:eastAsia="仿宋" w:cs="Segoe UI"/>
                <w:color w:val="000000"/>
                <w:sz w:val="24"/>
                <w:szCs w:val="24"/>
              </w:rPr>
              <w:t>%</w:t>
            </w:r>
          </w:p>
        </w:tc>
      </w:tr>
      <w:tr w14:paraId="6D9EC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7FE881D1">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w:t>
            </w:r>
          </w:p>
        </w:tc>
        <w:tc>
          <w:tcPr>
            <w:tcW w:w="1466" w:type="dxa"/>
            <w:noWrap w:val="0"/>
            <w:vAlign w:val="top"/>
          </w:tcPr>
          <w:p w14:paraId="3FEB76C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小儿推拿常用介质 A.1油类</w:t>
            </w:r>
          </w:p>
        </w:tc>
        <w:tc>
          <w:tcPr>
            <w:tcW w:w="4663" w:type="dxa"/>
            <w:noWrap w:val="0"/>
            <w:vAlign w:val="top"/>
          </w:tcPr>
          <w:p w14:paraId="56F3C754">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E.</w:t>
            </w:r>
            <w:r>
              <w:rPr>
                <w:rFonts w:hint="eastAsia" w:ascii="仿宋" w:hAnsi="仿宋" w:eastAsia="仿宋" w:cs="Segoe UI"/>
                <w:color w:val="000000"/>
                <w:sz w:val="24"/>
                <w:szCs w:val="24"/>
                <w:lang w:val="en-US" w:eastAsia="zh-CN"/>
              </w:rPr>
              <w:t>综合以上内容。</w:t>
            </w:r>
          </w:p>
        </w:tc>
        <w:tc>
          <w:tcPr>
            <w:tcW w:w="946" w:type="dxa"/>
            <w:noWrap w:val="0"/>
            <w:vAlign w:val="top"/>
          </w:tcPr>
          <w:p w14:paraId="194127B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8</w:t>
            </w:r>
          </w:p>
        </w:tc>
        <w:tc>
          <w:tcPr>
            <w:tcW w:w="1337" w:type="dxa"/>
            <w:noWrap w:val="0"/>
            <w:vAlign w:val="top"/>
          </w:tcPr>
          <w:p w14:paraId="6B1D0393">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29.63%</w:t>
            </w:r>
          </w:p>
        </w:tc>
      </w:tr>
      <w:tr w14:paraId="4055D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9" w:type="dxa"/>
            <w:noWrap w:val="0"/>
            <w:vAlign w:val="top"/>
          </w:tcPr>
          <w:p w14:paraId="4F6D47A2">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12</w:t>
            </w:r>
          </w:p>
        </w:tc>
        <w:tc>
          <w:tcPr>
            <w:tcW w:w="1466" w:type="dxa"/>
            <w:noWrap w:val="0"/>
            <w:vAlign w:val="top"/>
          </w:tcPr>
          <w:p w14:paraId="3962899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小儿推拿安全保障注意事项</w:t>
            </w:r>
          </w:p>
        </w:tc>
        <w:tc>
          <w:tcPr>
            <w:tcW w:w="4663" w:type="dxa"/>
            <w:noWrap w:val="0"/>
            <w:vAlign w:val="top"/>
          </w:tcPr>
          <w:p w14:paraId="72F8555C">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D.</w:t>
            </w:r>
            <w:r>
              <w:rPr>
                <w:rFonts w:hint="eastAsia" w:ascii="仿宋" w:hAnsi="仿宋" w:eastAsia="仿宋" w:cs="Segoe UI"/>
                <w:color w:val="000000"/>
                <w:sz w:val="24"/>
                <w:szCs w:val="24"/>
                <w:lang w:val="en-US" w:eastAsia="zh-CN"/>
              </w:rPr>
              <w:t>综合以上内容。</w:t>
            </w:r>
          </w:p>
        </w:tc>
        <w:tc>
          <w:tcPr>
            <w:tcW w:w="946" w:type="dxa"/>
            <w:noWrap w:val="0"/>
            <w:vAlign w:val="top"/>
          </w:tcPr>
          <w:p w14:paraId="7CE409D4">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w:t>
            </w:r>
          </w:p>
        </w:tc>
        <w:tc>
          <w:tcPr>
            <w:tcW w:w="1337" w:type="dxa"/>
            <w:noWrap w:val="0"/>
            <w:vAlign w:val="top"/>
          </w:tcPr>
          <w:p w14:paraId="6083E04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40.74</w:t>
            </w:r>
            <w:r>
              <w:rPr>
                <w:rFonts w:hint="eastAsia" w:ascii="仿宋" w:hAnsi="仿宋" w:eastAsia="仿宋" w:cs="Segoe UI"/>
                <w:color w:val="000000"/>
                <w:sz w:val="24"/>
                <w:szCs w:val="24"/>
              </w:rPr>
              <w:t>%</w:t>
            </w:r>
          </w:p>
        </w:tc>
      </w:tr>
    </w:tbl>
    <w:p w14:paraId="569890D3">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争议条目国家标准内容、具体选项结果、专家意见分别如下：</w:t>
      </w:r>
    </w:p>
    <w:p w14:paraId="12D925BA">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（1）小儿推拿（Tuina in pediatrics）”定义</w:t>
      </w:r>
    </w:p>
    <w:p w14:paraId="39EC2F19">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国家标准原文：</w:t>
      </w:r>
      <w:r>
        <w:rPr>
          <w:rFonts w:hint="eastAsia" w:ascii="仿宋" w:hAnsi="仿宋" w:eastAsia="仿宋" w:cs="Calibri"/>
          <w:color w:val="000000"/>
          <w:kern w:val="0"/>
          <w:sz w:val="24"/>
          <w:szCs w:val="24"/>
          <w:lang w:val="en-US" w:eastAsia="zh-CN"/>
        </w:rPr>
        <w:t>通过对小儿体表的经络穴位施以各种不同的推拿手法，调整阴阳及脏腑功能，扶正祛邪，疏通经络，调和气血，起到治疗和预防疾病作用的一种非药物治疗方法。</w:t>
      </w:r>
    </w:p>
    <w:p w14:paraId="77595085">
      <w:pPr>
        <w:widowControl/>
        <w:spacing w:after="0"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表4</w:t>
      </w:r>
      <w:r>
        <w:rPr>
          <w:rFonts w:hint="eastAsia" w:ascii="仿宋" w:hAnsi="仿宋" w:eastAsia="仿宋" w:cs="Calibri"/>
          <w:color w:val="000000"/>
          <w:kern w:val="0"/>
          <w:sz w:val="24"/>
          <w:szCs w:val="24"/>
          <w:lang w:val="en-US" w:eastAsia="zh-CN"/>
        </w:rPr>
        <w:t>3</w:t>
      </w:r>
      <w:r>
        <w:rPr>
          <w:rFonts w:hint="eastAsia" w:ascii="仿宋" w:hAnsi="仿宋" w:eastAsia="仿宋" w:cs="Calibri"/>
          <w:color w:val="000000"/>
          <w:kern w:val="0"/>
          <w:sz w:val="24"/>
          <w:szCs w:val="24"/>
        </w:rPr>
        <w:t xml:space="preserve"> 小儿推拿（Tuina in pediatrics）”定义选项结果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6"/>
        <w:gridCol w:w="863"/>
        <w:gridCol w:w="1098"/>
      </w:tblGrid>
      <w:tr w14:paraId="4B85B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6" w:type="dxa"/>
            <w:noWrap w:val="0"/>
            <w:vAlign w:val="top"/>
          </w:tcPr>
          <w:p w14:paraId="43CC108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863" w:type="dxa"/>
            <w:noWrap w:val="0"/>
            <w:vAlign w:val="top"/>
          </w:tcPr>
          <w:p w14:paraId="1B370A7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1098" w:type="dxa"/>
            <w:noWrap w:val="0"/>
            <w:vAlign w:val="top"/>
          </w:tcPr>
          <w:p w14:paraId="7513048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60BE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6726" w:type="dxa"/>
            <w:noWrap w:val="0"/>
            <w:vAlign w:val="top"/>
          </w:tcPr>
          <w:p w14:paraId="20F27AA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A.医生通过四诊合参，对儿科疾病进行辨证论治后，由医生或操作者按照推拿处方，用手触及儿童肢体的某些部位和穴位，根据病情的不同采取不同的操作手法以求达到疏通经络、调和气血、平衡阴阳、提升机体自然抗病能力作用的中医技术。</w:t>
            </w:r>
          </w:p>
        </w:tc>
        <w:tc>
          <w:tcPr>
            <w:tcW w:w="863" w:type="dxa"/>
            <w:noWrap w:val="0"/>
            <w:vAlign w:val="top"/>
          </w:tcPr>
          <w:p w14:paraId="5EA07657">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10</w:t>
            </w:r>
          </w:p>
        </w:tc>
        <w:tc>
          <w:tcPr>
            <w:tcW w:w="1098" w:type="dxa"/>
            <w:noWrap w:val="0"/>
            <w:vAlign w:val="top"/>
          </w:tcPr>
          <w:p w14:paraId="46D2461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37.04%</w:t>
            </w:r>
          </w:p>
        </w:tc>
      </w:tr>
      <w:tr w14:paraId="60D4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6726" w:type="dxa"/>
            <w:noWrap w:val="0"/>
            <w:vAlign w:val="top"/>
          </w:tcPr>
          <w:p w14:paraId="2A35BA2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B.沿用国家标准原文。                     </w:t>
            </w:r>
          </w:p>
        </w:tc>
        <w:tc>
          <w:tcPr>
            <w:tcW w:w="863" w:type="dxa"/>
            <w:noWrap w:val="0"/>
            <w:vAlign w:val="top"/>
          </w:tcPr>
          <w:p w14:paraId="24CDA42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1098" w:type="dxa"/>
            <w:noWrap w:val="0"/>
            <w:vAlign w:val="top"/>
          </w:tcPr>
          <w:p w14:paraId="4F824C1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0BC1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6726" w:type="dxa"/>
            <w:noWrap w:val="0"/>
            <w:vAlign w:val="top"/>
          </w:tcPr>
          <w:p w14:paraId="0E087822">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C.</w:t>
            </w:r>
            <w:r>
              <w:rPr>
                <w:rFonts w:hint="eastAsia" w:ascii="仿宋" w:hAnsi="仿宋" w:eastAsia="仿宋" w:cs="Segoe UI"/>
                <w:color w:val="000000"/>
                <w:sz w:val="24"/>
                <w:szCs w:val="24"/>
                <w:lang w:val="en-US" w:eastAsia="zh-CN"/>
              </w:rPr>
              <w:t>综合以上内容。</w:t>
            </w:r>
          </w:p>
        </w:tc>
        <w:tc>
          <w:tcPr>
            <w:tcW w:w="863" w:type="dxa"/>
            <w:noWrap w:val="0"/>
            <w:vAlign w:val="top"/>
          </w:tcPr>
          <w:p w14:paraId="3989C1E8">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10</w:t>
            </w:r>
          </w:p>
        </w:tc>
        <w:tc>
          <w:tcPr>
            <w:tcW w:w="1098" w:type="dxa"/>
            <w:noWrap w:val="0"/>
            <w:vAlign w:val="top"/>
          </w:tcPr>
          <w:p w14:paraId="6B3F4F0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37.04%</w:t>
            </w:r>
          </w:p>
        </w:tc>
      </w:tr>
    </w:tbl>
    <w:p w14:paraId="1EF481A6">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专家文字建议：</w:t>
      </w:r>
    </w:p>
    <w:p w14:paraId="693C8F68">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①小儿推拿为一种中医外治疗法</w:t>
      </w:r>
      <w:r>
        <w:rPr>
          <w:rFonts w:hint="eastAsia" w:ascii="仿宋" w:hAnsi="仿宋" w:eastAsia="仿宋" w:cs="Calibri"/>
          <w:color w:val="000000"/>
          <w:kern w:val="0"/>
          <w:sz w:val="24"/>
          <w:szCs w:val="24"/>
          <w:lang w:eastAsia="zh-CN"/>
        </w:rPr>
        <w:t>。</w:t>
      </w:r>
      <w:r>
        <w:rPr>
          <w:rFonts w:hint="eastAsia" w:ascii="仿宋" w:hAnsi="仿宋" w:eastAsia="仿宋" w:cs="Calibri"/>
          <w:color w:val="000000"/>
          <w:kern w:val="0"/>
          <w:sz w:val="24"/>
          <w:szCs w:val="24"/>
        </w:rPr>
        <w:t xml:space="preserve"> </w:t>
      </w:r>
    </w:p>
    <w:p w14:paraId="6DB646E6">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②小儿推拿学是在中医基础理论临床实践指导下，基于儿童的生理病理特点，通过在儿童体表特定穴位或部位施以手法，达到防治疾病和保健作用的一种外治疗法。</w:t>
      </w:r>
    </w:p>
    <w:p w14:paraId="6C3BC77D">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③医生通过四诊合参，对儿科疾病进行辨证论治后，由医生或操作者按照推拿处方，通过对小儿体表的经络穴位施以各种不同的推拿手法，调整阴阳及脏腑功能，扶正祛邪，疏通经络，调和气血，起到治疗和预防疾病作用的一种非药物治疗方法。</w:t>
      </w:r>
    </w:p>
    <w:p w14:paraId="31A08465">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④“触及儿童肢体的某些部位和穴位”建议改成“触及儿童肢体的某些特定部位和穴位”。</w:t>
      </w:r>
    </w:p>
    <w:p w14:paraId="462F298E">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⑤</w:t>
      </w:r>
      <w:r>
        <w:rPr>
          <w:rFonts w:hint="eastAsia" w:ascii="仿宋" w:hAnsi="仿宋" w:eastAsia="仿宋" w:cs="Calibri"/>
          <w:color w:val="000000"/>
          <w:kern w:val="0"/>
          <w:sz w:val="24"/>
          <w:szCs w:val="24"/>
        </w:rPr>
        <w:t>A</w:t>
      </w:r>
      <w:r>
        <w:rPr>
          <w:rFonts w:hint="eastAsia" w:ascii="仿宋" w:hAnsi="仿宋" w:eastAsia="仿宋" w:cs="Calibri"/>
          <w:color w:val="000000"/>
          <w:kern w:val="0"/>
          <w:sz w:val="24"/>
          <w:szCs w:val="24"/>
          <w:lang w:val="en-US" w:eastAsia="zh-CN"/>
        </w:rPr>
        <w:t>选项该表述结合四诊辨证思路，突出了“辨证论治—制定处方—执行手法”的完整流程，更符合国际临床操作描述，语言规范且具可操作性。</w:t>
      </w:r>
    </w:p>
    <w:p w14:paraId="260D4A90">
      <w:pPr>
        <w:widowControl/>
        <w:spacing w:after="0" w:line="400" w:lineRule="exact"/>
        <w:ind w:firstLine="480"/>
        <w:jc w:val="left"/>
        <w:rPr>
          <w:rFonts w:hint="default"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⑥医生通过中医望闻问切四诊对儿科疾病进行辨证，拟定推拿治疗治案。施术者遵照推拿处方，对小儿体表的特定部位和穴位施以不同的操作手法，以求达到疏通经络、调和气血、平衡阴阳、提升机体自身抗病能力作用的中医技术。</w:t>
      </w:r>
    </w:p>
    <w:p w14:paraId="7E7DDC0D">
      <w:pPr>
        <w:widowControl/>
        <w:spacing w:after="0" w:line="400" w:lineRule="exact"/>
        <w:ind w:firstLine="480"/>
        <w:jc w:val="left"/>
        <w:rPr>
          <w:rFonts w:hint="eastAsia" w:ascii="仿宋" w:hAnsi="仿宋" w:eastAsia="仿宋" w:cs="Calibri"/>
          <w:color w:val="000000"/>
          <w:kern w:val="0"/>
          <w:sz w:val="24"/>
          <w:szCs w:val="24"/>
          <w:lang w:eastAsia="zh-CN"/>
        </w:rPr>
      </w:pPr>
      <w:r>
        <w:rPr>
          <w:rFonts w:hint="eastAsia" w:ascii="仿宋" w:hAnsi="仿宋" w:eastAsia="仿宋" w:cs="Calibri"/>
          <w:color w:val="000000"/>
          <w:kern w:val="0"/>
          <w:sz w:val="24"/>
          <w:szCs w:val="24"/>
        </w:rPr>
        <w:t>（2）</w:t>
      </w:r>
      <w:r>
        <w:rPr>
          <w:rFonts w:hint="eastAsia" w:ascii="仿宋" w:hAnsi="仿宋" w:eastAsia="仿宋" w:cs="Calibri"/>
          <w:color w:val="000000"/>
          <w:kern w:val="0"/>
          <w:sz w:val="24"/>
          <w:szCs w:val="24"/>
          <w:lang w:val="en-US" w:eastAsia="zh-CN"/>
        </w:rPr>
        <w:t>环境</w:t>
      </w:r>
    </w:p>
    <w:p w14:paraId="4329F8CB">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国家标准原文：环境清洁卫生，室内安静，温度适宜，避免吹风受凉。</w:t>
      </w:r>
    </w:p>
    <w:p w14:paraId="734F9996">
      <w:pPr>
        <w:widowControl/>
        <w:spacing w:after="0"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表4</w:t>
      </w:r>
      <w:r>
        <w:rPr>
          <w:rFonts w:hint="eastAsia" w:ascii="仿宋" w:hAnsi="仿宋" w:eastAsia="仿宋" w:cs="Calibri"/>
          <w:color w:val="000000"/>
          <w:kern w:val="0"/>
          <w:sz w:val="24"/>
          <w:szCs w:val="24"/>
          <w:lang w:val="en-US" w:eastAsia="zh-CN"/>
        </w:rPr>
        <w:t>4</w:t>
      </w:r>
      <w:r>
        <w:rPr>
          <w:rFonts w:hint="eastAsia" w:ascii="仿宋" w:hAnsi="仿宋" w:eastAsia="仿宋" w:cs="Calibri"/>
          <w:color w:val="000000"/>
          <w:kern w:val="0"/>
          <w:sz w:val="24"/>
          <w:szCs w:val="24"/>
        </w:rPr>
        <w:t xml:space="preserve"> </w:t>
      </w:r>
      <w:r>
        <w:rPr>
          <w:rFonts w:hint="eastAsia" w:ascii="仿宋" w:hAnsi="仿宋" w:eastAsia="仿宋" w:cs="Calibri"/>
          <w:color w:val="000000"/>
          <w:kern w:val="0"/>
          <w:sz w:val="24"/>
          <w:szCs w:val="24"/>
          <w:lang w:val="en-US" w:eastAsia="zh-CN"/>
        </w:rPr>
        <w:t>环境</w:t>
      </w:r>
      <w:r>
        <w:rPr>
          <w:rFonts w:hint="eastAsia" w:ascii="仿宋" w:hAnsi="仿宋" w:eastAsia="仿宋" w:cs="Calibri"/>
          <w:color w:val="000000"/>
          <w:kern w:val="0"/>
          <w:sz w:val="24"/>
          <w:szCs w:val="24"/>
        </w:rPr>
        <w:t>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708"/>
        <w:gridCol w:w="935"/>
      </w:tblGrid>
      <w:tr w14:paraId="20205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901C5E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708" w:type="dxa"/>
            <w:noWrap w:val="0"/>
            <w:vAlign w:val="top"/>
          </w:tcPr>
          <w:p w14:paraId="76D0610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935" w:type="dxa"/>
            <w:noWrap w:val="0"/>
            <w:vAlign w:val="top"/>
          </w:tcPr>
          <w:p w14:paraId="76169AD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357A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24436A1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A.环境清洁卫生，定期消毒，室内安静，避风、避强光，温度适宜，保持空气流通。</w:t>
            </w:r>
          </w:p>
        </w:tc>
        <w:tc>
          <w:tcPr>
            <w:tcW w:w="708" w:type="dxa"/>
            <w:noWrap w:val="0"/>
            <w:vAlign w:val="top"/>
          </w:tcPr>
          <w:p w14:paraId="7C57DA2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w:t>
            </w:r>
          </w:p>
        </w:tc>
        <w:tc>
          <w:tcPr>
            <w:tcW w:w="935" w:type="dxa"/>
            <w:noWrap w:val="0"/>
            <w:vAlign w:val="top"/>
          </w:tcPr>
          <w:p w14:paraId="379288E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14.81%</w:t>
            </w:r>
          </w:p>
        </w:tc>
      </w:tr>
      <w:tr w14:paraId="31288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13D9642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B.附件1.推拿治疗期间的消毒要求 推拿治疗期间所需的消毒应按照当地感染控制指南进行，并考虑以下原则：从业者手部的卫生：从业者应在推拿治疗前后清洁和消毒双手和手指。治疗部位卫生：推拿治疗前，穴位、经络及周围区域应清洁完好。材料消毒：与患者直接接触的材料，包括但不限于床单和毛巾，应进行消毒或一次性使用。不直接接触的材料，包括但不限于床垫和枕头，每次使用都应进行卫生维护。治疗区消毒：治疗室、设备和装置应保持干净整洁。 </w:t>
            </w:r>
          </w:p>
        </w:tc>
        <w:tc>
          <w:tcPr>
            <w:tcW w:w="708" w:type="dxa"/>
            <w:noWrap w:val="0"/>
            <w:vAlign w:val="top"/>
          </w:tcPr>
          <w:p w14:paraId="25E7984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935" w:type="dxa"/>
            <w:noWrap w:val="0"/>
            <w:vAlign w:val="top"/>
          </w:tcPr>
          <w:p w14:paraId="79F23F3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15744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7AF987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C.环境清洁卫生，定期消毒，室内安静，避风、避强光，温度适宜，保持空气流通。</w:t>
            </w:r>
          </w:p>
        </w:tc>
        <w:tc>
          <w:tcPr>
            <w:tcW w:w="708" w:type="dxa"/>
            <w:noWrap w:val="0"/>
            <w:vAlign w:val="top"/>
          </w:tcPr>
          <w:p w14:paraId="5B10F74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935" w:type="dxa"/>
            <w:noWrap w:val="0"/>
            <w:vAlign w:val="top"/>
          </w:tcPr>
          <w:p w14:paraId="3DF3592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30F3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749A91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D.沿用国家标准原文。</w:t>
            </w:r>
          </w:p>
        </w:tc>
        <w:tc>
          <w:tcPr>
            <w:tcW w:w="708" w:type="dxa"/>
            <w:noWrap w:val="0"/>
            <w:vAlign w:val="top"/>
          </w:tcPr>
          <w:p w14:paraId="4290A53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w:t>
            </w:r>
          </w:p>
        </w:tc>
        <w:tc>
          <w:tcPr>
            <w:tcW w:w="935" w:type="dxa"/>
            <w:noWrap w:val="0"/>
            <w:vAlign w:val="top"/>
          </w:tcPr>
          <w:p w14:paraId="5A4B76A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3.70%</w:t>
            </w:r>
          </w:p>
        </w:tc>
      </w:tr>
      <w:tr w14:paraId="27A50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CBDDAF1">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E</w:t>
            </w:r>
            <w:r>
              <w:rPr>
                <w:rFonts w:hint="eastAsia" w:ascii="仿宋" w:hAnsi="仿宋" w:eastAsia="仿宋" w:cs="Segoe UI"/>
                <w:color w:val="000000"/>
                <w:sz w:val="24"/>
                <w:szCs w:val="24"/>
                <w:lang w:val="en-US" w:eastAsia="zh-CN"/>
              </w:rPr>
              <w:t>.综合以上内容，沿用国家标准原文加上“定期消毒”。</w:t>
            </w:r>
          </w:p>
        </w:tc>
        <w:tc>
          <w:tcPr>
            <w:tcW w:w="708" w:type="dxa"/>
            <w:noWrap w:val="0"/>
            <w:vAlign w:val="top"/>
          </w:tcPr>
          <w:p w14:paraId="68DF9341">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9</w:t>
            </w:r>
          </w:p>
        </w:tc>
        <w:tc>
          <w:tcPr>
            <w:tcW w:w="935" w:type="dxa"/>
            <w:noWrap w:val="0"/>
            <w:vAlign w:val="top"/>
          </w:tcPr>
          <w:p w14:paraId="2CD5DF2D">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33.33%</w:t>
            </w:r>
          </w:p>
        </w:tc>
      </w:tr>
    </w:tbl>
    <w:p w14:paraId="092161B6">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专家文字意见：</w:t>
      </w:r>
    </w:p>
    <w:p w14:paraId="2F9DD886">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default" w:ascii="仿宋" w:hAnsi="仿宋" w:eastAsia="仿宋" w:cs="Calibri"/>
          <w:color w:val="000000"/>
          <w:kern w:val="0"/>
          <w:sz w:val="24"/>
          <w:szCs w:val="24"/>
          <w:lang w:val="en-US" w:eastAsia="zh-CN"/>
        </w:rPr>
        <w:t>①</w:t>
      </w:r>
      <w:r>
        <w:rPr>
          <w:rFonts w:hint="eastAsia" w:ascii="仿宋" w:hAnsi="仿宋" w:eastAsia="仿宋" w:cs="Calibri"/>
          <w:color w:val="000000"/>
          <w:kern w:val="0"/>
          <w:sz w:val="24"/>
          <w:szCs w:val="24"/>
          <w:lang w:val="en-US" w:eastAsia="zh-CN"/>
        </w:rPr>
        <w:t>综合以上内容，沿用国家标准原文加上“定期消毒”及从业者手部、治疗部位等消毒，避强光，保持空气流通。</w:t>
      </w:r>
    </w:p>
    <w:p w14:paraId="4169E846">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②室内安静，光线柔和，空气流通，温度适宜，环境清洁卫生，定期消毒，治疗时使用一次性巾单。</w:t>
      </w:r>
    </w:p>
    <w:p w14:paraId="5E096B21">
      <w:pPr>
        <w:widowControl/>
        <w:spacing w:after="0" w:line="400" w:lineRule="exact"/>
        <w:ind w:firstLine="480"/>
        <w:jc w:val="left"/>
        <w:rPr>
          <w:rFonts w:hint="eastAsia" w:ascii="仿宋" w:hAnsi="仿宋" w:eastAsia="仿宋" w:cs="Calibri"/>
          <w:color w:val="000000"/>
          <w:kern w:val="0"/>
          <w:sz w:val="24"/>
          <w:szCs w:val="24"/>
          <w:lang w:eastAsia="zh-CN"/>
        </w:rPr>
      </w:pPr>
      <w:r>
        <w:rPr>
          <w:rFonts w:hint="eastAsia" w:ascii="仿宋" w:hAnsi="仿宋" w:eastAsia="仿宋" w:cs="Calibri"/>
          <w:color w:val="000000"/>
          <w:kern w:val="0"/>
          <w:sz w:val="24"/>
          <w:szCs w:val="24"/>
        </w:rPr>
        <w:t>（3）</w:t>
      </w:r>
      <w:r>
        <w:rPr>
          <w:rFonts w:hint="eastAsia" w:ascii="仿宋" w:hAnsi="仿宋" w:eastAsia="仿宋" w:cs="Calibri"/>
          <w:color w:val="000000"/>
          <w:kern w:val="0"/>
          <w:sz w:val="24"/>
          <w:szCs w:val="24"/>
          <w:lang w:val="en-US" w:eastAsia="zh-CN"/>
        </w:rPr>
        <w:t>体位</w:t>
      </w:r>
    </w:p>
    <w:p w14:paraId="7757DD56">
      <w:pPr>
        <w:widowControl/>
        <w:spacing w:after="0" w:line="400" w:lineRule="exact"/>
        <w:ind w:firstLine="480"/>
        <w:jc w:val="left"/>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国家标准原文</w:t>
      </w:r>
      <w:r>
        <w:rPr>
          <w:rFonts w:hint="eastAsia" w:ascii="仿宋" w:hAnsi="仿宋" w:eastAsia="仿宋" w:cs="Calibri"/>
          <w:color w:val="000000"/>
          <w:kern w:val="0"/>
          <w:sz w:val="24"/>
          <w:szCs w:val="24"/>
          <w:lang w:val="en-US" w:eastAsia="zh-CN"/>
        </w:rPr>
        <w:t>：选择患儿舒适、能暴露操作部位、便于医师操作的治疗体位，如坐位、仰卧位、侧卧位、俯卧位。</w:t>
      </w:r>
    </w:p>
    <w:p w14:paraId="77A8FB01">
      <w:pPr>
        <w:widowControl/>
        <w:spacing w:after="0" w:line="400" w:lineRule="exact"/>
        <w:ind w:firstLine="480"/>
        <w:jc w:val="center"/>
        <w:rPr>
          <w:rFonts w:hint="eastAsia" w:ascii="仿宋" w:hAnsi="仿宋" w:eastAsia="仿宋" w:cs="Calibri"/>
          <w:color w:val="000000"/>
          <w:kern w:val="0"/>
          <w:sz w:val="24"/>
          <w:szCs w:val="24"/>
        </w:rPr>
      </w:pPr>
      <w:r>
        <w:rPr>
          <w:rFonts w:hint="eastAsia" w:ascii="仿宋" w:hAnsi="仿宋" w:eastAsia="仿宋" w:cs="Calibri"/>
          <w:color w:val="000000"/>
          <w:kern w:val="0"/>
          <w:sz w:val="24"/>
          <w:szCs w:val="24"/>
        </w:rPr>
        <w:t>表4</w:t>
      </w:r>
      <w:r>
        <w:rPr>
          <w:rFonts w:hint="eastAsia" w:ascii="仿宋" w:hAnsi="仿宋" w:eastAsia="仿宋" w:cs="Calibri"/>
          <w:color w:val="000000"/>
          <w:kern w:val="0"/>
          <w:sz w:val="24"/>
          <w:szCs w:val="24"/>
          <w:lang w:val="en-US" w:eastAsia="zh-CN"/>
        </w:rPr>
        <w:t>5</w:t>
      </w:r>
      <w:r>
        <w:rPr>
          <w:rFonts w:hint="eastAsia" w:ascii="仿宋" w:hAnsi="仿宋" w:eastAsia="仿宋" w:cs="Calibri"/>
          <w:color w:val="000000"/>
          <w:kern w:val="0"/>
          <w:sz w:val="24"/>
          <w:szCs w:val="24"/>
        </w:rPr>
        <w:t xml:space="preserve"> </w:t>
      </w:r>
      <w:r>
        <w:rPr>
          <w:rFonts w:hint="eastAsia" w:ascii="仿宋" w:hAnsi="仿宋" w:eastAsia="仿宋" w:cs="Calibri"/>
          <w:color w:val="000000"/>
          <w:kern w:val="0"/>
          <w:sz w:val="24"/>
          <w:szCs w:val="24"/>
          <w:lang w:val="en-US" w:eastAsia="zh-CN"/>
        </w:rPr>
        <w:t>体位</w:t>
      </w:r>
      <w:r>
        <w:rPr>
          <w:rFonts w:hint="eastAsia" w:ascii="仿宋" w:hAnsi="仿宋" w:eastAsia="仿宋" w:cs="Calibri"/>
          <w:color w:val="000000"/>
          <w:kern w:val="0"/>
          <w:sz w:val="24"/>
          <w:szCs w:val="24"/>
        </w:rPr>
        <w:t>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708"/>
        <w:gridCol w:w="935"/>
      </w:tblGrid>
      <w:tr w14:paraId="7B633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663" w:type="dxa"/>
            <w:noWrap w:val="0"/>
            <w:vAlign w:val="top"/>
          </w:tcPr>
          <w:p w14:paraId="68E433C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708" w:type="dxa"/>
            <w:noWrap w:val="0"/>
            <w:vAlign w:val="top"/>
          </w:tcPr>
          <w:p w14:paraId="6DC7D6F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935" w:type="dxa"/>
            <w:noWrap w:val="0"/>
            <w:vAlign w:val="top"/>
          </w:tcPr>
          <w:p w14:paraId="38D92EF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4572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608FCE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A. 体位 卧位：建议仰卧位对面部、腹部和四肢进行推拿治疗；建议采用俯卧位进行背部、腰部、骨盆和四肢的推拿治疗；建议采用侧卧位进行推拿治疗。坐姿：建议采用前倾坐姿对颈部和肩部进行推拿治疗；建议采用后坐位对肩部和上肢进行推拿治疗。  </w:t>
            </w:r>
          </w:p>
        </w:tc>
        <w:tc>
          <w:tcPr>
            <w:tcW w:w="708" w:type="dxa"/>
            <w:noWrap w:val="0"/>
            <w:vAlign w:val="top"/>
          </w:tcPr>
          <w:p w14:paraId="0C99206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w:t>
            </w:r>
          </w:p>
        </w:tc>
        <w:tc>
          <w:tcPr>
            <w:tcW w:w="935" w:type="dxa"/>
            <w:noWrap w:val="0"/>
            <w:vAlign w:val="top"/>
          </w:tcPr>
          <w:p w14:paraId="6C6D457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11.11%</w:t>
            </w:r>
          </w:p>
        </w:tc>
      </w:tr>
      <w:tr w14:paraId="3E277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759F56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B. 体位 根据治疗需要可坐位（侧坐、正坐）、卧位（仰卧位、俯卧位、半卧位）、抱位（正抱、背抱、侧抱）。</w:t>
            </w:r>
          </w:p>
        </w:tc>
        <w:tc>
          <w:tcPr>
            <w:tcW w:w="708" w:type="dxa"/>
            <w:noWrap w:val="0"/>
            <w:vAlign w:val="top"/>
          </w:tcPr>
          <w:p w14:paraId="5197B05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w:t>
            </w:r>
          </w:p>
        </w:tc>
        <w:tc>
          <w:tcPr>
            <w:tcW w:w="935" w:type="dxa"/>
            <w:noWrap w:val="0"/>
            <w:vAlign w:val="top"/>
          </w:tcPr>
          <w:p w14:paraId="5B784D2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7.41%</w:t>
            </w:r>
          </w:p>
        </w:tc>
      </w:tr>
      <w:tr w14:paraId="6026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1A77A7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C.儿童 应根据儿童年龄选择舒适、放松、能暴露操作部位、能配合操作的治疗体位，如坐位、仰卧位、侧卧位、俯卧位、坐抱位等。</w:t>
            </w:r>
          </w:p>
        </w:tc>
        <w:tc>
          <w:tcPr>
            <w:tcW w:w="708" w:type="dxa"/>
            <w:noWrap w:val="0"/>
            <w:vAlign w:val="top"/>
          </w:tcPr>
          <w:p w14:paraId="3A1B1D3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8</w:t>
            </w:r>
          </w:p>
        </w:tc>
        <w:tc>
          <w:tcPr>
            <w:tcW w:w="935" w:type="dxa"/>
            <w:noWrap w:val="0"/>
            <w:vAlign w:val="top"/>
          </w:tcPr>
          <w:p w14:paraId="073CBCB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29.63%</w:t>
            </w:r>
          </w:p>
        </w:tc>
      </w:tr>
      <w:tr w14:paraId="1DFBB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1854E8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D.沿用国家标准原文。</w:t>
            </w:r>
          </w:p>
        </w:tc>
        <w:tc>
          <w:tcPr>
            <w:tcW w:w="708" w:type="dxa"/>
            <w:noWrap w:val="0"/>
            <w:vAlign w:val="top"/>
          </w:tcPr>
          <w:p w14:paraId="5EABE39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w:t>
            </w:r>
          </w:p>
        </w:tc>
        <w:tc>
          <w:tcPr>
            <w:tcW w:w="935" w:type="dxa"/>
            <w:noWrap w:val="0"/>
            <w:vAlign w:val="top"/>
          </w:tcPr>
          <w:p w14:paraId="6F8DE05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11.11%</w:t>
            </w:r>
          </w:p>
        </w:tc>
      </w:tr>
      <w:tr w14:paraId="66010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5C1A055">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E.综合以上内容，沿用国家标准原文加上“抱位（正抱、背抱、侧抱）”。</w:t>
            </w:r>
          </w:p>
        </w:tc>
        <w:tc>
          <w:tcPr>
            <w:tcW w:w="708" w:type="dxa"/>
            <w:noWrap w:val="0"/>
            <w:vAlign w:val="top"/>
          </w:tcPr>
          <w:p w14:paraId="2AF00919">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10</w:t>
            </w:r>
          </w:p>
        </w:tc>
        <w:tc>
          <w:tcPr>
            <w:tcW w:w="935" w:type="dxa"/>
            <w:noWrap w:val="0"/>
            <w:vAlign w:val="top"/>
          </w:tcPr>
          <w:p w14:paraId="00F09CC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37.04%</w:t>
            </w:r>
          </w:p>
        </w:tc>
      </w:tr>
    </w:tbl>
    <w:p w14:paraId="412C6706">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专家文字意见：</w:t>
      </w:r>
    </w:p>
    <w:p w14:paraId="72230122">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①“抱位”在婴幼儿推拿中应用广泛，应明确区分正抱、背抱、侧抱，增强国际实用性。</w:t>
      </w:r>
    </w:p>
    <w:p w14:paraId="65FEB83C">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②应根据儿童年龄和治疗需要选择使患儿舒适、放松、能暴露操作部位、能配合操作的治疗体位，如坐位、仰卧位、侧卧位、俯卧位、坐抱位等。</w:t>
      </w:r>
    </w:p>
    <w:p w14:paraId="4BF22F30">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（4）医师</w:t>
      </w:r>
    </w:p>
    <w:p w14:paraId="4460968B">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国家标准原文：操作前医师双手须修剪指甲，刚剪过的指甲要用指甲锉锉平。用肥皂水或洗手液清洗干净。可按证候选择介质涂抹。操作时医师双手温暖，精神专注，态度和蔼，争取患儿的配合。</w:t>
      </w:r>
    </w:p>
    <w:p w14:paraId="6CAEFE47">
      <w:pPr>
        <w:widowControl/>
        <w:spacing w:after="0" w:line="400" w:lineRule="exact"/>
        <w:ind w:firstLine="480"/>
        <w:jc w:val="center"/>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表46 医师选项结果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980"/>
        <w:gridCol w:w="1043"/>
      </w:tblGrid>
      <w:tr w14:paraId="16372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48569D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980" w:type="dxa"/>
            <w:noWrap w:val="0"/>
            <w:vAlign w:val="top"/>
          </w:tcPr>
          <w:p w14:paraId="3758435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1043" w:type="dxa"/>
            <w:noWrap w:val="0"/>
            <w:vAlign w:val="top"/>
          </w:tcPr>
          <w:p w14:paraId="2AA1039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390D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9E9544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A. 操作者 操作者为医生或具有小儿推拿技术操作资质的人员。操作前，操作者应取下影响推拿的手和腕部饰物，修剪指甲并锉平。在操作开始前，应先询问儿童是否存在推拿慎用证的相关情况。消毒 洗净双手，并用医用消毒剂进行手部消毒。</w:t>
            </w:r>
          </w:p>
        </w:tc>
        <w:tc>
          <w:tcPr>
            <w:tcW w:w="980" w:type="dxa"/>
            <w:noWrap w:val="0"/>
            <w:vAlign w:val="top"/>
          </w:tcPr>
          <w:p w14:paraId="7208A72D">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w:t>
            </w:r>
          </w:p>
        </w:tc>
        <w:tc>
          <w:tcPr>
            <w:tcW w:w="1043" w:type="dxa"/>
            <w:noWrap w:val="0"/>
            <w:vAlign w:val="top"/>
          </w:tcPr>
          <w:p w14:paraId="13C6AFD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40.74%</w:t>
            </w:r>
          </w:p>
        </w:tc>
      </w:tr>
      <w:tr w14:paraId="4178A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2F4720B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 沿用国家标准原文。                  </w:t>
            </w:r>
          </w:p>
        </w:tc>
        <w:tc>
          <w:tcPr>
            <w:tcW w:w="980" w:type="dxa"/>
            <w:noWrap w:val="0"/>
            <w:vAlign w:val="top"/>
          </w:tcPr>
          <w:p w14:paraId="4A8F4ED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1043" w:type="dxa"/>
            <w:noWrap w:val="0"/>
            <w:vAlign w:val="top"/>
          </w:tcPr>
          <w:p w14:paraId="4EAB471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5B873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901551C">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C.</w:t>
            </w:r>
            <w:r>
              <w:rPr>
                <w:rFonts w:hint="eastAsia" w:ascii="仿宋" w:hAnsi="仿宋" w:eastAsia="仿宋" w:cs="Segoe UI"/>
                <w:color w:val="000000"/>
                <w:sz w:val="24"/>
                <w:szCs w:val="24"/>
                <w:lang w:val="en-US" w:eastAsia="zh-CN"/>
              </w:rPr>
              <w:t>综合以上内容。</w:t>
            </w:r>
          </w:p>
        </w:tc>
        <w:tc>
          <w:tcPr>
            <w:tcW w:w="980" w:type="dxa"/>
            <w:noWrap w:val="0"/>
            <w:vAlign w:val="top"/>
          </w:tcPr>
          <w:p w14:paraId="3D7D76A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9</w:t>
            </w:r>
          </w:p>
        </w:tc>
        <w:tc>
          <w:tcPr>
            <w:tcW w:w="1043" w:type="dxa"/>
            <w:noWrap w:val="0"/>
            <w:vAlign w:val="top"/>
          </w:tcPr>
          <w:p w14:paraId="08E2876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33.33%</w:t>
            </w:r>
          </w:p>
        </w:tc>
      </w:tr>
    </w:tbl>
    <w:p w14:paraId="0D2E46E2">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689991CB">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default" w:ascii="仿宋" w:hAnsi="仿宋" w:eastAsia="仿宋" w:cs="Calibri"/>
          <w:color w:val="000000"/>
          <w:kern w:val="0"/>
          <w:sz w:val="24"/>
          <w:szCs w:val="24"/>
          <w:lang w:val="en-US" w:eastAsia="zh-CN"/>
        </w:rPr>
        <w:t>①</w:t>
      </w:r>
      <w:r>
        <w:rPr>
          <w:rFonts w:hint="eastAsia" w:ascii="仿宋" w:hAnsi="仿宋" w:eastAsia="仿宋" w:cs="Calibri"/>
          <w:color w:val="000000"/>
          <w:kern w:val="0"/>
          <w:sz w:val="24"/>
          <w:szCs w:val="24"/>
          <w:lang w:val="en-US" w:eastAsia="zh-CN"/>
        </w:rPr>
        <w:t>操作者为医生或具有小儿推拿技术操作资质的人员。操作前，操作者应取下影响推拿的手和腕部饰物，修剪指甲并锉平。在操作开始前，应先询问儿童是否存在推拿慎用证的相关情况。用肥皂水或洗手液清洗干净，并用医用消毒剂进行手部消毒。可按证候选择介质涂抹。操作时医师双手温暖，精神专注，态度和蔼，争取患儿的配合。</w:t>
      </w:r>
    </w:p>
    <w:p w14:paraId="1CCC72F8">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②应强调“操作资质”与“手部卫生”要求，并在标准中明确“推拿慎用证”的排查流程。</w:t>
      </w:r>
    </w:p>
    <w:p w14:paraId="2297692F">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default" w:ascii="仿宋" w:hAnsi="仿宋" w:eastAsia="仿宋" w:cs="Calibri"/>
          <w:color w:val="000000"/>
          <w:kern w:val="0"/>
          <w:sz w:val="24"/>
          <w:szCs w:val="24"/>
          <w:lang w:val="en-US" w:eastAsia="zh-CN"/>
        </w:rPr>
        <w:t>③医师须及时修剪双手指甲并用指甲锉锉平。治疗前先取下影响手法操作的手、腕部饰物，然后用肥皂水或洗手液洗净双手，再根据证候选择相应介质涂抹并使双手温暖。治疗时应精神专注，态度和蔼，争取患儿的配合。</w:t>
      </w:r>
    </w:p>
    <w:p w14:paraId="4BF6327C">
      <w:pPr>
        <w:widowControl/>
        <w:spacing w:after="0" w:line="400" w:lineRule="exact"/>
        <w:ind w:firstLine="480"/>
        <w:jc w:val="left"/>
        <w:rPr>
          <w:rFonts w:hint="default"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（5）旋推法</w:t>
      </w:r>
    </w:p>
    <w:p w14:paraId="0F2A4C0C">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国家标准原文：医师用拇指螺纹面在穴位上做顺时针方向旋转推摩。</w:t>
      </w:r>
    </w:p>
    <w:p w14:paraId="1E012299">
      <w:pPr>
        <w:widowControl/>
        <w:spacing w:after="0" w:line="400" w:lineRule="exact"/>
        <w:ind w:firstLine="480"/>
        <w:jc w:val="center"/>
        <w:rPr>
          <w:rFonts w:hint="eastAsia" w:ascii="宋体" w:hAnsi="宋体" w:eastAsia="宋体" w:cs="黑体"/>
          <w:kern w:val="0"/>
          <w:sz w:val="21"/>
          <w:szCs w:val="21"/>
        </w:rPr>
      </w:pPr>
      <w:r>
        <w:rPr>
          <w:rFonts w:hint="eastAsia" w:ascii="仿宋" w:hAnsi="仿宋" w:eastAsia="仿宋" w:cs="Calibri"/>
          <w:color w:val="000000"/>
          <w:kern w:val="0"/>
          <w:sz w:val="24"/>
          <w:szCs w:val="24"/>
          <w:lang w:val="en-US" w:eastAsia="zh-CN"/>
        </w:rPr>
        <w:t>表47 旋推法选项结果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860"/>
        <w:gridCol w:w="1065"/>
      </w:tblGrid>
      <w:tr w14:paraId="039A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663" w:type="dxa"/>
            <w:noWrap w:val="0"/>
            <w:vAlign w:val="top"/>
          </w:tcPr>
          <w:p w14:paraId="57E1FB6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860" w:type="dxa"/>
            <w:noWrap w:val="0"/>
            <w:vAlign w:val="top"/>
          </w:tcPr>
          <w:p w14:paraId="6E9A057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1065" w:type="dxa"/>
            <w:noWrap w:val="0"/>
            <w:vAlign w:val="top"/>
          </w:tcPr>
          <w:p w14:paraId="6457644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2EB0C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6663" w:type="dxa"/>
            <w:noWrap w:val="0"/>
            <w:vAlign w:val="top"/>
          </w:tcPr>
          <w:p w14:paraId="494F70B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A.用拇指螺纹面，在穴位上做顺时针或逆时针方向旋转推摩。 </w:t>
            </w:r>
          </w:p>
        </w:tc>
        <w:tc>
          <w:tcPr>
            <w:tcW w:w="860" w:type="dxa"/>
            <w:noWrap w:val="0"/>
            <w:vAlign w:val="top"/>
          </w:tcPr>
          <w:p w14:paraId="5318910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8</w:t>
            </w:r>
          </w:p>
        </w:tc>
        <w:tc>
          <w:tcPr>
            <w:tcW w:w="1065" w:type="dxa"/>
            <w:noWrap w:val="0"/>
            <w:vAlign w:val="top"/>
          </w:tcPr>
          <w:p w14:paraId="0B20A68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29.63%</w:t>
            </w:r>
          </w:p>
        </w:tc>
      </w:tr>
      <w:tr w14:paraId="15B4D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6663" w:type="dxa"/>
            <w:noWrap w:val="0"/>
            <w:vAlign w:val="top"/>
          </w:tcPr>
          <w:p w14:paraId="3BDB321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B.用拇指罗纹面在穴位上做环形旋转推动的手法，称为旋推法。                   </w:t>
            </w:r>
          </w:p>
        </w:tc>
        <w:tc>
          <w:tcPr>
            <w:tcW w:w="860" w:type="dxa"/>
            <w:noWrap w:val="0"/>
            <w:vAlign w:val="top"/>
          </w:tcPr>
          <w:p w14:paraId="71CB4973">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w:t>
            </w:r>
          </w:p>
        </w:tc>
        <w:tc>
          <w:tcPr>
            <w:tcW w:w="1065" w:type="dxa"/>
            <w:noWrap w:val="0"/>
            <w:vAlign w:val="top"/>
          </w:tcPr>
          <w:p w14:paraId="62879C7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40.74%</w:t>
            </w:r>
          </w:p>
        </w:tc>
      </w:tr>
      <w:tr w14:paraId="0660C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789" w:hRule="atLeast"/>
          <w:jc w:val="center"/>
        </w:trPr>
        <w:tc>
          <w:tcPr>
            <w:tcW w:w="6663" w:type="dxa"/>
            <w:noWrap w:val="0"/>
            <w:vAlign w:val="top"/>
          </w:tcPr>
          <w:p w14:paraId="51E9D1A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C.以拇指指面，在穴位上作顺时针方向旋转推动。频率多在160～260次/分钟左右。</w:t>
            </w:r>
          </w:p>
        </w:tc>
        <w:tc>
          <w:tcPr>
            <w:tcW w:w="860" w:type="dxa"/>
            <w:noWrap w:val="0"/>
            <w:vAlign w:val="top"/>
          </w:tcPr>
          <w:p w14:paraId="14D8B42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w:t>
            </w:r>
          </w:p>
        </w:tc>
        <w:tc>
          <w:tcPr>
            <w:tcW w:w="1065" w:type="dxa"/>
            <w:noWrap w:val="0"/>
            <w:vAlign w:val="top"/>
          </w:tcPr>
          <w:p w14:paraId="427E0B0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11.11%</w:t>
            </w:r>
          </w:p>
        </w:tc>
      </w:tr>
      <w:tr w14:paraId="32CC5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auto"/>
          <w:trHeight w:val="20" w:hRule="atLeast"/>
          <w:jc w:val="center"/>
        </w:trPr>
        <w:tc>
          <w:tcPr>
            <w:tcW w:w="6663" w:type="dxa"/>
            <w:noWrap w:val="0"/>
            <w:vAlign w:val="top"/>
          </w:tcPr>
          <w:p w14:paraId="3F0327F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D.沿用国家标准原文。</w:t>
            </w:r>
          </w:p>
        </w:tc>
        <w:tc>
          <w:tcPr>
            <w:tcW w:w="860" w:type="dxa"/>
            <w:noWrap w:val="0"/>
            <w:vAlign w:val="top"/>
          </w:tcPr>
          <w:p w14:paraId="071E119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5</w:t>
            </w:r>
          </w:p>
        </w:tc>
        <w:tc>
          <w:tcPr>
            <w:tcW w:w="1065" w:type="dxa"/>
            <w:noWrap w:val="0"/>
            <w:vAlign w:val="top"/>
          </w:tcPr>
          <w:p w14:paraId="0BB35B5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18.52%</w:t>
            </w:r>
          </w:p>
        </w:tc>
      </w:tr>
    </w:tbl>
    <w:p w14:paraId="0BD19873">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01D5E174">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①建议条文内容包括操作，动作要领，注意事项，临床应用。</w:t>
      </w:r>
    </w:p>
    <w:p w14:paraId="0126B9F8">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②建议条文内容增加操作频率。</w:t>
      </w:r>
    </w:p>
    <w:p w14:paraId="00C70E23">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default" w:ascii="仿宋" w:hAnsi="仿宋" w:eastAsia="仿宋" w:cs="Calibri"/>
          <w:color w:val="000000"/>
          <w:kern w:val="0"/>
          <w:sz w:val="24"/>
          <w:szCs w:val="24"/>
          <w:lang w:val="en-US" w:eastAsia="zh-CN"/>
        </w:rPr>
        <w:t>③C选项提供了频率范围（160–260次/分钟），有助于国际操作统一，建议纳入</w:t>
      </w:r>
      <w:r>
        <w:rPr>
          <w:rFonts w:hint="eastAsia" w:ascii="仿宋" w:hAnsi="仿宋" w:eastAsia="仿宋" w:cs="Calibri"/>
          <w:color w:val="000000"/>
          <w:kern w:val="0"/>
          <w:sz w:val="24"/>
          <w:szCs w:val="24"/>
          <w:lang w:val="en-US" w:eastAsia="zh-CN"/>
        </w:rPr>
        <w:t>。</w:t>
      </w:r>
    </w:p>
    <w:p w14:paraId="4825E42C">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（6）按法</w:t>
      </w:r>
    </w:p>
    <w:p w14:paraId="6C0F815F">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国家标准原文：医师用拇指或中指指端或掌心在一定的穴位向下逐渐用力揿压。操作时手法要求轻柔、速度均匀协调、压力大小适当。</w:t>
      </w:r>
    </w:p>
    <w:p w14:paraId="098DE22F">
      <w:pPr>
        <w:widowControl/>
        <w:spacing w:after="0" w:line="400" w:lineRule="exact"/>
        <w:ind w:firstLine="480"/>
        <w:jc w:val="center"/>
        <w:rPr>
          <w:rFonts w:hint="eastAsia" w:ascii="宋体" w:hAnsi="宋体" w:eastAsia="宋体" w:cs="黑体"/>
          <w:kern w:val="0"/>
          <w:sz w:val="21"/>
          <w:szCs w:val="21"/>
        </w:rPr>
      </w:pPr>
      <w:r>
        <w:rPr>
          <w:rFonts w:hint="eastAsia" w:ascii="仿宋" w:hAnsi="仿宋" w:eastAsia="仿宋" w:cs="Calibri"/>
          <w:color w:val="000000"/>
          <w:kern w:val="0"/>
          <w:sz w:val="24"/>
          <w:szCs w:val="24"/>
          <w:lang w:val="en-US" w:eastAsia="zh-CN"/>
        </w:rPr>
        <w:t>表48 按法选项结果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1034"/>
        <w:gridCol w:w="1272"/>
      </w:tblGrid>
      <w:tr w14:paraId="0C873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989B6B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1034" w:type="dxa"/>
            <w:noWrap w:val="0"/>
            <w:vAlign w:val="top"/>
          </w:tcPr>
          <w:p w14:paraId="72DB3FB5">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1272" w:type="dxa"/>
            <w:noWrap w:val="0"/>
            <w:vAlign w:val="top"/>
          </w:tcPr>
          <w:p w14:paraId="607A661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6DCCE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9DE431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A. 用拇指、或中指指端、或掌心，在一定的穴位向下逐渐用力按压。操作时手法要求轻柔、速度均匀协调、压力由轻到重。                                       </w:t>
            </w:r>
          </w:p>
        </w:tc>
        <w:tc>
          <w:tcPr>
            <w:tcW w:w="1034" w:type="dxa"/>
            <w:noWrap w:val="0"/>
            <w:vAlign w:val="top"/>
          </w:tcPr>
          <w:p w14:paraId="24CE6F4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1272" w:type="dxa"/>
            <w:noWrap w:val="0"/>
            <w:vAlign w:val="top"/>
          </w:tcPr>
          <w:p w14:paraId="640639A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7B9B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2DB8C35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 按法 </w:t>
            </w:r>
          </w:p>
          <w:p w14:paraId="652B103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a）操作 以手指、掌根或鱼际在一定的穴位或部位上逐渐向下用力按压的手法，称按法。可分为指按法与掌按法。</w:t>
            </w:r>
          </w:p>
          <w:p w14:paraId="2AB6834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b）动作要领 医者用手指、掌根或鱼际在操作部位上由轻到重垂直向下用力，按而留之后，再由重到轻逐渐放松。</w:t>
            </w:r>
          </w:p>
          <w:p w14:paraId="48713A3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c）动作要求 切忌用力粗暴，突然发力。本法常与揉法配合应用。</w:t>
            </w:r>
          </w:p>
          <w:p w14:paraId="6E9AA41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d）临床应用 多用于点状穴、面状穴等部位的操作，具有通经、活络、止痛的作用</w:t>
            </w:r>
          </w:p>
        </w:tc>
        <w:tc>
          <w:tcPr>
            <w:tcW w:w="1034" w:type="dxa"/>
            <w:noWrap w:val="0"/>
            <w:vAlign w:val="top"/>
          </w:tcPr>
          <w:p w14:paraId="08D858C5">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12</w:t>
            </w:r>
          </w:p>
        </w:tc>
        <w:tc>
          <w:tcPr>
            <w:tcW w:w="1272" w:type="dxa"/>
            <w:noWrap w:val="0"/>
            <w:vAlign w:val="top"/>
          </w:tcPr>
          <w:p w14:paraId="02C02DA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44.44%</w:t>
            </w:r>
          </w:p>
        </w:tc>
      </w:tr>
      <w:tr w14:paraId="4CB22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6565C95">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C.按法 用拇指或掌根在一定的部位或穴位上垂直用力向下按压，称按法。使用按法时常配合揉法。按而留之者，是以右手大指面直按之或用大指背屈而按之，或以两指对过合按之，其于胸腹则又以掌心按之。宜轻宜重，以当时相机行之。按法具有通经活络，祛寒止痛和促进消化等作用。</w:t>
            </w:r>
          </w:p>
        </w:tc>
        <w:tc>
          <w:tcPr>
            <w:tcW w:w="1034" w:type="dxa"/>
            <w:noWrap w:val="0"/>
            <w:vAlign w:val="top"/>
          </w:tcPr>
          <w:p w14:paraId="3AE2F33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w:t>
            </w:r>
          </w:p>
        </w:tc>
        <w:tc>
          <w:tcPr>
            <w:tcW w:w="1272" w:type="dxa"/>
            <w:noWrap w:val="0"/>
            <w:vAlign w:val="top"/>
          </w:tcPr>
          <w:p w14:paraId="21A32E0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11.11%</w:t>
            </w:r>
          </w:p>
        </w:tc>
      </w:tr>
      <w:tr w14:paraId="36BF5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639265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D.沿用国家标准原文。</w:t>
            </w:r>
          </w:p>
        </w:tc>
        <w:tc>
          <w:tcPr>
            <w:tcW w:w="1034" w:type="dxa"/>
            <w:noWrap w:val="0"/>
            <w:vAlign w:val="top"/>
          </w:tcPr>
          <w:p w14:paraId="4075E39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5</w:t>
            </w:r>
          </w:p>
        </w:tc>
        <w:tc>
          <w:tcPr>
            <w:tcW w:w="1272" w:type="dxa"/>
            <w:noWrap w:val="0"/>
            <w:vAlign w:val="top"/>
          </w:tcPr>
          <w:p w14:paraId="1182C74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18.52%</w:t>
            </w:r>
          </w:p>
        </w:tc>
      </w:tr>
    </w:tbl>
    <w:p w14:paraId="7EBD63E4">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081A0BAF">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①建议修改为医师用手指螺纹面、掌根或鱼际在穴位或特定部位上由轻到重垂直向下用力，停留片刻后，再由重到轻逐渐放松。</w:t>
      </w:r>
    </w:p>
    <w:p w14:paraId="7A08AC4F">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（7）操作顺序</w:t>
      </w:r>
    </w:p>
    <w:p w14:paraId="485AF77D">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小儿推拿的顺序，以操作方便、患儿能接受为原则。一般按先上肢，后头面，再躯干，后下肢。也可以先主穴，后配穴。还可以先刺激量小的穴位，后刺激量大的穴位。凡推上肢的特定穴位只取一只手，不分男女，皆推左手。</w:t>
      </w:r>
    </w:p>
    <w:p w14:paraId="3628A4B1">
      <w:pPr>
        <w:widowControl/>
        <w:spacing w:after="0" w:line="400" w:lineRule="exact"/>
        <w:ind w:firstLine="480"/>
        <w:jc w:val="center"/>
        <w:rPr>
          <w:rFonts w:hint="eastAsia" w:ascii="宋体" w:hAnsi="宋体" w:eastAsia="宋体" w:cs="黑体"/>
          <w:kern w:val="0"/>
          <w:sz w:val="21"/>
          <w:szCs w:val="21"/>
        </w:rPr>
      </w:pPr>
      <w:r>
        <w:rPr>
          <w:rFonts w:hint="eastAsia" w:ascii="仿宋" w:hAnsi="仿宋" w:eastAsia="仿宋" w:cs="Calibri"/>
          <w:color w:val="000000"/>
          <w:kern w:val="0"/>
          <w:sz w:val="24"/>
          <w:szCs w:val="24"/>
          <w:lang w:val="en-US" w:eastAsia="zh-CN"/>
        </w:rPr>
        <w:t>表49 操作顺序选项结果</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5"/>
        <w:gridCol w:w="788"/>
        <w:gridCol w:w="937"/>
      </w:tblGrid>
      <w:tr w14:paraId="3EF0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01" w:type="pct"/>
            <w:noWrap w:val="0"/>
            <w:vAlign w:val="top"/>
          </w:tcPr>
          <w:p w14:paraId="732669C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415" w:type="pct"/>
            <w:noWrap w:val="0"/>
            <w:vAlign w:val="top"/>
          </w:tcPr>
          <w:p w14:paraId="4670447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483" w:type="pct"/>
            <w:noWrap w:val="0"/>
            <w:vAlign w:val="top"/>
          </w:tcPr>
          <w:p w14:paraId="5379A6B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576D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01" w:type="pct"/>
            <w:noWrap w:val="0"/>
            <w:vAlign w:val="top"/>
          </w:tcPr>
          <w:p w14:paraId="206FFDC9">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A.</w:t>
            </w:r>
            <w:r>
              <w:rPr>
                <w:rFonts w:hint="eastAsia" w:ascii="仿宋" w:hAnsi="仿宋" w:eastAsia="仿宋" w:cs="Segoe UI"/>
                <w:color w:val="000000"/>
                <w:sz w:val="24"/>
                <w:szCs w:val="24"/>
                <w:lang w:val="en-US" w:eastAsia="zh-CN"/>
              </w:rPr>
              <w:t>操作顺序：一般有三种方式，可根据实际情况选择应用：（a）先操作头面部穴位，再依次操作胸腹，四肢、腰 背部穴位。（b）先操作主穴，后操作配穴；先操作轻手法，后操作重手法。（c）根据病情轻重缓急，决定推拿的操作顺序。部位选择：上肢部穴位，可根据操作者习惯操作儿童左手或右手一侧的穴位；非上肢部位的双侧穴位，两侧均可选择操作。</w:t>
            </w:r>
            <w:r>
              <w:rPr>
                <w:rFonts w:hint="default" w:ascii="仿宋" w:hAnsi="仿宋" w:eastAsia="仿宋" w:cs="Segoe UI"/>
                <w:color w:val="000000"/>
                <w:sz w:val="24"/>
                <w:szCs w:val="24"/>
                <w:lang w:val="en-US" w:eastAsia="zh-CN"/>
              </w:rPr>
              <w:t xml:space="preserve">                                </w:t>
            </w:r>
            <w:r>
              <w:rPr>
                <w:rFonts w:hint="eastAsia" w:ascii="仿宋" w:hAnsi="仿宋" w:eastAsia="仿宋" w:cs="Segoe UI"/>
                <w:color w:val="000000"/>
                <w:sz w:val="24"/>
                <w:szCs w:val="24"/>
                <w:lang w:val="en-US" w:eastAsia="zh-CN"/>
              </w:rPr>
              <w:t xml:space="preserve">                                  </w:t>
            </w:r>
          </w:p>
        </w:tc>
        <w:tc>
          <w:tcPr>
            <w:tcW w:w="415" w:type="pct"/>
            <w:noWrap w:val="0"/>
            <w:vAlign w:val="top"/>
          </w:tcPr>
          <w:p w14:paraId="4642A8F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8</w:t>
            </w:r>
          </w:p>
        </w:tc>
        <w:tc>
          <w:tcPr>
            <w:tcW w:w="483" w:type="pct"/>
            <w:noWrap w:val="0"/>
            <w:vAlign w:val="top"/>
          </w:tcPr>
          <w:p w14:paraId="3795047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29.63%</w:t>
            </w:r>
          </w:p>
        </w:tc>
      </w:tr>
      <w:tr w14:paraId="319B6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01" w:type="pct"/>
            <w:noWrap w:val="0"/>
            <w:vAlign w:val="top"/>
          </w:tcPr>
          <w:p w14:paraId="07E16E1A">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B.</w:t>
            </w:r>
            <w:r>
              <w:rPr>
                <w:rFonts w:hint="eastAsia" w:ascii="仿宋" w:hAnsi="仿宋" w:eastAsia="仿宋" w:cs="Segoe UI"/>
                <w:color w:val="000000"/>
                <w:sz w:val="24"/>
                <w:szCs w:val="24"/>
                <w:lang w:val="en-US" w:eastAsia="zh-CN"/>
              </w:rPr>
              <w:t>操作顺序小儿推拿一般有3种顺序，可根据实际情况选择应用，包括：a）先操作手部穴位，再依次操作头面、胸腹、下肢、腰背部穴位。b）先操作主穴，后操作配穴；先采用轻手法，后用重手法操作。c）根据体征轻重缓急，决定推拿的顺序。</w:t>
            </w:r>
            <w:r>
              <w:rPr>
                <w:rFonts w:hint="default" w:ascii="仿宋" w:hAnsi="仿宋" w:eastAsia="仿宋" w:cs="Segoe UI"/>
                <w:color w:val="000000"/>
                <w:sz w:val="24"/>
                <w:szCs w:val="24"/>
                <w:lang w:val="en-US" w:eastAsia="zh-CN"/>
              </w:rPr>
              <w:t xml:space="preserve">                                                 </w:t>
            </w:r>
          </w:p>
        </w:tc>
        <w:tc>
          <w:tcPr>
            <w:tcW w:w="415" w:type="pct"/>
            <w:noWrap w:val="0"/>
            <w:vAlign w:val="top"/>
          </w:tcPr>
          <w:p w14:paraId="0D6CD2E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w:t>
            </w:r>
          </w:p>
        </w:tc>
        <w:tc>
          <w:tcPr>
            <w:tcW w:w="483" w:type="pct"/>
            <w:noWrap w:val="0"/>
            <w:vAlign w:val="top"/>
          </w:tcPr>
          <w:p w14:paraId="443F5BF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14.81%</w:t>
            </w:r>
          </w:p>
        </w:tc>
      </w:tr>
      <w:tr w14:paraId="0B75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01" w:type="pct"/>
            <w:noWrap w:val="0"/>
            <w:vAlign w:val="top"/>
          </w:tcPr>
          <w:p w14:paraId="4358A082">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C.</w:t>
            </w:r>
            <w:r>
              <w:rPr>
                <w:rFonts w:hint="eastAsia" w:ascii="仿宋" w:hAnsi="仿宋" w:eastAsia="仿宋" w:cs="Segoe UI"/>
                <w:color w:val="000000"/>
                <w:sz w:val="24"/>
                <w:szCs w:val="24"/>
                <w:lang w:val="en-US" w:eastAsia="zh-CN"/>
              </w:rPr>
              <w:t>沿用国家标准原文。</w:t>
            </w:r>
            <w:r>
              <w:rPr>
                <w:rFonts w:hint="default" w:ascii="仿宋" w:hAnsi="仿宋" w:eastAsia="仿宋" w:cs="Segoe UI"/>
                <w:color w:val="000000"/>
                <w:sz w:val="24"/>
                <w:szCs w:val="24"/>
                <w:lang w:val="en-US" w:eastAsia="zh-CN"/>
              </w:rPr>
              <w:t xml:space="preserve">                                </w:t>
            </w:r>
            <w:r>
              <w:rPr>
                <w:rFonts w:hint="eastAsia" w:ascii="仿宋" w:hAnsi="仿宋" w:eastAsia="仿宋" w:cs="Segoe UI"/>
                <w:color w:val="000000"/>
                <w:sz w:val="24"/>
                <w:szCs w:val="24"/>
                <w:lang w:val="en-US" w:eastAsia="zh-CN"/>
              </w:rPr>
              <w:t xml:space="preserve">                                  </w:t>
            </w:r>
          </w:p>
        </w:tc>
        <w:tc>
          <w:tcPr>
            <w:tcW w:w="415" w:type="pct"/>
            <w:noWrap w:val="0"/>
            <w:vAlign w:val="top"/>
          </w:tcPr>
          <w:p w14:paraId="4D0EAEB2">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w:t>
            </w:r>
          </w:p>
        </w:tc>
        <w:tc>
          <w:tcPr>
            <w:tcW w:w="483" w:type="pct"/>
            <w:noWrap w:val="0"/>
            <w:vAlign w:val="top"/>
          </w:tcPr>
          <w:p w14:paraId="6B55FE7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40.74%</w:t>
            </w:r>
          </w:p>
        </w:tc>
      </w:tr>
      <w:tr w14:paraId="68D9B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01" w:type="pct"/>
            <w:noWrap w:val="0"/>
            <w:vAlign w:val="top"/>
          </w:tcPr>
          <w:p w14:paraId="345EC632">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 xml:space="preserve">D.综合以上内容。                                                                           </w:t>
            </w:r>
          </w:p>
        </w:tc>
        <w:tc>
          <w:tcPr>
            <w:tcW w:w="415" w:type="pct"/>
            <w:noWrap w:val="0"/>
            <w:vAlign w:val="top"/>
          </w:tcPr>
          <w:p w14:paraId="704EAEC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w:t>
            </w:r>
          </w:p>
        </w:tc>
        <w:tc>
          <w:tcPr>
            <w:tcW w:w="483" w:type="pct"/>
            <w:noWrap w:val="0"/>
            <w:vAlign w:val="top"/>
          </w:tcPr>
          <w:p w14:paraId="4880100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14.81%</w:t>
            </w:r>
          </w:p>
        </w:tc>
      </w:tr>
    </w:tbl>
    <w:p w14:paraId="062A8AA9">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201D0BDE">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①左右手皆可。主张用左手，以施术者方便为主。</w:t>
      </w:r>
    </w:p>
    <w:p w14:paraId="490A0D1B">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②小儿推拿的顺序，以操作方便、患儿能接受为原则。一般按先上肢，后头面，再躯干，后下肢。也可以先主穴，后配穴。先刺激量小的穴位，后刺激量大的穴位。上肢特定穴位治疗只进行单侧操作。</w:t>
      </w:r>
    </w:p>
    <w:p w14:paraId="4ECA2D23">
      <w:pPr>
        <w:widowControl/>
        <w:spacing w:after="0" w:line="400" w:lineRule="exact"/>
        <w:ind w:firstLine="480"/>
        <w:jc w:val="left"/>
        <w:rPr>
          <w:rFonts w:hint="default"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（8）操作补泻</w:t>
      </w:r>
    </w:p>
    <w:p w14:paraId="48706F3C">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国家标准原文：小儿推拿补泻方法的运用取决于疾病的证候，一般向心为补、离心为泻。手法力度轻为补、重为泻。手法速度频率慢为补，而频率快则有泻的作用。</w:t>
      </w:r>
    </w:p>
    <w:p w14:paraId="47AAA1FB">
      <w:pPr>
        <w:widowControl/>
        <w:spacing w:after="0" w:line="400" w:lineRule="exact"/>
        <w:ind w:firstLine="480"/>
        <w:jc w:val="center"/>
        <w:rPr>
          <w:rFonts w:hint="eastAsia" w:ascii="宋体" w:hAnsi="宋体" w:eastAsia="宋体" w:cs="黑体"/>
          <w:kern w:val="0"/>
          <w:sz w:val="21"/>
          <w:szCs w:val="21"/>
        </w:rPr>
      </w:pPr>
      <w:r>
        <w:rPr>
          <w:rFonts w:hint="eastAsia" w:ascii="仿宋" w:hAnsi="仿宋" w:eastAsia="仿宋" w:cs="Calibri"/>
          <w:color w:val="000000"/>
          <w:kern w:val="0"/>
          <w:sz w:val="24"/>
          <w:szCs w:val="24"/>
          <w:lang w:val="en-US" w:eastAsia="zh-CN"/>
        </w:rPr>
        <w:t>表50 操作补泻选项结果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gridCol w:w="916"/>
        <w:gridCol w:w="1098"/>
      </w:tblGrid>
      <w:tr w14:paraId="6B63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2683AAE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916" w:type="dxa"/>
            <w:noWrap w:val="0"/>
            <w:vAlign w:val="top"/>
          </w:tcPr>
          <w:p w14:paraId="6A8537B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1098" w:type="dxa"/>
            <w:noWrap w:val="0"/>
            <w:vAlign w:val="top"/>
          </w:tcPr>
          <w:p w14:paraId="423E23D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3D35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392B074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A.小儿推拿一般补泻原则：方向补泻法 此种补泻方法主要用于小儿手部与腹部的穴位。一般而言，在手部穴位上做向心性方向直推为补法，离心性方向直推为泻法；逆时针摩腹为补法，顺时针摩腹为泻法。轻重补泻法 轻重是指医者在患儿体表穴位上操作时用力的大小。轻手法操作为补法，重手法操作为泻法。快慢补泻法 快慢是指医者运用某一手法在患儿体表穴位上操作的速度。速度快慢会影响手法频率的高低，一般而言，手法操作频率低为补法，反之为泻法。迎随补泻法 随（顺）其经络走行方向操作为补法，迎（逆）其经络走行方向操作为泻法。又称为顺逆补泻法。平补平泻法 患儿病情虚实不明显，或平素小儿保健时常用的一种方法。一般采用快慢结合、顺逆结合的方式。                                                               </w:t>
            </w:r>
          </w:p>
        </w:tc>
        <w:tc>
          <w:tcPr>
            <w:tcW w:w="916" w:type="dxa"/>
            <w:noWrap w:val="0"/>
            <w:vAlign w:val="top"/>
          </w:tcPr>
          <w:p w14:paraId="21681E67">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12</w:t>
            </w:r>
          </w:p>
        </w:tc>
        <w:tc>
          <w:tcPr>
            <w:tcW w:w="1098" w:type="dxa"/>
            <w:noWrap w:val="0"/>
            <w:vAlign w:val="top"/>
          </w:tcPr>
          <w:p w14:paraId="17FE482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44.44%</w:t>
            </w:r>
          </w:p>
        </w:tc>
      </w:tr>
      <w:tr w14:paraId="2D6C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374AD8B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B.沿用国家标准原文。                                                    </w:t>
            </w:r>
          </w:p>
        </w:tc>
        <w:tc>
          <w:tcPr>
            <w:tcW w:w="916" w:type="dxa"/>
            <w:noWrap w:val="0"/>
            <w:vAlign w:val="top"/>
          </w:tcPr>
          <w:p w14:paraId="51B9970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9</w:t>
            </w:r>
          </w:p>
        </w:tc>
        <w:tc>
          <w:tcPr>
            <w:tcW w:w="1098" w:type="dxa"/>
            <w:noWrap w:val="0"/>
            <w:vAlign w:val="top"/>
          </w:tcPr>
          <w:p w14:paraId="0E0FE4A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33.33%</w:t>
            </w:r>
          </w:p>
        </w:tc>
      </w:tr>
      <w:tr w14:paraId="40DFC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804" w:type="dxa"/>
            <w:noWrap w:val="0"/>
            <w:vAlign w:val="top"/>
          </w:tcPr>
          <w:p w14:paraId="28B775BA">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C.</w:t>
            </w:r>
            <w:r>
              <w:rPr>
                <w:rFonts w:hint="eastAsia" w:ascii="仿宋" w:hAnsi="仿宋" w:eastAsia="仿宋" w:cs="Segoe UI"/>
                <w:color w:val="000000"/>
                <w:sz w:val="24"/>
                <w:szCs w:val="24"/>
                <w:lang w:val="en-US" w:eastAsia="zh-CN"/>
              </w:rPr>
              <w:t xml:space="preserve">综合以上内容。                                                                           </w:t>
            </w:r>
          </w:p>
        </w:tc>
        <w:tc>
          <w:tcPr>
            <w:tcW w:w="916" w:type="dxa"/>
            <w:noWrap w:val="0"/>
            <w:vAlign w:val="top"/>
          </w:tcPr>
          <w:p w14:paraId="751AF9A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w:t>
            </w:r>
          </w:p>
        </w:tc>
        <w:tc>
          <w:tcPr>
            <w:tcW w:w="1098" w:type="dxa"/>
            <w:noWrap w:val="0"/>
            <w:vAlign w:val="top"/>
          </w:tcPr>
          <w:p w14:paraId="20929DE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14.81%</w:t>
            </w:r>
          </w:p>
        </w:tc>
      </w:tr>
    </w:tbl>
    <w:p w14:paraId="09BA2592">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63908F80">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default" w:ascii="仿宋" w:hAnsi="仿宋" w:eastAsia="仿宋" w:cs="Calibri"/>
          <w:color w:val="000000"/>
          <w:kern w:val="0"/>
          <w:sz w:val="24"/>
          <w:szCs w:val="24"/>
          <w:lang w:val="en-US" w:eastAsia="zh-CN"/>
        </w:rPr>
        <w:t>①</w:t>
      </w:r>
      <w:r>
        <w:rPr>
          <w:rFonts w:hint="eastAsia" w:ascii="仿宋" w:hAnsi="仿宋" w:eastAsia="仿宋" w:cs="Calibri"/>
          <w:color w:val="000000"/>
          <w:kern w:val="0"/>
          <w:sz w:val="24"/>
          <w:szCs w:val="24"/>
          <w:lang w:val="en-US" w:eastAsia="zh-CN"/>
        </w:rPr>
        <w:t>小儿推拿一般补泻原则：方向补泻法 此种补泻方法主要用于小儿手部与腹部的穴位。一般而言，在手部穴位上做向心性方向直推为补法，离心性方向直推为泻法；逆时针摩腹为补法，顺时针摩腹为泻法。轻重补泻法 轻重是指医者在患儿体表穴位上操作时用力的大小。轻手法操作为补法，重手法操作为泻法。快慢补泻法 快慢是指医者运用某一手法在患儿体表穴位上操作的速度。速度快慢会影响手法频率的高低，一般而言，手法操作频率低为补法，反之为泻法。迎随补泻法 随（顺）其经络走行方向操作为补法，迎（逆）其经络走行方向操作为泻法。又称为顺逆补泻法。次数补泻法 次数多时间长而轻柔的手法治疗为补法；次数少时间短而较重的手法治疗为泻法。得气补泻法 又称推拿感应补泻法。所谓得气，即指施术手法过程中患者所表现出“酸、麻、胀、痛、重”的一种自我感觉。“得气”明显者为泻法；“得气”轻微者为补法。平补平泻法 患儿病情虚实不明显，或平素小儿保健时常用的一种方法。一般采用快慢结合、顺逆结合的方式。</w:t>
      </w:r>
    </w:p>
    <w:p w14:paraId="3892FA98">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②小儿推拿手法补泻，不同流派不同手法在不同穴位上补泻不同，不应一概而论。</w:t>
      </w:r>
    </w:p>
    <w:p w14:paraId="65A3F7B2">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③操作补泻？补泻操作？补泻手法？</w:t>
      </w:r>
    </w:p>
    <w:p w14:paraId="03F9CF25">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④操作补泻要分上肢部、腹部，线状线、面状穴补泻表述不同，需要区别，可以不写，在具体穴位中写清楚补泻操作。小儿推拿中手法频率一般不作为补泻参数，小儿推拿直推法频率在250-300次/分钟，是补还是泻？</w:t>
      </w:r>
    </w:p>
    <w:p w14:paraId="430BE7CA">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⑤A项系统阐明方向、轻重、快慢、迎随与平补平泻五类原则，配合原文“向心/离心、轻/重、慢/快”的核心要点，采用“综合”更利于国际应用与教学统一。</w:t>
      </w:r>
    </w:p>
    <w:p w14:paraId="04BA495A">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（9）小儿推拿治疗时间</w:t>
      </w:r>
    </w:p>
    <w:p w14:paraId="3A31A436">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小儿推拿治疗操作时间可根据年龄、病情、体质等情况而定。一般每穴的操作时间为1min～2min，1次总的治疗时间为20min～30min。对于年龄小、体质弱、采用刺激性较强的手法者可适当缩短操作时间。</w:t>
      </w:r>
    </w:p>
    <w:p w14:paraId="48E87C7A">
      <w:pPr>
        <w:widowControl/>
        <w:spacing w:after="0" w:line="400" w:lineRule="exact"/>
        <w:ind w:firstLine="480"/>
        <w:jc w:val="center"/>
        <w:rPr>
          <w:rFonts w:hint="eastAsia" w:ascii="宋体" w:hAnsi="宋体" w:eastAsia="宋体" w:cs="黑体"/>
          <w:kern w:val="0"/>
          <w:sz w:val="21"/>
          <w:szCs w:val="21"/>
        </w:rPr>
      </w:pPr>
      <w:r>
        <w:rPr>
          <w:rFonts w:hint="eastAsia" w:ascii="仿宋" w:hAnsi="仿宋" w:eastAsia="仿宋" w:cs="Calibri"/>
          <w:color w:val="000000"/>
          <w:kern w:val="0"/>
          <w:sz w:val="24"/>
          <w:szCs w:val="24"/>
          <w:lang w:val="en-US" w:eastAsia="zh-CN"/>
        </w:rPr>
        <w:t>表51 小儿推拿治疗时间选项结果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969"/>
        <w:gridCol w:w="1065"/>
      </w:tblGrid>
      <w:tr w14:paraId="7016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21A6BC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969" w:type="dxa"/>
            <w:noWrap w:val="0"/>
            <w:vAlign w:val="top"/>
          </w:tcPr>
          <w:p w14:paraId="212F156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1065" w:type="dxa"/>
            <w:noWrap w:val="0"/>
            <w:vAlign w:val="top"/>
          </w:tcPr>
          <w:p w14:paraId="3906FCB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0D86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AAB8B55">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A.治疗时间 可根据年龄、病情、体质和手法特性等情况而定。一般每个穴位操作时间为1分钟～2分钟，总的治疗时间为10分钟～40分钟。对于年龄小、体质弱、虚证者，采用刺激性较强的手法者可适当缩短治疗时间。年龄较大、体质强、实证者，手法可再适当增加治疗时间。 </w:t>
            </w:r>
          </w:p>
        </w:tc>
        <w:tc>
          <w:tcPr>
            <w:tcW w:w="969" w:type="dxa"/>
            <w:noWrap w:val="0"/>
            <w:vAlign w:val="top"/>
          </w:tcPr>
          <w:p w14:paraId="004305C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w:t>
            </w:r>
          </w:p>
        </w:tc>
        <w:tc>
          <w:tcPr>
            <w:tcW w:w="1065" w:type="dxa"/>
            <w:noWrap w:val="0"/>
            <w:vAlign w:val="top"/>
          </w:tcPr>
          <w:p w14:paraId="18BD854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14.81%</w:t>
            </w:r>
          </w:p>
        </w:tc>
      </w:tr>
      <w:tr w14:paraId="134A2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544C22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B.小儿推拿操作时间可根据不同年龄、不同体质和手法特性等情况而定。一般每穴操作时间为1分钟～2分钟；总的治疗时间为20分钟～30分钟；对于年龄小、体质弱、采用刺激性较强的手法者可适当缩短操作时间。若以1岁为标准，每穴推2分钟左右（强刺激手法除外），每个主穴推300次左右；小于1岁或体质较弱者，推拿操作的时间可适当缩短，次数可适当减少；大于1岁或体质强壮者，时间适当延长，次数适当增加。</w:t>
            </w:r>
          </w:p>
        </w:tc>
        <w:tc>
          <w:tcPr>
            <w:tcW w:w="969" w:type="dxa"/>
            <w:noWrap w:val="0"/>
            <w:vAlign w:val="top"/>
          </w:tcPr>
          <w:p w14:paraId="33C88E6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w:t>
            </w:r>
          </w:p>
        </w:tc>
        <w:tc>
          <w:tcPr>
            <w:tcW w:w="1065" w:type="dxa"/>
            <w:noWrap w:val="0"/>
            <w:vAlign w:val="top"/>
          </w:tcPr>
          <w:p w14:paraId="28BA437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7.41%</w:t>
            </w:r>
          </w:p>
        </w:tc>
      </w:tr>
      <w:tr w14:paraId="0EEF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1058E5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C.操作时间 可根据年龄、病情、体质和手法特性等情况而定。一般每个穴位操作时间为1-2分钟，合计治疗时间为20～40分钟。对于年龄小、体质弱、虚证者、采用刺激性较强的手法者可适当缩短操作时间。年龄较大、体质强、实证者，可适当增加操作时间。                                                                  </w:t>
            </w:r>
          </w:p>
        </w:tc>
        <w:tc>
          <w:tcPr>
            <w:tcW w:w="969" w:type="dxa"/>
            <w:noWrap w:val="0"/>
            <w:vAlign w:val="top"/>
          </w:tcPr>
          <w:p w14:paraId="4813310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1065" w:type="dxa"/>
            <w:noWrap w:val="0"/>
            <w:vAlign w:val="top"/>
          </w:tcPr>
          <w:p w14:paraId="08624E3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3ABD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1E04A27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D.沿用国家标准原文。                                                                           </w:t>
            </w:r>
          </w:p>
        </w:tc>
        <w:tc>
          <w:tcPr>
            <w:tcW w:w="969" w:type="dxa"/>
            <w:noWrap w:val="0"/>
            <w:vAlign w:val="top"/>
          </w:tcPr>
          <w:p w14:paraId="7D88DE7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w:t>
            </w:r>
          </w:p>
        </w:tc>
        <w:tc>
          <w:tcPr>
            <w:tcW w:w="1065" w:type="dxa"/>
            <w:noWrap w:val="0"/>
            <w:vAlign w:val="top"/>
          </w:tcPr>
          <w:p w14:paraId="296A4253">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25.93%</w:t>
            </w:r>
          </w:p>
        </w:tc>
      </w:tr>
      <w:tr w14:paraId="4E8D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18B2C0A9">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E.</w:t>
            </w:r>
            <w:r>
              <w:rPr>
                <w:rFonts w:hint="eastAsia" w:ascii="仿宋" w:hAnsi="仿宋" w:eastAsia="仿宋" w:cs="Segoe UI"/>
                <w:color w:val="000000"/>
                <w:sz w:val="24"/>
                <w:szCs w:val="24"/>
                <w:lang w:val="en-US" w:eastAsia="zh-CN"/>
              </w:rPr>
              <w:t>综合以上内容。</w:t>
            </w:r>
          </w:p>
        </w:tc>
        <w:tc>
          <w:tcPr>
            <w:tcW w:w="969" w:type="dxa"/>
            <w:noWrap w:val="0"/>
            <w:vAlign w:val="top"/>
          </w:tcPr>
          <w:p w14:paraId="1942AA0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1065" w:type="dxa"/>
            <w:noWrap w:val="0"/>
            <w:vAlign w:val="top"/>
          </w:tcPr>
          <w:p w14:paraId="6FBE6D3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bl>
    <w:p w14:paraId="17F8DA40">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2F27E2E9">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①小儿推拿每个穴位操作大部分是按次数计量，摩腹是按时间计量一般不按分钟，每个穴位的操作次数和年龄相关，7岁以上按成年人推拿操作要求，可以按时间计量。原则上总的操作时间在10分钟左右，当然也和小儿推拿处方的穴位数量相关，上述表述不符合小儿推拿的操作要求。</w:t>
      </w:r>
    </w:p>
    <w:p w14:paraId="3BCED78A">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②保留国家标准“1–2 min/穴、20–30 min/次”的主体框架，同时参考A、C扩大区间（10–40 min/次）以覆盖不同年龄/体质/证型与手法强度；B项关于“主穴次数”可移入附录供教学参考。</w:t>
      </w:r>
    </w:p>
    <w:p w14:paraId="1F188EB2">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③操作时间 可根据年龄、病情、体质和手法特性等情况而定。一般每个穴位操作时间为1-2分钟，合计治疗时间为20～40分钟。对于年龄小、体质弱、病情轻、采用刺激性较强的手法者可适当缩短操作时间。年龄较大、体质强、病情重，可适当增加操作时间。</w:t>
      </w:r>
    </w:p>
    <w:p w14:paraId="06A598D8">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（10）小儿推拿治疗操作间隔与疗程</w:t>
      </w:r>
    </w:p>
    <w:p w14:paraId="7C7CC108">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国家标准原文：治疗的时间间隔，视病情而定，一般采用每日1次。部分病症病情需要、情况许可可采用每日2次。急性病痊愈为止。一般慢性病以5d为一疗程，两个疗程之间可间隔2d。</w:t>
      </w:r>
    </w:p>
    <w:p w14:paraId="5E446F59">
      <w:pPr>
        <w:widowControl/>
        <w:spacing w:after="0" w:line="400" w:lineRule="exact"/>
        <w:ind w:firstLine="480"/>
        <w:jc w:val="center"/>
        <w:rPr>
          <w:rFonts w:hint="eastAsia" w:ascii="宋体" w:hAnsi="宋体" w:eastAsia="宋体" w:cs="黑体"/>
          <w:kern w:val="0"/>
          <w:sz w:val="21"/>
          <w:szCs w:val="21"/>
        </w:rPr>
      </w:pPr>
      <w:r>
        <w:rPr>
          <w:rFonts w:hint="eastAsia" w:ascii="仿宋" w:hAnsi="仿宋" w:eastAsia="仿宋" w:cs="Calibri"/>
          <w:color w:val="000000"/>
          <w:kern w:val="0"/>
          <w:sz w:val="24"/>
          <w:szCs w:val="24"/>
          <w:lang w:val="en-US" w:eastAsia="zh-CN"/>
        </w:rPr>
        <w:t>表52 小儿推拿治疗操作间隔与疗程选项结果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1099"/>
        <w:gridCol w:w="989"/>
      </w:tblGrid>
      <w:tr w14:paraId="2C13A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B8225F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1099" w:type="dxa"/>
            <w:noWrap w:val="0"/>
            <w:vAlign w:val="top"/>
          </w:tcPr>
          <w:p w14:paraId="631F75A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989" w:type="dxa"/>
            <w:noWrap w:val="0"/>
            <w:vAlign w:val="top"/>
          </w:tcPr>
          <w:p w14:paraId="7C7C032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75ED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8444A7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A.操作频率：推拿操作一般为每日1次或隔天1次；部分病症，在情况允许时，可每日推拿2次；日常保健和疾病稳定期，可每周推拿1-2次。 </w:t>
            </w:r>
          </w:p>
        </w:tc>
        <w:tc>
          <w:tcPr>
            <w:tcW w:w="1099" w:type="dxa"/>
            <w:noWrap w:val="0"/>
            <w:vAlign w:val="top"/>
          </w:tcPr>
          <w:p w14:paraId="3FF6492E">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10</w:t>
            </w:r>
          </w:p>
        </w:tc>
        <w:tc>
          <w:tcPr>
            <w:tcW w:w="989" w:type="dxa"/>
            <w:noWrap w:val="0"/>
            <w:vAlign w:val="top"/>
          </w:tcPr>
          <w:p w14:paraId="5FE910B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37.04%</w:t>
            </w:r>
          </w:p>
        </w:tc>
      </w:tr>
      <w:tr w14:paraId="5009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605C723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 沿用国家标准原文。                                                                  </w:t>
            </w:r>
          </w:p>
        </w:tc>
        <w:tc>
          <w:tcPr>
            <w:tcW w:w="1099" w:type="dxa"/>
            <w:noWrap w:val="0"/>
            <w:vAlign w:val="top"/>
          </w:tcPr>
          <w:p w14:paraId="020D9A5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989" w:type="dxa"/>
            <w:noWrap w:val="0"/>
            <w:vAlign w:val="top"/>
          </w:tcPr>
          <w:p w14:paraId="26C1FC7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2DC96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53F26216">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C. 综合以上内容。                                                                           </w:t>
            </w:r>
          </w:p>
        </w:tc>
        <w:tc>
          <w:tcPr>
            <w:tcW w:w="1099" w:type="dxa"/>
            <w:noWrap w:val="0"/>
            <w:vAlign w:val="top"/>
          </w:tcPr>
          <w:p w14:paraId="62ED2B6E">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10</w:t>
            </w:r>
          </w:p>
        </w:tc>
        <w:tc>
          <w:tcPr>
            <w:tcW w:w="989" w:type="dxa"/>
            <w:noWrap w:val="0"/>
            <w:vAlign w:val="top"/>
          </w:tcPr>
          <w:p w14:paraId="1121264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37.04%</w:t>
            </w:r>
          </w:p>
        </w:tc>
      </w:tr>
    </w:tbl>
    <w:p w14:paraId="6314F0D9">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2208D651">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①规范化的文本最好不用中文夹杂英文，来表述时间、日期之类，这是违反国家标准化规定的。</w:t>
      </w:r>
    </w:p>
    <w:p w14:paraId="3FC6678B">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②急性病连推三天为一个疗程。慢性病连推 7 天为一个疗程。复杂病种连推 15 次为一个疗程。</w:t>
      </w:r>
    </w:p>
    <w:p w14:paraId="73576ABC">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③以原文“每日1次（部分可每日2次）、慢性病5d为一疗程、疗程间隔2d”为基准，同时兼容A项的“隔天/每周1–2次（保健/稳定期）”，便于临床分层执行。</w:t>
      </w:r>
    </w:p>
    <w:p w14:paraId="48A9E0DB">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④治疗的时间间隔视病情而定。急性病一般每日1次，部分因病情需要，情况许可时可每日2次，痊愈为止。慢性病一般每日1次或隔天1次，5d为一疗程，每个疗程之间可间隔2-4d。</w:t>
      </w:r>
    </w:p>
    <w:p w14:paraId="0FD8CD44">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⑤考虑到小儿患病易趋康复的特点，建议疗程不必定死。</w:t>
      </w:r>
    </w:p>
    <w:p w14:paraId="76AEC1D5">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（11）小儿推拿常用介质 A.1油类</w:t>
      </w:r>
    </w:p>
    <w:p w14:paraId="589E2088">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国家标准原文：食用调和油、麻油、医用石蜡油等。适用于各种病症。</w:t>
      </w:r>
    </w:p>
    <w:p w14:paraId="31102937">
      <w:pPr>
        <w:widowControl/>
        <w:spacing w:after="0" w:line="400" w:lineRule="exact"/>
        <w:ind w:firstLine="480"/>
        <w:jc w:val="center"/>
        <w:rPr>
          <w:rFonts w:hint="eastAsia" w:ascii="宋体" w:hAnsi="宋体" w:eastAsia="宋体" w:cs="黑体"/>
          <w:kern w:val="0"/>
          <w:sz w:val="21"/>
          <w:szCs w:val="21"/>
        </w:rPr>
      </w:pPr>
      <w:r>
        <w:rPr>
          <w:rFonts w:hint="eastAsia" w:ascii="仿宋" w:hAnsi="仿宋" w:eastAsia="仿宋" w:cs="Calibri"/>
          <w:color w:val="000000"/>
          <w:kern w:val="0"/>
          <w:sz w:val="24"/>
          <w:szCs w:val="24"/>
          <w:lang w:val="en-US" w:eastAsia="zh-CN"/>
        </w:rPr>
        <w:t>表53 小儿推拿常用介质 A.1油类选项结果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1023"/>
        <w:gridCol w:w="1044"/>
      </w:tblGrid>
      <w:tr w14:paraId="3DA90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B7F5FB2">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1023" w:type="dxa"/>
            <w:noWrap w:val="0"/>
            <w:vAlign w:val="top"/>
          </w:tcPr>
          <w:p w14:paraId="5D89A53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1044" w:type="dxa"/>
            <w:noWrap w:val="0"/>
            <w:vAlign w:val="top"/>
          </w:tcPr>
          <w:p w14:paraId="19CFE4C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2E9DD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A2C931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A.油按摩：油类物质能为婴儿提供温暖与营养，有助于促进体重增长。研究显示，椰子油、葵花籽油、合成油和矿物油均可用于婴儿按摩。与未使用油类的按摩相比，使用油类按摩的婴儿表现出更少的压力行为，且皮质醇水平更低。由此可见，油类按摩具有多重益处，因此值得推荐。</w:t>
            </w:r>
          </w:p>
        </w:tc>
        <w:tc>
          <w:tcPr>
            <w:tcW w:w="1023" w:type="dxa"/>
            <w:noWrap w:val="0"/>
            <w:vAlign w:val="top"/>
          </w:tcPr>
          <w:p w14:paraId="3E1D24C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w:t>
            </w:r>
          </w:p>
        </w:tc>
        <w:tc>
          <w:tcPr>
            <w:tcW w:w="1044" w:type="dxa"/>
            <w:noWrap w:val="0"/>
            <w:vAlign w:val="top"/>
          </w:tcPr>
          <w:p w14:paraId="75C1273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3.70%</w:t>
            </w:r>
          </w:p>
        </w:tc>
      </w:tr>
      <w:tr w14:paraId="7ED82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84C660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B.油类：食用芝麻油、食用椰子油、食用橄榄油、婴儿外用油等。具有润滑除燥作用，适用于小儿身体各部位推拿，也可用于刮法。                                                                  </w:t>
            </w:r>
          </w:p>
        </w:tc>
        <w:tc>
          <w:tcPr>
            <w:tcW w:w="1023" w:type="dxa"/>
            <w:noWrap w:val="0"/>
            <w:vAlign w:val="top"/>
          </w:tcPr>
          <w:p w14:paraId="31EEFB9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1044" w:type="dxa"/>
            <w:noWrap w:val="0"/>
            <w:vAlign w:val="top"/>
          </w:tcPr>
          <w:p w14:paraId="3C3710A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6D18A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D60B5F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C.油类：由成份安全的动植物油脂类物质等为主构成的介质。常用有：麻油 食用芝麻油具有润滑除燥作用，适用于身体各部位推拿，也可用于刮法。椰子油 食用椰子油具有润滑除燥作用，适用于身体各部位推拿，也可用于刮法。橄榄油 食用橄榄油具有润滑除燥作用，适用于身体各部位推拿，也可用于刮法。</w:t>
            </w:r>
          </w:p>
        </w:tc>
        <w:tc>
          <w:tcPr>
            <w:tcW w:w="1023" w:type="dxa"/>
            <w:noWrap w:val="0"/>
            <w:vAlign w:val="top"/>
          </w:tcPr>
          <w:p w14:paraId="59D13125">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1044" w:type="dxa"/>
            <w:noWrap w:val="0"/>
            <w:vAlign w:val="top"/>
          </w:tcPr>
          <w:p w14:paraId="4156889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718C0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3E0DA2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D.沿用国家标准原文。</w:t>
            </w:r>
          </w:p>
        </w:tc>
        <w:tc>
          <w:tcPr>
            <w:tcW w:w="1023" w:type="dxa"/>
            <w:noWrap w:val="0"/>
            <w:vAlign w:val="top"/>
          </w:tcPr>
          <w:p w14:paraId="245B31B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5</w:t>
            </w:r>
          </w:p>
        </w:tc>
        <w:tc>
          <w:tcPr>
            <w:tcW w:w="1044" w:type="dxa"/>
            <w:noWrap w:val="0"/>
            <w:vAlign w:val="top"/>
          </w:tcPr>
          <w:p w14:paraId="21E1A60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18.52%</w:t>
            </w:r>
          </w:p>
        </w:tc>
      </w:tr>
      <w:tr w14:paraId="3AC73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35A99B40">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E.</w:t>
            </w:r>
            <w:r>
              <w:rPr>
                <w:rFonts w:hint="eastAsia" w:ascii="仿宋" w:hAnsi="仿宋" w:eastAsia="仿宋" w:cs="Segoe UI"/>
                <w:color w:val="000000"/>
                <w:sz w:val="24"/>
                <w:szCs w:val="24"/>
                <w:lang w:val="en-US" w:eastAsia="zh-CN"/>
              </w:rPr>
              <w:t>综合以上内容。</w:t>
            </w:r>
          </w:p>
        </w:tc>
        <w:tc>
          <w:tcPr>
            <w:tcW w:w="1023" w:type="dxa"/>
            <w:noWrap w:val="0"/>
            <w:vAlign w:val="top"/>
          </w:tcPr>
          <w:p w14:paraId="0E7EF55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8</w:t>
            </w:r>
          </w:p>
        </w:tc>
        <w:tc>
          <w:tcPr>
            <w:tcW w:w="1044" w:type="dxa"/>
            <w:noWrap w:val="0"/>
            <w:vAlign w:val="top"/>
          </w:tcPr>
          <w:p w14:paraId="0DA8745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29.63%</w:t>
            </w:r>
          </w:p>
        </w:tc>
      </w:tr>
    </w:tbl>
    <w:p w14:paraId="22935D99">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0465C56E">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①建议使用滑石粉。</w:t>
      </w:r>
    </w:p>
    <w:p w14:paraId="46D4F4CA">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②兼顾循证（A：婴儿皮肤照护指南、减压与皮质醇证据）与中医/行业规范（B、C 列举安全植物油与适用部位/手法）。建议在正文注明“优先选择成分单纯、过敏风险低的食用级或医用外用油”</w:t>
      </w:r>
    </w:p>
    <w:p w14:paraId="0076D717">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③由成份安全的动植物油脂、矿物类油和合成油等为主构成的介质。比如芝麻油、椰子油、橄榄油、花生油、葵花籽油、医用石蜡油等，具有润滑除燥作用，适用于身体各部位推拿。</w:t>
      </w:r>
    </w:p>
    <w:p w14:paraId="0544CCDC">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（12）小儿推拿安全保障注意事项</w:t>
      </w:r>
    </w:p>
    <w:p w14:paraId="7B260699">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国家标准原文：D.3.1  在治疗过程中，医师和家长要注意保护患儿安全，防止因惧怕而从诊疗床上跌下受伤；医师或家长不要用力牵拉患儿四肢，避免扭伤。D.3.2  患儿治疗完毕后30min之内不要进食。出汗多者要及时为患儿补充水分。D.3.3  医师若手法使用不当，可能磨破小儿皮肤，一旦发生，应对局部及时作清洗消毒处理，防止感染。</w:t>
      </w:r>
    </w:p>
    <w:p w14:paraId="73097214">
      <w:pPr>
        <w:widowControl/>
        <w:spacing w:after="0" w:line="400" w:lineRule="exact"/>
        <w:ind w:firstLine="480"/>
        <w:jc w:val="center"/>
        <w:rPr>
          <w:rFonts w:hint="eastAsia" w:ascii="宋体" w:hAnsi="宋体" w:eastAsia="宋体" w:cs="黑体"/>
          <w:kern w:val="0"/>
          <w:sz w:val="21"/>
          <w:szCs w:val="21"/>
        </w:rPr>
      </w:pPr>
      <w:r>
        <w:rPr>
          <w:rFonts w:hint="eastAsia" w:ascii="仿宋" w:hAnsi="仿宋" w:eastAsia="仿宋" w:cs="Calibri"/>
          <w:color w:val="000000"/>
          <w:kern w:val="0"/>
          <w:sz w:val="24"/>
          <w:szCs w:val="24"/>
          <w:lang w:val="en-US" w:eastAsia="zh-CN"/>
        </w:rPr>
        <w:t>表54 小儿推拿安全保障注意事项选项结果</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3"/>
        <w:gridCol w:w="1100"/>
        <w:gridCol w:w="1076"/>
      </w:tblGrid>
      <w:tr w14:paraId="1E005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9F701B5">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选项</w:t>
            </w:r>
          </w:p>
        </w:tc>
        <w:tc>
          <w:tcPr>
            <w:tcW w:w="1100" w:type="dxa"/>
            <w:noWrap w:val="0"/>
            <w:vAlign w:val="top"/>
          </w:tcPr>
          <w:p w14:paraId="5AA7ECE1">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频数</w:t>
            </w:r>
          </w:p>
        </w:tc>
        <w:tc>
          <w:tcPr>
            <w:tcW w:w="1076" w:type="dxa"/>
            <w:noWrap w:val="0"/>
            <w:vAlign w:val="top"/>
          </w:tcPr>
          <w:p w14:paraId="0E00718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比例</w:t>
            </w:r>
          </w:p>
        </w:tc>
      </w:tr>
      <w:tr w14:paraId="70FDA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77FA5007">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A.</w:t>
            </w:r>
            <w:r>
              <w:rPr>
                <w:rFonts w:hint="eastAsia" w:ascii="仿宋" w:hAnsi="仿宋" w:eastAsia="仿宋" w:cs="Segoe UI"/>
                <w:color w:val="000000"/>
                <w:sz w:val="24"/>
                <w:szCs w:val="24"/>
                <w:lang w:val="en-US" w:eastAsia="zh-CN"/>
              </w:rPr>
              <w:t>操注意事项：7.1 对小儿实施推拿治疗，不仅要求医师手法熟练、用力均匀、动作轻柔、深透平稳，而且要求掌握好推拿的时长、次数、强度等。一般根据年龄、体质、病情来确定。若以1岁为标准，每穴推2min左右（强刺激手法除外），每个主穴推300次左右。小于1岁或体质较弱者，推拿的时间可适当缩短，次数可适当减少；大于1岁或体质强壮者，时间适当延长，推次适当增加。年龄小、体质弱、病证属虚者，手法宜轻；年龄较大、体质强、属实者，手法可加重。</w:t>
            </w:r>
          </w:p>
          <w:p w14:paraId="5E1C5D8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7.2 在治疗过程中，医师和家长要注意保护小儿安全，防止从诊疗床上跌落受伤；医师或家长不要用力牵拉小儿四肢，避免扭伤。</w:t>
            </w:r>
          </w:p>
          <w:p w14:paraId="494A90F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7.3 小儿推拿操作前后30min之内不应进食。</w:t>
            </w:r>
          </w:p>
          <w:p w14:paraId="1D64F5E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7.4 小儿饥饿者不可进行推拿治疗。</w:t>
            </w:r>
          </w:p>
          <w:p w14:paraId="5483B4D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7.5 出汗多者要及时补充水分。</w:t>
            </w:r>
          </w:p>
          <w:p w14:paraId="56D34A47">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7.6 需忌食生冷、注意保暖等。</w:t>
            </w:r>
          </w:p>
        </w:tc>
        <w:tc>
          <w:tcPr>
            <w:tcW w:w="1100" w:type="dxa"/>
            <w:noWrap w:val="0"/>
            <w:vAlign w:val="top"/>
          </w:tcPr>
          <w:p w14:paraId="13A53FFF">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5</w:t>
            </w:r>
          </w:p>
        </w:tc>
        <w:tc>
          <w:tcPr>
            <w:tcW w:w="1076" w:type="dxa"/>
            <w:noWrap w:val="0"/>
            <w:vAlign w:val="top"/>
          </w:tcPr>
          <w:p w14:paraId="3BBF3A5D">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18.52%</w:t>
            </w:r>
          </w:p>
        </w:tc>
      </w:tr>
      <w:tr w14:paraId="0C12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F744DE3">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B.7.2.4 操作后的处理：7.2.4.1 局部皮肤可能出现充血泛红，片刻后可恢复正常，属推拿后的正常反应，一般无需处理。</w:t>
            </w:r>
          </w:p>
          <w:p w14:paraId="3082417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7.2.4.2 需将儿童身上的汗液擦干，注意保暖避风寒，防止感冒，并忌食生冷。</w:t>
            </w:r>
          </w:p>
          <w:p w14:paraId="6AF34B3E">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 xml:space="preserve">7.2.4.3 操作者应认真清洗或使用免洗消毒液清洁双手，保持手部清洁，避免交叉感染发生。       </w:t>
            </w:r>
          </w:p>
        </w:tc>
        <w:tc>
          <w:tcPr>
            <w:tcW w:w="1100" w:type="dxa"/>
            <w:noWrap w:val="0"/>
            <w:vAlign w:val="top"/>
          </w:tcPr>
          <w:p w14:paraId="74856FCC">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5</w:t>
            </w:r>
          </w:p>
        </w:tc>
        <w:tc>
          <w:tcPr>
            <w:tcW w:w="1076" w:type="dxa"/>
            <w:noWrap w:val="0"/>
            <w:vAlign w:val="top"/>
          </w:tcPr>
          <w:p w14:paraId="1C7DD0F4">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18.52%</w:t>
            </w:r>
          </w:p>
        </w:tc>
      </w:tr>
      <w:tr w14:paraId="2EC70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404AB9C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C</w:t>
            </w:r>
            <w:r>
              <w:rPr>
                <w:rFonts w:hint="default" w:ascii="仿宋" w:hAnsi="仿宋" w:eastAsia="仿宋" w:cs="Segoe UI"/>
                <w:color w:val="000000"/>
                <w:sz w:val="24"/>
                <w:szCs w:val="24"/>
                <w:lang w:val="en-US" w:eastAsia="zh-CN"/>
              </w:rPr>
              <w:t>.</w:t>
            </w:r>
            <w:r>
              <w:rPr>
                <w:rFonts w:hint="eastAsia" w:ascii="仿宋" w:hAnsi="仿宋" w:eastAsia="仿宋" w:cs="Segoe UI"/>
                <w:color w:val="000000"/>
                <w:sz w:val="24"/>
                <w:szCs w:val="24"/>
                <w:lang w:val="en-US" w:eastAsia="zh-CN"/>
              </w:rPr>
              <w:t>沿用国家标准原文。</w:t>
            </w:r>
          </w:p>
        </w:tc>
        <w:tc>
          <w:tcPr>
            <w:tcW w:w="1100" w:type="dxa"/>
            <w:noWrap w:val="0"/>
            <w:vAlign w:val="top"/>
          </w:tcPr>
          <w:p w14:paraId="66CD5B12">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6</w:t>
            </w:r>
          </w:p>
        </w:tc>
        <w:tc>
          <w:tcPr>
            <w:tcW w:w="1076" w:type="dxa"/>
            <w:noWrap w:val="0"/>
            <w:vAlign w:val="top"/>
          </w:tcPr>
          <w:p w14:paraId="3E4F3F60">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22.22%</w:t>
            </w:r>
          </w:p>
        </w:tc>
      </w:tr>
      <w:tr w14:paraId="6026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63" w:type="dxa"/>
            <w:noWrap w:val="0"/>
            <w:vAlign w:val="top"/>
          </w:tcPr>
          <w:p w14:paraId="026FEF8C">
            <w:pPr>
              <w:widowControl/>
              <w:spacing w:line="400" w:lineRule="exact"/>
              <w:jc w:val="left"/>
              <w:rPr>
                <w:rFonts w:hint="eastAsia" w:ascii="仿宋" w:hAnsi="仿宋" w:eastAsia="仿宋" w:cs="Segoe UI"/>
                <w:color w:val="000000"/>
                <w:sz w:val="24"/>
                <w:szCs w:val="24"/>
                <w:lang w:val="en-US" w:eastAsia="zh-CN"/>
              </w:rPr>
            </w:pPr>
            <w:r>
              <w:rPr>
                <w:rFonts w:hint="default" w:ascii="仿宋" w:hAnsi="仿宋" w:eastAsia="仿宋" w:cs="Segoe UI"/>
                <w:color w:val="000000"/>
                <w:sz w:val="24"/>
                <w:szCs w:val="24"/>
                <w:lang w:val="en-US" w:eastAsia="zh-CN"/>
              </w:rPr>
              <w:t>D.</w:t>
            </w:r>
            <w:r>
              <w:rPr>
                <w:rFonts w:hint="eastAsia" w:ascii="仿宋" w:hAnsi="仿宋" w:eastAsia="仿宋" w:cs="Segoe UI"/>
                <w:color w:val="000000"/>
                <w:sz w:val="24"/>
                <w:szCs w:val="24"/>
                <w:lang w:val="en-US" w:eastAsia="zh-CN"/>
              </w:rPr>
              <w:t>综合以上内容。</w:t>
            </w:r>
          </w:p>
        </w:tc>
        <w:tc>
          <w:tcPr>
            <w:tcW w:w="1100" w:type="dxa"/>
            <w:noWrap w:val="0"/>
            <w:vAlign w:val="top"/>
          </w:tcPr>
          <w:p w14:paraId="0C1F783D">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11</w:t>
            </w:r>
          </w:p>
        </w:tc>
        <w:tc>
          <w:tcPr>
            <w:tcW w:w="1076" w:type="dxa"/>
            <w:noWrap w:val="0"/>
            <w:vAlign w:val="top"/>
          </w:tcPr>
          <w:p w14:paraId="203564D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40.74%</w:t>
            </w:r>
          </w:p>
        </w:tc>
      </w:tr>
    </w:tbl>
    <w:p w14:paraId="56F41433">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专家文字建议：</w:t>
      </w:r>
    </w:p>
    <w:p w14:paraId="5DFE9FED">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①张删除这一句：患儿治疗完毕后30min之内不要进食。</w:t>
      </w:r>
    </w:p>
    <w:p w14:paraId="4780F199">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②可以保留“患儿治疗完毕后30min之内不要进食”的表述。</w:t>
      </w:r>
    </w:p>
    <w:p w14:paraId="57A0C310">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③一个穴位可推 500 次，看病情和孩子的年龄而定。</w:t>
      </w:r>
    </w:p>
    <w:p w14:paraId="393A45D0">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④需要删减“患儿治疗完毕后30min之内不要进食”该表述，应根据具体病情具体分析，并非全部疾病在治疗完毕后30min之内都不能进食。</w:t>
      </w:r>
    </w:p>
    <w:p w14:paraId="7A2200B2">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⑤用C，但删除“患儿治疗完毕后30min之内不要进食”。</w:t>
      </w:r>
    </w:p>
    <w:p w14:paraId="32D4BF5C">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⑥保留患儿治疗完毕后30min之内不要进食。</w:t>
      </w:r>
    </w:p>
    <w:p w14:paraId="1E420566">
      <w:pPr>
        <w:widowControl/>
        <w:spacing w:after="0" w:line="400" w:lineRule="exact"/>
        <w:ind w:firstLine="480"/>
        <w:jc w:val="left"/>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⑦建议将“绝对30 min不进食”调整为“治疗前后短时间内避免大量进食与剧烈活动；可少量温水补液，注意擦干汗液与保暖”。同时保留：防跌落、勿用力牵拉四肢、异常皮肤应及时清洁消毒等刚性条款；操作后清洁/手消要求参照B项并入正文。</w:t>
      </w:r>
    </w:p>
    <w:p w14:paraId="75D34FFE">
      <w:pPr>
        <w:widowControl/>
        <w:spacing w:after="0" w:line="400" w:lineRule="exact"/>
        <w:ind w:firstLine="480"/>
        <w:jc w:val="left"/>
        <w:rPr>
          <w:rFonts w:hint="eastAsia" w:ascii="宋体" w:hAnsi="宋体" w:eastAsia="宋体" w:cs="黑体"/>
          <w:kern w:val="0"/>
          <w:sz w:val="21"/>
          <w:szCs w:val="21"/>
          <w:lang w:val="en-US" w:eastAsia="zh-CN" w:bidi="ar-SA"/>
        </w:rPr>
      </w:pPr>
      <w:r>
        <w:rPr>
          <w:rFonts w:hint="eastAsia" w:ascii="仿宋" w:hAnsi="仿宋" w:eastAsia="仿宋" w:cs="Calibri"/>
          <w:color w:val="000000"/>
          <w:kern w:val="0"/>
          <w:sz w:val="24"/>
          <w:szCs w:val="24"/>
          <w:lang w:val="en-US" w:eastAsia="zh-CN"/>
        </w:rPr>
        <w:t>⑧需要删减“患儿治疗完毕后30min之内不要进食”表述。</w:t>
      </w:r>
    </w:p>
    <w:p w14:paraId="45F42454">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rPr>
        <w:t>3.3开放性问题汇总</w:t>
      </w:r>
    </w:p>
    <w:p w14:paraId="6D62F0B4">
      <w:pPr>
        <w:widowControl/>
        <w:spacing w:after="0" w:line="400" w:lineRule="exact"/>
        <w:ind w:firstLine="480"/>
        <w:jc w:val="center"/>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表55 开放性问题专家意见汇总表</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
        <w:gridCol w:w="8499"/>
      </w:tblGrid>
      <w:tr w14:paraId="1FE8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4C459809">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主题</w:t>
            </w:r>
          </w:p>
        </w:tc>
        <w:tc>
          <w:tcPr>
            <w:tcW w:w="0" w:type="auto"/>
            <w:noWrap w:val="0"/>
            <w:vAlign w:val="top"/>
          </w:tcPr>
          <w:p w14:paraId="3A077D25">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专家意见</w:t>
            </w:r>
          </w:p>
        </w:tc>
      </w:tr>
      <w:tr w14:paraId="39D0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FFB4601">
            <w:pPr>
              <w:widowControl/>
              <w:spacing w:line="400" w:lineRule="exact"/>
              <w:jc w:val="left"/>
              <w:rPr>
                <w:rFonts w:hint="default"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穴位定位</w:t>
            </w:r>
          </w:p>
        </w:tc>
        <w:tc>
          <w:tcPr>
            <w:tcW w:w="0" w:type="auto"/>
            <w:noWrap w:val="0"/>
            <w:vAlign w:val="top"/>
          </w:tcPr>
          <w:p w14:paraId="7473AB2B">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建议将肾经定位改为小指末节螺纹面，或小指掌面稍偏尺侧，自小指尖直至掌根成一直线。</w:t>
            </w:r>
          </w:p>
        </w:tc>
      </w:tr>
      <w:tr w14:paraId="13AE9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9ED60CA">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建议</w:t>
            </w:r>
          </w:p>
        </w:tc>
        <w:tc>
          <w:tcPr>
            <w:tcW w:w="0" w:type="auto"/>
            <w:noWrap w:val="0"/>
            <w:vAlign w:val="top"/>
          </w:tcPr>
          <w:p w14:paraId="346F80D8">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建议还要认真检索ISO、WHO有关小儿推拿的相关标准、指南，以作对照。</w:t>
            </w:r>
          </w:p>
          <w:p w14:paraId="28F40185">
            <w:pPr>
              <w:widowControl/>
              <w:spacing w:line="400" w:lineRule="exact"/>
              <w:jc w:val="left"/>
              <w:rPr>
                <w:rFonts w:hint="eastAsia" w:ascii="仿宋" w:hAnsi="仿宋" w:eastAsia="仿宋" w:cs="Segoe UI"/>
                <w:color w:val="000000"/>
                <w:sz w:val="24"/>
                <w:szCs w:val="24"/>
                <w:lang w:val="en-US" w:eastAsia="zh-CN"/>
              </w:rPr>
            </w:pPr>
            <w:r>
              <w:rPr>
                <w:rFonts w:hint="eastAsia" w:ascii="仿宋" w:hAnsi="仿宋" w:eastAsia="仿宋" w:cs="Segoe UI"/>
                <w:color w:val="000000"/>
                <w:sz w:val="24"/>
                <w:szCs w:val="24"/>
                <w:lang w:val="en-US" w:eastAsia="zh-CN"/>
              </w:rPr>
              <w:t>尽量保留小儿推拿的精髓。尊重原作者的精神。</w:t>
            </w:r>
          </w:p>
        </w:tc>
      </w:tr>
    </w:tbl>
    <w:p w14:paraId="4BA86AE3">
      <w:pPr>
        <w:autoSpaceDE w:val="0"/>
        <w:autoSpaceDN w:val="0"/>
        <w:adjustRightInd w:val="0"/>
        <w:spacing w:line="400" w:lineRule="exact"/>
        <w:jc w:val="left"/>
        <w:rPr>
          <w:rFonts w:hint="eastAsia" w:ascii="仿宋" w:hAnsi="仿宋" w:eastAsia="仿宋" w:cs="黑体"/>
          <w:b/>
          <w:bCs/>
          <w:kern w:val="0"/>
          <w:sz w:val="24"/>
          <w:szCs w:val="24"/>
        </w:rPr>
      </w:pPr>
      <w:r>
        <w:rPr>
          <w:rFonts w:hint="eastAsia" w:ascii="仿宋" w:hAnsi="仿宋" w:eastAsia="仿宋" w:cs="黑体"/>
          <w:b/>
          <w:bCs/>
          <w:kern w:val="0"/>
          <w:sz w:val="24"/>
          <w:szCs w:val="24"/>
          <w:lang w:val="en-US" w:eastAsia="zh-CN"/>
        </w:rPr>
        <w:t>四、</w:t>
      </w:r>
      <w:r>
        <w:rPr>
          <w:rFonts w:hint="eastAsia" w:ascii="仿宋" w:hAnsi="仿宋" w:eastAsia="仿宋" w:cs="黑体"/>
          <w:b/>
          <w:bCs/>
          <w:kern w:val="0"/>
          <w:sz w:val="24"/>
          <w:szCs w:val="24"/>
        </w:rPr>
        <w:t>讨论</w:t>
      </w:r>
    </w:p>
    <w:p w14:paraId="568C8375">
      <w:pPr>
        <w:autoSpaceDE w:val="0"/>
        <w:autoSpaceDN w:val="0"/>
        <w:adjustRightInd w:val="0"/>
        <w:spacing w:line="400" w:lineRule="exact"/>
        <w:jc w:val="left"/>
        <w:rPr>
          <w:rFonts w:hint="eastAsia" w:ascii="仿宋" w:hAnsi="仿宋" w:eastAsia="仿宋" w:cs="黑体"/>
          <w:b/>
          <w:bCs/>
          <w:kern w:val="0"/>
          <w:sz w:val="24"/>
          <w:szCs w:val="24"/>
          <w:lang w:val="en-US" w:eastAsia="zh-CN"/>
        </w:rPr>
      </w:pPr>
      <w:r>
        <w:rPr>
          <w:rFonts w:hint="eastAsia" w:ascii="仿宋" w:hAnsi="仿宋" w:eastAsia="仿宋" w:cs="黑体"/>
          <w:b/>
          <w:bCs/>
          <w:kern w:val="0"/>
          <w:sz w:val="24"/>
          <w:szCs w:val="24"/>
          <w:lang w:val="en-US" w:eastAsia="zh-CN"/>
        </w:rPr>
        <w:t>（一）调查工作科学严谨，专家构成具有国际权威性</w:t>
      </w:r>
    </w:p>
    <w:p w14:paraId="0343F595">
      <w:pPr>
        <w:autoSpaceDE w:val="0"/>
        <w:autoSpaceDN w:val="0"/>
        <w:adjustRightInd w:val="0"/>
        <w:spacing w:after="0" w:line="400" w:lineRule="exact"/>
        <w:ind w:firstLine="480" w:firstLineChars="200"/>
        <w:rPr>
          <w:rFonts w:hint="eastAsia" w:ascii="宋体" w:hAnsi="宋体" w:eastAsia="宋体" w:cs="黑体"/>
          <w:kern w:val="0"/>
          <w:sz w:val="21"/>
          <w:szCs w:val="21"/>
          <w:lang w:val="en-US" w:eastAsia="zh-CN" w:bidi="ar-SA"/>
        </w:rPr>
      </w:pPr>
      <w:r>
        <w:rPr>
          <w:rFonts w:hint="eastAsia" w:ascii="仿宋" w:hAnsi="仿宋" w:eastAsia="仿宋" w:cs="Calibri"/>
          <w:color w:val="000000"/>
          <w:kern w:val="0"/>
          <w:sz w:val="24"/>
          <w:szCs w:val="24"/>
          <w:lang w:val="en-US" w:eastAsia="zh-CN"/>
        </w:rPr>
        <w:t>本次国际标准专家问卷调查严格遵循标准化程序开展，其组织实施的规范性与专家群体的代表性均达到国际高水平标准。来自全球七大区域的二十七位专家构成一个学术造诣深厚、临床经验丰富的权威群体，其中具备高级专业技术职称者占比达92.6%，博士学位持有者占59.3%，平均从业年限超过三十年。这种高素质的专家构成确保了咨询意见的专业深度与国际广度，为小儿推拿技术国际标准制定提供了坚实的人才智力支撑。高达90%的问卷有效回收率充分反映了全球专家对本项工作的重视程度与积极参与态度，保障了调查结果的科学性与可信度。</w:t>
      </w:r>
    </w:p>
    <w:p w14:paraId="356EBC3F">
      <w:pPr>
        <w:autoSpaceDE w:val="0"/>
        <w:autoSpaceDN w:val="0"/>
        <w:adjustRightInd w:val="0"/>
        <w:spacing w:line="400" w:lineRule="exact"/>
        <w:jc w:val="left"/>
        <w:rPr>
          <w:rFonts w:hint="eastAsia" w:ascii="仿宋" w:hAnsi="仿宋" w:eastAsia="仿宋" w:cs="黑体"/>
          <w:b/>
          <w:bCs/>
          <w:kern w:val="0"/>
          <w:sz w:val="24"/>
          <w:szCs w:val="24"/>
          <w:lang w:val="en-US" w:eastAsia="zh-CN"/>
        </w:rPr>
      </w:pPr>
      <w:r>
        <w:rPr>
          <w:rFonts w:hint="eastAsia" w:ascii="仿宋" w:hAnsi="仿宋" w:eastAsia="仿宋" w:cs="黑体"/>
          <w:b/>
          <w:bCs/>
          <w:kern w:val="0"/>
          <w:sz w:val="24"/>
          <w:szCs w:val="24"/>
          <w:lang w:val="en-US" w:eastAsia="zh-CN"/>
        </w:rPr>
        <w:t>（二）技术操作规范共识广泛，标准主体框架基本确立</w:t>
      </w:r>
    </w:p>
    <w:p w14:paraId="5B959614">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调查结果显示，专家群体在共计21个具体条目上形成了明确共识（支持率均超过50%），这些条目可直接采纳并应用于国际标准修订。这些共识内容构建了小儿推拿国际标准的核心体系。具体而言，共识领域涵盖三个重要维度：</w:t>
      </w:r>
    </w:p>
    <w:p w14:paraId="47F8B412">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在手法操作规范方面，共识内容广泛覆盖了特定复式手法的标准化操作描述：拍法、打马过天河、水底捞月等7种复杂手法已形成标准化操作流程。如拍法明确了"五指并拢、掌心空虚、以肘带腕"的技术要点；打马过天河规定了"食中二指沾水弹击20-30遍"的具体参数。</w:t>
      </w:r>
    </w:p>
    <w:p w14:paraId="7164446E">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在穴位定位标准方面，涵盖核心穴位的定位规范：脾经、四横纹、三关等10个核心穴位的定位达成一致。如脾经定位明确为"拇指末节螺纹面或桡侧缘"；四横纹确定为"掌面食、中、无名、小指近侧指间关节横纹处"。</w:t>
      </w:r>
    </w:p>
    <w:p w14:paraId="0E6D10C1">
      <w:pPr>
        <w:autoSpaceDE w:val="0"/>
        <w:autoSpaceDN w:val="0"/>
        <w:adjustRightInd w:val="0"/>
        <w:spacing w:after="0" w:line="400" w:lineRule="exact"/>
        <w:ind w:firstLine="480" w:firstLineChars="200"/>
        <w:rPr>
          <w:rFonts w:hint="eastAsia" w:ascii="宋体" w:hAnsi="宋体" w:eastAsia="宋体" w:cs="黑体"/>
          <w:kern w:val="0"/>
          <w:sz w:val="21"/>
          <w:szCs w:val="21"/>
          <w:lang w:val="en-US" w:eastAsia="zh-CN" w:bidi="ar-SA"/>
        </w:rPr>
      </w:pPr>
      <w:r>
        <w:rPr>
          <w:rFonts w:hint="eastAsia" w:ascii="仿宋" w:hAnsi="仿宋" w:eastAsia="仿宋" w:cs="Calibri"/>
          <w:color w:val="000000"/>
          <w:kern w:val="0"/>
          <w:sz w:val="24"/>
          <w:szCs w:val="24"/>
          <w:lang w:val="en-US" w:eastAsia="zh-CN"/>
        </w:rPr>
        <w:t>在辅助规范方面，对推拿介质的使用规范、操作环境的消毒要求、参考文献的遴选标准等配套内容也建立了统一认知。这表明在大量具体技术细节上，国际专家群体已具备统一的认知与实践基础，为标准的技术落地提供了清晰指引。</w:t>
      </w:r>
    </w:p>
    <w:p w14:paraId="469D7E07">
      <w:pPr>
        <w:autoSpaceDE w:val="0"/>
        <w:autoSpaceDN w:val="0"/>
        <w:adjustRightInd w:val="0"/>
        <w:spacing w:line="400" w:lineRule="exact"/>
        <w:jc w:val="left"/>
        <w:rPr>
          <w:rFonts w:hint="eastAsia" w:ascii="仿宋" w:hAnsi="仿宋" w:eastAsia="仿宋" w:cs="黑体"/>
          <w:b/>
          <w:bCs/>
          <w:kern w:val="0"/>
          <w:sz w:val="24"/>
          <w:szCs w:val="24"/>
          <w:lang w:val="en-US" w:eastAsia="zh-CN"/>
        </w:rPr>
      </w:pPr>
      <w:r>
        <w:rPr>
          <w:rFonts w:hint="eastAsia" w:ascii="仿宋" w:hAnsi="仿宋" w:eastAsia="仿宋" w:cs="黑体"/>
          <w:b/>
          <w:bCs/>
          <w:kern w:val="0"/>
          <w:sz w:val="24"/>
          <w:szCs w:val="24"/>
          <w:lang w:val="en-US" w:eastAsia="zh-CN"/>
        </w:rPr>
        <w:t>（三）理论体系呈现多元特征，学术包容与规范统一需并重</w:t>
      </w:r>
    </w:p>
    <w:p w14:paraId="5EE4A623">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尽管在具体操作层面取得了显著共识，但调查同时揭示了在12项基础性、纲领性条目上专家意见存在分歧。这种分歧主要体现在四个层面：</w:t>
      </w:r>
    </w:p>
    <w:p w14:paraId="626887BF">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在学科定义层面，对于小儿推拿的本质属性与作用机理存在不同角度的理论阐释；在操作原则层面，对于补泻理论的认识与运用各有侧重；在时间参数层面，对于治疗时长与疗程间隔存在基于不同临床经验的判断；在安全保障层面，对于禁忌证与注意事项的界定标准不尽相同。</w:t>
      </w:r>
    </w:p>
    <w:p w14:paraId="1C1B1FDA">
      <w:pPr>
        <w:autoSpaceDE w:val="0"/>
        <w:autoSpaceDN w:val="0"/>
        <w:adjustRightInd w:val="0"/>
        <w:spacing w:after="0" w:line="400" w:lineRule="exact"/>
        <w:ind w:firstLine="480" w:firstLineChars="200"/>
        <w:rPr>
          <w:rFonts w:hint="eastAsia" w:ascii="宋体" w:hAnsi="宋体" w:eastAsia="宋体" w:cs="黑体"/>
          <w:kern w:val="0"/>
          <w:sz w:val="21"/>
          <w:szCs w:val="21"/>
          <w:lang w:val="en-US" w:eastAsia="zh-CN" w:bidi="ar-SA"/>
        </w:rPr>
      </w:pPr>
      <w:r>
        <w:rPr>
          <w:rFonts w:hint="eastAsia" w:ascii="仿宋" w:hAnsi="仿宋" w:eastAsia="仿宋" w:cs="Calibri"/>
          <w:color w:val="000000"/>
          <w:kern w:val="0"/>
          <w:sz w:val="24"/>
          <w:szCs w:val="24"/>
          <w:lang w:val="en-US" w:eastAsia="zh-CN"/>
        </w:rPr>
        <w:t>这一现象深刻反映了小儿推拿学科内部因学术流派、师承体系、地域习惯及临床经验差异所导致的理论多元化与实践多样性。特别是对于操作补泻原则等核心理论，不同专家基于各自临床体会提出了不尽相同的补泻方法与判断标准，这构成了标准国际化进程中必须审慎处理与整合的关键学术议题。</w:t>
      </w:r>
    </w:p>
    <w:p w14:paraId="17B4C315">
      <w:pPr>
        <w:autoSpaceDE w:val="0"/>
        <w:autoSpaceDN w:val="0"/>
        <w:adjustRightInd w:val="0"/>
        <w:spacing w:line="400" w:lineRule="exact"/>
        <w:jc w:val="left"/>
        <w:rPr>
          <w:rFonts w:hint="eastAsia" w:ascii="仿宋" w:hAnsi="仿宋" w:eastAsia="仿宋" w:cs="黑体"/>
          <w:b/>
          <w:bCs/>
          <w:kern w:val="0"/>
          <w:sz w:val="24"/>
          <w:szCs w:val="24"/>
          <w:lang w:val="en-US" w:eastAsia="zh-CN"/>
        </w:rPr>
      </w:pPr>
      <w:r>
        <w:rPr>
          <w:rFonts w:hint="eastAsia" w:ascii="仿宋" w:hAnsi="仿宋" w:eastAsia="仿宋" w:cs="黑体"/>
          <w:b/>
          <w:bCs/>
          <w:kern w:val="0"/>
          <w:sz w:val="24"/>
          <w:szCs w:val="24"/>
          <w:lang w:val="en-US" w:eastAsia="zh-CN"/>
        </w:rPr>
        <w:t>（四）标准转化路径清晰明确，国际推广价值显著</w:t>
      </w:r>
    </w:p>
    <w:p w14:paraId="03D3EE59">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综上所述，本次问卷调查成功实现了预期目标，既明确了可直接转化的技术共识，也精准识别了亟待深入探讨的核心争议点。项目成果具有明确的二元性结构共识条目为国际标准草案提供了稳固的构建模块，而争议条目则清晰勾勒出需要凝聚国际共识的学术焦点领域。基于此，下一阶段工作的核心在于对存在分歧的条目进行系统性整合与深化研究。项目组需在综合各选项内容及专家具体文字建议的基础上，研拟出兼具科学性、包容性及临床可操作性的整合文本方案，提出制定草案相关的具体问题，并提交后续专家论证会进行重点审议。此举旨在最大限度地凝聚全球专家智慧，平衡传统精髓与国际普适性，最终形成一份能够获得广泛认可、并有效指导全球临床实践的《国际中医技术操作规范 儿科 小儿推拿疗法》标准。</w:t>
      </w:r>
    </w:p>
    <w:p w14:paraId="448D40F5">
      <w:pPr>
        <w:autoSpaceDE w:val="0"/>
        <w:autoSpaceDN w:val="0"/>
        <w:adjustRightInd w:val="0"/>
        <w:spacing w:line="400" w:lineRule="exact"/>
        <w:jc w:val="left"/>
        <w:rPr>
          <w:rFonts w:hint="eastAsia" w:ascii="仿宋" w:hAnsi="仿宋" w:eastAsia="仿宋" w:cs="黑体"/>
          <w:b/>
          <w:bCs/>
          <w:kern w:val="0"/>
          <w:sz w:val="24"/>
          <w:szCs w:val="24"/>
          <w:lang w:val="en-US" w:eastAsia="zh-CN"/>
        </w:rPr>
      </w:pPr>
      <w:r>
        <w:rPr>
          <w:rFonts w:hint="eastAsia" w:ascii="仿宋" w:hAnsi="仿宋" w:eastAsia="仿宋" w:cs="黑体"/>
          <w:b/>
          <w:bCs/>
          <w:kern w:val="0"/>
          <w:sz w:val="24"/>
          <w:szCs w:val="24"/>
          <w:lang w:val="en-US" w:eastAsia="zh-CN"/>
        </w:rPr>
        <w:t>五、结论与下一步工作计划</w:t>
      </w:r>
    </w:p>
    <w:p w14:paraId="44760D0E">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本次问卷为国际标准修订提供了关键依据，部分条目已形成高一致性意见，可直接纳入修改稿。对意见分歧显著的条目，将提交后续专家论证会重点讨论，其中含较多专家取有“综合以上内容”选项，拟由项目组综合各选项及专家文字建议提出新的文本供专家论证组讨论。</w:t>
      </w:r>
    </w:p>
    <w:p w14:paraId="4E4A4543">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下一阶段工作包括：①整理经本次问卷修订的国际标准草稿；②补充规范性引用文件、参考文献等附录内容；③召开专家论证会；④完成国际标准提案的最终文本。</w:t>
      </w:r>
    </w:p>
    <w:p w14:paraId="454BC611">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r>
        <w:rPr>
          <w:rFonts w:hint="eastAsia" w:ascii="仿宋" w:hAnsi="仿宋" w:eastAsia="仿宋" w:cs="Calibri"/>
          <w:color w:val="000000"/>
          <w:kern w:val="0"/>
          <w:sz w:val="24"/>
          <w:szCs w:val="24"/>
          <w:lang w:val="en-US" w:eastAsia="zh-CN"/>
        </w:rPr>
        <w:t>本研究为《中医技术操作规范  儿科  第4部分：小儿推拿疗法》国家标准向国际标准转化提供了科学依据，将有助于形成更加严谨、规范、具有国际认可度的中医儿科技术标准。</w:t>
      </w:r>
    </w:p>
    <w:p w14:paraId="5865554D">
      <w:pPr>
        <w:autoSpaceDE w:val="0"/>
        <w:autoSpaceDN w:val="0"/>
        <w:adjustRightInd w:val="0"/>
        <w:spacing w:after="0" w:line="400" w:lineRule="exact"/>
        <w:ind w:firstLine="480" w:firstLineChars="200"/>
        <w:rPr>
          <w:rFonts w:hint="eastAsia" w:ascii="仿宋" w:hAnsi="仿宋" w:eastAsia="仿宋" w:cs="Calibri"/>
          <w:color w:val="000000"/>
          <w:kern w:val="0"/>
          <w:sz w:val="24"/>
          <w:szCs w:val="24"/>
          <w:lang w:val="en-US" w:eastAsia="zh-CN"/>
        </w:rPr>
      </w:pPr>
    </w:p>
    <w:p w14:paraId="0AA02140">
      <w:pPr>
        <w:autoSpaceDE w:val="0"/>
        <w:autoSpaceDN w:val="0"/>
        <w:adjustRightInd w:val="0"/>
        <w:spacing w:after="0" w:line="400" w:lineRule="exact"/>
        <w:ind w:firstLine="480" w:firstLineChars="200"/>
        <w:rPr>
          <w:rFonts w:hint="eastAsia" w:ascii="宋体" w:hAnsi="宋体" w:eastAsia="宋体" w:cs="黑体"/>
          <w:kern w:val="0"/>
          <w:sz w:val="24"/>
        </w:rPr>
      </w:pPr>
    </w:p>
    <w:p w14:paraId="0C2EC8AA">
      <w:pPr>
        <w:autoSpaceDE w:val="0"/>
        <w:autoSpaceDN w:val="0"/>
        <w:adjustRightInd w:val="0"/>
        <w:spacing w:after="0" w:line="400" w:lineRule="exact"/>
        <w:ind w:firstLine="480" w:firstLineChars="200"/>
        <w:rPr>
          <w:rFonts w:hint="eastAsia" w:ascii="宋体" w:hAnsi="宋体" w:eastAsia="宋体" w:cs="黑体"/>
          <w:kern w:val="0"/>
          <w:sz w:val="24"/>
        </w:rPr>
      </w:pPr>
    </w:p>
    <w:p w14:paraId="725860A2">
      <w:pPr>
        <w:autoSpaceDE w:val="0"/>
        <w:autoSpaceDN w:val="0"/>
        <w:adjustRightInd w:val="0"/>
        <w:spacing w:after="0" w:line="400" w:lineRule="exact"/>
        <w:ind w:firstLine="480" w:firstLineChars="200"/>
        <w:rPr>
          <w:rFonts w:hint="eastAsia" w:ascii="宋体" w:hAnsi="宋体" w:eastAsia="宋体" w:cs="黑体"/>
          <w:kern w:val="0"/>
          <w:sz w:val="24"/>
        </w:rPr>
      </w:pPr>
    </w:p>
    <w:p w14:paraId="4CEF0A89">
      <w:pPr>
        <w:autoSpaceDE w:val="0"/>
        <w:autoSpaceDN w:val="0"/>
        <w:adjustRightInd w:val="0"/>
        <w:spacing w:after="0" w:line="400" w:lineRule="exact"/>
        <w:ind w:firstLine="480" w:firstLineChars="200"/>
        <w:rPr>
          <w:rFonts w:hint="eastAsia" w:ascii="宋体" w:hAnsi="宋体" w:eastAsia="宋体" w:cs="黑体"/>
          <w:kern w:val="0"/>
          <w:sz w:val="24"/>
        </w:rPr>
      </w:pPr>
    </w:p>
    <w:p w14:paraId="30B81662">
      <w:pPr>
        <w:autoSpaceDE w:val="0"/>
        <w:autoSpaceDN w:val="0"/>
        <w:adjustRightInd w:val="0"/>
        <w:spacing w:after="0" w:line="400" w:lineRule="exact"/>
        <w:ind w:firstLine="480" w:firstLineChars="200"/>
        <w:rPr>
          <w:rFonts w:hint="eastAsia" w:ascii="宋体" w:hAnsi="宋体" w:eastAsia="宋体" w:cs="黑体"/>
          <w:kern w:val="0"/>
          <w:sz w:val="24"/>
        </w:rPr>
        <w:sectPr>
          <w:footerReference r:id="rId5" w:type="default"/>
          <w:pgSz w:w="11906" w:h="16838"/>
          <w:pgMar w:top="1418" w:right="1134" w:bottom="1134" w:left="1418" w:header="851" w:footer="992" w:gutter="0"/>
          <w:cols w:space="720" w:num="1"/>
          <w:docGrid w:type="lines" w:linePitch="312" w:charSpace="0"/>
        </w:sectPr>
      </w:pPr>
    </w:p>
    <w:p w14:paraId="1B2D1BD4">
      <w:pPr>
        <w:rPr>
          <w:rFonts w:ascii="仿宋" w:hAnsi="仿宋" w:eastAsia="仿宋"/>
          <w:b/>
          <w:sz w:val="36"/>
          <w:szCs w:val="36"/>
        </w:rPr>
      </w:pPr>
      <w:r>
        <w:rPr>
          <w:rFonts w:hint="eastAsia" w:ascii="仿宋" w:hAnsi="仿宋" w:eastAsia="仿宋"/>
          <w:b/>
          <w:sz w:val="36"/>
          <w:szCs w:val="36"/>
        </w:rPr>
        <w:t>附件</w:t>
      </w:r>
      <w:r>
        <w:rPr>
          <w:rFonts w:ascii="仿宋" w:hAnsi="仿宋" w:eastAsia="仿宋"/>
          <w:b/>
          <w:sz w:val="36"/>
          <w:szCs w:val="36"/>
        </w:rPr>
        <w:t>2</w:t>
      </w:r>
    </w:p>
    <w:p w14:paraId="2778C5EF">
      <w:pPr>
        <w:keepNext/>
        <w:keepLines/>
        <w:spacing w:after="312" w:afterLines="100"/>
        <w:jc w:val="center"/>
        <w:outlineLvl w:val="1"/>
        <w:rPr>
          <w:rFonts w:hint="eastAsia" w:ascii="仿宋" w:hAnsi="仿宋" w:eastAsia="仿宋"/>
          <w:b/>
          <w:bCs/>
          <w:sz w:val="36"/>
          <w:szCs w:val="36"/>
        </w:rPr>
      </w:pPr>
      <w:bookmarkStart w:id="2" w:name="_Toc469601980"/>
      <w:r>
        <w:rPr>
          <w:rFonts w:ascii="仿宋" w:hAnsi="仿宋" w:eastAsia="仿宋"/>
          <w:b/>
          <w:bCs/>
          <w:sz w:val="36"/>
          <w:szCs w:val="36"/>
        </w:rPr>
        <w:t>专家论证会会议纪要</w:t>
      </w:r>
      <w:bookmarkEnd w:id="2"/>
    </w:p>
    <w:p w14:paraId="2F3A4334">
      <w:pPr>
        <w:spacing w:line="400" w:lineRule="exact"/>
        <w:jc w:val="left"/>
        <w:rPr>
          <w:rFonts w:hint="eastAsia" w:ascii="仿宋" w:hAnsi="仿宋" w:eastAsia="仿宋"/>
          <w:sz w:val="24"/>
          <w:szCs w:val="24"/>
        </w:rPr>
      </w:pPr>
      <w:r>
        <w:rPr>
          <w:rFonts w:hint="eastAsia" w:ascii="仿宋" w:hAnsi="仿宋" w:eastAsia="仿宋"/>
          <w:b/>
          <w:bCs/>
          <w:sz w:val="24"/>
          <w:szCs w:val="24"/>
        </w:rPr>
        <w:t>会议时间</w:t>
      </w:r>
      <w:r>
        <w:rPr>
          <w:rFonts w:hint="eastAsia" w:ascii="仿宋" w:hAnsi="仿宋" w:eastAsia="仿宋"/>
          <w:sz w:val="24"/>
          <w:szCs w:val="24"/>
        </w:rPr>
        <w:t>：2025年12月3日 19:00-21:00</w:t>
      </w:r>
    </w:p>
    <w:p w14:paraId="7E328285">
      <w:pPr>
        <w:spacing w:line="400" w:lineRule="exact"/>
        <w:jc w:val="left"/>
        <w:rPr>
          <w:rFonts w:hint="eastAsia" w:ascii="仿宋" w:hAnsi="仿宋" w:eastAsia="仿宋"/>
          <w:sz w:val="24"/>
          <w:szCs w:val="24"/>
        </w:rPr>
      </w:pPr>
      <w:r>
        <w:rPr>
          <w:rFonts w:hint="eastAsia" w:ascii="仿宋" w:hAnsi="仿宋" w:eastAsia="仿宋"/>
          <w:b/>
          <w:bCs/>
          <w:sz w:val="24"/>
          <w:szCs w:val="24"/>
        </w:rPr>
        <w:t>会议地点：</w:t>
      </w:r>
      <w:r>
        <w:rPr>
          <w:rFonts w:hint="eastAsia" w:ascii="仿宋" w:hAnsi="仿宋" w:eastAsia="仿宋"/>
          <w:sz w:val="24"/>
          <w:szCs w:val="24"/>
        </w:rPr>
        <w:t>中国·南京（线下+线上结合）</w:t>
      </w:r>
    </w:p>
    <w:p w14:paraId="0C935F50">
      <w:pPr>
        <w:spacing w:line="400" w:lineRule="exact"/>
        <w:jc w:val="left"/>
        <w:rPr>
          <w:rFonts w:hint="eastAsia" w:ascii="仿宋" w:hAnsi="仿宋" w:eastAsia="仿宋"/>
          <w:sz w:val="24"/>
          <w:szCs w:val="24"/>
        </w:rPr>
      </w:pPr>
      <w:r>
        <w:rPr>
          <w:rFonts w:hint="eastAsia" w:ascii="仿宋" w:hAnsi="仿宋" w:eastAsia="仿宋"/>
          <w:b/>
          <w:bCs/>
          <w:sz w:val="24"/>
          <w:szCs w:val="24"/>
        </w:rPr>
        <w:t>会议性质：</w:t>
      </w:r>
      <w:r>
        <w:rPr>
          <w:rFonts w:hint="eastAsia" w:ascii="仿宋" w:hAnsi="仿宋" w:eastAsia="仿宋"/>
          <w:sz w:val="24"/>
          <w:szCs w:val="24"/>
        </w:rPr>
        <w:t>国家标准（GB/Z 40893.</w:t>
      </w:r>
      <w:r>
        <w:rPr>
          <w:rFonts w:hint="eastAsia" w:ascii="仿宋" w:hAnsi="仿宋" w:eastAsia="仿宋"/>
          <w:sz w:val="24"/>
          <w:szCs w:val="24"/>
          <w:lang w:val="en-US" w:eastAsia="zh-CN"/>
        </w:rPr>
        <w:t>4</w:t>
      </w:r>
      <w:r>
        <w:rPr>
          <w:rFonts w:hint="eastAsia" w:ascii="仿宋" w:hAnsi="仿宋" w:eastAsia="仿宋"/>
          <w:sz w:val="24"/>
          <w:szCs w:val="24"/>
        </w:rPr>
        <w:t>-2021）向世界中医药学会联合会（WFCMS）国际标准转化专家论证会</w:t>
      </w:r>
    </w:p>
    <w:p w14:paraId="1F31A2E6">
      <w:pPr>
        <w:spacing w:line="400" w:lineRule="exact"/>
        <w:jc w:val="left"/>
        <w:rPr>
          <w:rFonts w:hint="eastAsia" w:ascii="仿宋" w:hAnsi="仿宋" w:eastAsia="仿宋"/>
          <w:b/>
          <w:bCs/>
          <w:sz w:val="24"/>
          <w:szCs w:val="24"/>
        </w:rPr>
      </w:pPr>
      <w:r>
        <w:rPr>
          <w:rFonts w:hint="eastAsia" w:ascii="仿宋" w:hAnsi="仿宋" w:eastAsia="仿宋"/>
          <w:b/>
          <w:bCs/>
          <w:sz w:val="24"/>
          <w:szCs w:val="24"/>
        </w:rPr>
        <w:t>参会人员：</w:t>
      </w:r>
    </w:p>
    <w:p w14:paraId="6C978C00">
      <w:pPr>
        <w:spacing w:line="400" w:lineRule="exact"/>
        <w:jc w:val="left"/>
        <w:rPr>
          <w:rFonts w:hint="eastAsia" w:ascii="仿宋" w:hAnsi="仿宋" w:eastAsia="仿宋"/>
          <w:sz w:val="24"/>
          <w:szCs w:val="24"/>
        </w:rPr>
      </w:pPr>
      <w:r>
        <w:rPr>
          <w:rFonts w:hint="eastAsia" w:ascii="仿宋" w:hAnsi="仿宋" w:eastAsia="仿宋"/>
          <w:b/>
          <w:bCs/>
          <w:sz w:val="24"/>
          <w:szCs w:val="24"/>
        </w:rPr>
        <w:t>论证会专家组组长：</w:t>
      </w:r>
      <w:r>
        <w:rPr>
          <w:rFonts w:hint="eastAsia" w:ascii="仿宋" w:hAnsi="仿宋" w:eastAsia="仿宋"/>
          <w:sz w:val="24"/>
          <w:szCs w:val="24"/>
        </w:rPr>
        <w:t>汪受传（南京中医药大学）</w:t>
      </w:r>
    </w:p>
    <w:p w14:paraId="6208DBB9">
      <w:pPr>
        <w:spacing w:line="400" w:lineRule="exact"/>
        <w:jc w:val="left"/>
        <w:rPr>
          <w:rFonts w:hint="eastAsia" w:ascii="仿宋" w:hAnsi="仿宋" w:eastAsia="仿宋"/>
          <w:sz w:val="24"/>
          <w:szCs w:val="24"/>
        </w:rPr>
      </w:pPr>
      <w:r>
        <w:rPr>
          <w:rFonts w:hint="eastAsia" w:ascii="仿宋" w:hAnsi="仿宋" w:eastAsia="仿宋"/>
          <w:b/>
          <w:bCs/>
          <w:sz w:val="24"/>
          <w:szCs w:val="24"/>
        </w:rPr>
        <w:t>专家组：组长：</w:t>
      </w:r>
      <w:r>
        <w:rPr>
          <w:rFonts w:hint="eastAsia" w:ascii="仿宋" w:hAnsi="仿宋" w:eastAsia="仿宋"/>
          <w:sz w:val="24"/>
          <w:szCs w:val="24"/>
        </w:rPr>
        <w:t>丁樱（河南中医药大学）。</w:t>
      </w:r>
      <w:r>
        <w:rPr>
          <w:rFonts w:hint="eastAsia" w:ascii="仿宋" w:hAnsi="仿宋" w:eastAsia="仿宋"/>
          <w:b/>
          <w:bCs/>
          <w:sz w:val="24"/>
          <w:szCs w:val="24"/>
        </w:rPr>
        <w:t>成员（按姓氏笔画排序）：</w:t>
      </w:r>
      <w:r>
        <w:rPr>
          <w:rFonts w:hint="eastAsia" w:ascii="仿宋" w:hAnsi="仿宋" w:eastAsia="仿宋"/>
          <w:sz w:val="24"/>
          <w:szCs w:val="24"/>
        </w:rPr>
        <w:t>万力生（深圳市儿童医院）、马融（天津中医药大学第一附属医院）、王有鹏（黑龙江中医药大学附属第二医院）、王丽丽（世界中医药学会联合会国际标准部）、王素梅（北京中医药大学东方医院）、史正刚（甘肃中医药大学）、刘建忠（湖北中医药大学）、虞坚尔（上海中医药大学）、熊磊（云南中医药大学）、张葆青（山东中医药大学附属医院）、俞建（复旦大学儿科医院）、戴启刚（南京中医药大学）</w:t>
      </w:r>
    </w:p>
    <w:p w14:paraId="0B587F9F">
      <w:pPr>
        <w:spacing w:line="400" w:lineRule="exact"/>
        <w:jc w:val="left"/>
        <w:rPr>
          <w:rFonts w:hint="eastAsia" w:ascii="仿宋" w:hAnsi="仿宋" w:eastAsia="仿宋"/>
          <w:b/>
          <w:bCs/>
          <w:sz w:val="24"/>
          <w:szCs w:val="24"/>
        </w:rPr>
      </w:pPr>
      <w:r>
        <w:rPr>
          <w:rFonts w:hint="eastAsia" w:ascii="仿宋" w:hAnsi="仿宋" w:eastAsia="仿宋"/>
          <w:b/>
          <w:bCs/>
          <w:sz w:val="24"/>
          <w:szCs w:val="24"/>
        </w:rPr>
        <w:t>一、会议背景与工作基础</w:t>
      </w:r>
    </w:p>
    <w:p w14:paraId="609C721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本次专家论证会是</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国际标准转化项目的关键性节点会议。为提升会议效率与决策科学性，项目组于会前向全体论证专家发送了论证会全套材料，内容包括：</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专家问卷调查总结报告、</w:t>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专家论证会征求意见函（包括</w:t>
      </w:r>
      <w:r>
        <w:rPr>
          <w:rFonts w:hint="eastAsia" w:ascii="仿宋" w:hAnsi="仿宋" w:eastAsia="仿宋"/>
          <w:sz w:val="24"/>
          <w:szCs w:val="24"/>
          <w:lang w:val="en-US" w:eastAsia="zh-CN"/>
        </w:rPr>
        <w:t>12</w:t>
      </w:r>
      <w:r>
        <w:rPr>
          <w:rFonts w:hint="eastAsia" w:ascii="仿宋" w:hAnsi="仿宋" w:eastAsia="仿宋"/>
          <w:sz w:val="24"/>
          <w:szCs w:val="24"/>
        </w:rPr>
        <w:t>项核心争议条目、开放性问题及项目组整合建议）、原国家标准文本《GBZ 40893.</w:t>
      </w:r>
      <w:r>
        <w:rPr>
          <w:rFonts w:hint="eastAsia" w:ascii="仿宋" w:hAnsi="仿宋" w:eastAsia="仿宋"/>
          <w:sz w:val="24"/>
          <w:szCs w:val="24"/>
          <w:lang w:val="en-US" w:eastAsia="zh-CN"/>
        </w:rPr>
        <w:t>4</w:t>
      </w:r>
      <w:r>
        <w:rPr>
          <w:rFonts w:hint="eastAsia" w:ascii="仿宋" w:hAnsi="仿宋" w:eastAsia="仿宋"/>
          <w:sz w:val="24"/>
          <w:szCs w:val="24"/>
        </w:rPr>
        <w:t>-2021 中医技术操作规范 儿科 第</w:t>
      </w:r>
      <w:r>
        <w:rPr>
          <w:rFonts w:hint="eastAsia" w:ascii="仿宋" w:hAnsi="仿宋" w:eastAsia="仿宋"/>
          <w:sz w:val="24"/>
          <w:szCs w:val="24"/>
          <w:lang w:val="en-US" w:eastAsia="zh-CN"/>
        </w:rPr>
        <w:t>4</w:t>
      </w:r>
      <w:r>
        <w:rPr>
          <w:rFonts w:hint="eastAsia" w:ascii="仿宋" w:hAnsi="仿宋" w:eastAsia="仿宋"/>
          <w:sz w:val="24"/>
          <w:szCs w:val="24"/>
        </w:rPr>
        <w:t>部分：小儿</w:t>
      </w:r>
      <w:r>
        <w:rPr>
          <w:rFonts w:hint="eastAsia" w:ascii="仿宋" w:hAnsi="仿宋" w:eastAsia="仿宋"/>
          <w:sz w:val="24"/>
          <w:szCs w:val="24"/>
          <w:lang w:val="en-US" w:eastAsia="zh-CN"/>
        </w:rPr>
        <w:t>推拿疗法</w:t>
      </w:r>
      <w:r>
        <w:rPr>
          <w:rFonts w:hint="eastAsia" w:ascii="仿宋" w:hAnsi="仿宋" w:eastAsia="仿宋"/>
          <w:sz w:val="24"/>
          <w:szCs w:val="24"/>
        </w:rPr>
        <w:t>》。</w:t>
      </w:r>
    </w:p>
    <w:p w14:paraId="5DE03C23">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会议采取“会前函审+会中论证+会后书面确认”的三段式工作模式。专家在会前已基于征求意见函内容进行独立审阅与初步评分，会中针对重点争议问题进行集中研讨，会后1周内（12月10日前）将书面意见函返回项目组邮箱，确保每位专家的最终意见得到完整记录。</w:t>
      </w:r>
    </w:p>
    <w:p w14:paraId="1E5E6686">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会议纪要综合了会议现场讨论记录与13位专家书面返回的征求意见函双重信息，对各项争议条目及开放性建议的论证过程、专家评分结果、修改建议及最终决议进行了系统梳理，作为标准编制说明的重要组成部分，提交世界中医药学会联合会国际标准部审查。</w:t>
      </w:r>
    </w:p>
    <w:p w14:paraId="3C90B2ED">
      <w:pPr>
        <w:spacing w:line="400" w:lineRule="exact"/>
        <w:jc w:val="left"/>
        <w:rPr>
          <w:rFonts w:hint="eastAsia" w:ascii="仿宋" w:hAnsi="仿宋" w:eastAsia="仿宋"/>
          <w:b/>
          <w:bCs/>
          <w:sz w:val="24"/>
          <w:szCs w:val="24"/>
        </w:rPr>
      </w:pPr>
      <w:r>
        <w:rPr>
          <w:rFonts w:hint="eastAsia" w:ascii="仿宋" w:hAnsi="仿宋" w:eastAsia="仿宋"/>
          <w:b/>
          <w:bCs/>
          <w:sz w:val="24"/>
          <w:szCs w:val="24"/>
        </w:rPr>
        <w:t>二、项目工作汇报</w:t>
      </w:r>
    </w:p>
    <w:p w14:paraId="613625AB">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项目</w:t>
      </w:r>
      <w:r>
        <w:rPr>
          <w:rFonts w:hint="eastAsia" w:ascii="仿宋" w:hAnsi="仿宋" w:eastAsia="仿宋"/>
          <w:sz w:val="24"/>
          <w:szCs w:val="24"/>
          <w:lang w:val="en-US" w:eastAsia="zh-CN"/>
        </w:rPr>
        <w:t>总</w:t>
      </w:r>
      <w:r>
        <w:rPr>
          <w:rFonts w:hint="eastAsia" w:ascii="仿宋" w:hAnsi="仿宋" w:eastAsia="仿宋"/>
          <w:sz w:val="24"/>
          <w:szCs w:val="24"/>
        </w:rPr>
        <w:t>负责人汪受传教授首先介绍了项目背景：本次转化工作源于2021年发布的中国国家标准，核心目标是通过严谨的循证研究与国际对标，形成具有科学性、安全性、可操作性的国际标准草案，推动</w:t>
      </w:r>
      <w:r>
        <w:rPr>
          <w:rFonts w:hint="eastAsia" w:ascii="仿宋" w:hAnsi="仿宋" w:eastAsia="仿宋"/>
          <w:sz w:val="24"/>
          <w:szCs w:val="24"/>
          <w:lang w:val="en-US" w:eastAsia="zh-CN"/>
        </w:rPr>
        <w:t>小儿推拿技术</w:t>
      </w:r>
      <w:r>
        <w:rPr>
          <w:rFonts w:hint="eastAsia" w:ascii="仿宋" w:hAnsi="仿宋" w:eastAsia="仿宋"/>
          <w:sz w:val="24"/>
          <w:szCs w:val="24"/>
        </w:rPr>
        <w:t>在全球范围内的规范化应用。</w:t>
      </w:r>
    </w:p>
    <w:p w14:paraId="7856557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本</w:t>
      </w:r>
      <w:r>
        <w:rPr>
          <w:rFonts w:hint="eastAsia" w:ascii="仿宋" w:hAnsi="仿宋" w:eastAsia="仿宋"/>
          <w:sz w:val="24"/>
          <w:szCs w:val="24"/>
        </w:rPr>
        <w:t>项目组秘书</w:t>
      </w:r>
      <w:r>
        <w:rPr>
          <w:rFonts w:hint="eastAsia" w:ascii="仿宋" w:hAnsi="仿宋" w:eastAsia="仿宋"/>
          <w:sz w:val="24"/>
          <w:szCs w:val="24"/>
          <w:lang w:val="en-US" w:eastAsia="zh-CN"/>
        </w:rPr>
        <w:t>顾蕴烨</w:t>
      </w:r>
      <w:r>
        <w:rPr>
          <w:rFonts w:hint="eastAsia" w:ascii="仿宋" w:hAnsi="仿宋" w:eastAsia="仿宋"/>
          <w:sz w:val="24"/>
          <w:szCs w:val="24"/>
        </w:rPr>
        <w:t>向各位专家汇报了前期工作进展情况，并就专家问卷调查结果，重点</w:t>
      </w:r>
      <w:r>
        <w:rPr>
          <w:rFonts w:hint="eastAsia" w:ascii="仿宋" w:hAnsi="仿宋" w:eastAsia="仿宋"/>
          <w:sz w:val="24"/>
          <w:szCs w:val="24"/>
          <w:lang w:val="en-US" w:eastAsia="zh-CN"/>
        </w:rPr>
        <w:t>对12</w:t>
      </w:r>
      <w:r>
        <w:rPr>
          <w:rFonts w:hint="eastAsia" w:ascii="仿宋" w:hAnsi="仿宋" w:eastAsia="仿宋"/>
          <w:sz w:val="24"/>
          <w:szCs w:val="24"/>
        </w:rPr>
        <w:t>项核心争议条目及开放性意见进行了介绍说明。</w:t>
      </w:r>
    </w:p>
    <w:p w14:paraId="757A5CCA">
      <w:pPr>
        <w:spacing w:line="400" w:lineRule="exact"/>
        <w:jc w:val="left"/>
        <w:rPr>
          <w:rFonts w:hint="eastAsia" w:ascii="仿宋" w:hAnsi="仿宋" w:eastAsia="仿宋"/>
          <w:b/>
          <w:bCs/>
          <w:sz w:val="24"/>
          <w:szCs w:val="24"/>
        </w:rPr>
      </w:pPr>
      <w:r>
        <w:rPr>
          <w:rFonts w:hint="eastAsia" w:ascii="仿宋" w:hAnsi="仿宋" w:eastAsia="仿宋"/>
          <w:b/>
          <w:bCs/>
          <w:sz w:val="24"/>
          <w:szCs w:val="24"/>
        </w:rPr>
        <w:t>三、争议条目决议</w:t>
      </w:r>
    </w:p>
    <w:p w14:paraId="248AB44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专家们会前已收到征求意见函、前期专家问卷调查总结报告及原国家标准电子版，对争议条目及开放性意见进行了认真审阅。会议中专家们积极发言，总体上对项目工作组提出的整合意见给予了肯定，认为技术方案已比较成熟，可以作为国际标准转化的基础。对于具体条款，专家们进行了认真讨论，提出如下论证意见：</w:t>
      </w:r>
    </w:p>
    <w:p w14:paraId="341CB58E">
      <w:pPr>
        <w:spacing w:line="400" w:lineRule="exact"/>
        <w:jc w:val="left"/>
        <w:rPr>
          <w:rFonts w:hint="eastAsia" w:ascii="仿宋" w:hAnsi="仿宋" w:eastAsia="仿宋"/>
          <w:b/>
          <w:bCs/>
          <w:sz w:val="24"/>
          <w:szCs w:val="24"/>
        </w:rPr>
      </w:pPr>
      <w:bookmarkStart w:id="3" w:name="_Hlk216606677"/>
      <w:r>
        <w:rPr>
          <w:rFonts w:hint="eastAsia" w:ascii="仿宋" w:hAnsi="仿宋" w:eastAsia="仿宋"/>
          <w:b/>
          <w:bCs/>
          <w:sz w:val="24"/>
          <w:szCs w:val="24"/>
        </w:rPr>
        <w:t>（一）条目1：小儿推拿（Tuina in pediatrics）”定义</w:t>
      </w:r>
    </w:p>
    <w:p w14:paraId="3779B8E9">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75D86EB3">
      <w:pPr>
        <w:spacing w:line="400" w:lineRule="exact"/>
        <w:ind w:left="480" w:hanging="480" w:hangingChars="200"/>
        <w:jc w:val="left"/>
        <w:rPr>
          <w:rFonts w:hint="eastAsia" w:ascii="仿宋" w:hAnsi="仿宋" w:eastAsia="仿宋"/>
          <w:sz w:val="24"/>
          <w:szCs w:val="24"/>
        </w:rPr>
      </w:pPr>
      <w:r>
        <w:rPr>
          <w:rFonts w:hint="eastAsia" w:ascii="仿宋" w:hAnsi="仿宋" w:eastAsia="仿宋"/>
          <w:sz w:val="24"/>
          <w:szCs w:val="24"/>
        </w:rPr>
        <w:t>（1）国家标准</w:t>
      </w:r>
    </w:p>
    <w:p w14:paraId="5B555DE1">
      <w:pPr>
        <w:spacing w:line="400" w:lineRule="exact"/>
        <w:ind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通过对小儿体表的经络穴位施以各种不同的推拿手法，调整阴阳及脏腑功能，扶正祛邪，疏通经络，调和气血，起到治疗和预防疾病作用的一种非药物治疗方法。</w:t>
      </w:r>
    </w:p>
    <w:p w14:paraId="7370A599">
      <w:pPr>
        <w:spacing w:line="400" w:lineRule="exact"/>
        <w:jc w:val="left"/>
        <w:rPr>
          <w:rFonts w:hint="eastAsia" w:ascii="仿宋" w:hAnsi="仿宋" w:eastAsia="仿宋" w:cs="Times New Roman"/>
          <w:sz w:val="24"/>
          <w:szCs w:val="24"/>
        </w:rPr>
      </w:pPr>
      <w:r>
        <w:rPr>
          <w:rFonts w:hint="eastAsia" w:ascii="仿宋" w:hAnsi="仿宋" w:eastAsia="仿宋" w:cs="Times New Roman"/>
          <w:sz w:val="24"/>
          <w:szCs w:val="24"/>
        </w:rPr>
        <w:t>（2）项目组意见</w:t>
      </w:r>
    </w:p>
    <w:p w14:paraId="2E5280A4">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医生通过四诊合参，对儿科疾病进行辨证论治后，由医生或操作者按照推拿处方，通过对小儿体表的经络穴位施以各种不同的推拿手法，调整阴阳及脏腑功能，扶正祛邪，疏通经络，调和气血，起到治疗和预防疾病作用的一种中医外治疗法。</w:t>
      </w:r>
    </w:p>
    <w:p w14:paraId="6969F927">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150A8AED">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5B7DD985">
      <w:pPr>
        <w:spacing w:line="400" w:lineRule="exact"/>
        <w:ind w:firstLine="420"/>
        <w:jc w:val="left"/>
        <w:rPr>
          <w:rFonts w:hint="eastAsia" w:ascii="仿宋" w:hAnsi="仿宋" w:eastAsia="仿宋"/>
          <w:sz w:val="24"/>
          <w:szCs w:val="24"/>
        </w:rPr>
      </w:pPr>
      <w:r>
        <w:rPr>
          <w:rFonts w:hint="eastAsia" w:ascii="仿宋" w:hAnsi="仿宋" w:eastAsia="仿宋"/>
          <w:color w:val="000000"/>
          <w:sz w:val="24"/>
          <w:szCs w:val="24"/>
          <w:lang w:val="en-US" w:eastAsia="zh-CN"/>
        </w:rPr>
        <w:t>王丽丽、</w:t>
      </w:r>
      <w:r>
        <w:rPr>
          <w:rFonts w:hint="eastAsia" w:ascii="仿宋" w:hAnsi="仿宋" w:eastAsia="仿宋"/>
          <w:color w:val="000000"/>
          <w:sz w:val="24"/>
          <w:szCs w:val="24"/>
        </w:rPr>
        <w:t>史正刚、张葆青</w:t>
      </w: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戴启刚4</w:t>
      </w:r>
      <w:r>
        <w:rPr>
          <w:rFonts w:hint="eastAsia" w:ascii="仿宋" w:hAnsi="仿宋" w:eastAsia="仿宋"/>
          <w:color w:val="000000"/>
          <w:sz w:val="24"/>
          <w:szCs w:val="24"/>
        </w:rPr>
        <w:t>位专家部分同意（1分/可选），</w:t>
      </w:r>
      <w:r>
        <w:rPr>
          <w:rFonts w:hint="eastAsia" w:ascii="仿宋" w:hAnsi="仿宋" w:eastAsia="仿宋"/>
          <w:color w:val="000000"/>
          <w:sz w:val="24"/>
          <w:szCs w:val="24"/>
          <w:lang w:val="en-US" w:eastAsia="zh-CN"/>
        </w:rPr>
        <w:t>9</w:t>
      </w:r>
      <w:r>
        <w:rPr>
          <w:rFonts w:hint="eastAsia" w:ascii="仿宋" w:hAnsi="仿宋" w:eastAsia="仿宋"/>
          <w:color w:val="000000"/>
          <w:sz w:val="24"/>
          <w:szCs w:val="24"/>
        </w:rPr>
        <w:t>位专家完全同意（2分/须选），支持率</w:t>
      </w:r>
      <w:r>
        <w:rPr>
          <w:rFonts w:hint="eastAsia" w:ascii="仿宋" w:hAnsi="仿宋" w:eastAsia="仿宋"/>
          <w:color w:val="000000"/>
          <w:sz w:val="24"/>
          <w:szCs w:val="24"/>
          <w:lang w:val="en-US" w:eastAsia="zh-CN"/>
        </w:rPr>
        <w:t>69.2</w:t>
      </w:r>
      <w:r>
        <w:rPr>
          <w:rFonts w:hint="eastAsia" w:ascii="仿宋" w:hAnsi="仿宋" w:eastAsia="仿宋"/>
          <w:color w:val="000000"/>
          <w:sz w:val="24"/>
          <w:szCs w:val="24"/>
        </w:rPr>
        <w:t>%。</w:t>
      </w:r>
    </w:p>
    <w:p w14:paraId="22E17E6F">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565C17B1">
      <w:pPr>
        <w:spacing w:line="400" w:lineRule="exact"/>
        <w:ind w:firstLine="420"/>
        <w:jc w:val="left"/>
        <w:rPr>
          <w:rFonts w:hint="eastAsia" w:ascii="仿宋" w:hAnsi="仿宋" w:eastAsia="仿宋"/>
          <w:sz w:val="24"/>
          <w:szCs w:val="24"/>
          <w:lang w:val="en-US" w:eastAsia="zh-CN"/>
        </w:rPr>
      </w:pPr>
      <w:r>
        <w:rPr>
          <w:rFonts w:hint="eastAsia" w:ascii="仿宋" w:hAnsi="仿宋" w:eastAsia="仿宋"/>
          <w:sz w:val="24"/>
          <w:szCs w:val="24"/>
          <w:lang w:val="en-US" w:eastAsia="zh-CN"/>
        </w:rPr>
        <w:t>王丽丽：定义过长，建议改为：由医生或操作者按照推拿处方，在患儿体表经络穴位施以推拿手法，以达到疏通经络、调和气血、平衡阴阳、提升小儿自身抗病能力的中医外治疗法。</w:t>
      </w:r>
    </w:p>
    <w:p w14:paraId="5280BA53">
      <w:pPr>
        <w:spacing w:line="400" w:lineRule="exact"/>
        <w:ind w:firstLine="420"/>
        <w:jc w:val="left"/>
        <w:rPr>
          <w:rFonts w:hint="eastAsia" w:ascii="仿宋" w:hAnsi="仿宋" w:eastAsia="仿宋"/>
          <w:sz w:val="24"/>
          <w:szCs w:val="24"/>
          <w:lang w:eastAsia="zh-CN"/>
        </w:rPr>
      </w:pPr>
      <w:r>
        <w:rPr>
          <w:rFonts w:hint="eastAsia" w:ascii="仿宋" w:hAnsi="仿宋" w:eastAsia="仿宋"/>
          <w:sz w:val="24"/>
          <w:szCs w:val="24"/>
        </w:rPr>
        <w:t>史正刚</w:t>
      </w:r>
      <w:r>
        <w:rPr>
          <w:rFonts w:hint="eastAsia" w:ascii="仿宋" w:hAnsi="仿宋" w:eastAsia="仿宋"/>
          <w:sz w:val="24"/>
          <w:szCs w:val="24"/>
          <w:lang w:eastAsia="zh-CN"/>
        </w:rPr>
        <w:t>：通过对小儿体表的经络穴位施以各种不同的操作手法，（避免以推拿来解释推拿。）</w:t>
      </w:r>
    </w:p>
    <w:p w14:paraId="4C998E9C">
      <w:pPr>
        <w:spacing w:line="400" w:lineRule="exact"/>
        <w:ind w:firstLine="420"/>
        <w:jc w:val="left"/>
        <w:rPr>
          <w:rFonts w:hint="eastAsia" w:ascii="仿宋" w:hAnsi="仿宋" w:eastAsia="仿宋"/>
          <w:sz w:val="24"/>
          <w:szCs w:val="24"/>
          <w:lang w:eastAsia="zh-CN"/>
        </w:rPr>
      </w:pPr>
      <w:r>
        <w:rPr>
          <w:rFonts w:hint="eastAsia" w:ascii="仿宋" w:hAnsi="仿宋" w:eastAsia="仿宋"/>
          <w:sz w:val="24"/>
          <w:szCs w:val="24"/>
        </w:rPr>
        <w:t>张葆青：</w:t>
      </w:r>
      <w:r>
        <w:rPr>
          <w:rFonts w:hint="eastAsia" w:ascii="仿宋" w:hAnsi="仿宋" w:eastAsia="仿宋"/>
          <w:sz w:val="24"/>
          <w:szCs w:val="24"/>
          <w:lang w:val="en-US" w:eastAsia="zh-CN"/>
        </w:rPr>
        <w:t>建议修改为“临床通过四诊合参，对儿童（或者患儿）疾病辨证后，由医生或操作者按照推拿处方，通过对小儿体表的经络穴位施以各种不同的推拿手法，调整阴阳及脏腑功能，扶正祛邪，疏通经络，调和气血，起到治疗和预防疾病作用的一种中医外治疗法</w:t>
      </w:r>
      <w:r>
        <w:rPr>
          <w:rFonts w:hint="eastAsia" w:ascii="仿宋" w:hAnsi="仿宋" w:eastAsia="仿宋"/>
          <w:sz w:val="24"/>
          <w:szCs w:val="24"/>
        </w:rPr>
        <w:t>。</w:t>
      </w:r>
      <w:r>
        <w:rPr>
          <w:rFonts w:hint="eastAsia" w:ascii="仿宋" w:hAnsi="仿宋" w:eastAsia="仿宋"/>
          <w:sz w:val="24"/>
          <w:szCs w:val="24"/>
          <w:lang w:eastAsia="zh-CN"/>
        </w:rPr>
        <w:t>”</w:t>
      </w:r>
    </w:p>
    <w:p w14:paraId="79061CE3">
      <w:pPr>
        <w:spacing w:line="400" w:lineRule="exact"/>
        <w:ind w:firstLine="420"/>
        <w:jc w:val="left"/>
        <w:rPr>
          <w:rFonts w:hint="eastAsia" w:ascii="仿宋" w:hAnsi="仿宋" w:eastAsia="仿宋"/>
          <w:color w:val="000000"/>
          <w:sz w:val="24"/>
          <w:szCs w:val="24"/>
          <w:lang w:eastAsia="zh-CN"/>
        </w:rPr>
      </w:pPr>
      <w:r>
        <w:rPr>
          <w:rFonts w:hint="eastAsia" w:ascii="仿宋" w:hAnsi="仿宋" w:eastAsia="仿宋"/>
          <w:color w:val="000000"/>
          <w:sz w:val="24"/>
          <w:szCs w:val="24"/>
          <w:lang w:val="en-US" w:eastAsia="zh-CN"/>
        </w:rPr>
        <w:t>戴启刚：将“医生或操作者”修改为“操作者”；删除“推拿”；将“调整”修改为“调和”。</w:t>
      </w:r>
    </w:p>
    <w:p w14:paraId="63C7BEAC">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bookmarkEnd w:id="3"/>
    <w:p w14:paraId="39437484">
      <w:pPr>
        <w:spacing w:line="400" w:lineRule="exact"/>
        <w:ind w:firstLine="480" w:firstLineChars="200"/>
        <w:jc w:val="left"/>
        <w:rPr>
          <w:rFonts w:hint="eastAsia" w:ascii="仿宋" w:hAnsi="仿宋" w:eastAsia="仿宋"/>
          <w:color w:val="000000"/>
          <w:sz w:val="24"/>
          <w:szCs w:val="24"/>
        </w:rPr>
      </w:pPr>
      <w:r>
        <w:rPr>
          <w:rFonts w:hint="eastAsia" w:ascii="仿宋" w:hAnsi="仿宋" w:eastAsia="仿宋"/>
          <w:sz w:val="24"/>
          <w:szCs w:val="24"/>
        </w:rPr>
        <w:t>采纳</w:t>
      </w:r>
      <w:r>
        <w:rPr>
          <w:rFonts w:hint="eastAsia" w:ascii="仿宋" w:hAnsi="仿宋" w:eastAsia="仿宋"/>
          <w:sz w:val="24"/>
          <w:szCs w:val="24"/>
          <w:lang w:val="en-US" w:eastAsia="zh-CN"/>
        </w:rPr>
        <w:t>专家</w:t>
      </w:r>
      <w:r>
        <w:rPr>
          <w:rFonts w:hint="eastAsia" w:ascii="仿宋" w:hAnsi="仿宋" w:eastAsia="仿宋"/>
          <w:sz w:val="24"/>
          <w:szCs w:val="24"/>
        </w:rPr>
        <w:t>意见，在定稿中</w:t>
      </w:r>
      <w:r>
        <w:rPr>
          <w:rFonts w:hint="eastAsia" w:ascii="仿宋" w:hAnsi="仿宋" w:eastAsia="仿宋"/>
          <w:sz w:val="24"/>
          <w:szCs w:val="24"/>
          <w:lang w:val="en-US" w:eastAsia="zh-CN"/>
        </w:rPr>
        <w:t>修改表述</w:t>
      </w:r>
      <w:r>
        <w:rPr>
          <w:rFonts w:hint="eastAsia" w:ascii="仿宋" w:hAnsi="仿宋" w:eastAsia="仿宋"/>
          <w:sz w:val="24"/>
          <w:szCs w:val="24"/>
          <w:lang w:eastAsia="zh-CN"/>
        </w:rPr>
        <w:t>避免以推拿来解释推拿，</w:t>
      </w:r>
      <w:r>
        <w:rPr>
          <w:rFonts w:hint="eastAsia" w:ascii="仿宋" w:hAnsi="仿宋" w:eastAsia="仿宋"/>
          <w:sz w:val="24"/>
          <w:szCs w:val="24"/>
          <w:lang w:val="en-US" w:eastAsia="zh-CN"/>
        </w:rPr>
        <w:t>同时</w:t>
      </w:r>
      <w:r>
        <w:rPr>
          <w:rFonts w:hint="eastAsia" w:ascii="仿宋" w:hAnsi="仿宋" w:eastAsia="仿宋"/>
          <w:sz w:val="24"/>
          <w:szCs w:val="24"/>
        </w:rPr>
        <w:t>确保文本</w:t>
      </w:r>
      <w:r>
        <w:rPr>
          <w:rFonts w:hint="eastAsia" w:ascii="仿宋" w:hAnsi="仿宋" w:eastAsia="仿宋"/>
          <w:color w:val="000000"/>
          <w:sz w:val="24"/>
          <w:szCs w:val="24"/>
          <w:lang w:val="en-US" w:eastAsia="zh-CN"/>
        </w:rPr>
        <w:t>表述精简凝练</w:t>
      </w:r>
      <w:r>
        <w:rPr>
          <w:rFonts w:hint="eastAsia" w:ascii="仿宋" w:hAnsi="仿宋" w:eastAsia="仿宋"/>
          <w:color w:val="000000"/>
          <w:sz w:val="24"/>
          <w:szCs w:val="24"/>
        </w:rPr>
        <w:t>。</w:t>
      </w:r>
    </w:p>
    <w:p w14:paraId="74BDD7F0">
      <w:pPr>
        <w:spacing w:line="400" w:lineRule="exact"/>
        <w:jc w:val="left"/>
        <w:rPr>
          <w:rFonts w:hint="eastAsia" w:ascii="仿宋" w:hAnsi="仿宋" w:eastAsia="仿宋"/>
          <w:b/>
          <w:bCs/>
          <w:sz w:val="24"/>
          <w:szCs w:val="24"/>
        </w:rPr>
      </w:pPr>
      <w:r>
        <w:rPr>
          <w:rFonts w:hint="eastAsia" w:ascii="仿宋" w:hAnsi="仿宋" w:eastAsia="仿宋"/>
          <w:b/>
          <w:bCs/>
          <w:sz w:val="24"/>
          <w:szCs w:val="24"/>
        </w:rPr>
        <w:t>（二）条目2：环境</w:t>
      </w:r>
    </w:p>
    <w:p w14:paraId="5A23CAD6">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3B8597C1">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561862AC">
      <w:pPr>
        <w:spacing w:line="400" w:lineRule="exact"/>
        <w:ind w:firstLine="420"/>
        <w:jc w:val="left"/>
        <w:rPr>
          <w:rFonts w:hint="eastAsia" w:ascii="仿宋" w:hAnsi="仿宋" w:eastAsia="仿宋"/>
          <w:sz w:val="24"/>
          <w:szCs w:val="24"/>
          <w:lang w:eastAsia="zh-CN"/>
        </w:rPr>
      </w:pPr>
      <w:r>
        <w:rPr>
          <w:rFonts w:hint="eastAsia" w:ascii="仿宋" w:hAnsi="仿宋" w:eastAsia="仿宋"/>
          <w:sz w:val="24"/>
          <w:szCs w:val="24"/>
        </w:rPr>
        <w:t>环境清洁卫生，室内安静，温度适宜，避免吹风受凉</w:t>
      </w:r>
      <w:r>
        <w:rPr>
          <w:rFonts w:hint="eastAsia" w:ascii="仿宋" w:hAnsi="仿宋" w:eastAsia="仿宋"/>
          <w:sz w:val="24"/>
          <w:szCs w:val="24"/>
          <w:lang w:eastAsia="zh-CN"/>
        </w:rPr>
        <w:t>。</w:t>
      </w:r>
    </w:p>
    <w:p w14:paraId="1E011746">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3C45BDCB">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环境清洁卫生，定期消毒，室内安静，避风、避强光，温度适宜，保持空气流通。</w:t>
      </w:r>
    </w:p>
    <w:p w14:paraId="004E6D40">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7A1F0270">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2F571A0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60817DEC">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6441A3C1">
      <w:pPr>
        <w:spacing w:line="400" w:lineRule="exact"/>
        <w:ind w:firstLine="480" w:firstLineChars="200"/>
        <w:jc w:val="left"/>
        <w:rPr>
          <w:rFonts w:hint="eastAsia" w:ascii="仿宋" w:hAnsi="仿宋" w:eastAsia="仿宋"/>
          <w:sz w:val="24"/>
          <w:szCs w:val="24"/>
          <w:lang w:eastAsia="zh-CN"/>
        </w:rPr>
      </w:pPr>
      <w:r>
        <w:rPr>
          <w:rFonts w:hint="eastAsia" w:ascii="仿宋" w:hAnsi="仿宋" w:eastAsia="仿宋"/>
          <w:sz w:val="24"/>
          <w:szCs w:val="24"/>
        </w:rPr>
        <w:t>无特殊讨论意见。</w:t>
      </w:r>
    </w:p>
    <w:p w14:paraId="29EA21AD">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6A441BDF">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维持项目组意见，结合专家论证结果，维持现有内容。</w:t>
      </w:r>
    </w:p>
    <w:p w14:paraId="0182A7C5">
      <w:pPr>
        <w:spacing w:line="400" w:lineRule="exact"/>
        <w:jc w:val="left"/>
        <w:rPr>
          <w:rFonts w:hint="eastAsia" w:ascii="仿宋" w:hAnsi="仿宋" w:eastAsia="仿宋"/>
          <w:b/>
          <w:bCs/>
          <w:sz w:val="24"/>
          <w:szCs w:val="24"/>
        </w:rPr>
      </w:pPr>
      <w:r>
        <w:rPr>
          <w:rFonts w:hint="eastAsia" w:ascii="仿宋" w:hAnsi="仿宋" w:eastAsia="仿宋"/>
          <w:b/>
          <w:bCs/>
          <w:sz w:val="24"/>
          <w:szCs w:val="24"/>
        </w:rPr>
        <w:t>（三）条目3：体位</w:t>
      </w:r>
    </w:p>
    <w:p w14:paraId="7DB3FA81">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19790515">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49CCEFA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选择患儿舒适、能暴露操作部位、便于医师操作的治疗体位，如坐位、仰卧位、侧卧位、俯卧位。</w:t>
      </w:r>
    </w:p>
    <w:p w14:paraId="6D3E1C3A">
      <w:pPr>
        <w:autoSpaceDE w:val="0"/>
        <w:autoSpaceDN w:val="0"/>
        <w:adjustRightInd w:val="0"/>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3AB806BC">
      <w:pPr>
        <w:spacing w:line="400" w:lineRule="exact"/>
        <w:ind w:firstLine="480" w:firstLineChars="200"/>
        <w:jc w:val="left"/>
        <w:rPr>
          <w:rFonts w:hint="eastAsia" w:ascii="仿宋" w:hAnsi="仿宋" w:eastAsia="仿宋" w:cs="黑体"/>
          <w:kern w:val="0"/>
          <w:sz w:val="24"/>
          <w:szCs w:val="24"/>
        </w:rPr>
      </w:pPr>
      <w:r>
        <w:rPr>
          <w:rFonts w:hint="eastAsia" w:ascii="仿宋" w:hAnsi="仿宋" w:eastAsia="仿宋" w:cs="黑体"/>
          <w:kern w:val="0"/>
          <w:sz w:val="24"/>
          <w:szCs w:val="24"/>
        </w:rPr>
        <w:t>根据儿童年龄和治疗需要选择舒适、放松、能暴露操作部位、能配合操作的治疗体位，如坐位、仰卧位、侧卧位、俯卧位、抱位（正抱、背抱、侧抱）。</w:t>
      </w:r>
    </w:p>
    <w:p w14:paraId="56A576BD">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7CE29727">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2E04EE17">
      <w:pPr>
        <w:spacing w:line="400" w:lineRule="exact"/>
        <w:ind w:firstLine="420"/>
        <w:jc w:val="left"/>
        <w:rPr>
          <w:rFonts w:hint="eastAsia" w:ascii="仿宋" w:hAnsi="仿宋" w:eastAsia="仿宋"/>
          <w:color w:val="000000"/>
          <w:sz w:val="24"/>
          <w:szCs w:val="24"/>
        </w:rPr>
      </w:pPr>
      <w:r>
        <w:rPr>
          <w:rFonts w:hint="eastAsia" w:ascii="仿宋" w:hAnsi="仿宋" w:eastAsia="仿宋"/>
          <w:sz w:val="24"/>
          <w:szCs w:val="24"/>
          <w:lang w:val="en-US" w:eastAsia="zh-CN"/>
        </w:rPr>
        <w:t>王丽丽1</w:t>
      </w:r>
      <w:r>
        <w:rPr>
          <w:rFonts w:hint="eastAsia" w:ascii="仿宋" w:hAnsi="仿宋" w:eastAsia="仿宋"/>
          <w:sz w:val="24"/>
          <w:szCs w:val="24"/>
        </w:rPr>
        <w:t>位专家部分同意（1分/可选），</w:t>
      </w:r>
      <w:r>
        <w:rPr>
          <w:rFonts w:hint="eastAsia" w:ascii="仿宋" w:hAnsi="仿宋" w:eastAsia="仿宋"/>
          <w:color w:val="000000"/>
          <w:sz w:val="24"/>
          <w:szCs w:val="24"/>
          <w:lang w:val="en-US" w:eastAsia="zh-CN"/>
        </w:rPr>
        <w:t>戴启刚1位专家未行选择，余11</w:t>
      </w:r>
      <w:r>
        <w:rPr>
          <w:rFonts w:hint="eastAsia" w:ascii="仿宋" w:hAnsi="仿宋" w:eastAsia="仿宋"/>
          <w:color w:val="000000"/>
          <w:sz w:val="24"/>
          <w:szCs w:val="24"/>
        </w:rPr>
        <w:t>位专家完全同意（2分/须选），支持率</w:t>
      </w:r>
      <w:r>
        <w:rPr>
          <w:rFonts w:hint="eastAsia" w:ascii="仿宋" w:hAnsi="仿宋" w:eastAsia="仿宋"/>
          <w:color w:val="000000"/>
          <w:sz w:val="24"/>
          <w:szCs w:val="24"/>
          <w:lang w:val="en-US" w:eastAsia="zh-CN"/>
        </w:rPr>
        <w:t>84.6</w:t>
      </w:r>
      <w:r>
        <w:rPr>
          <w:rFonts w:hint="eastAsia" w:ascii="仿宋" w:hAnsi="仿宋" w:eastAsia="仿宋"/>
          <w:color w:val="000000"/>
          <w:sz w:val="24"/>
          <w:szCs w:val="24"/>
        </w:rPr>
        <w:t xml:space="preserve">%。 </w:t>
      </w:r>
    </w:p>
    <w:p w14:paraId="3444F02E">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552BBE6F">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王丽丽：将“儿童”改为“患儿”</w:t>
      </w:r>
      <w:r>
        <w:rPr>
          <w:rFonts w:hint="eastAsia" w:ascii="仿宋" w:hAnsi="仿宋" w:eastAsia="仿宋"/>
          <w:sz w:val="24"/>
          <w:szCs w:val="24"/>
        </w:rPr>
        <w:t>。</w:t>
      </w:r>
    </w:p>
    <w:p w14:paraId="041208F5">
      <w:pPr>
        <w:spacing w:line="400" w:lineRule="exact"/>
        <w:ind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lang w:val="en-US" w:eastAsia="zh-CN"/>
        </w:rPr>
        <w:t>戴启刚：建议改为“选择患儿舒适、能暴露操作部位、便于操作者操作的适宜体位。”操作者作为经过培训的专业人员，应会因人、场所不同选择适宜的体位。</w:t>
      </w:r>
    </w:p>
    <w:p w14:paraId="03A8D72F">
      <w:pPr>
        <w:spacing w:line="400" w:lineRule="exact"/>
        <w:jc w:val="left"/>
        <w:rPr>
          <w:rFonts w:hint="eastAsia" w:ascii="仿宋" w:hAnsi="仿宋" w:eastAsia="仿宋"/>
          <w:sz w:val="24"/>
          <w:szCs w:val="24"/>
        </w:rPr>
      </w:pPr>
      <w:r>
        <w:rPr>
          <w:rFonts w:hint="eastAsia" w:ascii="仿宋" w:hAnsi="仿宋" w:eastAsia="仿宋"/>
          <w:b/>
          <w:bCs/>
          <w:sz w:val="24"/>
          <w:szCs w:val="24"/>
        </w:rPr>
        <w:t>3.项目组决议</w:t>
      </w:r>
    </w:p>
    <w:p w14:paraId="17FDED36">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采纳专家意见，本文件中统一称呼“操作者”与“患儿”，符合小儿推拿定义，扩大本文件使用范围，保持全文称谓一致</w:t>
      </w:r>
      <w:r>
        <w:rPr>
          <w:rFonts w:hint="eastAsia" w:ascii="仿宋" w:hAnsi="仿宋" w:eastAsia="仿宋"/>
          <w:sz w:val="24"/>
          <w:szCs w:val="24"/>
        </w:rPr>
        <w:t>。</w:t>
      </w:r>
    </w:p>
    <w:p w14:paraId="79FA10AD">
      <w:pPr>
        <w:spacing w:line="400" w:lineRule="exact"/>
        <w:jc w:val="left"/>
        <w:rPr>
          <w:rFonts w:hint="eastAsia" w:ascii="仿宋" w:hAnsi="仿宋" w:eastAsia="仿宋"/>
          <w:b/>
          <w:bCs/>
          <w:sz w:val="24"/>
          <w:szCs w:val="24"/>
        </w:rPr>
      </w:pPr>
      <w:r>
        <w:rPr>
          <w:rFonts w:hint="eastAsia" w:ascii="仿宋" w:hAnsi="仿宋" w:eastAsia="仿宋"/>
          <w:b/>
          <w:bCs/>
          <w:sz w:val="24"/>
          <w:szCs w:val="24"/>
        </w:rPr>
        <w:t>（四）条目4：医师</w:t>
      </w:r>
    </w:p>
    <w:p w14:paraId="1A8AC815">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7CAD166A">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4C110DDB">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操作前医师双手须修剪指甲，刚剪过的指甲要用指甲锉锉平。用肥皂水或洗手液清洗干净。可按证候选择介质涂抹。操作时医师双手温暖，精神专注，态度和蔼，争取患儿的配合。</w:t>
      </w:r>
    </w:p>
    <w:p w14:paraId="4F294B84">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35B53B76">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操作者为医生或具有小儿推拿技术操作资质的人员。操作前，操作者应取下影响推拿的手和腕部饰物，修剪指甲并锉平。在操作开始前，应先询问儿童是否存在推拿慎用证的相关情况。用肥皂水或洗手液清洗干净，并用医用消毒剂进行手部消毒。可按证候选择介质涂抹。操作时医师双手温暖，精神专注，态度和蔼，争取患儿的配合。</w:t>
      </w:r>
    </w:p>
    <w:p w14:paraId="3BF15714">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6F369B53">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0F72F716">
      <w:pPr>
        <w:spacing w:line="400" w:lineRule="exact"/>
        <w:ind w:firstLine="420"/>
        <w:jc w:val="left"/>
        <w:rPr>
          <w:rFonts w:hint="eastAsia" w:ascii="仿宋" w:hAnsi="仿宋" w:eastAsia="仿宋"/>
          <w:sz w:val="24"/>
          <w:szCs w:val="24"/>
        </w:rPr>
      </w:pPr>
      <w:r>
        <w:rPr>
          <w:rFonts w:hint="eastAsia" w:ascii="仿宋" w:hAnsi="仿宋" w:eastAsia="仿宋"/>
          <w:sz w:val="24"/>
          <w:szCs w:val="24"/>
          <w:lang w:val="en-US" w:eastAsia="zh-CN"/>
        </w:rPr>
        <w:t>王丽丽</w:t>
      </w:r>
      <w:r>
        <w:rPr>
          <w:rFonts w:hint="eastAsia" w:ascii="仿宋" w:hAnsi="仿宋" w:eastAsia="仿宋"/>
          <w:sz w:val="24"/>
          <w:szCs w:val="24"/>
        </w:rPr>
        <w:t>、史正刚、张葆青</w:t>
      </w:r>
      <w:r>
        <w:rPr>
          <w:rFonts w:hint="eastAsia" w:ascii="仿宋" w:hAnsi="仿宋" w:eastAsia="仿宋"/>
          <w:sz w:val="24"/>
          <w:szCs w:val="24"/>
          <w:lang w:val="en-US" w:eastAsia="zh-CN"/>
        </w:rPr>
        <w:t>3</w:t>
      </w:r>
      <w:r>
        <w:rPr>
          <w:rFonts w:hint="eastAsia" w:ascii="仿宋" w:hAnsi="仿宋" w:eastAsia="仿宋"/>
          <w:sz w:val="24"/>
          <w:szCs w:val="24"/>
        </w:rPr>
        <w:t>位专家部分同意（1分/可选），</w:t>
      </w:r>
      <w:r>
        <w:rPr>
          <w:rFonts w:hint="eastAsia" w:ascii="仿宋" w:hAnsi="仿宋" w:eastAsia="仿宋"/>
          <w:sz w:val="24"/>
          <w:szCs w:val="24"/>
          <w:lang w:val="en-US" w:eastAsia="zh-CN"/>
        </w:rPr>
        <w:t>10</w:t>
      </w:r>
      <w:r>
        <w:rPr>
          <w:rFonts w:hint="eastAsia" w:ascii="仿宋" w:hAnsi="仿宋" w:eastAsia="仿宋"/>
          <w:sz w:val="24"/>
          <w:szCs w:val="24"/>
        </w:rPr>
        <w:t>位专家完全同意（2分/须选），支持率76.9%。</w:t>
      </w:r>
    </w:p>
    <w:p w14:paraId="35B694E3">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7D523DC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王丽丽：①聚焦技术操作流程，关于人员资质，不是本标准关注的问题；②规范统一称谓，问题同上。故建议修改为：操作前，操作者应取下影响推拿的手和腕部饰物，修剪指甲并锉平。在操作开始前，应先询问儿童是否存在推拿慎用证的相关情况。用肥皂水或洗手液清洗干净，并用医用消毒剂进行手部消毒。可按证候选择介质涂抹。操作时医师双手温暖，精神专注，态度和蔼，争取患儿的配合。</w:t>
      </w:r>
    </w:p>
    <w:p w14:paraId="5A3F4E6F">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史正刚：“操作者”、“医师”、“医生”“具有操作资质人员”应统一界定明确，确保全文统一。</w:t>
      </w:r>
    </w:p>
    <w:p w14:paraId="2561633A">
      <w:pPr>
        <w:spacing w:line="400" w:lineRule="exact"/>
        <w:ind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张葆青：</w:t>
      </w:r>
      <w:r>
        <w:rPr>
          <w:rFonts w:hint="eastAsia" w:ascii="仿宋" w:hAnsi="仿宋" w:eastAsia="仿宋"/>
          <w:sz w:val="24"/>
          <w:szCs w:val="24"/>
          <w:lang w:val="en-US" w:eastAsia="zh-CN"/>
        </w:rPr>
        <w:t>删除人员资质要求，可修改为“推拿前，操作者应先询问儿童是否存在推拿慎用证的相关情况；开始治疗时，操作者手部消毒后，可按证候选择介质涂抹；操作者双手宜温暖，态度和蔼，争取患儿的配合，并保持精神专注。”</w:t>
      </w:r>
    </w:p>
    <w:p w14:paraId="568AFF09">
      <w:pPr>
        <w:spacing w:line="400" w:lineRule="exact"/>
        <w:jc w:val="left"/>
        <w:rPr>
          <w:rFonts w:hint="eastAsia" w:ascii="仿宋" w:hAnsi="仿宋" w:eastAsia="仿宋"/>
          <w:sz w:val="24"/>
          <w:szCs w:val="24"/>
        </w:rPr>
      </w:pPr>
      <w:r>
        <w:rPr>
          <w:rFonts w:hint="eastAsia" w:ascii="仿宋" w:hAnsi="仿宋" w:eastAsia="仿宋"/>
          <w:b/>
          <w:bCs/>
          <w:sz w:val="24"/>
          <w:szCs w:val="24"/>
        </w:rPr>
        <w:t>3.项目组决议</w:t>
      </w:r>
    </w:p>
    <w:p w14:paraId="47DD01C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采纳</w:t>
      </w:r>
      <w:r>
        <w:rPr>
          <w:rFonts w:hint="eastAsia" w:ascii="仿宋" w:hAnsi="仿宋" w:eastAsia="仿宋"/>
          <w:sz w:val="24"/>
          <w:szCs w:val="24"/>
          <w:lang w:val="en-US" w:eastAsia="zh-CN"/>
        </w:rPr>
        <w:t>专家</w:t>
      </w:r>
      <w:r>
        <w:rPr>
          <w:rFonts w:hint="eastAsia" w:ascii="仿宋" w:hAnsi="仿宋" w:eastAsia="仿宋"/>
          <w:sz w:val="24"/>
          <w:szCs w:val="24"/>
        </w:rPr>
        <w:t>意见，</w:t>
      </w:r>
      <w:r>
        <w:rPr>
          <w:rFonts w:hint="eastAsia" w:ascii="仿宋" w:hAnsi="仿宋" w:eastAsia="仿宋"/>
          <w:sz w:val="24"/>
          <w:szCs w:val="24"/>
          <w:lang w:val="en-US" w:eastAsia="zh-CN"/>
        </w:rPr>
        <w:t>进一步精简表述，删除人员资质要求，确保全文称谓统一</w:t>
      </w:r>
      <w:r>
        <w:rPr>
          <w:rFonts w:hint="eastAsia" w:ascii="仿宋" w:hAnsi="仿宋" w:eastAsia="仿宋"/>
          <w:sz w:val="24"/>
          <w:szCs w:val="24"/>
        </w:rPr>
        <w:t>。</w:t>
      </w:r>
    </w:p>
    <w:p w14:paraId="49CCA046">
      <w:pPr>
        <w:spacing w:line="400" w:lineRule="exact"/>
        <w:jc w:val="left"/>
        <w:rPr>
          <w:rFonts w:hint="eastAsia" w:ascii="仿宋" w:hAnsi="仿宋" w:eastAsia="仿宋"/>
          <w:b/>
          <w:bCs/>
          <w:sz w:val="24"/>
          <w:szCs w:val="24"/>
        </w:rPr>
      </w:pPr>
      <w:r>
        <w:rPr>
          <w:rFonts w:hint="eastAsia" w:ascii="仿宋" w:hAnsi="仿宋" w:eastAsia="仿宋"/>
          <w:b/>
          <w:bCs/>
          <w:sz w:val="24"/>
          <w:szCs w:val="24"/>
        </w:rPr>
        <w:t>（五）条目5：旋推法</w:t>
      </w:r>
    </w:p>
    <w:p w14:paraId="5D3FDC44">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77A426D1">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2EB6F082">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 xml:space="preserve">医师用拇指螺纹面在穴位上做顺时针方向旋转推摩。 </w:t>
      </w:r>
    </w:p>
    <w:p w14:paraId="200D3F4E">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3FB2805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 xml:space="preserve">医师用拇指罗纹面在穴位上做环形旋转推动，频率多在160～260次/分钟左右。 </w:t>
      </w:r>
    </w:p>
    <w:p w14:paraId="2F8BFD4D">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2D48A4CE">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173FE763">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王丽丽</w:t>
      </w:r>
      <w:r>
        <w:rPr>
          <w:rFonts w:hint="eastAsia" w:ascii="仿宋" w:hAnsi="仿宋" w:eastAsia="仿宋"/>
          <w:sz w:val="24"/>
          <w:szCs w:val="24"/>
        </w:rPr>
        <w:t>、史正刚</w:t>
      </w:r>
      <w:r>
        <w:rPr>
          <w:rFonts w:hint="eastAsia" w:ascii="仿宋" w:hAnsi="仿宋" w:eastAsia="仿宋"/>
          <w:sz w:val="24"/>
          <w:szCs w:val="24"/>
          <w:lang w:val="en-US" w:eastAsia="zh-CN"/>
        </w:rPr>
        <w:t>2</w:t>
      </w:r>
      <w:r>
        <w:rPr>
          <w:rFonts w:hint="eastAsia" w:ascii="仿宋" w:hAnsi="仿宋" w:eastAsia="仿宋"/>
          <w:sz w:val="24"/>
          <w:szCs w:val="24"/>
        </w:rPr>
        <w:t>位专家部分同意（1分/可选），1</w:t>
      </w:r>
      <w:r>
        <w:rPr>
          <w:rFonts w:hint="eastAsia" w:ascii="仿宋" w:hAnsi="仿宋" w:eastAsia="仿宋"/>
          <w:sz w:val="24"/>
          <w:szCs w:val="24"/>
          <w:lang w:val="en-US" w:eastAsia="zh-CN"/>
        </w:rPr>
        <w:t>1</w:t>
      </w:r>
      <w:r>
        <w:rPr>
          <w:rFonts w:hint="eastAsia" w:ascii="仿宋" w:hAnsi="仿宋" w:eastAsia="仿宋"/>
          <w:sz w:val="24"/>
          <w:szCs w:val="24"/>
        </w:rPr>
        <w:t>位专家完全同意（2分/须选），支持率</w:t>
      </w:r>
      <w:r>
        <w:rPr>
          <w:rFonts w:hint="eastAsia" w:ascii="仿宋" w:hAnsi="仿宋" w:eastAsia="仿宋"/>
          <w:sz w:val="24"/>
          <w:szCs w:val="24"/>
          <w:lang w:val="en-US" w:eastAsia="zh-CN"/>
        </w:rPr>
        <w:t>84.6</w:t>
      </w:r>
      <w:r>
        <w:rPr>
          <w:rFonts w:hint="eastAsia" w:ascii="仿宋" w:hAnsi="仿宋" w:eastAsia="仿宋"/>
          <w:sz w:val="24"/>
          <w:szCs w:val="24"/>
        </w:rPr>
        <w:t>%。</w:t>
      </w:r>
    </w:p>
    <w:p w14:paraId="2A6D18A9">
      <w:pPr>
        <w:spacing w:line="400" w:lineRule="exact"/>
        <w:jc w:val="left"/>
        <w:rPr>
          <w:rFonts w:hint="eastAsia" w:ascii="仿宋" w:hAnsi="仿宋" w:eastAsia="仿宋"/>
          <w:sz w:val="24"/>
          <w:szCs w:val="24"/>
        </w:rPr>
      </w:pPr>
      <w:r>
        <w:rPr>
          <w:rFonts w:hint="eastAsia" w:ascii="仿宋" w:hAnsi="仿宋" w:eastAsia="仿宋"/>
          <w:sz w:val="24"/>
          <w:szCs w:val="24"/>
        </w:rPr>
        <w:t>（2）主要修改意见</w:t>
      </w:r>
    </w:p>
    <w:p w14:paraId="76917D3B">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王丽丽</w:t>
      </w:r>
      <w:r>
        <w:rPr>
          <w:rFonts w:hint="eastAsia" w:ascii="仿宋" w:hAnsi="仿宋" w:eastAsia="仿宋"/>
          <w:sz w:val="24"/>
          <w:szCs w:val="24"/>
        </w:rPr>
        <w:t>：可否有文献支撑，这个频率的强度，幼儿可否承受？</w:t>
      </w:r>
    </w:p>
    <w:p w14:paraId="4757A0FF">
      <w:pPr>
        <w:spacing w:line="400" w:lineRule="exact"/>
        <w:ind w:firstLine="480" w:firstLineChars="200"/>
        <w:jc w:val="left"/>
        <w:rPr>
          <w:rFonts w:hint="eastAsia" w:ascii="仿宋" w:hAnsi="仿宋" w:eastAsia="仿宋"/>
          <w:sz w:val="24"/>
          <w:szCs w:val="24"/>
          <w:lang w:eastAsia="zh-CN"/>
        </w:rPr>
      </w:pPr>
      <w:r>
        <w:rPr>
          <w:rFonts w:hint="eastAsia" w:ascii="仿宋" w:hAnsi="仿宋" w:eastAsia="仿宋"/>
          <w:sz w:val="24"/>
          <w:szCs w:val="24"/>
        </w:rPr>
        <w:t>史正刚</w:t>
      </w:r>
      <w:r>
        <w:rPr>
          <w:rFonts w:hint="eastAsia" w:ascii="仿宋" w:hAnsi="仿宋" w:eastAsia="仿宋"/>
          <w:sz w:val="24"/>
          <w:szCs w:val="24"/>
          <w:lang w:eastAsia="zh-CN"/>
        </w:rPr>
        <w:t>：</w:t>
      </w:r>
      <w:r>
        <w:rPr>
          <w:rFonts w:hint="eastAsia" w:ascii="仿宋" w:hAnsi="仿宋" w:eastAsia="仿宋"/>
          <w:sz w:val="24"/>
          <w:szCs w:val="24"/>
        </w:rPr>
        <w:t>将“医师”改为“操作者”</w:t>
      </w:r>
      <w:r>
        <w:rPr>
          <w:rFonts w:hint="eastAsia" w:ascii="仿宋" w:hAnsi="仿宋" w:eastAsia="仿宋"/>
          <w:sz w:val="24"/>
          <w:szCs w:val="24"/>
          <w:lang w:eastAsia="zh-CN"/>
        </w:rPr>
        <w:t>。</w:t>
      </w:r>
    </w:p>
    <w:p w14:paraId="27A67301">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0D5BF95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操作频率参考《T/CEMA 022—2025 侗医小儿推拿疗法技术操作规范》，因此基本采纳项目组意见</w:t>
      </w:r>
      <w:r>
        <w:rPr>
          <w:rFonts w:hint="eastAsia" w:ascii="仿宋" w:hAnsi="仿宋" w:eastAsia="仿宋"/>
          <w:sz w:val="24"/>
          <w:szCs w:val="24"/>
        </w:rPr>
        <w:t>，</w:t>
      </w:r>
      <w:r>
        <w:rPr>
          <w:rFonts w:hint="eastAsia" w:ascii="仿宋" w:hAnsi="仿宋" w:eastAsia="仿宋"/>
          <w:sz w:val="24"/>
          <w:szCs w:val="24"/>
          <w:lang w:val="en-US" w:eastAsia="zh-CN"/>
        </w:rPr>
        <w:t>同时保持全文称谓统一</w:t>
      </w:r>
      <w:r>
        <w:rPr>
          <w:rFonts w:hint="eastAsia" w:ascii="仿宋" w:hAnsi="仿宋" w:eastAsia="仿宋"/>
          <w:sz w:val="24"/>
          <w:szCs w:val="24"/>
        </w:rPr>
        <w:t>。</w:t>
      </w:r>
    </w:p>
    <w:p w14:paraId="183572F0">
      <w:pPr>
        <w:spacing w:line="400" w:lineRule="exact"/>
        <w:jc w:val="left"/>
        <w:rPr>
          <w:rFonts w:hint="eastAsia" w:ascii="仿宋" w:hAnsi="仿宋" w:eastAsia="仿宋"/>
          <w:b/>
          <w:bCs/>
          <w:sz w:val="24"/>
          <w:szCs w:val="24"/>
        </w:rPr>
      </w:pPr>
      <w:r>
        <w:rPr>
          <w:rFonts w:hint="eastAsia" w:ascii="仿宋" w:hAnsi="仿宋" w:eastAsia="仿宋"/>
          <w:b/>
          <w:bCs/>
          <w:sz w:val="24"/>
          <w:szCs w:val="24"/>
        </w:rPr>
        <w:t>（六）条目6：按法</w:t>
      </w:r>
    </w:p>
    <w:p w14:paraId="4A434741">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116DAD45">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62A39CB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医师用拇指或中指指端或掌心在一定的穴位向下逐渐用力揿压。操作时手法要求轻柔、速度均匀协调、压力大小适当。</w:t>
      </w:r>
    </w:p>
    <w:p w14:paraId="123DC919">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347326EC">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医师以手指、掌根或鱼际在一定的穴位或部位上由轻到重垂直向下用力按压，按而留之后，再由重到轻逐渐放松。</w:t>
      </w:r>
    </w:p>
    <w:p w14:paraId="58B5DDCA">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0433EC40">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129AE9E0">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史正</w:t>
      </w:r>
      <w:r>
        <w:rPr>
          <w:rFonts w:hint="eastAsia" w:ascii="仿宋" w:hAnsi="仿宋" w:eastAsia="仿宋"/>
          <w:sz w:val="24"/>
          <w:szCs w:val="24"/>
        </w:rPr>
        <w:t>刚1位专家部分同意（1分/可选），12位专家完全同意（2分/须选），支持率92.3%。</w:t>
      </w:r>
    </w:p>
    <w:p w14:paraId="614588EC">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2E6B1EDC">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史正刚</w:t>
      </w:r>
      <w:r>
        <w:rPr>
          <w:rFonts w:hint="eastAsia" w:ascii="仿宋" w:hAnsi="仿宋" w:eastAsia="仿宋"/>
          <w:sz w:val="24"/>
          <w:szCs w:val="24"/>
          <w:lang w:eastAsia="zh-CN"/>
        </w:rPr>
        <w:t>：</w:t>
      </w:r>
      <w:r>
        <w:rPr>
          <w:rFonts w:hint="eastAsia" w:ascii="仿宋" w:hAnsi="仿宋" w:eastAsia="仿宋"/>
          <w:sz w:val="24"/>
          <w:szCs w:val="24"/>
        </w:rPr>
        <w:t>将“医师”改为“操作者”。</w:t>
      </w:r>
    </w:p>
    <w:p w14:paraId="3A736E30">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20A3D0E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多数通过，</w:t>
      </w:r>
      <w:r>
        <w:rPr>
          <w:rFonts w:hint="eastAsia" w:ascii="仿宋" w:hAnsi="仿宋" w:eastAsia="仿宋"/>
          <w:sz w:val="24"/>
          <w:szCs w:val="24"/>
          <w:lang w:val="en-US" w:eastAsia="zh-CN"/>
        </w:rPr>
        <w:t>采纳项目组意见，同时保持全文称谓统一</w:t>
      </w:r>
      <w:r>
        <w:rPr>
          <w:rFonts w:hint="eastAsia" w:ascii="仿宋" w:hAnsi="仿宋" w:eastAsia="仿宋"/>
          <w:sz w:val="24"/>
          <w:szCs w:val="24"/>
        </w:rPr>
        <w:t>。</w:t>
      </w:r>
    </w:p>
    <w:p w14:paraId="66D440B2">
      <w:pPr>
        <w:spacing w:line="400" w:lineRule="exact"/>
        <w:jc w:val="left"/>
        <w:rPr>
          <w:rFonts w:hint="eastAsia" w:ascii="仿宋" w:hAnsi="仿宋" w:eastAsia="仿宋"/>
          <w:b/>
          <w:bCs/>
          <w:sz w:val="24"/>
          <w:szCs w:val="24"/>
        </w:rPr>
      </w:pPr>
      <w:r>
        <w:rPr>
          <w:rFonts w:hint="eastAsia" w:ascii="仿宋" w:hAnsi="仿宋" w:eastAsia="仿宋"/>
          <w:b/>
          <w:bCs/>
          <w:sz w:val="24"/>
          <w:szCs w:val="24"/>
        </w:rPr>
        <w:t>（七）条目7：操作顺序</w:t>
      </w:r>
    </w:p>
    <w:p w14:paraId="26F20F67">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56BBE2A1">
      <w:pPr>
        <w:spacing w:line="400" w:lineRule="exact"/>
        <w:jc w:val="left"/>
        <w:rPr>
          <w:rFonts w:hint="eastAsia" w:ascii="仿宋" w:hAnsi="仿宋" w:eastAsia="仿宋"/>
          <w:sz w:val="24"/>
          <w:szCs w:val="24"/>
        </w:rPr>
      </w:pPr>
      <w:r>
        <w:rPr>
          <w:rFonts w:hint="eastAsia" w:ascii="仿宋" w:hAnsi="仿宋" w:eastAsia="仿宋"/>
          <w:sz w:val="24"/>
          <w:szCs w:val="24"/>
        </w:rPr>
        <w:t>（1）国家标准</w:t>
      </w:r>
    </w:p>
    <w:p w14:paraId="598CBCC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 xml:space="preserve">小儿推拿的顺序，以操作方便、患儿能接受为原则。一般按先上肢，后头面，再躯干，后下肢。也可以先主穴，后配穴。还可以先刺激量小的穴位，后刺激量大的穴位。凡推上肢的特定穴位只取一只手，不分男女，皆推左手。 </w:t>
      </w:r>
    </w:p>
    <w:p w14:paraId="3038B54F">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6C795FE5">
      <w:pPr>
        <w:spacing w:line="400" w:lineRule="exact"/>
        <w:ind w:firstLine="480" w:firstLineChars="200"/>
        <w:jc w:val="left"/>
        <w:rPr>
          <w:rFonts w:hint="eastAsia" w:ascii="仿宋" w:hAnsi="仿宋" w:eastAsia="仿宋"/>
          <w:sz w:val="24"/>
          <w:szCs w:val="24"/>
        </w:rPr>
      </w:pPr>
      <w:bookmarkStart w:id="4" w:name="_Hlk216609612"/>
      <w:r>
        <w:rPr>
          <w:rFonts w:hint="eastAsia" w:ascii="仿宋" w:hAnsi="仿宋" w:eastAsia="仿宋"/>
          <w:sz w:val="24"/>
          <w:szCs w:val="24"/>
        </w:rPr>
        <w:t>小儿推拿的顺序，以操作方便、患儿能接受为原则。一般按先上肢，后头面，再躯干，后下肢。也可以先主穴，后配穴。还可以先刺激量小的穴位，后刺激量大的穴位。上肢部穴位，可根据操作者习惯操作儿童左手或右手一侧的穴位；非上肢部位的双侧穴位，两侧均可选择操作。</w:t>
      </w:r>
    </w:p>
    <w:bookmarkEnd w:id="4"/>
    <w:p w14:paraId="6A48250E">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3A43BD17">
      <w:pPr>
        <w:spacing w:line="400" w:lineRule="exact"/>
        <w:jc w:val="left"/>
        <w:rPr>
          <w:rFonts w:hint="eastAsia" w:ascii="仿宋" w:hAnsi="仿宋" w:eastAsia="仿宋"/>
          <w:sz w:val="24"/>
          <w:szCs w:val="24"/>
        </w:rPr>
      </w:pPr>
      <w:r>
        <w:rPr>
          <w:rFonts w:hint="eastAsia" w:ascii="仿宋" w:hAnsi="仿宋" w:eastAsia="仿宋"/>
          <w:sz w:val="24"/>
          <w:szCs w:val="24"/>
        </w:rPr>
        <w:t xml:space="preserve">（1）专家论证结果 </w:t>
      </w:r>
    </w:p>
    <w:p w14:paraId="5A7E4B2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王丽丽</w:t>
      </w:r>
      <w:r>
        <w:rPr>
          <w:rFonts w:hint="eastAsia" w:ascii="仿宋" w:hAnsi="仿宋" w:eastAsia="仿宋"/>
          <w:sz w:val="24"/>
          <w:szCs w:val="24"/>
        </w:rPr>
        <w:t>1位专家部分同意（1分/可选），12位专家完全同意（2分/须选），支持率92.3%。</w:t>
      </w:r>
    </w:p>
    <w:p w14:paraId="357926A0">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6A4AE2E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王丽丽</w:t>
      </w:r>
      <w:r>
        <w:rPr>
          <w:rFonts w:hint="eastAsia" w:ascii="仿宋" w:hAnsi="仿宋" w:eastAsia="仿宋"/>
          <w:sz w:val="24"/>
          <w:szCs w:val="24"/>
        </w:rPr>
        <w:t>：“先刺激量小”“后刺激量大” 这样表述是否准确？</w:t>
      </w:r>
    </w:p>
    <w:p w14:paraId="716DA484">
      <w:pPr>
        <w:spacing w:line="400" w:lineRule="exact"/>
        <w:jc w:val="left"/>
        <w:rPr>
          <w:rFonts w:hint="eastAsia" w:ascii="仿宋" w:hAnsi="仿宋" w:eastAsia="仿宋"/>
          <w:sz w:val="24"/>
          <w:szCs w:val="24"/>
        </w:rPr>
      </w:pPr>
      <w:r>
        <w:rPr>
          <w:rFonts w:hint="eastAsia" w:ascii="仿宋" w:hAnsi="仿宋" w:eastAsia="仿宋"/>
          <w:b/>
          <w:bCs/>
          <w:sz w:val="24"/>
          <w:szCs w:val="24"/>
        </w:rPr>
        <w:t>3.项目组决议</w:t>
      </w:r>
    </w:p>
    <w:p w14:paraId="354A3367">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采纳项目组意见，</w:t>
      </w:r>
      <w:r>
        <w:rPr>
          <w:rFonts w:hint="eastAsia" w:ascii="仿宋" w:hAnsi="仿宋" w:eastAsia="仿宋"/>
          <w:sz w:val="24"/>
          <w:szCs w:val="24"/>
          <w:lang w:val="en-US" w:eastAsia="zh-CN"/>
        </w:rPr>
        <w:t>进一步推敲条文表述，使其更为准确</w:t>
      </w:r>
      <w:r>
        <w:rPr>
          <w:rFonts w:hint="eastAsia" w:ascii="仿宋" w:hAnsi="仿宋" w:eastAsia="仿宋"/>
          <w:sz w:val="24"/>
          <w:szCs w:val="24"/>
        </w:rPr>
        <w:t>。</w:t>
      </w:r>
    </w:p>
    <w:p w14:paraId="046A80E9">
      <w:pPr>
        <w:spacing w:line="400" w:lineRule="exact"/>
        <w:jc w:val="left"/>
        <w:rPr>
          <w:rFonts w:hint="eastAsia" w:ascii="仿宋" w:hAnsi="仿宋" w:eastAsia="仿宋"/>
          <w:b/>
          <w:bCs/>
          <w:sz w:val="24"/>
          <w:szCs w:val="24"/>
        </w:rPr>
      </w:pPr>
      <w:r>
        <w:rPr>
          <w:rFonts w:hint="eastAsia" w:ascii="仿宋" w:hAnsi="仿宋" w:eastAsia="仿宋"/>
          <w:b/>
          <w:bCs/>
          <w:sz w:val="24"/>
          <w:szCs w:val="24"/>
        </w:rPr>
        <w:t>（八）条目8：操作补泻</w:t>
      </w:r>
    </w:p>
    <w:p w14:paraId="5CD85A5B">
      <w:pPr>
        <w:spacing w:line="400" w:lineRule="exact"/>
        <w:jc w:val="left"/>
        <w:rPr>
          <w:rFonts w:hint="eastAsia" w:ascii="仿宋" w:hAnsi="仿宋" w:eastAsia="仿宋"/>
          <w:b/>
          <w:bCs/>
          <w:sz w:val="24"/>
          <w:szCs w:val="24"/>
        </w:rPr>
      </w:pPr>
      <w:bookmarkStart w:id="5" w:name="_Hlk216607033"/>
      <w:bookmarkStart w:id="6" w:name="_Hlk216606715"/>
      <w:r>
        <w:rPr>
          <w:rFonts w:hint="eastAsia" w:ascii="仿宋" w:hAnsi="仿宋" w:eastAsia="仿宋"/>
          <w:b/>
          <w:bCs/>
          <w:sz w:val="24"/>
          <w:szCs w:val="24"/>
        </w:rPr>
        <w:t>1.征求意见函原文</w:t>
      </w:r>
    </w:p>
    <w:p w14:paraId="0D4E7263">
      <w:pPr>
        <w:spacing w:line="400" w:lineRule="exact"/>
        <w:jc w:val="left"/>
        <w:rPr>
          <w:rFonts w:hint="eastAsia" w:ascii="仿宋" w:hAnsi="仿宋" w:eastAsia="仿宋"/>
          <w:sz w:val="24"/>
          <w:szCs w:val="24"/>
        </w:rPr>
      </w:pPr>
      <w:r>
        <w:rPr>
          <w:rFonts w:hint="eastAsia" w:ascii="仿宋" w:hAnsi="仿宋" w:eastAsia="仿宋"/>
          <w:sz w:val="24"/>
          <w:szCs w:val="24"/>
        </w:rPr>
        <w:t xml:space="preserve">（1）国家标准 </w:t>
      </w:r>
    </w:p>
    <w:p w14:paraId="2D1C6CD5">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小儿推拿补泻方法的运用取决于疾病的证候，一般向心为补、离心为泻。手法力度轻为补、重为泻。手法速度频率慢为补，而频率快则有泻的作用。</w:t>
      </w:r>
    </w:p>
    <w:p w14:paraId="72421533">
      <w:pPr>
        <w:spacing w:line="400" w:lineRule="exact"/>
        <w:jc w:val="left"/>
        <w:rPr>
          <w:rFonts w:hint="eastAsia" w:ascii="仿宋" w:hAnsi="仿宋" w:eastAsia="仿宋"/>
          <w:sz w:val="24"/>
          <w:szCs w:val="24"/>
        </w:rPr>
      </w:pPr>
      <w:r>
        <w:rPr>
          <w:rFonts w:hint="eastAsia" w:ascii="仿宋" w:hAnsi="仿宋" w:eastAsia="仿宋"/>
          <w:sz w:val="24"/>
          <w:szCs w:val="24"/>
        </w:rPr>
        <w:t xml:space="preserve">（2）项目组意见 </w:t>
      </w:r>
    </w:p>
    <w:p w14:paraId="0AD4F06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小儿推拿一般补泻原则：方向补泻法 此种补泻方法主要用于小儿手部与腹部的穴位。一般而言，在手部穴位上做向心性方向直推为补法，离心性方向直推为泻法；逆时针摩腹为补法，顺时针摩腹为泻法。轻重补泻法 轻重是指医者在患儿体表穴位上操作时用力的大小。轻手法操作为补法，重手法操作为泻法。快慢补泻法 快慢是指医者运用某一手法在患儿体表穴位上操作的速度。速度快慢会影响手法频率的高低，一般而言，手法操作频率低为补法，反之为泻法。迎随补泻法 随（顺）其经络走行方向操作为补法，迎（逆）其经络走行方向操作为泻法。又称为顺逆补泻法。次数补泻法 次数多时间长而轻柔的手法治疗为补法；次数少时间短而较重的手法治疗为泻法。得气补泻法 又称推拿感应补泻法。所谓得气，即指施术手法过程中患者所表现出“酸、麻、胀、痛、重”的一种自我感觉。“得气”明显者为泻法；“得气”轻微者为补法。平补平泻法 患儿病情虚实不明显，或平素小儿保健时常用的一种方法。一般采用快慢结合、顺逆结合的方式。</w:t>
      </w:r>
    </w:p>
    <w:p w14:paraId="0BA0BB55">
      <w:pPr>
        <w:spacing w:line="400" w:lineRule="exact"/>
        <w:jc w:val="left"/>
        <w:rPr>
          <w:rFonts w:hint="eastAsia" w:ascii="仿宋" w:hAnsi="仿宋" w:eastAsia="仿宋"/>
          <w:b/>
          <w:bCs/>
          <w:sz w:val="24"/>
          <w:szCs w:val="24"/>
        </w:rPr>
      </w:pPr>
      <w:bookmarkStart w:id="7" w:name="_Hlk216609386"/>
      <w:r>
        <w:rPr>
          <w:rFonts w:hint="eastAsia" w:ascii="仿宋" w:hAnsi="仿宋" w:eastAsia="仿宋"/>
          <w:b/>
          <w:bCs/>
          <w:sz w:val="24"/>
          <w:szCs w:val="24"/>
        </w:rPr>
        <w:t>2.</w:t>
      </w:r>
      <w:bookmarkStart w:id="8" w:name="_Hlk216609050"/>
      <w:r>
        <w:rPr>
          <w:rFonts w:hint="eastAsia" w:ascii="仿宋" w:hAnsi="仿宋" w:eastAsia="仿宋"/>
          <w:b/>
          <w:bCs/>
          <w:sz w:val="24"/>
          <w:szCs w:val="24"/>
        </w:rPr>
        <w:t>专家论证意见</w:t>
      </w:r>
      <w:bookmarkEnd w:id="8"/>
    </w:p>
    <w:bookmarkEnd w:id="7"/>
    <w:p w14:paraId="1AB49850">
      <w:pPr>
        <w:spacing w:line="400" w:lineRule="exact"/>
        <w:jc w:val="left"/>
        <w:rPr>
          <w:rFonts w:hint="eastAsia" w:ascii="仿宋" w:hAnsi="仿宋" w:eastAsia="仿宋"/>
          <w:sz w:val="24"/>
          <w:szCs w:val="24"/>
        </w:rPr>
      </w:pPr>
      <w:bookmarkStart w:id="9" w:name="_Hlk216609057"/>
      <w:bookmarkStart w:id="10" w:name="_Hlk216609394"/>
      <w:r>
        <w:rPr>
          <w:rFonts w:hint="eastAsia" w:ascii="仿宋" w:hAnsi="仿宋" w:eastAsia="仿宋"/>
          <w:sz w:val="24"/>
          <w:szCs w:val="24"/>
        </w:rPr>
        <w:t>（1）专家论证结果</w:t>
      </w:r>
    </w:p>
    <w:p w14:paraId="144EC97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王丽丽</w:t>
      </w:r>
      <w:r>
        <w:rPr>
          <w:rFonts w:hint="eastAsia" w:ascii="仿宋" w:hAnsi="仿宋" w:eastAsia="仿宋"/>
          <w:sz w:val="24"/>
          <w:szCs w:val="24"/>
        </w:rPr>
        <w:t>、史正刚、张葆青</w:t>
      </w:r>
      <w:r>
        <w:rPr>
          <w:rFonts w:hint="eastAsia" w:ascii="仿宋" w:hAnsi="仿宋" w:eastAsia="仿宋"/>
          <w:sz w:val="24"/>
          <w:szCs w:val="24"/>
          <w:lang w:val="en-US" w:eastAsia="zh-CN"/>
        </w:rPr>
        <w:t>3</w:t>
      </w:r>
      <w:r>
        <w:rPr>
          <w:rFonts w:hint="eastAsia" w:ascii="仿宋" w:hAnsi="仿宋" w:eastAsia="仿宋"/>
          <w:sz w:val="24"/>
          <w:szCs w:val="24"/>
        </w:rPr>
        <w:t>位专家部分同意（1分/可选），</w:t>
      </w:r>
      <w:r>
        <w:rPr>
          <w:rFonts w:hint="eastAsia" w:ascii="仿宋" w:hAnsi="仿宋" w:eastAsia="仿宋"/>
          <w:sz w:val="24"/>
          <w:szCs w:val="24"/>
          <w:lang w:val="en-US" w:eastAsia="zh-CN"/>
        </w:rPr>
        <w:t>10</w:t>
      </w:r>
      <w:r>
        <w:rPr>
          <w:rFonts w:hint="eastAsia" w:ascii="仿宋" w:hAnsi="仿宋" w:eastAsia="仿宋"/>
          <w:sz w:val="24"/>
          <w:szCs w:val="24"/>
        </w:rPr>
        <w:t>位专家完全同意（2分/须选），支持率76.9%。</w:t>
      </w:r>
    </w:p>
    <w:bookmarkEnd w:id="9"/>
    <w:p w14:paraId="0E51B3E5">
      <w:pPr>
        <w:spacing w:line="400" w:lineRule="exact"/>
        <w:jc w:val="left"/>
        <w:rPr>
          <w:rFonts w:hint="eastAsia" w:ascii="仿宋" w:hAnsi="仿宋" w:eastAsia="仿宋"/>
          <w:sz w:val="24"/>
          <w:szCs w:val="24"/>
        </w:rPr>
      </w:pPr>
      <w:bookmarkStart w:id="11" w:name="_Hlk216609061"/>
      <w:r>
        <w:rPr>
          <w:rFonts w:hint="eastAsia" w:ascii="仿宋" w:hAnsi="仿宋" w:eastAsia="仿宋"/>
          <w:sz w:val="24"/>
          <w:szCs w:val="24"/>
        </w:rPr>
        <w:t>（2）主要修改建议</w:t>
      </w:r>
      <w:bookmarkEnd w:id="10"/>
      <w:r>
        <w:rPr>
          <w:rFonts w:ascii="仿宋" w:hAnsi="仿宋" w:eastAsia="仿宋"/>
          <w:sz w:val="24"/>
          <w:szCs w:val="24"/>
        </w:rPr>
        <w:t xml:space="preserve"> </w:t>
      </w:r>
    </w:p>
    <w:p w14:paraId="7E5552B2">
      <w:pPr>
        <w:spacing w:line="400" w:lineRule="exact"/>
        <w:ind w:firstLine="480" w:firstLineChars="200"/>
        <w:jc w:val="left"/>
        <w:rPr>
          <w:rFonts w:hint="eastAsia" w:ascii="仿宋" w:hAnsi="仿宋" w:eastAsia="仿宋"/>
          <w:sz w:val="24"/>
          <w:szCs w:val="24"/>
          <w:lang w:val="en-US" w:eastAsia="zh-CN"/>
        </w:rPr>
      </w:pPr>
      <w:r>
        <w:rPr>
          <w:rFonts w:hint="eastAsia" w:ascii="仿宋" w:hAnsi="仿宋" w:eastAsia="仿宋"/>
          <w:sz w:val="24"/>
          <w:szCs w:val="24"/>
          <w:lang w:val="en-US" w:eastAsia="zh-CN"/>
        </w:rPr>
        <w:t>王丽丽：“一般而言”类似写法，最好不要出现在标准行文中。</w:t>
      </w:r>
    </w:p>
    <w:p w14:paraId="1FE22107">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史正刚：“小儿推拿一般补泻原则：”拟改为“小儿推拿常用补泻方法：”。将“患者”改为“患儿”。</w:t>
      </w:r>
    </w:p>
    <w:p w14:paraId="51196016">
      <w:pPr>
        <w:spacing w:line="400" w:lineRule="exact"/>
        <w:ind w:firstLine="480" w:firstLineChars="200"/>
        <w:jc w:val="left"/>
        <w:rPr>
          <w:rFonts w:hint="eastAsia" w:ascii="仿宋" w:hAnsi="仿宋" w:eastAsia="仿宋"/>
          <w:sz w:val="24"/>
          <w:szCs w:val="24"/>
          <w:lang w:eastAsia="zh-CN"/>
        </w:rPr>
      </w:pPr>
      <w:r>
        <w:rPr>
          <w:rFonts w:hint="eastAsia" w:ascii="仿宋" w:hAnsi="仿宋" w:eastAsia="仿宋"/>
          <w:sz w:val="24"/>
          <w:szCs w:val="24"/>
        </w:rPr>
        <w:t>张葆青</w:t>
      </w:r>
      <w:r>
        <w:rPr>
          <w:rFonts w:hint="eastAsia" w:ascii="仿宋" w:hAnsi="仿宋" w:eastAsia="仿宋"/>
          <w:sz w:val="24"/>
          <w:szCs w:val="24"/>
          <w:lang w:eastAsia="zh-CN"/>
        </w:rPr>
        <w:t>：</w:t>
      </w:r>
      <w:r>
        <w:rPr>
          <w:rFonts w:hint="eastAsia" w:ascii="仿宋" w:hAnsi="仿宋" w:eastAsia="仿宋"/>
          <w:sz w:val="24"/>
          <w:szCs w:val="24"/>
        </w:rPr>
        <w:t>同意会议专家意见</w:t>
      </w:r>
      <w:r>
        <w:rPr>
          <w:rFonts w:hint="eastAsia" w:ascii="仿宋" w:hAnsi="仿宋" w:eastAsia="仿宋"/>
          <w:sz w:val="24"/>
          <w:szCs w:val="24"/>
          <w:lang w:eastAsia="zh-CN"/>
        </w:rPr>
        <w:t>。</w:t>
      </w:r>
    </w:p>
    <w:bookmarkEnd w:id="11"/>
    <w:p w14:paraId="436B4311">
      <w:pPr>
        <w:spacing w:line="400" w:lineRule="exact"/>
        <w:jc w:val="left"/>
        <w:rPr>
          <w:rFonts w:hint="eastAsia" w:ascii="仿宋" w:hAnsi="仿宋" w:eastAsia="仿宋"/>
          <w:b/>
          <w:bCs/>
          <w:sz w:val="24"/>
          <w:szCs w:val="24"/>
        </w:rPr>
      </w:pPr>
      <w:bookmarkStart w:id="12" w:name="_Hlk216609068"/>
      <w:r>
        <w:rPr>
          <w:rFonts w:hint="eastAsia" w:ascii="仿宋" w:hAnsi="仿宋" w:eastAsia="仿宋"/>
          <w:b/>
          <w:bCs/>
          <w:sz w:val="24"/>
          <w:szCs w:val="24"/>
        </w:rPr>
        <w:t>3.项目组决议</w:t>
      </w:r>
      <w:bookmarkEnd w:id="5"/>
    </w:p>
    <w:bookmarkEnd w:id="6"/>
    <w:bookmarkEnd w:id="12"/>
    <w:p w14:paraId="4797038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基本</w:t>
      </w:r>
      <w:r>
        <w:rPr>
          <w:rFonts w:hint="eastAsia" w:ascii="仿宋" w:hAnsi="仿宋" w:eastAsia="仿宋"/>
          <w:sz w:val="24"/>
          <w:szCs w:val="24"/>
        </w:rPr>
        <w:t>采纳项目组意见，</w:t>
      </w:r>
      <w:r>
        <w:rPr>
          <w:rFonts w:hint="eastAsia" w:ascii="仿宋" w:hAnsi="仿宋" w:eastAsia="仿宋"/>
          <w:sz w:val="24"/>
          <w:szCs w:val="24"/>
          <w:lang w:val="en-US" w:eastAsia="zh-CN"/>
        </w:rPr>
        <w:t>推敲文字表述</w:t>
      </w:r>
      <w:r>
        <w:rPr>
          <w:rFonts w:hint="eastAsia" w:ascii="仿宋" w:hAnsi="仿宋" w:eastAsia="仿宋"/>
          <w:sz w:val="24"/>
          <w:szCs w:val="24"/>
          <w:lang w:eastAsia="zh-CN"/>
        </w:rPr>
        <w:t>，</w:t>
      </w:r>
      <w:r>
        <w:rPr>
          <w:rFonts w:hint="eastAsia" w:ascii="仿宋" w:hAnsi="仿宋" w:eastAsia="仿宋"/>
          <w:sz w:val="24"/>
          <w:szCs w:val="24"/>
          <w:lang w:val="en-US" w:eastAsia="zh-CN"/>
        </w:rPr>
        <w:t>接受</w:t>
      </w:r>
      <w:r>
        <w:rPr>
          <w:rFonts w:hint="eastAsia" w:ascii="仿宋" w:hAnsi="仿宋" w:eastAsia="仿宋"/>
          <w:sz w:val="24"/>
          <w:szCs w:val="24"/>
        </w:rPr>
        <w:t>史正刚教授文字优化建议，改为“小儿推拿常用补泻方法：”</w:t>
      </w:r>
      <w:r>
        <w:rPr>
          <w:rFonts w:hint="eastAsia" w:ascii="仿宋" w:hAnsi="仿宋" w:eastAsia="仿宋"/>
          <w:sz w:val="24"/>
          <w:szCs w:val="24"/>
          <w:lang w:eastAsia="zh-CN"/>
        </w:rPr>
        <w:t>，</w:t>
      </w:r>
      <w:r>
        <w:rPr>
          <w:rFonts w:hint="eastAsia" w:ascii="仿宋" w:hAnsi="仿宋" w:eastAsia="仿宋"/>
          <w:sz w:val="24"/>
          <w:szCs w:val="24"/>
          <w:lang w:val="en-US" w:eastAsia="zh-CN"/>
        </w:rPr>
        <w:t>同时保持全文称谓统一</w:t>
      </w:r>
      <w:r>
        <w:rPr>
          <w:rFonts w:hint="eastAsia" w:ascii="仿宋" w:hAnsi="仿宋" w:eastAsia="仿宋"/>
          <w:sz w:val="24"/>
          <w:szCs w:val="24"/>
        </w:rPr>
        <w:t>。</w:t>
      </w:r>
    </w:p>
    <w:p w14:paraId="71261C4C">
      <w:pPr>
        <w:spacing w:line="400" w:lineRule="exact"/>
        <w:jc w:val="left"/>
        <w:rPr>
          <w:rFonts w:hint="eastAsia" w:ascii="仿宋" w:hAnsi="仿宋" w:eastAsia="仿宋"/>
          <w:b/>
          <w:bCs/>
          <w:sz w:val="24"/>
          <w:szCs w:val="24"/>
        </w:rPr>
      </w:pPr>
      <w:r>
        <w:rPr>
          <w:rFonts w:hint="eastAsia" w:ascii="仿宋" w:hAnsi="仿宋" w:eastAsia="仿宋"/>
          <w:b/>
          <w:bCs/>
          <w:sz w:val="24"/>
          <w:szCs w:val="24"/>
        </w:rPr>
        <w:t>（九）条目9：小儿推拿治疗时间</w:t>
      </w:r>
    </w:p>
    <w:p w14:paraId="2BE057FC">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3137AC99">
      <w:pPr>
        <w:spacing w:line="400" w:lineRule="exact"/>
        <w:jc w:val="left"/>
        <w:rPr>
          <w:rFonts w:hint="eastAsia" w:ascii="仿宋" w:hAnsi="仿宋" w:eastAsia="仿宋"/>
          <w:sz w:val="24"/>
          <w:szCs w:val="24"/>
        </w:rPr>
      </w:pPr>
      <w:r>
        <w:rPr>
          <w:rFonts w:hint="eastAsia" w:ascii="仿宋" w:hAnsi="仿宋" w:eastAsia="仿宋"/>
          <w:sz w:val="24"/>
          <w:szCs w:val="24"/>
        </w:rPr>
        <w:t xml:space="preserve">（1）国家标准 </w:t>
      </w:r>
    </w:p>
    <w:p w14:paraId="0152BFFB">
      <w:pPr>
        <w:spacing w:line="400" w:lineRule="exact"/>
        <w:ind w:firstLine="420"/>
        <w:jc w:val="left"/>
        <w:rPr>
          <w:rFonts w:hint="eastAsia" w:ascii="仿宋" w:hAnsi="仿宋" w:eastAsia="仿宋"/>
          <w:sz w:val="24"/>
          <w:szCs w:val="24"/>
        </w:rPr>
      </w:pPr>
      <w:r>
        <w:rPr>
          <w:rFonts w:hint="eastAsia" w:ascii="仿宋" w:hAnsi="仿宋" w:eastAsia="仿宋"/>
          <w:sz w:val="24"/>
          <w:szCs w:val="24"/>
        </w:rPr>
        <w:t>小儿推拿治疗操作时间可根据年龄、病情、体质等情况而定。一般每穴的操作时间为1min～2min，1次总的治疗时间为20min～30min。对于年龄小、体质弱、采用刺激性较强的手法者可适当缩短操作时间。</w:t>
      </w:r>
    </w:p>
    <w:p w14:paraId="1AB43113">
      <w:pPr>
        <w:spacing w:line="400" w:lineRule="exact"/>
        <w:jc w:val="left"/>
        <w:rPr>
          <w:rFonts w:hint="eastAsia" w:ascii="仿宋" w:hAnsi="仿宋" w:eastAsia="仿宋"/>
          <w:sz w:val="24"/>
          <w:szCs w:val="24"/>
        </w:rPr>
      </w:pPr>
      <w:r>
        <w:rPr>
          <w:rFonts w:hint="eastAsia" w:ascii="仿宋" w:hAnsi="仿宋" w:eastAsia="仿宋"/>
          <w:sz w:val="24"/>
          <w:szCs w:val="24"/>
        </w:rPr>
        <w:t xml:space="preserve">（2）项目组意见 </w:t>
      </w:r>
    </w:p>
    <w:p w14:paraId="49726641">
      <w:pPr>
        <w:spacing w:line="400" w:lineRule="exact"/>
        <w:ind w:firstLine="480" w:firstLineChars="200"/>
        <w:jc w:val="left"/>
        <w:rPr>
          <w:rFonts w:hint="eastAsia" w:ascii="仿宋" w:hAnsi="仿宋" w:eastAsia="仿宋"/>
          <w:sz w:val="24"/>
          <w:szCs w:val="24"/>
        </w:rPr>
      </w:pPr>
      <w:bookmarkStart w:id="13" w:name="_Hlk216610083"/>
      <w:r>
        <w:rPr>
          <w:rFonts w:hint="eastAsia" w:ascii="仿宋" w:hAnsi="仿宋" w:eastAsia="仿宋"/>
          <w:sz w:val="24"/>
          <w:szCs w:val="24"/>
        </w:rPr>
        <w:t>操作时间 可根据年龄、病情、体质和手法特性等情况而定。一般每个穴位操作时间为1-2分钟，合计治疗时间为20～40分钟。对于年龄小、体质弱、病情轻、采用刺激性较强的手法者可适当缩短操作时间。年龄较大、体质强、病情重，可适当增加操作时间。</w:t>
      </w:r>
    </w:p>
    <w:bookmarkEnd w:id="13"/>
    <w:p w14:paraId="58C4FF62">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544CBD92">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649C0EC2">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58799DB8">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49DD3B44">
      <w:pPr>
        <w:spacing w:line="400" w:lineRule="exact"/>
        <w:ind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lang w:val="en-US" w:eastAsia="zh-CN"/>
        </w:rPr>
        <w:t>戴启刚：数字间用“～”还是“-”要统一</w:t>
      </w:r>
      <w:r>
        <w:rPr>
          <w:rFonts w:hint="eastAsia" w:ascii="仿宋" w:hAnsi="仿宋" w:eastAsia="仿宋"/>
          <w:color w:val="000000"/>
          <w:sz w:val="24"/>
          <w:szCs w:val="24"/>
        </w:rPr>
        <w:t>。</w:t>
      </w:r>
    </w:p>
    <w:p w14:paraId="224CAF49">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63179CE8">
      <w:pPr>
        <w:spacing w:line="400" w:lineRule="exact"/>
        <w:ind w:firstLine="480" w:firstLineChars="200"/>
        <w:jc w:val="left"/>
        <w:rPr>
          <w:rFonts w:hint="eastAsia" w:ascii="仿宋" w:hAnsi="仿宋" w:eastAsia="仿宋"/>
          <w:color w:val="000000"/>
          <w:sz w:val="24"/>
          <w:szCs w:val="24"/>
        </w:rPr>
      </w:pPr>
      <w:r>
        <w:rPr>
          <w:rFonts w:hint="eastAsia" w:ascii="仿宋" w:hAnsi="仿宋" w:eastAsia="仿宋"/>
          <w:sz w:val="24"/>
          <w:szCs w:val="24"/>
        </w:rPr>
        <w:t>全票通过，采纳项目组意见</w:t>
      </w: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结合专家意见统一标点符号</w:t>
      </w:r>
      <w:r>
        <w:rPr>
          <w:rFonts w:hint="eastAsia" w:ascii="仿宋" w:hAnsi="仿宋" w:eastAsia="仿宋"/>
          <w:color w:val="000000"/>
          <w:sz w:val="24"/>
          <w:szCs w:val="24"/>
        </w:rPr>
        <w:t>。</w:t>
      </w:r>
    </w:p>
    <w:p w14:paraId="289B8D55">
      <w:pPr>
        <w:spacing w:line="400" w:lineRule="exact"/>
        <w:jc w:val="left"/>
        <w:rPr>
          <w:rFonts w:hint="eastAsia" w:ascii="仿宋" w:hAnsi="仿宋" w:eastAsia="仿宋"/>
          <w:b/>
          <w:bCs/>
          <w:sz w:val="24"/>
          <w:szCs w:val="24"/>
        </w:rPr>
      </w:pPr>
      <w:r>
        <w:rPr>
          <w:rFonts w:hint="eastAsia" w:ascii="仿宋" w:hAnsi="仿宋" w:eastAsia="仿宋"/>
          <w:b/>
          <w:bCs/>
          <w:sz w:val="24"/>
          <w:szCs w:val="24"/>
        </w:rPr>
        <w:t>（</w:t>
      </w:r>
      <w:r>
        <w:rPr>
          <w:rFonts w:hint="eastAsia" w:ascii="仿宋" w:hAnsi="仿宋" w:eastAsia="仿宋"/>
          <w:b/>
          <w:bCs/>
          <w:sz w:val="24"/>
          <w:szCs w:val="24"/>
          <w:lang w:val="en-US" w:eastAsia="zh-CN"/>
        </w:rPr>
        <w:t>十</w:t>
      </w:r>
      <w:r>
        <w:rPr>
          <w:rFonts w:hint="eastAsia" w:ascii="仿宋" w:hAnsi="仿宋" w:eastAsia="仿宋"/>
          <w:b/>
          <w:bCs/>
          <w:sz w:val="24"/>
          <w:szCs w:val="24"/>
        </w:rPr>
        <w:t>）条目</w:t>
      </w:r>
      <w:r>
        <w:rPr>
          <w:rFonts w:hint="eastAsia" w:ascii="仿宋" w:hAnsi="仿宋" w:eastAsia="仿宋"/>
          <w:b/>
          <w:bCs/>
          <w:sz w:val="24"/>
          <w:szCs w:val="24"/>
          <w:lang w:val="en-US" w:eastAsia="zh-CN"/>
        </w:rPr>
        <w:t>10</w:t>
      </w:r>
      <w:r>
        <w:rPr>
          <w:rFonts w:hint="eastAsia" w:ascii="仿宋" w:hAnsi="仿宋" w:eastAsia="仿宋"/>
          <w:b/>
          <w:bCs/>
          <w:sz w:val="24"/>
          <w:szCs w:val="24"/>
        </w:rPr>
        <w:t>：小儿推拿治疗操作间隔与疗程</w:t>
      </w:r>
    </w:p>
    <w:p w14:paraId="3782EF24">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06DD8EE8">
      <w:pPr>
        <w:spacing w:line="400" w:lineRule="exact"/>
        <w:jc w:val="left"/>
        <w:rPr>
          <w:rFonts w:hint="eastAsia" w:ascii="仿宋" w:hAnsi="仿宋" w:eastAsia="仿宋"/>
          <w:sz w:val="24"/>
          <w:szCs w:val="24"/>
        </w:rPr>
      </w:pPr>
      <w:r>
        <w:rPr>
          <w:rFonts w:hint="eastAsia" w:ascii="仿宋" w:hAnsi="仿宋" w:eastAsia="仿宋"/>
          <w:sz w:val="24"/>
          <w:szCs w:val="24"/>
        </w:rPr>
        <w:t xml:space="preserve">（1）国家标准 </w:t>
      </w:r>
    </w:p>
    <w:p w14:paraId="0344DEC7">
      <w:pPr>
        <w:spacing w:line="400" w:lineRule="exact"/>
        <w:ind w:firstLine="420"/>
        <w:jc w:val="left"/>
        <w:rPr>
          <w:rFonts w:hint="eastAsia" w:ascii="仿宋" w:hAnsi="仿宋" w:eastAsia="仿宋"/>
          <w:sz w:val="24"/>
          <w:szCs w:val="24"/>
        </w:rPr>
      </w:pPr>
      <w:r>
        <w:rPr>
          <w:rFonts w:hint="eastAsia" w:ascii="仿宋" w:hAnsi="仿宋" w:eastAsia="仿宋"/>
          <w:sz w:val="24"/>
          <w:szCs w:val="24"/>
        </w:rPr>
        <w:t>治疗的时间间隔，视病情而定，一般采用每日1次。部分病症病情需要、情况许可可采用每日2次。急性病痊愈为止。一般慢性病以5d为一疗程，两个疗程之间可间隔2d。</w:t>
      </w:r>
    </w:p>
    <w:p w14:paraId="77E679F9">
      <w:pPr>
        <w:spacing w:line="400" w:lineRule="exact"/>
        <w:jc w:val="left"/>
        <w:rPr>
          <w:rFonts w:hint="eastAsia" w:ascii="仿宋" w:hAnsi="仿宋" w:eastAsia="仿宋"/>
          <w:sz w:val="24"/>
          <w:szCs w:val="24"/>
        </w:rPr>
      </w:pPr>
      <w:r>
        <w:rPr>
          <w:rFonts w:hint="eastAsia" w:ascii="仿宋" w:hAnsi="仿宋" w:eastAsia="仿宋"/>
          <w:sz w:val="24"/>
          <w:szCs w:val="24"/>
        </w:rPr>
        <w:t xml:space="preserve">（2）项目组意见 </w:t>
      </w:r>
    </w:p>
    <w:p w14:paraId="4D22881F">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治疗的时间间隔视病情而定。急性病一般每日1次，部分因病情需要，情况许可时可每日2次，痊愈为止。慢性病一般每日1次或隔天1次，5天为一疗程，每个疗程之间可间隔2-4天。</w:t>
      </w:r>
    </w:p>
    <w:p w14:paraId="06D1F550">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787772F0">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54BF68EB">
      <w:pPr>
        <w:spacing w:line="400" w:lineRule="exact"/>
        <w:ind w:firstLine="480" w:firstLineChars="200"/>
        <w:jc w:val="left"/>
        <w:rPr>
          <w:rFonts w:hint="eastAsia" w:ascii="仿宋" w:hAnsi="仿宋" w:eastAsia="仿宋"/>
          <w:sz w:val="24"/>
          <w:szCs w:val="24"/>
        </w:rPr>
      </w:pPr>
      <w:r>
        <w:rPr>
          <w:rFonts w:hint="eastAsia" w:ascii="仿宋" w:hAnsi="仿宋" w:eastAsia="仿宋"/>
          <w:color w:val="000000"/>
          <w:sz w:val="24"/>
          <w:szCs w:val="24"/>
        </w:rPr>
        <w:t>史正刚</w:t>
      </w:r>
      <w:r>
        <w:rPr>
          <w:rFonts w:hint="eastAsia" w:ascii="仿宋" w:hAnsi="仿宋" w:eastAsia="仿宋"/>
          <w:color w:val="000000"/>
          <w:sz w:val="24"/>
          <w:szCs w:val="24"/>
          <w:lang w:eastAsia="zh-CN"/>
        </w:rPr>
        <w:t>、</w:t>
      </w:r>
      <w:r>
        <w:rPr>
          <w:rFonts w:hint="eastAsia" w:ascii="仿宋" w:hAnsi="仿宋" w:eastAsia="仿宋"/>
          <w:color w:val="000000"/>
          <w:sz w:val="24"/>
          <w:szCs w:val="24"/>
          <w:lang w:val="en-US" w:eastAsia="zh-CN"/>
        </w:rPr>
        <w:t>张葆青、戴启刚3</w:t>
      </w:r>
      <w:r>
        <w:rPr>
          <w:rFonts w:hint="eastAsia" w:ascii="仿宋" w:hAnsi="仿宋" w:eastAsia="仿宋"/>
          <w:color w:val="000000"/>
          <w:sz w:val="24"/>
          <w:szCs w:val="24"/>
        </w:rPr>
        <w:t>位专家部分同意（1分/可选），1</w:t>
      </w:r>
      <w:r>
        <w:rPr>
          <w:rFonts w:hint="eastAsia" w:ascii="仿宋" w:hAnsi="仿宋" w:eastAsia="仿宋"/>
          <w:color w:val="000000"/>
          <w:sz w:val="24"/>
          <w:szCs w:val="24"/>
          <w:lang w:val="en-US" w:eastAsia="zh-CN"/>
        </w:rPr>
        <w:t>0</w:t>
      </w:r>
      <w:r>
        <w:rPr>
          <w:rFonts w:hint="eastAsia" w:ascii="仿宋" w:hAnsi="仿宋" w:eastAsia="仿宋"/>
          <w:color w:val="000000"/>
          <w:sz w:val="24"/>
          <w:szCs w:val="24"/>
        </w:rPr>
        <w:t>位专家完全同意（2分/须选），支持率</w:t>
      </w:r>
      <w:r>
        <w:rPr>
          <w:rFonts w:hint="eastAsia" w:ascii="仿宋" w:hAnsi="仿宋" w:eastAsia="仿宋"/>
          <w:color w:val="000000"/>
          <w:sz w:val="24"/>
          <w:szCs w:val="24"/>
          <w:lang w:val="en-US" w:eastAsia="zh-CN"/>
        </w:rPr>
        <w:t>76.9</w:t>
      </w:r>
      <w:r>
        <w:rPr>
          <w:rFonts w:hint="eastAsia" w:ascii="仿宋" w:hAnsi="仿宋" w:eastAsia="仿宋"/>
          <w:color w:val="000000"/>
          <w:sz w:val="24"/>
          <w:szCs w:val="24"/>
        </w:rPr>
        <w:t>%。</w:t>
      </w:r>
    </w:p>
    <w:p w14:paraId="71194724">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60FA5AD4">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史正刚</w:t>
      </w:r>
      <w:r>
        <w:rPr>
          <w:rFonts w:hint="eastAsia" w:ascii="仿宋" w:hAnsi="仿宋" w:eastAsia="仿宋"/>
          <w:sz w:val="24"/>
          <w:szCs w:val="24"/>
          <w:lang w:eastAsia="zh-CN"/>
        </w:rPr>
        <w:t>：“5天为一疗程，” 建议改为“5次为一疗程，”</w:t>
      </w:r>
      <w:r>
        <w:rPr>
          <w:rFonts w:hint="eastAsia" w:ascii="仿宋" w:hAnsi="仿宋" w:eastAsia="仿宋"/>
          <w:sz w:val="24"/>
          <w:szCs w:val="24"/>
        </w:rPr>
        <w:t>。</w:t>
      </w:r>
    </w:p>
    <w:p w14:paraId="7FF860E2">
      <w:pPr>
        <w:spacing w:line="400" w:lineRule="exact"/>
        <w:ind w:firstLine="480" w:firstLineChars="200"/>
        <w:jc w:val="left"/>
        <w:rPr>
          <w:rFonts w:hint="eastAsia" w:ascii="仿宋" w:hAnsi="仿宋" w:eastAsia="仿宋"/>
          <w:color w:val="000000"/>
          <w:sz w:val="24"/>
          <w:szCs w:val="24"/>
        </w:rPr>
      </w:pPr>
      <w:r>
        <w:rPr>
          <w:rFonts w:hint="eastAsia" w:ascii="仿宋" w:hAnsi="仿宋" w:eastAsia="仿宋"/>
          <w:color w:val="000000"/>
          <w:sz w:val="24"/>
          <w:szCs w:val="24"/>
          <w:lang w:val="en-US" w:eastAsia="zh-CN"/>
        </w:rPr>
        <w:t>戴启刚：</w:t>
      </w:r>
      <w:r>
        <w:rPr>
          <w:rFonts w:hint="eastAsia" w:ascii="仿宋" w:hAnsi="仿宋" w:eastAsia="仿宋"/>
          <w:color w:val="000000"/>
          <w:sz w:val="24"/>
          <w:szCs w:val="24"/>
          <w:lang w:eastAsia="zh-CN"/>
        </w:rPr>
        <w:t>“5天为一疗程，” 建议改为“5次为一疗程，”</w:t>
      </w:r>
      <w:r>
        <w:rPr>
          <w:rFonts w:hint="eastAsia" w:ascii="仿宋" w:hAnsi="仿宋" w:eastAsia="仿宋"/>
          <w:color w:val="000000"/>
          <w:sz w:val="24"/>
          <w:szCs w:val="24"/>
        </w:rPr>
        <w:t>。</w:t>
      </w:r>
    </w:p>
    <w:p w14:paraId="4A657E30">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11ED64A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采纳专家意见，以次数作为疗程单位更为准确，避免表述不当而引起歧义</w:t>
      </w:r>
      <w:r>
        <w:rPr>
          <w:rFonts w:hint="eastAsia" w:ascii="仿宋" w:hAnsi="仿宋" w:eastAsia="仿宋"/>
          <w:sz w:val="24"/>
          <w:szCs w:val="24"/>
        </w:rPr>
        <w:t>。</w:t>
      </w:r>
    </w:p>
    <w:p w14:paraId="13BCC043">
      <w:pPr>
        <w:spacing w:line="400" w:lineRule="exact"/>
        <w:jc w:val="left"/>
        <w:rPr>
          <w:rFonts w:hint="eastAsia" w:ascii="仿宋" w:hAnsi="仿宋" w:eastAsia="仿宋"/>
          <w:b/>
          <w:bCs/>
          <w:sz w:val="24"/>
          <w:szCs w:val="24"/>
        </w:rPr>
      </w:pPr>
      <w:r>
        <w:rPr>
          <w:rFonts w:hint="eastAsia" w:ascii="仿宋" w:hAnsi="仿宋" w:eastAsia="仿宋"/>
          <w:b/>
          <w:bCs/>
          <w:sz w:val="24"/>
          <w:szCs w:val="24"/>
        </w:rPr>
        <w:t>（</w:t>
      </w:r>
      <w:r>
        <w:rPr>
          <w:rFonts w:hint="eastAsia" w:ascii="仿宋" w:hAnsi="仿宋" w:eastAsia="仿宋"/>
          <w:b/>
          <w:bCs/>
          <w:sz w:val="24"/>
          <w:szCs w:val="24"/>
          <w:lang w:val="en-US" w:eastAsia="zh-CN"/>
        </w:rPr>
        <w:t>十一</w:t>
      </w:r>
      <w:r>
        <w:rPr>
          <w:rFonts w:hint="eastAsia" w:ascii="仿宋" w:hAnsi="仿宋" w:eastAsia="仿宋"/>
          <w:b/>
          <w:bCs/>
          <w:sz w:val="24"/>
          <w:szCs w:val="24"/>
        </w:rPr>
        <w:t>）条目</w:t>
      </w:r>
      <w:r>
        <w:rPr>
          <w:rFonts w:hint="eastAsia" w:ascii="仿宋" w:hAnsi="仿宋" w:eastAsia="仿宋"/>
          <w:b/>
          <w:bCs/>
          <w:sz w:val="24"/>
          <w:szCs w:val="24"/>
          <w:lang w:val="en-US" w:eastAsia="zh-CN"/>
        </w:rPr>
        <w:t>11</w:t>
      </w:r>
      <w:r>
        <w:rPr>
          <w:rFonts w:hint="eastAsia" w:ascii="仿宋" w:hAnsi="仿宋" w:eastAsia="仿宋"/>
          <w:b/>
          <w:bCs/>
          <w:sz w:val="24"/>
          <w:szCs w:val="24"/>
        </w:rPr>
        <w:t>：小儿推拿常用介质 A.1油类</w:t>
      </w:r>
    </w:p>
    <w:p w14:paraId="3AD9C07D">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3F7AD2FD">
      <w:pPr>
        <w:spacing w:line="400" w:lineRule="exact"/>
        <w:jc w:val="left"/>
        <w:rPr>
          <w:rFonts w:hint="eastAsia" w:ascii="仿宋" w:hAnsi="仿宋" w:eastAsia="仿宋"/>
          <w:sz w:val="24"/>
          <w:szCs w:val="24"/>
        </w:rPr>
      </w:pPr>
      <w:r>
        <w:rPr>
          <w:rFonts w:hint="eastAsia" w:ascii="仿宋" w:hAnsi="仿宋" w:eastAsia="仿宋"/>
          <w:sz w:val="24"/>
          <w:szCs w:val="24"/>
        </w:rPr>
        <w:t xml:space="preserve">（1）国家标准 </w:t>
      </w:r>
    </w:p>
    <w:p w14:paraId="0F113310">
      <w:pPr>
        <w:spacing w:line="400" w:lineRule="exact"/>
        <w:ind w:firstLine="420"/>
        <w:jc w:val="left"/>
        <w:rPr>
          <w:rFonts w:hint="eastAsia" w:ascii="仿宋" w:hAnsi="仿宋" w:eastAsia="仿宋"/>
          <w:sz w:val="24"/>
          <w:szCs w:val="24"/>
        </w:rPr>
      </w:pPr>
      <w:r>
        <w:rPr>
          <w:rFonts w:hint="eastAsia" w:ascii="仿宋" w:hAnsi="仿宋" w:eastAsia="仿宋"/>
          <w:sz w:val="24"/>
          <w:szCs w:val="24"/>
        </w:rPr>
        <w:t>食用调和油、麻油、医用石蜡油等。适用于各种病症。</w:t>
      </w:r>
    </w:p>
    <w:p w14:paraId="07ED255E">
      <w:pPr>
        <w:spacing w:line="400" w:lineRule="exact"/>
        <w:jc w:val="left"/>
        <w:rPr>
          <w:rFonts w:hint="eastAsia" w:ascii="仿宋" w:hAnsi="仿宋" w:eastAsia="仿宋"/>
          <w:sz w:val="24"/>
          <w:szCs w:val="24"/>
        </w:rPr>
      </w:pPr>
      <w:r>
        <w:rPr>
          <w:rFonts w:hint="eastAsia" w:ascii="仿宋" w:hAnsi="仿宋" w:eastAsia="仿宋"/>
          <w:sz w:val="24"/>
          <w:szCs w:val="24"/>
        </w:rPr>
        <w:t xml:space="preserve">（2）项目组意见 </w:t>
      </w:r>
    </w:p>
    <w:p w14:paraId="611FBBA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由成份安全的动植物油脂、矿物类油和合成油等为主构成的介质。比如芝麻油、椰子油、橄榄油、花生油、葵花籽油、医用石蜡油等，具有润滑除燥作用，适用于身体各部位推拿。</w:t>
      </w:r>
    </w:p>
    <w:p w14:paraId="0BEC0600">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6F6C114D">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21C05D3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张葆青</w:t>
      </w:r>
      <w:r>
        <w:rPr>
          <w:rFonts w:hint="eastAsia" w:ascii="仿宋" w:hAnsi="仿宋" w:eastAsia="仿宋"/>
          <w:sz w:val="24"/>
          <w:szCs w:val="24"/>
        </w:rPr>
        <w:t>1位专家部分同意（1分/可选），12位专家完全同意（2分/须选），支持率92.3%。</w:t>
      </w:r>
    </w:p>
    <w:p w14:paraId="157BD207">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0F3CD08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张葆青：由成份安全的动植物油脂类物质等为主构成的介质，适用于身体各部位推拿，也可用于刮法</w:t>
      </w:r>
      <w:r>
        <w:rPr>
          <w:rFonts w:hint="eastAsia" w:ascii="仿宋" w:hAnsi="仿宋" w:eastAsia="仿宋"/>
          <w:sz w:val="24"/>
          <w:szCs w:val="24"/>
        </w:rPr>
        <w:t>。</w:t>
      </w:r>
    </w:p>
    <w:p w14:paraId="5E2D0B10">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21E15CE3">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采纳专家意见，精简条文内容，使表述更为简洁、有条理</w:t>
      </w:r>
      <w:r>
        <w:rPr>
          <w:rFonts w:hint="eastAsia" w:ascii="仿宋" w:hAnsi="仿宋" w:eastAsia="仿宋"/>
          <w:sz w:val="24"/>
          <w:szCs w:val="24"/>
        </w:rPr>
        <w:t>。</w:t>
      </w:r>
    </w:p>
    <w:p w14:paraId="11F1C0BC">
      <w:pPr>
        <w:spacing w:line="400" w:lineRule="exact"/>
        <w:jc w:val="left"/>
        <w:rPr>
          <w:rFonts w:hint="eastAsia" w:ascii="仿宋" w:hAnsi="仿宋" w:eastAsia="仿宋"/>
          <w:b/>
          <w:bCs/>
          <w:sz w:val="24"/>
          <w:szCs w:val="24"/>
        </w:rPr>
      </w:pPr>
      <w:r>
        <w:rPr>
          <w:rFonts w:hint="eastAsia" w:ascii="仿宋" w:hAnsi="仿宋" w:eastAsia="仿宋"/>
          <w:b/>
          <w:bCs/>
          <w:sz w:val="24"/>
          <w:szCs w:val="24"/>
        </w:rPr>
        <w:t>（</w:t>
      </w:r>
      <w:r>
        <w:rPr>
          <w:rFonts w:hint="eastAsia" w:ascii="仿宋" w:hAnsi="仿宋" w:eastAsia="仿宋"/>
          <w:b/>
          <w:bCs/>
          <w:sz w:val="24"/>
          <w:szCs w:val="24"/>
          <w:lang w:val="en-US" w:eastAsia="zh-CN"/>
        </w:rPr>
        <w:t>十二</w:t>
      </w:r>
      <w:r>
        <w:rPr>
          <w:rFonts w:hint="eastAsia" w:ascii="仿宋" w:hAnsi="仿宋" w:eastAsia="仿宋"/>
          <w:b/>
          <w:bCs/>
          <w:sz w:val="24"/>
          <w:szCs w:val="24"/>
        </w:rPr>
        <w:t>）条目</w:t>
      </w:r>
      <w:r>
        <w:rPr>
          <w:rFonts w:hint="eastAsia" w:ascii="仿宋" w:hAnsi="仿宋" w:eastAsia="仿宋"/>
          <w:b/>
          <w:bCs/>
          <w:sz w:val="24"/>
          <w:szCs w:val="24"/>
          <w:lang w:val="en-US" w:eastAsia="zh-CN"/>
        </w:rPr>
        <w:t>12</w:t>
      </w:r>
      <w:r>
        <w:rPr>
          <w:rFonts w:hint="eastAsia" w:ascii="仿宋" w:hAnsi="仿宋" w:eastAsia="仿宋"/>
          <w:b/>
          <w:bCs/>
          <w:sz w:val="24"/>
          <w:szCs w:val="24"/>
        </w:rPr>
        <w:t>：小儿推拿安全保障注意事项</w:t>
      </w:r>
    </w:p>
    <w:p w14:paraId="51DC9B85">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63A5E50A">
      <w:pPr>
        <w:spacing w:line="400" w:lineRule="exact"/>
        <w:jc w:val="left"/>
        <w:rPr>
          <w:rFonts w:hint="eastAsia" w:ascii="仿宋" w:hAnsi="仿宋" w:eastAsia="仿宋"/>
          <w:sz w:val="24"/>
          <w:szCs w:val="24"/>
        </w:rPr>
      </w:pPr>
      <w:r>
        <w:rPr>
          <w:rFonts w:hint="eastAsia" w:ascii="仿宋" w:hAnsi="仿宋" w:eastAsia="仿宋"/>
          <w:sz w:val="24"/>
          <w:szCs w:val="24"/>
        </w:rPr>
        <w:t xml:space="preserve">（1）国家标准 </w:t>
      </w:r>
    </w:p>
    <w:p w14:paraId="457B9F53">
      <w:pPr>
        <w:spacing w:line="400" w:lineRule="exact"/>
        <w:ind w:firstLine="420"/>
        <w:jc w:val="left"/>
        <w:rPr>
          <w:rFonts w:hint="eastAsia" w:ascii="仿宋" w:hAnsi="仿宋" w:eastAsia="仿宋"/>
          <w:sz w:val="24"/>
          <w:szCs w:val="24"/>
        </w:rPr>
      </w:pPr>
      <w:r>
        <w:rPr>
          <w:rFonts w:hint="eastAsia" w:ascii="仿宋" w:hAnsi="仿宋" w:eastAsia="仿宋"/>
          <w:sz w:val="24"/>
          <w:szCs w:val="24"/>
        </w:rPr>
        <w:t>D.3.1  在治疗过程中，医师和家长要注意保护患儿安全，防止因惧怕而从诊疗床上跌下受伤；医师或家长不要用力牵拉患儿四肢，避免扭伤。D.3.2  患儿治疗完毕后30min之内不要进食。出汗多者要及时为患儿补充水分。D.3.3  医师若手法使用不当，可能磨破小儿皮肤，一旦发生，应对局部及时作清洗消毒处理，防止感染。</w:t>
      </w:r>
    </w:p>
    <w:p w14:paraId="5829B0D5">
      <w:pPr>
        <w:spacing w:line="400" w:lineRule="exact"/>
        <w:jc w:val="left"/>
        <w:rPr>
          <w:rFonts w:hint="eastAsia" w:ascii="仿宋" w:hAnsi="仿宋" w:eastAsia="仿宋"/>
          <w:sz w:val="24"/>
          <w:szCs w:val="24"/>
        </w:rPr>
      </w:pPr>
      <w:r>
        <w:rPr>
          <w:rFonts w:hint="eastAsia" w:ascii="仿宋" w:hAnsi="仿宋" w:eastAsia="仿宋"/>
          <w:sz w:val="24"/>
          <w:szCs w:val="24"/>
        </w:rPr>
        <w:t xml:space="preserve">（2）项目组意见 </w:t>
      </w:r>
    </w:p>
    <w:p w14:paraId="2B645DB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D.3.1  在治疗过程中，医师和家长要注意保护患儿安全，防止因惧怕而从诊疗床上跌下受伤；医师或家长不要用力牵拉患儿四肢，避免扭伤。D.3.2  治疗前后短时间内避免大量进食与剧烈活动；可</w:t>
      </w:r>
      <w:r>
        <w:rPr>
          <w:rFonts w:hint="eastAsia" w:ascii="仿宋" w:hAnsi="仿宋" w:eastAsia="仿宋"/>
          <w:sz w:val="24"/>
          <w:szCs w:val="24"/>
          <w:lang w:val="en-US" w:eastAsia="zh-CN"/>
        </w:rPr>
        <w:t>饮</w:t>
      </w:r>
      <w:r>
        <w:rPr>
          <w:rFonts w:hint="eastAsia" w:ascii="仿宋" w:hAnsi="仿宋" w:eastAsia="仿宋"/>
          <w:sz w:val="24"/>
          <w:szCs w:val="24"/>
        </w:rPr>
        <w:t>少量温水补液，注意擦干汗液与保暖。D.3.3  医师应认真清洗或使用免洗消毒液清洁双手，保持手部清洁，避免交叉感染发生。医师若手法使用不当，可能磨破小儿皮肤，一旦发生，应对局部及时作清洗消毒处理，防止感染。</w:t>
      </w:r>
    </w:p>
    <w:p w14:paraId="6CC18127">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0AD7CF81">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6651DF9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张葆青</w:t>
      </w:r>
      <w:r>
        <w:rPr>
          <w:rFonts w:hint="eastAsia" w:ascii="仿宋" w:hAnsi="仿宋" w:eastAsia="仿宋"/>
          <w:sz w:val="24"/>
          <w:szCs w:val="24"/>
        </w:rPr>
        <w:t>1位专家部分同意（1分/可选），12位专家完全同意（2分/须选），支持率92.3%。</w:t>
      </w:r>
    </w:p>
    <w:p w14:paraId="29080817">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31B46A41">
      <w:pPr>
        <w:spacing w:line="400" w:lineRule="exact"/>
        <w:jc w:val="left"/>
        <w:rPr>
          <w:rFonts w:hint="eastAsia" w:ascii="仿宋" w:hAnsi="仿宋" w:eastAsia="仿宋"/>
          <w:color w:val="000000"/>
          <w:sz w:val="24"/>
          <w:szCs w:val="24"/>
        </w:rPr>
      </w:pPr>
      <w:r>
        <w:rPr>
          <w:rFonts w:hint="eastAsia" w:ascii="仿宋" w:hAnsi="仿宋" w:eastAsia="仿宋"/>
          <w:color w:val="000000"/>
          <w:sz w:val="24"/>
          <w:szCs w:val="24"/>
          <w:lang w:val="en-US" w:eastAsia="zh-CN"/>
        </w:rPr>
        <w:t>戴启刚：“医师和家长”改为“操作者和家长”</w:t>
      </w:r>
      <w:r>
        <w:rPr>
          <w:rFonts w:hint="eastAsia" w:ascii="仿宋" w:hAnsi="仿宋" w:eastAsia="仿宋"/>
          <w:color w:val="000000"/>
          <w:sz w:val="24"/>
          <w:szCs w:val="24"/>
        </w:rPr>
        <w:t>。</w:t>
      </w:r>
    </w:p>
    <w:p w14:paraId="4F484281">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166A385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专家组以绝对多数（92.3%）采纳项目组意见，因此</w:t>
      </w:r>
      <w:r>
        <w:rPr>
          <w:rFonts w:hint="eastAsia" w:ascii="仿宋" w:hAnsi="仿宋" w:eastAsia="仿宋"/>
          <w:sz w:val="24"/>
          <w:szCs w:val="24"/>
          <w:lang w:val="en-US" w:eastAsia="zh-CN"/>
        </w:rPr>
        <w:t>维持当前表述</w:t>
      </w:r>
      <w:r>
        <w:rPr>
          <w:rFonts w:hint="eastAsia" w:ascii="仿宋" w:hAnsi="仿宋" w:eastAsia="仿宋"/>
          <w:color w:val="000000"/>
          <w:sz w:val="24"/>
          <w:szCs w:val="24"/>
          <w:lang w:val="en-US" w:eastAsia="zh-CN"/>
        </w:rPr>
        <w:t>，同时保持全文称谓统一</w:t>
      </w:r>
      <w:r>
        <w:rPr>
          <w:rFonts w:hint="eastAsia" w:ascii="仿宋" w:hAnsi="仿宋" w:eastAsia="仿宋"/>
          <w:color w:val="000000"/>
          <w:sz w:val="24"/>
          <w:szCs w:val="24"/>
        </w:rPr>
        <w:t>。</w:t>
      </w:r>
    </w:p>
    <w:p w14:paraId="6886CF44">
      <w:pPr>
        <w:spacing w:line="400" w:lineRule="exact"/>
        <w:jc w:val="left"/>
        <w:rPr>
          <w:rFonts w:hint="eastAsia" w:ascii="仿宋" w:hAnsi="仿宋" w:eastAsia="仿宋"/>
          <w:b/>
          <w:bCs/>
          <w:sz w:val="24"/>
          <w:szCs w:val="24"/>
        </w:rPr>
      </w:pPr>
      <w:r>
        <w:rPr>
          <w:rFonts w:hint="eastAsia" w:ascii="仿宋" w:hAnsi="仿宋" w:eastAsia="仿宋"/>
          <w:b/>
          <w:bCs/>
          <w:sz w:val="24"/>
          <w:szCs w:val="24"/>
        </w:rPr>
        <w:t>四、开放性问题专家决议</w:t>
      </w:r>
    </w:p>
    <w:p w14:paraId="5245C335">
      <w:pPr>
        <w:spacing w:line="400" w:lineRule="exact"/>
        <w:jc w:val="left"/>
        <w:rPr>
          <w:rFonts w:hint="eastAsia" w:ascii="仿宋" w:hAnsi="仿宋" w:eastAsia="仿宋"/>
          <w:b/>
          <w:bCs/>
          <w:sz w:val="24"/>
          <w:szCs w:val="24"/>
        </w:rPr>
      </w:pPr>
      <w:bookmarkStart w:id="14" w:name="_Hlk216618750"/>
      <w:r>
        <w:rPr>
          <w:rFonts w:hint="eastAsia" w:ascii="仿宋" w:hAnsi="仿宋" w:eastAsia="仿宋"/>
          <w:b/>
          <w:bCs/>
          <w:sz w:val="24"/>
          <w:szCs w:val="24"/>
        </w:rPr>
        <w:t>（一）问题1：穴位定位</w:t>
      </w:r>
    </w:p>
    <w:p w14:paraId="36DEF81E">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20956CA8">
      <w:pPr>
        <w:spacing w:line="400" w:lineRule="exact"/>
        <w:jc w:val="left"/>
        <w:rPr>
          <w:rFonts w:hint="eastAsia" w:ascii="仿宋" w:hAnsi="仿宋" w:eastAsia="仿宋"/>
          <w:sz w:val="24"/>
          <w:szCs w:val="24"/>
        </w:rPr>
      </w:pPr>
      <w:r>
        <w:rPr>
          <w:rFonts w:hint="eastAsia" w:ascii="仿宋" w:hAnsi="仿宋" w:eastAsia="仿宋"/>
          <w:sz w:val="24"/>
          <w:szCs w:val="24"/>
        </w:rPr>
        <w:t>（1）问卷调查专家意见</w:t>
      </w:r>
    </w:p>
    <w:p w14:paraId="041ECB65">
      <w:pPr>
        <w:spacing w:line="400" w:lineRule="exact"/>
        <w:ind w:firstLine="420"/>
        <w:jc w:val="left"/>
        <w:rPr>
          <w:rFonts w:hint="eastAsia" w:ascii="仿宋" w:hAnsi="仿宋" w:eastAsia="仿宋"/>
          <w:sz w:val="24"/>
          <w:szCs w:val="24"/>
        </w:rPr>
      </w:pPr>
      <w:r>
        <w:rPr>
          <w:rFonts w:hint="eastAsia" w:ascii="仿宋" w:hAnsi="仿宋" w:eastAsia="仿宋"/>
          <w:sz w:val="24"/>
          <w:szCs w:val="24"/>
        </w:rPr>
        <w:t>建议将肾经定位改为小指末节螺纹面，或小指掌面稍偏尺侧，自小指尖直至掌根成一直线。</w:t>
      </w:r>
    </w:p>
    <w:p w14:paraId="1110481B">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01BDD74E">
      <w:pPr>
        <w:spacing w:line="400" w:lineRule="exact"/>
        <w:ind w:firstLine="420"/>
        <w:jc w:val="left"/>
        <w:rPr>
          <w:rFonts w:hint="eastAsia" w:ascii="仿宋" w:hAnsi="仿宋" w:eastAsia="仿宋"/>
          <w:sz w:val="24"/>
          <w:szCs w:val="24"/>
          <w:lang w:eastAsia="zh-CN"/>
        </w:rPr>
      </w:pPr>
      <w:r>
        <w:rPr>
          <w:rFonts w:hint="eastAsia" w:ascii="仿宋" w:hAnsi="仿宋" w:eastAsia="仿宋"/>
          <w:sz w:val="24"/>
          <w:szCs w:val="24"/>
        </w:rPr>
        <w:t>查阅多项国家标准、地方标准及团体标准后，未涉及明确与“或小指掌面稍偏尺侧，自小指尖直至掌根成一直线。”相关表述，遂建议本次标准暂不予纳入</w:t>
      </w:r>
      <w:r>
        <w:rPr>
          <w:rFonts w:hint="eastAsia" w:ascii="仿宋" w:hAnsi="仿宋" w:eastAsia="仿宋"/>
          <w:sz w:val="24"/>
          <w:szCs w:val="24"/>
          <w:lang w:eastAsia="zh-CN"/>
        </w:rPr>
        <w:t>。</w:t>
      </w:r>
    </w:p>
    <w:p w14:paraId="24DAD568">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11A06EAA">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7CB7989E">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16BFEF31">
      <w:pPr>
        <w:spacing w:line="400" w:lineRule="exact"/>
        <w:jc w:val="left"/>
        <w:rPr>
          <w:rFonts w:hint="eastAsia" w:ascii="仿宋" w:hAnsi="仿宋" w:eastAsia="仿宋"/>
          <w:sz w:val="24"/>
          <w:szCs w:val="24"/>
        </w:rPr>
      </w:pPr>
      <w:r>
        <w:rPr>
          <w:rFonts w:hint="eastAsia" w:ascii="仿宋" w:hAnsi="仿宋" w:eastAsia="仿宋"/>
          <w:sz w:val="24"/>
          <w:szCs w:val="24"/>
        </w:rPr>
        <w:t>（2）主要修改建议</w:t>
      </w:r>
    </w:p>
    <w:p w14:paraId="6127119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无具体修改意见。</w:t>
      </w:r>
    </w:p>
    <w:p w14:paraId="14B223D1">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53F7B63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lang w:val="en-US" w:eastAsia="zh-CN"/>
        </w:rPr>
        <w:t>不予采纳肾经定位修改建议，维持原文表述</w:t>
      </w:r>
      <w:r>
        <w:rPr>
          <w:rFonts w:hint="eastAsia" w:ascii="仿宋" w:hAnsi="仿宋" w:eastAsia="仿宋"/>
          <w:sz w:val="24"/>
          <w:szCs w:val="24"/>
        </w:rPr>
        <w:t>。</w:t>
      </w:r>
    </w:p>
    <w:bookmarkEnd w:id="14"/>
    <w:p w14:paraId="6CD215DC">
      <w:pPr>
        <w:spacing w:line="400" w:lineRule="exact"/>
        <w:jc w:val="left"/>
        <w:rPr>
          <w:rFonts w:hint="eastAsia" w:ascii="仿宋" w:hAnsi="仿宋" w:eastAsia="仿宋"/>
          <w:b/>
          <w:bCs/>
          <w:sz w:val="24"/>
          <w:szCs w:val="24"/>
        </w:rPr>
      </w:pPr>
      <w:r>
        <w:rPr>
          <w:rFonts w:hint="eastAsia" w:ascii="仿宋" w:hAnsi="仿宋" w:eastAsia="仿宋"/>
          <w:b/>
          <w:bCs/>
          <w:sz w:val="24"/>
          <w:szCs w:val="24"/>
        </w:rPr>
        <w:t>（二）问题2：其他建议</w:t>
      </w:r>
    </w:p>
    <w:p w14:paraId="0FA62DE3">
      <w:pPr>
        <w:spacing w:line="400" w:lineRule="exact"/>
        <w:jc w:val="left"/>
        <w:rPr>
          <w:rFonts w:hint="eastAsia" w:ascii="仿宋" w:hAnsi="仿宋" w:eastAsia="仿宋"/>
          <w:b/>
          <w:bCs/>
          <w:sz w:val="24"/>
          <w:szCs w:val="24"/>
        </w:rPr>
      </w:pPr>
      <w:r>
        <w:rPr>
          <w:rFonts w:hint="eastAsia" w:ascii="仿宋" w:hAnsi="仿宋" w:eastAsia="仿宋"/>
          <w:b/>
          <w:bCs/>
          <w:sz w:val="24"/>
          <w:szCs w:val="24"/>
        </w:rPr>
        <w:t>1.征求意见函原文</w:t>
      </w:r>
    </w:p>
    <w:p w14:paraId="0B8DCE62">
      <w:pPr>
        <w:spacing w:line="400" w:lineRule="exact"/>
        <w:jc w:val="left"/>
        <w:rPr>
          <w:rFonts w:hint="eastAsia" w:ascii="仿宋" w:hAnsi="仿宋" w:eastAsia="仿宋"/>
          <w:sz w:val="24"/>
          <w:szCs w:val="24"/>
        </w:rPr>
      </w:pPr>
      <w:r>
        <w:rPr>
          <w:rFonts w:hint="eastAsia" w:ascii="仿宋" w:hAnsi="仿宋" w:eastAsia="仿宋"/>
          <w:sz w:val="24"/>
          <w:szCs w:val="24"/>
        </w:rPr>
        <w:t>（1）问卷调查专家意见</w:t>
      </w:r>
    </w:p>
    <w:p w14:paraId="43DB210B">
      <w:pPr>
        <w:spacing w:line="400" w:lineRule="exact"/>
        <w:ind w:firstLine="420"/>
        <w:jc w:val="left"/>
        <w:rPr>
          <w:rFonts w:hint="eastAsia" w:ascii="仿宋" w:hAnsi="仿宋" w:eastAsia="仿宋"/>
          <w:sz w:val="24"/>
          <w:szCs w:val="24"/>
        </w:rPr>
      </w:pPr>
      <w:r>
        <w:rPr>
          <w:rFonts w:hint="eastAsia" w:ascii="仿宋" w:hAnsi="仿宋" w:eastAsia="仿宋"/>
          <w:sz w:val="24"/>
          <w:szCs w:val="24"/>
        </w:rPr>
        <w:t>①建议还要认真检索ISO、WHO有关小儿推拿的相关标准、指南，以作对照。</w:t>
      </w:r>
    </w:p>
    <w:p w14:paraId="245038AD">
      <w:pPr>
        <w:spacing w:line="400" w:lineRule="exact"/>
        <w:ind w:firstLine="420"/>
        <w:jc w:val="left"/>
        <w:rPr>
          <w:rFonts w:hint="eastAsia" w:ascii="仿宋" w:hAnsi="仿宋" w:eastAsia="仿宋"/>
          <w:sz w:val="24"/>
          <w:szCs w:val="24"/>
        </w:rPr>
      </w:pPr>
      <w:r>
        <w:rPr>
          <w:rFonts w:hint="eastAsia" w:ascii="PingFang SC" w:hAnsi="PingFang SC" w:eastAsia="PingFang SC" w:cs="PingFang SC"/>
          <w:sz w:val="24"/>
          <w:szCs w:val="24"/>
        </w:rPr>
        <w:t>②</w:t>
      </w:r>
      <w:r>
        <w:rPr>
          <w:rFonts w:hint="eastAsia" w:ascii="仿宋" w:hAnsi="仿宋" w:eastAsia="仿宋"/>
          <w:sz w:val="24"/>
          <w:szCs w:val="24"/>
        </w:rPr>
        <w:t>尽量保留小儿推拿的精髓。尊重原作者的精神。</w:t>
      </w:r>
    </w:p>
    <w:p w14:paraId="5464F508">
      <w:pPr>
        <w:spacing w:line="400" w:lineRule="exact"/>
        <w:jc w:val="left"/>
        <w:rPr>
          <w:rFonts w:hint="eastAsia" w:ascii="仿宋" w:hAnsi="仿宋" w:eastAsia="仿宋"/>
          <w:sz w:val="24"/>
          <w:szCs w:val="24"/>
        </w:rPr>
      </w:pPr>
      <w:r>
        <w:rPr>
          <w:rFonts w:hint="eastAsia" w:ascii="仿宋" w:hAnsi="仿宋" w:eastAsia="仿宋"/>
          <w:sz w:val="24"/>
          <w:szCs w:val="24"/>
        </w:rPr>
        <w:t>（2）项目组意见：</w:t>
      </w:r>
    </w:p>
    <w:p w14:paraId="5C501447">
      <w:pPr>
        <w:spacing w:line="400" w:lineRule="exact"/>
        <w:ind w:firstLine="420"/>
        <w:jc w:val="left"/>
        <w:rPr>
          <w:rFonts w:hint="eastAsia" w:ascii="仿宋" w:hAnsi="仿宋" w:eastAsia="仿宋"/>
          <w:sz w:val="24"/>
          <w:szCs w:val="24"/>
        </w:rPr>
      </w:pPr>
      <w:r>
        <w:rPr>
          <w:rFonts w:hint="eastAsia" w:ascii="仿宋" w:hAnsi="仿宋" w:eastAsia="仿宋"/>
          <w:sz w:val="24"/>
          <w:szCs w:val="24"/>
          <w:lang w:val="en-US" w:eastAsia="zh-CN"/>
        </w:rPr>
        <w:t>采纳专家意见</w:t>
      </w:r>
      <w:r>
        <w:rPr>
          <w:rFonts w:hint="eastAsia" w:ascii="仿宋" w:hAnsi="仿宋" w:eastAsia="仿宋"/>
          <w:sz w:val="24"/>
          <w:szCs w:val="24"/>
        </w:rPr>
        <w:t>。</w:t>
      </w:r>
    </w:p>
    <w:p w14:paraId="40A1DC0D">
      <w:pPr>
        <w:spacing w:line="400" w:lineRule="exact"/>
        <w:jc w:val="left"/>
        <w:rPr>
          <w:rFonts w:hint="eastAsia" w:ascii="仿宋" w:hAnsi="仿宋" w:eastAsia="仿宋"/>
          <w:b/>
          <w:bCs/>
          <w:sz w:val="24"/>
          <w:szCs w:val="24"/>
        </w:rPr>
      </w:pPr>
      <w:r>
        <w:rPr>
          <w:rFonts w:hint="eastAsia" w:ascii="仿宋" w:hAnsi="仿宋" w:eastAsia="仿宋"/>
          <w:b/>
          <w:bCs/>
          <w:sz w:val="24"/>
          <w:szCs w:val="24"/>
        </w:rPr>
        <w:t>2.专家论证意见</w:t>
      </w:r>
    </w:p>
    <w:p w14:paraId="290F1C6A">
      <w:pPr>
        <w:spacing w:line="400" w:lineRule="exact"/>
        <w:jc w:val="left"/>
        <w:rPr>
          <w:rFonts w:hint="eastAsia" w:ascii="仿宋" w:hAnsi="仿宋" w:eastAsia="仿宋"/>
          <w:sz w:val="24"/>
          <w:szCs w:val="24"/>
        </w:rPr>
      </w:pPr>
      <w:r>
        <w:rPr>
          <w:rFonts w:hint="eastAsia" w:ascii="仿宋" w:hAnsi="仿宋" w:eastAsia="仿宋"/>
          <w:sz w:val="24"/>
          <w:szCs w:val="24"/>
        </w:rPr>
        <w:t>（1）专家论证结果</w:t>
      </w:r>
    </w:p>
    <w:p w14:paraId="19CA2455">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全体13位专家一致同意（2分/须选），支持率100%。</w:t>
      </w:r>
    </w:p>
    <w:p w14:paraId="1EAD166B">
      <w:pPr>
        <w:spacing w:line="400" w:lineRule="exact"/>
        <w:jc w:val="left"/>
        <w:rPr>
          <w:rFonts w:hint="eastAsia" w:ascii="仿宋" w:hAnsi="仿宋" w:eastAsia="仿宋"/>
          <w:sz w:val="24"/>
          <w:szCs w:val="24"/>
        </w:rPr>
      </w:pPr>
      <w:r>
        <w:rPr>
          <w:rFonts w:hint="eastAsia" w:ascii="仿宋" w:hAnsi="仿宋" w:eastAsia="仿宋"/>
          <w:sz w:val="24"/>
          <w:szCs w:val="24"/>
        </w:rPr>
        <w:t>（2）主要讨论意见</w:t>
      </w:r>
    </w:p>
    <w:p w14:paraId="13C2E0E5">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无特殊讨论意见。</w:t>
      </w:r>
    </w:p>
    <w:p w14:paraId="6F675BD5">
      <w:pPr>
        <w:spacing w:line="400" w:lineRule="exact"/>
        <w:jc w:val="left"/>
        <w:rPr>
          <w:rFonts w:hint="eastAsia" w:ascii="仿宋" w:hAnsi="仿宋" w:eastAsia="仿宋"/>
          <w:b/>
          <w:bCs/>
          <w:sz w:val="24"/>
          <w:szCs w:val="24"/>
        </w:rPr>
      </w:pPr>
      <w:r>
        <w:rPr>
          <w:rFonts w:hint="eastAsia" w:ascii="仿宋" w:hAnsi="仿宋" w:eastAsia="仿宋"/>
          <w:b/>
          <w:bCs/>
          <w:sz w:val="24"/>
          <w:szCs w:val="24"/>
        </w:rPr>
        <w:t>3.项目组决议</w:t>
      </w:r>
    </w:p>
    <w:p w14:paraId="57F7B551">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维持项目组决策，</w:t>
      </w:r>
      <w:r>
        <w:rPr>
          <w:rFonts w:hint="eastAsia" w:ascii="仿宋" w:hAnsi="仿宋" w:eastAsia="仿宋"/>
          <w:sz w:val="24"/>
          <w:szCs w:val="24"/>
          <w:lang w:val="en-US" w:eastAsia="zh-CN"/>
        </w:rPr>
        <w:t>同时</w:t>
      </w:r>
      <w:r>
        <w:rPr>
          <w:rFonts w:hint="eastAsia" w:ascii="仿宋" w:hAnsi="仿宋" w:eastAsia="仿宋"/>
          <w:sz w:val="24"/>
          <w:szCs w:val="24"/>
        </w:rPr>
        <w:t>结合专家论证意见。</w:t>
      </w:r>
    </w:p>
    <w:p w14:paraId="5BE50962">
      <w:pPr>
        <w:spacing w:line="400" w:lineRule="exact"/>
        <w:jc w:val="left"/>
        <w:rPr>
          <w:rFonts w:hint="eastAsia" w:ascii="仿宋" w:hAnsi="仿宋" w:eastAsia="仿宋"/>
          <w:b/>
          <w:bCs/>
          <w:sz w:val="24"/>
          <w:szCs w:val="24"/>
        </w:rPr>
      </w:pPr>
      <w:r>
        <w:rPr>
          <w:rFonts w:hint="eastAsia" w:ascii="仿宋" w:hAnsi="仿宋" w:eastAsia="仿宋"/>
          <w:b/>
          <w:bCs/>
          <w:sz w:val="24"/>
          <w:szCs w:val="24"/>
        </w:rPr>
        <w:t>五、对全文的综合性修改意见</w:t>
      </w:r>
    </w:p>
    <w:p w14:paraId="3393FE2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除上述条目共性问题外，专家在论证会及征求意见函中提出以下综合性意见。</w:t>
      </w:r>
    </w:p>
    <w:p w14:paraId="21F63855">
      <w:pPr>
        <w:spacing w:line="400" w:lineRule="exact"/>
        <w:jc w:val="left"/>
        <w:rPr>
          <w:rFonts w:hint="eastAsia" w:ascii="仿宋" w:hAnsi="仿宋" w:eastAsia="仿宋"/>
          <w:b/>
          <w:bCs/>
          <w:sz w:val="24"/>
          <w:szCs w:val="24"/>
        </w:rPr>
      </w:pPr>
      <w:r>
        <w:rPr>
          <w:rFonts w:hint="eastAsia" w:ascii="仿宋" w:hAnsi="仿宋" w:eastAsia="仿宋"/>
          <w:b/>
          <w:bCs/>
          <w:sz w:val="24"/>
          <w:szCs w:val="24"/>
        </w:rPr>
        <w:t>1.术语与表述统一化</w:t>
      </w:r>
    </w:p>
    <w:p w14:paraId="2000B490">
      <w:pPr>
        <w:spacing w:line="400" w:lineRule="exact"/>
        <w:jc w:val="left"/>
        <w:rPr>
          <w:rFonts w:hint="eastAsia" w:ascii="仿宋" w:hAnsi="仿宋" w:eastAsia="仿宋"/>
          <w:sz w:val="24"/>
          <w:szCs w:val="24"/>
        </w:rPr>
      </w:pPr>
      <w:r>
        <w:rPr>
          <w:rFonts w:hint="eastAsia" w:ascii="仿宋" w:hAnsi="仿宋" w:eastAsia="仿宋"/>
          <w:sz w:val="24"/>
          <w:szCs w:val="24"/>
        </w:rPr>
        <w:t>（1）专家讨论意见</w:t>
      </w:r>
    </w:p>
    <w:p w14:paraId="023B523A">
      <w:pPr>
        <w:spacing w:line="400" w:lineRule="exact"/>
        <w:ind w:firstLine="420"/>
        <w:jc w:val="left"/>
        <w:rPr>
          <w:rFonts w:hint="eastAsia" w:ascii="仿宋" w:hAnsi="仿宋" w:eastAsia="仿宋"/>
          <w:sz w:val="24"/>
          <w:szCs w:val="24"/>
        </w:rPr>
      </w:pPr>
      <w:r>
        <w:rPr>
          <w:rFonts w:hint="eastAsia" w:ascii="仿宋" w:hAnsi="仿宋" w:eastAsia="仿宋"/>
          <w:sz w:val="24"/>
          <w:szCs w:val="24"/>
        </w:rPr>
        <w:t>史正刚教授提出需与同期其他转化项目统一“医师/医生/操作者”等术语，并建议标准中统一其中的时间单位书写方式，可以统一为英文，如“min”、“h”；马融教授、丁樱教授、王丽丽主任提出年龄表述不使用“幼儿、婴儿”等本土化词汇，改用国际通用数值（如“1岁以上”）。</w:t>
      </w:r>
    </w:p>
    <w:p w14:paraId="6D54967C">
      <w:pPr>
        <w:spacing w:line="400" w:lineRule="exact"/>
        <w:jc w:val="left"/>
        <w:rPr>
          <w:rFonts w:hint="eastAsia" w:ascii="仿宋" w:hAnsi="仿宋" w:eastAsia="仿宋"/>
          <w:sz w:val="24"/>
          <w:szCs w:val="24"/>
        </w:rPr>
      </w:pPr>
      <w:r>
        <w:rPr>
          <w:rFonts w:hint="eastAsia" w:ascii="仿宋" w:hAnsi="仿宋" w:eastAsia="仿宋"/>
          <w:sz w:val="24"/>
          <w:szCs w:val="24"/>
        </w:rPr>
        <w:t>（2）项目组决议</w:t>
      </w:r>
    </w:p>
    <w:p w14:paraId="6A7B029F">
      <w:pPr>
        <w:spacing w:line="400" w:lineRule="exact"/>
        <w:ind w:firstLine="420"/>
        <w:jc w:val="left"/>
        <w:rPr>
          <w:rFonts w:hint="eastAsia" w:ascii="仿宋" w:hAnsi="仿宋" w:eastAsia="仿宋"/>
          <w:sz w:val="24"/>
          <w:szCs w:val="24"/>
        </w:rPr>
      </w:pPr>
      <w:r>
        <w:rPr>
          <w:rFonts w:hint="eastAsia" w:ascii="仿宋" w:hAnsi="仿宋" w:eastAsia="仿宋"/>
          <w:sz w:val="24"/>
          <w:szCs w:val="24"/>
        </w:rPr>
        <w:t>采纳专家建议，全文统审，项目组将召开五项目协调会统一处理，协调同期儿科国际标准转化项目的术语一致性。</w:t>
      </w:r>
    </w:p>
    <w:p w14:paraId="1DAB5A6D">
      <w:pPr>
        <w:spacing w:line="400" w:lineRule="exact"/>
        <w:jc w:val="left"/>
        <w:rPr>
          <w:rFonts w:hint="eastAsia" w:ascii="仿宋" w:hAnsi="仿宋" w:eastAsia="仿宋"/>
          <w:b/>
          <w:bCs/>
          <w:sz w:val="24"/>
          <w:szCs w:val="24"/>
        </w:rPr>
      </w:pPr>
      <w:r>
        <w:rPr>
          <w:rFonts w:hint="eastAsia" w:ascii="仿宋" w:hAnsi="仿宋" w:eastAsia="仿宋"/>
          <w:b/>
          <w:bCs/>
          <w:sz w:val="24"/>
          <w:szCs w:val="24"/>
          <w:lang w:val="en-US" w:eastAsia="zh-CN"/>
        </w:rPr>
        <w:t>2</w:t>
      </w:r>
      <w:r>
        <w:rPr>
          <w:rFonts w:hint="eastAsia" w:ascii="仿宋" w:hAnsi="仿宋" w:eastAsia="仿宋"/>
          <w:b/>
          <w:bCs/>
          <w:sz w:val="24"/>
          <w:szCs w:val="24"/>
        </w:rPr>
        <w:t>.标准行文精简</w:t>
      </w:r>
    </w:p>
    <w:p w14:paraId="45A5D0F1">
      <w:pPr>
        <w:spacing w:line="400" w:lineRule="exact"/>
        <w:jc w:val="left"/>
        <w:rPr>
          <w:rFonts w:hint="eastAsia" w:ascii="仿宋" w:hAnsi="仿宋" w:eastAsia="仿宋"/>
          <w:sz w:val="24"/>
          <w:szCs w:val="24"/>
        </w:rPr>
      </w:pPr>
      <w:r>
        <w:rPr>
          <w:rFonts w:hint="eastAsia" w:ascii="仿宋" w:hAnsi="仿宋" w:eastAsia="仿宋"/>
          <w:sz w:val="24"/>
          <w:szCs w:val="24"/>
        </w:rPr>
        <w:t>（1）专家讨论意见</w:t>
      </w:r>
    </w:p>
    <w:p w14:paraId="6FA9AE5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熊磊、戴启刚提出，标准应“要言不繁”，在保证操作性前提下精简表述。</w:t>
      </w:r>
    </w:p>
    <w:p w14:paraId="2E2D2097">
      <w:pPr>
        <w:spacing w:line="400" w:lineRule="exact"/>
        <w:jc w:val="left"/>
        <w:rPr>
          <w:rFonts w:hint="eastAsia" w:ascii="仿宋" w:hAnsi="仿宋" w:eastAsia="仿宋"/>
          <w:sz w:val="24"/>
          <w:szCs w:val="24"/>
        </w:rPr>
      </w:pPr>
      <w:r>
        <w:rPr>
          <w:rFonts w:hint="eastAsia" w:ascii="仿宋" w:hAnsi="仿宋" w:eastAsia="仿宋"/>
          <w:sz w:val="24"/>
          <w:szCs w:val="24"/>
        </w:rPr>
        <w:t>（2）项目组决议</w:t>
      </w:r>
    </w:p>
    <w:p w14:paraId="5EC29E0A">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项目组对全文进行审查核对，删除重复性描述，保证细化操作的前提下尽量精简。</w:t>
      </w:r>
    </w:p>
    <w:p w14:paraId="385CE15D">
      <w:pPr>
        <w:spacing w:line="400" w:lineRule="exact"/>
        <w:jc w:val="left"/>
        <w:rPr>
          <w:rFonts w:hint="eastAsia" w:ascii="仿宋" w:hAnsi="仿宋" w:eastAsia="仿宋"/>
          <w:b/>
          <w:bCs/>
          <w:sz w:val="24"/>
          <w:szCs w:val="24"/>
        </w:rPr>
      </w:pPr>
      <w:r>
        <w:rPr>
          <w:rFonts w:hint="eastAsia" w:ascii="仿宋" w:hAnsi="仿宋" w:eastAsia="仿宋"/>
          <w:b/>
          <w:bCs/>
          <w:sz w:val="24"/>
          <w:szCs w:val="24"/>
          <w:lang w:val="en-US" w:eastAsia="zh-CN"/>
        </w:rPr>
        <w:t>3</w:t>
      </w:r>
      <w:r>
        <w:rPr>
          <w:rFonts w:hint="eastAsia" w:ascii="仿宋" w:hAnsi="仿宋" w:eastAsia="仿宋"/>
          <w:b/>
          <w:bCs/>
          <w:sz w:val="24"/>
          <w:szCs w:val="24"/>
        </w:rPr>
        <w:t>.专家信息表优化</w:t>
      </w:r>
    </w:p>
    <w:p w14:paraId="4781C4E6">
      <w:pPr>
        <w:spacing w:line="400" w:lineRule="exact"/>
        <w:jc w:val="left"/>
        <w:rPr>
          <w:rFonts w:hint="eastAsia" w:ascii="仿宋" w:hAnsi="仿宋" w:eastAsia="仿宋"/>
          <w:sz w:val="24"/>
          <w:szCs w:val="24"/>
        </w:rPr>
      </w:pPr>
      <w:r>
        <w:rPr>
          <w:rFonts w:hint="eastAsia" w:ascii="仿宋" w:hAnsi="仿宋" w:eastAsia="仿宋"/>
          <w:sz w:val="24"/>
          <w:szCs w:val="24"/>
        </w:rPr>
        <w:t>（1）专家讨论意见</w:t>
      </w:r>
    </w:p>
    <w:p w14:paraId="4D3812E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马融教授提出区分“学历/学位”表述，明确学历与学位的区别；建议统一职称，如以临床工作为主的专家职称仅填写主任医师、副主任医师等；如以基础研究为主的专家则以教授、副教授论。</w:t>
      </w:r>
    </w:p>
    <w:p w14:paraId="22061262">
      <w:pPr>
        <w:spacing w:line="400" w:lineRule="exact"/>
        <w:jc w:val="left"/>
        <w:rPr>
          <w:rFonts w:hint="eastAsia" w:ascii="仿宋" w:hAnsi="仿宋" w:eastAsia="仿宋"/>
          <w:sz w:val="24"/>
          <w:szCs w:val="24"/>
        </w:rPr>
      </w:pPr>
      <w:r>
        <w:rPr>
          <w:rFonts w:hint="eastAsia" w:ascii="仿宋" w:hAnsi="仿宋" w:eastAsia="仿宋"/>
          <w:sz w:val="24"/>
          <w:szCs w:val="24"/>
        </w:rPr>
        <w:t>（2）项目组决议</w:t>
      </w:r>
    </w:p>
    <w:p w14:paraId="121F34F6">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修正《专家信息表》模板，规范职称填写标准，职称统计仅为国内专家，国内专家“职称”按“初级、中级、副高级、正高级”分类统计，不再区分医师/教师系列；国外专家职称保留原始表述，单独分类统计。</w:t>
      </w:r>
    </w:p>
    <w:p w14:paraId="6C93F514">
      <w:pPr>
        <w:spacing w:line="400" w:lineRule="exact"/>
        <w:jc w:val="left"/>
        <w:rPr>
          <w:rFonts w:hint="eastAsia" w:ascii="仿宋" w:hAnsi="仿宋" w:eastAsia="仿宋"/>
          <w:b/>
          <w:bCs/>
          <w:sz w:val="24"/>
          <w:szCs w:val="24"/>
        </w:rPr>
      </w:pPr>
      <w:r>
        <w:rPr>
          <w:rFonts w:hint="eastAsia" w:ascii="仿宋" w:hAnsi="仿宋" w:eastAsia="仿宋"/>
          <w:b/>
          <w:bCs/>
          <w:sz w:val="24"/>
          <w:szCs w:val="24"/>
        </w:rPr>
        <w:t>六、安全性问题专项总结</w:t>
      </w:r>
    </w:p>
    <w:p w14:paraId="157E145D">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本次会议中，安全性既是专家论证的核心关切，也是国际标准转化必须坚守的底线。专家组从操作安全</w:t>
      </w:r>
      <w:r>
        <w:rPr>
          <w:rFonts w:hint="eastAsia" w:ascii="仿宋" w:hAnsi="仿宋" w:eastAsia="仿宋"/>
          <w:sz w:val="24"/>
          <w:szCs w:val="24"/>
          <w:lang w:eastAsia="zh-CN"/>
        </w:rPr>
        <w:t>、</w:t>
      </w:r>
      <w:r>
        <w:rPr>
          <w:rFonts w:hint="eastAsia" w:ascii="仿宋" w:hAnsi="仿宋" w:eastAsia="仿宋"/>
          <w:sz w:val="24"/>
          <w:szCs w:val="24"/>
          <w:lang w:val="en-US" w:eastAsia="zh-CN"/>
        </w:rPr>
        <w:t>法规合规两</w:t>
      </w:r>
      <w:r>
        <w:rPr>
          <w:rFonts w:hint="eastAsia" w:ascii="仿宋" w:hAnsi="仿宋" w:eastAsia="仿宋"/>
          <w:sz w:val="24"/>
          <w:szCs w:val="24"/>
        </w:rPr>
        <w:t>个维度，对标准草案进行了系统性安全审查，形成以下共识：</w:t>
      </w:r>
    </w:p>
    <w:p w14:paraId="4A072407">
      <w:pPr>
        <w:spacing w:line="400" w:lineRule="exact"/>
        <w:jc w:val="left"/>
        <w:rPr>
          <w:rFonts w:hint="eastAsia" w:ascii="仿宋" w:hAnsi="仿宋" w:eastAsia="仿宋"/>
          <w:b/>
          <w:bCs/>
          <w:sz w:val="24"/>
          <w:szCs w:val="24"/>
        </w:rPr>
      </w:pPr>
      <w:r>
        <w:rPr>
          <w:rFonts w:hint="eastAsia" w:ascii="仿宋" w:hAnsi="仿宋" w:eastAsia="仿宋"/>
          <w:b/>
          <w:bCs/>
          <w:sz w:val="24"/>
          <w:szCs w:val="24"/>
        </w:rPr>
        <w:t>（一）操作安全</w:t>
      </w:r>
    </w:p>
    <w:p w14:paraId="6C493B0F">
      <w:pPr>
        <w:spacing w:line="400" w:lineRule="exact"/>
        <w:ind w:firstLine="480" w:firstLineChars="200"/>
        <w:jc w:val="left"/>
        <w:rPr>
          <w:rFonts w:hint="default" w:ascii="仿宋" w:hAnsi="仿宋" w:eastAsia="仿宋"/>
          <w:sz w:val="24"/>
          <w:szCs w:val="24"/>
          <w:lang w:val="en-US" w:eastAsia="zh-CN"/>
        </w:rPr>
      </w:pPr>
      <w:r>
        <w:rPr>
          <w:rFonts w:hint="eastAsia" w:ascii="仿宋" w:hAnsi="仿宋" w:eastAsia="仿宋"/>
          <w:sz w:val="24"/>
          <w:szCs w:val="24"/>
        </w:rPr>
        <w:t>会议决议强调，操作流程的规范化描述是保障全球范围内操作一致性、降低临床风险的关键，必须确保每一步操作有明确指引。</w:t>
      </w:r>
      <w:r>
        <w:rPr>
          <w:rFonts w:hint="eastAsia" w:ascii="仿宋" w:hAnsi="仿宋" w:eastAsia="仿宋"/>
          <w:sz w:val="24"/>
          <w:szCs w:val="24"/>
          <w:lang w:val="en-US" w:eastAsia="zh-CN"/>
        </w:rPr>
        <w:t>操作流程具有安全性是本操作规范能够在海外落地实施并推广的首要前提。</w:t>
      </w:r>
    </w:p>
    <w:p w14:paraId="1518F091">
      <w:pPr>
        <w:spacing w:line="400" w:lineRule="exact"/>
        <w:jc w:val="left"/>
        <w:rPr>
          <w:rFonts w:hint="eastAsia" w:ascii="仿宋" w:hAnsi="仿宋" w:eastAsia="仿宋"/>
          <w:b/>
          <w:bCs/>
          <w:sz w:val="24"/>
          <w:szCs w:val="24"/>
        </w:rPr>
      </w:pPr>
      <w:r>
        <w:rPr>
          <w:rFonts w:hint="eastAsia" w:ascii="仿宋" w:hAnsi="仿宋" w:eastAsia="仿宋"/>
          <w:b/>
          <w:bCs/>
          <w:sz w:val="24"/>
          <w:szCs w:val="24"/>
        </w:rPr>
        <w:t>（</w:t>
      </w:r>
      <w:r>
        <w:rPr>
          <w:rFonts w:hint="eastAsia" w:ascii="仿宋" w:hAnsi="仿宋" w:eastAsia="仿宋"/>
          <w:b/>
          <w:bCs/>
          <w:sz w:val="24"/>
          <w:szCs w:val="24"/>
          <w:lang w:val="en-US" w:eastAsia="zh-CN"/>
        </w:rPr>
        <w:t>二</w:t>
      </w:r>
      <w:r>
        <w:rPr>
          <w:rFonts w:hint="eastAsia" w:ascii="仿宋" w:hAnsi="仿宋" w:eastAsia="仿宋"/>
          <w:b/>
          <w:bCs/>
          <w:sz w:val="24"/>
          <w:szCs w:val="24"/>
        </w:rPr>
        <w:t>）法规合规</w:t>
      </w:r>
    </w:p>
    <w:p w14:paraId="0C14D258">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符合当地法律法规被专家组视为操作安全的前提条件，并非独立于技术之外的行政要求。虞坚尔教授、王有鹏教授、王丽丽主任特别强调，不符合法规的操作即使技术正确也不安全，可能导致法律责任、执业资格丧失等风险。因此，会议全票通过在标准显著位置增加法规限制声明，确立“安全性以合规性为基础”的国际标准实施原则。</w:t>
      </w:r>
    </w:p>
    <w:p w14:paraId="47C8FBB9">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项目组承诺：上述所有安全性决议将在标准修订中优先落实，确保本标准成为全球中医儿科</w:t>
      </w:r>
      <w:r>
        <w:rPr>
          <w:rFonts w:hint="eastAsia" w:ascii="仿宋" w:hAnsi="仿宋" w:eastAsia="仿宋"/>
          <w:sz w:val="24"/>
          <w:szCs w:val="24"/>
          <w:lang w:val="en-US" w:eastAsia="zh-CN"/>
        </w:rPr>
        <w:t>推拿疗法</w:t>
      </w:r>
      <w:r>
        <w:rPr>
          <w:rFonts w:hint="eastAsia" w:ascii="仿宋" w:hAnsi="仿宋" w:eastAsia="仿宋"/>
          <w:sz w:val="24"/>
          <w:szCs w:val="24"/>
        </w:rPr>
        <w:t>的安全操作规范。</w:t>
      </w:r>
    </w:p>
    <w:p w14:paraId="0C2D3C54">
      <w:pPr>
        <w:spacing w:line="400" w:lineRule="exact"/>
        <w:jc w:val="left"/>
        <w:rPr>
          <w:rFonts w:hint="eastAsia" w:ascii="仿宋" w:hAnsi="仿宋" w:eastAsia="仿宋"/>
          <w:b/>
          <w:bCs/>
          <w:sz w:val="24"/>
          <w:szCs w:val="24"/>
        </w:rPr>
      </w:pPr>
      <w:r>
        <w:rPr>
          <w:rFonts w:hint="eastAsia" w:ascii="仿宋" w:hAnsi="仿宋" w:eastAsia="仿宋"/>
          <w:b/>
          <w:bCs/>
          <w:sz w:val="24"/>
          <w:szCs w:val="24"/>
        </w:rPr>
        <w:t>七、后续工作安排</w:t>
      </w:r>
    </w:p>
    <w:p w14:paraId="67F483A9">
      <w:pPr>
        <w:spacing w:line="400" w:lineRule="exact"/>
        <w:jc w:val="left"/>
        <w:rPr>
          <w:rFonts w:hint="eastAsia" w:ascii="仿宋" w:hAnsi="仿宋" w:eastAsia="仿宋"/>
          <w:sz w:val="24"/>
          <w:szCs w:val="24"/>
        </w:rPr>
      </w:pPr>
      <w:r>
        <w:rPr>
          <w:rFonts w:hint="eastAsia" w:ascii="仿宋" w:hAnsi="仿宋" w:eastAsia="仿宋"/>
          <w:sz w:val="24"/>
          <w:szCs w:val="24"/>
        </w:rPr>
        <w:t>（1）联合协调：2025年12月15日前召开同期转化项目协调会，统一共性术语问题。</w:t>
      </w:r>
    </w:p>
    <w:p w14:paraId="7123A7B5">
      <w:pPr>
        <w:spacing w:line="400" w:lineRule="exact"/>
        <w:jc w:val="left"/>
        <w:rPr>
          <w:rFonts w:hint="eastAsia" w:ascii="仿宋" w:hAnsi="仿宋" w:eastAsia="仿宋"/>
          <w:sz w:val="24"/>
          <w:szCs w:val="24"/>
        </w:rPr>
      </w:pPr>
      <w:r>
        <w:rPr>
          <w:rFonts w:hint="eastAsia" w:ascii="仿宋" w:hAnsi="仿宋" w:eastAsia="仿宋"/>
          <w:sz w:val="24"/>
          <w:szCs w:val="24"/>
        </w:rPr>
        <w:t>（2）文件修订：项目组将于2025年12月</w:t>
      </w:r>
      <w:r>
        <w:rPr>
          <w:rFonts w:hint="eastAsia" w:ascii="仿宋" w:hAnsi="仿宋" w:eastAsia="仿宋"/>
          <w:sz w:val="24"/>
          <w:szCs w:val="24"/>
          <w:lang w:val="en-US" w:eastAsia="zh-CN"/>
        </w:rPr>
        <w:t>25</w:t>
      </w:r>
      <w:r>
        <w:rPr>
          <w:rFonts w:hint="eastAsia" w:ascii="仿宋" w:hAnsi="仿宋" w:eastAsia="仿宋"/>
          <w:sz w:val="24"/>
          <w:szCs w:val="24"/>
        </w:rPr>
        <w:t>日前完成标准草案修订，形成标准草案（初稿）。</w:t>
      </w:r>
    </w:p>
    <w:p w14:paraId="02E951F2">
      <w:pPr>
        <w:spacing w:line="400" w:lineRule="exact"/>
        <w:jc w:val="left"/>
        <w:rPr>
          <w:rFonts w:hint="eastAsia" w:ascii="仿宋" w:hAnsi="仿宋" w:eastAsia="仿宋"/>
          <w:sz w:val="24"/>
          <w:szCs w:val="24"/>
        </w:rPr>
      </w:pPr>
      <w:r>
        <w:rPr>
          <w:rFonts w:hint="eastAsia" w:ascii="仿宋" w:hAnsi="仿宋" w:eastAsia="仿宋"/>
          <w:sz w:val="24"/>
          <w:szCs w:val="24"/>
        </w:rPr>
        <w:t>（3）对照表总结：文件修订时同步完成《标准修订对照表》，逐条标注修改内容及理由。</w:t>
      </w:r>
    </w:p>
    <w:p w14:paraId="73E46ED7">
      <w:pPr>
        <w:spacing w:line="400" w:lineRule="exact"/>
        <w:jc w:val="left"/>
        <w:rPr>
          <w:rFonts w:hint="eastAsia" w:ascii="仿宋" w:hAnsi="仿宋" w:eastAsia="仿宋"/>
          <w:sz w:val="24"/>
          <w:szCs w:val="24"/>
        </w:rPr>
      </w:pPr>
      <w:r>
        <w:rPr>
          <w:rFonts w:hint="eastAsia" w:ascii="仿宋" w:hAnsi="仿宋" w:eastAsia="仿宋"/>
          <w:sz w:val="24"/>
          <w:szCs w:val="24"/>
        </w:rPr>
        <w:t>（4）编制说明撰写：项目组将于2025年12月</w:t>
      </w:r>
      <w:r>
        <w:rPr>
          <w:rFonts w:hint="eastAsia" w:ascii="仿宋" w:hAnsi="仿宋" w:eastAsia="仿宋"/>
          <w:sz w:val="24"/>
          <w:szCs w:val="24"/>
          <w:lang w:val="en-US" w:eastAsia="zh-CN"/>
        </w:rPr>
        <w:t>30</w:t>
      </w:r>
      <w:r>
        <w:rPr>
          <w:rFonts w:hint="eastAsia" w:ascii="仿宋" w:hAnsi="仿宋" w:eastAsia="仿宋"/>
          <w:sz w:val="24"/>
          <w:szCs w:val="24"/>
        </w:rPr>
        <w:t>日前完成《编制说明》撰写，详细说明本标准编制过程，并附文件。</w:t>
      </w:r>
    </w:p>
    <w:p w14:paraId="6423B723">
      <w:pPr>
        <w:spacing w:line="400" w:lineRule="exact"/>
        <w:jc w:val="left"/>
        <w:rPr>
          <w:rFonts w:hint="eastAsia" w:ascii="仿宋" w:hAnsi="仿宋" w:eastAsia="仿宋"/>
          <w:sz w:val="24"/>
          <w:szCs w:val="24"/>
        </w:rPr>
      </w:pPr>
      <w:r>
        <w:rPr>
          <w:rFonts w:hint="eastAsia" w:ascii="仿宋" w:hAnsi="仿宋" w:eastAsia="仿宋"/>
          <w:sz w:val="24"/>
          <w:szCs w:val="24"/>
        </w:rPr>
        <w:t>（5）材料上报：2025年12月31日前将《标准草案》《编制说明》《标准修订对照表》一并提交世界中联国际标准部。</w:t>
      </w:r>
    </w:p>
    <w:p w14:paraId="657ECD77">
      <w:pPr>
        <w:spacing w:line="400" w:lineRule="exact"/>
        <w:jc w:val="left"/>
        <w:rPr>
          <w:rFonts w:hint="eastAsia" w:ascii="仿宋" w:hAnsi="仿宋" w:eastAsia="仿宋"/>
          <w:b/>
          <w:bCs/>
          <w:sz w:val="24"/>
          <w:szCs w:val="24"/>
        </w:rPr>
      </w:pPr>
      <w:r>
        <w:rPr>
          <w:rFonts w:hint="eastAsia" w:ascii="仿宋" w:hAnsi="仿宋" w:eastAsia="仿宋"/>
          <w:b/>
          <w:bCs/>
          <w:sz w:val="24"/>
          <w:szCs w:val="24"/>
        </w:rPr>
        <w:t>八、声明</w:t>
      </w:r>
    </w:p>
    <w:p w14:paraId="03AD9DD4">
      <w:pPr>
        <w:spacing w:line="400" w:lineRule="exact"/>
        <w:ind w:firstLine="480" w:firstLineChars="200"/>
        <w:jc w:val="left"/>
        <w:rPr>
          <w:rFonts w:hint="eastAsia" w:ascii="仿宋" w:hAnsi="仿宋" w:eastAsia="仿宋"/>
          <w:sz w:val="24"/>
          <w:szCs w:val="24"/>
        </w:rPr>
      </w:pPr>
      <w:r>
        <w:rPr>
          <w:rFonts w:hint="eastAsia" w:ascii="仿宋" w:hAnsi="仿宋" w:eastAsia="仿宋"/>
          <w:sz w:val="24"/>
          <w:szCs w:val="24"/>
        </w:rPr>
        <w:t>本文件全面记录了2025年12月3日专家论证会技术决议，所有修改意见均基于专家评分及文字反馈，无遗漏、无篡改。项目组对参会专家的专业贡献表示衷心感谢，并承诺严格执行会议决议，高质量完成国际标准转化任务。</w:t>
      </w:r>
    </w:p>
    <w:p w14:paraId="265D26A8">
      <w:pPr>
        <w:tabs>
          <w:tab w:val="left" w:pos="647"/>
        </w:tabs>
        <w:spacing w:line="400" w:lineRule="exact"/>
        <w:ind w:firstLine="480" w:firstLineChars="200"/>
        <w:jc w:val="right"/>
        <w:rPr>
          <w:rFonts w:hint="eastAsia" w:ascii="仿宋" w:hAnsi="仿宋" w:eastAsia="仿宋"/>
          <w:sz w:val="24"/>
          <w:szCs w:val="24"/>
        </w:rPr>
      </w:pPr>
      <w:r>
        <w:rPr>
          <w:rFonts w:hint="eastAsia" w:ascii="仿宋" w:hAnsi="仿宋" w:eastAsia="仿宋"/>
          <w:sz w:val="24"/>
          <w:szCs w:val="24"/>
        </w:rPr>
        <w:tab/>
      </w: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项目工作组</w:t>
      </w:r>
    </w:p>
    <w:p w14:paraId="60F6389A">
      <w:pPr>
        <w:spacing w:line="400" w:lineRule="exact"/>
        <w:ind w:firstLine="480" w:firstLineChars="200"/>
        <w:jc w:val="right"/>
        <w:rPr>
          <w:rFonts w:hint="eastAsia" w:ascii="仿宋" w:hAnsi="仿宋" w:eastAsia="仿宋"/>
          <w:sz w:val="24"/>
          <w:szCs w:val="24"/>
        </w:rPr>
      </w:pPr>
      <w:r>
        <w:rPr>
          <w:rFonts w:hint="eastAsia" w:ascii="仿宋" w:hAnsi="仿宋" w:eastAsia="仿宋"/>
          <w:sz w:val="24"/>
          <w:szCs w:val="24"/>
        </w:rPr>
        <w:t>2025年12月</w:t>
      </w:r>
      <w:r>
        <w:rPr>
          <w:rFonts w:hint="eastAsia" w:ascii="仿宋" w:hAnsi="仿宋" w:eastAsia="仿宋"/>
          <w:sz w:val="24"/>
          <w:szCs w:val="24"/>
          <w:lang w:val="en-US" w:eastAsia="zh-CN"/>
        </w:rPr>
        <w:t>30</w:t>
      </w:r>
      <w:r>
        <w:rPr>
          <w:rFonts w:hint="eastAsia" w:ascii="仿宋" w:hAnsi="仿宋" w:eastAsia="仿宋"/>
          <w:sz w:val="24"/>
          <w:szCs w:val="24"/>
        </w:rPr>
        <w:t>日</w:t>
      </w:r>
    </w:p>
    <w:p w14:paraId="74C28921">
      <w:pPr>
        <w:keepNext/>
        <w:keepLines/>
        <w:spacing w:after="312" w:afterLines="100"/>
        <w:outlineLvl w:val="1"/>
        <w:rPr>
          <w:rFonts w:hint="eastAsia" w:ascii="仿宋" w:hAnsi="仿宋" w:eastAsia="仿宋"/>
          <w:sz w:val="36"/>
          <w:szCs w:val="36"/>
        </w:rPr>
        <w:sectPr>
          <w:pgSz w:w="11906" w:h="16838"/>
          <w:pgMar w:top="1418" w:right="1134" w:bottom="1134" w:left="1418" w:header="851" w:footer="992" w:gutter="0"/>
          <w:cols w:space="720" w:num="1"/>
          <w:docGrid w:type="lines" w:linePitch="312" w:charSpace="0"/>
        </w:sectPr>
      </w:pPr>
    </w:p>
    <w:p w14:paraId="680EF866">
      <w:pPr>
        <w:rPr>
          <w:rFonts w:ascii="仿宋" w:hAnsi="仿宋" w:eastAsia="仿宋"/>
          <w:b/>
          <w:sz w:val="36"/>
          <w:szCs w:val="36"/>
        </w:rPr>
      </w:pPr>
      <w:r>
        <w:rPr>
          <w:rFonts w:hint="eastAsia" w:ascii="仿宋" w:hAnsi="仿宋" w:eastAsia="仿宋"/>
          <w:b/>
          <w:sz w:val="36"/>
          <w:szCs w:val="36"/>
        </w:rPr>
        <w:t>附件</w:t>
      </w:r>
      <w:r>
        <w:rPr>
          <w:rFonts w:ascii="仿宋" w:hAnsi="仿宋" w:eastAsia="仿宋"/>
          <w:b/>
          <w:sz w:val="36"/>
          <w:szCs w:val="36"/>
        </w:rPr>
        <w:t>3</w:t>
      </w:r>
    </w:p>
    <w:p w14:paraId="17199B8C">
      <w:pPr>
        <w:keepNext/>
        <w:keepLines/>
        <w:spacing w:after="312" w:afterLines="100"/>
        <w:jc w:val="center"/>
        <w:outlineLvl w:val="1"/>
        <w:rPr>
          <w:rFonts w:ascii="仿宋" w:hAnsi="仿宋" w:eastAsia="仿宋"/>
          <w:b/>
          <w:bCs/>
          <w:sz w:val="36"/>
          <w:szCs w:val="36"/>
        </w:rPr>
      </w:pPr>
      <w:bookmarkStart w:id="15" w:name="_Toc469601984"/>
      <w:r>
        <w:rPr>
          <w:rFonts w:hint="eastAsia" w:ascii="仿宋" w:hAnsi="仿宋" w:eastAsia="仿宋"/>
          <w:b/>
          <w:bCs/>
          <w:sz w:val="36"/>
          <w:szCs w:val="36"/>
        </w:rPr>
        <w:t>专家</w:t>
      </w:r>
      <w:r>
        <w:rPr>
          <w:rFonts w:ascii="仿宋" w:hAnsi="仿宋" w:eastAsia="仿宋"/>
          <w:b/>
          <w:bCs/>
          <w:sz w:val="36"/>
          <w:szCs w:val="36"/>
        </w:rPr>
        <w:t>指导组审核总结</w:t>
      </w:r>
      <w:bookmarkEnd w:id="15"/>
    </w:p>
    <w:p w14:paraId="7EFA905D">
      <w:pPr>
        <w:spacing w:line="400" w:lineRule="exact"/>
        <w:ind w:firstLine="480" w:firstLineChars="200"/>
        <w:rPr>
          <w:rFonts w:ascii="仿宋" w:hAnsi="仿宋" w:eastAsia="仿宋"/>
          <w:sz w:val="24"/>
          <w:szCs w:val="24"/>
        </w:rPr>
      </w:pP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项目按照世界中医药学会联合会国际组织标准制定程序要求，在完成专家问卷调查和专家论证会论证工作后，形成了专家指导组审核稿及配套编制说明等材料，并提交专家指导组进行审核。</w:t>
      </w:r>
    </w:p>
    <w:p w14:paraId="54E2ED0A">
      <w:pPr>
        <w:spacing w:line="400" w:lineRule="exact"/>
        <w:ind w:firstLine="480" w:firstLineChars="200"/>
        <w:rPr>
          <w:rFonts w:ascii="仿宋" w:hAnsi="仿宋" w:eastAsia="仿宋"/>
          <w:sz w:val="24"/>
          <w:szCs w:val="24"/>
        </w:rPr>
      </w:pPr>
      <w:r>
        <w:rPr>
          <w:rFonts w:hint="eastAsia" w:ascii="仿宋" w:hAnsi="仿宋" w:eastAsia="仿宋"/>
          <w:sz w:val="24"/>
          <w:szCs w:val="24"/>
        </w:rPr>
        <w:t>本项目专家指导组组长丁樱教授为国医大师、中国民族医药学会儿科分会会长，马融、熊磊教授为岐黄学者、中华中医药学会儿科分会第6</w:t>
      </w:r>
      <w:r>
        <w:rPr>
          <w:rFonts w:hint="eastAsia" w:ascii="仿宋" w:hAnsi="仿宋" w:eastAsia="仿宋" w:cs="仿宋"/>
          <w:sz w:val="24"/>
          <w:szCs w:val="24"/>
        </w:rPr>
        <w:t>～</w:t>
      </w:r>
      <w:r>
        <w:rPr>
          <w:rFonts w:hint="eastAsia" w:ascii="仿宋" w:hAnsi="仿宋" w:eastAsia="仿宋"/>
          <w:sz w:val="24"/>
          <w:szCs w:val="24"/>
        </w:rPr>
        <w:t>9届主任委员，俞建教授为中国中西医结合学会儿科分会主任委员，其他多数专家均为现任世界中医药学会儿科专业委员会副会长或中华中医药学会儿科分会副主任委员。项目工作组在规定时间内，向专家指导组成员发送了标准草案、标准修改对照表、编制说明等文件，请专家围绕标准定位、技术边界、条文表述及国际适用性等方面提出审核意见。专家以书面形式对标准提出了意见。</w:t>
      </w:r>
    </w:p>
    <w:p w14:paraId="49C3D301">
      <w:pPr>
        <w:spacing w:line="400" w:lineRule="exact"/>
        <w:jc w:val="center"/>
        <w:rPr>
          <w:rFonts w:ascii="仿宋" w:hAnsi="仿宋" w:eastAsia="仿宋" w:cs="Calibri"/>
          <w:b/>
          <w:szCs w:val="21"/>
        </w:rPr>
      </w:pPr>
      <w:r>
        <w:rPr>
          <w:rFonts w:hint="eastAsia" w:ascii="仿宋" w:hAnsi="仿宋" w:eastAsia="仿宋" w:cs="Calibri"/>
          <w:b/>
          <w:szCs w:val="21"/>
          <w:lang w:eastAsia="zh-CN"/>
        </w:rPr>
        <w:t>《国际中医技术操作规范 儿科 第4部分：小儿推拿疗法》</w:t>
      </w:r>
      <w:r>
        <w:rPr>
          <w:rFonts w:hint="eastAsia" w:ascii="仿宋" w:hAnsi="仿宋" w:eastAsia="仿宋" w:cs="Calibri"/>
          <w:b/>
          <w:szCs w:val="21"/>
        </w:rPr>
        <w:t>专家指导组审核征求意见情况表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111"/>
        <w:gridCol w:w="1576"/>
        <w:gridCol w:w="1807"/>
      </w:tblGrid>
      <w:tr w14:paraId="31F2A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21C74E76">
            <w:pPr>
              <w:spacing w:line="400" w:lineRule="exact"/>
              <w:jc w:val="center"/>
              <w:rPr>
                <w:rFonts w:ascii="仿宋" w:hAnsi="仿宋" w:eastAsia="仿宋" w:cs="Calibri"/>
                <w:szCs w:val="21"/>
              </w:rPr>
            </w:pPr>
            <w:r>
              <w:rPr>
                <w:rFonts w:ascii="仿宋" w:hAnsi="仿宋" w:eastAsia="仿宋" w:cs="Calibri"/>
                <w:szCs w:val="21"/>
              </w:rPr>
              <w:t>序号</w:t>
            </w:r>
          </w:p>
        </w:tc>
        <w:tc>
          <w:tcPr>
            <w:tcW w:w="4111" w:type="dxa"/>
            <w:noWrap w:val="0"/>
            <w:vAlign w:val="top"/>
          </w:tcPr>
          <w:p w14:paraId="6C78F8C6">
            <w:pPr>
              <w:spacing w:line="400" w:lineRule="exact"/>
              <w:jc w:val="center"/>
              <w:rPr>
                <w:rFonts w:ascii="仿宋" w:hAnsi="仿宋" w:eastAsia="仿宋" w:cs="Calibri"/>
                <w:szCs w:val="21"/>
              </w:rPr>
            </w:pPr>
            <w:r>
              <w:rPr>
                <w:rFonts w:ascii="仿宋" w:hAnsi="仿宋" w:eastAsia="仿宋" w:cs="Calibri"/>
                <w:szCs w:val="21"/>
              </w:rPr>
              <w:t>征求单位</w:t>
            </w:r>
          </w:p>
        </w:tc>
        <w:tc>
          <w:tcPr>
            <w:tcW w:w="1576" w:type="dxa"/>
            <w:noWrap w:val="0"/>
            <w:vAlign w:val="top"/>
          </w:tcPr>
          <w:p w14:paraId="38E98EDE">
            <w:pPr>
              <w:spacing w:line="400" w:lineRule="exact"/>
              <w:jc w:val="center"/>
              <w:rPr>
                <w:rFonts w:ascii="仿宋" w:hAnsi="仿宋" w:eastAsia="仿宋" w:cs="Calibri"/>
                <w:szCs w:val="21"/>
              </w:rPr>
            </w:pPr>
            <w:r>
              <w:rPr>
                <w:rFonts w:ascii="仿宋" w:hAnsi="仿宋" w:eastAsia="仿宋" w:cs="Calibri"/>
                <w:szCs w:val="21"/>
              </w:rPr>
              <w:t>专</w:t>
            </w:r>
            <w:r>
              <w:rPr>
                <w:rFonts w:hint="eastAsia" w:ascii="仿宋" w:hAnsi="仿宋" w:eastAsia="仿宋" w:cs="Calibri"/>
                <w:szCs w:val="21"/>
              </w:rPr>
              <w:t xml:space="preserve">  </w:t>
            </w:r>
            <w:r>
              <w:rPr>
                <w:rFonts w:ascii="仿宋" w:hAnsi="仿宋" w:eastAsia="仿宋" w:cs="Calibri"/>
                <w:szCs w:val="21"/>
              </w:rPr>
              <w:t>家</w:t>
            </w:r>
          </w:p>
        </w:tc>
        <w:tc>
          <w:tcPr>
            <w:tcW w:w="1807" w:type="dxa"/>
            <w:noWrap w:val="0"/>
            <w:vAlign w:val="top"/>
          </w:tcPr>
          <w:p w14:paraId="3EB9D76E">
            <w:pPr>
              <w:spacing w:line="400" w:lineRule="exact"/>
              <w:jc w:val="center"/>
              <w:rPr>
                <w:rFonts w:ascii="仿宋" w:hAnsi="仿宋" w:eastAsia="仿宋" w:cs="Calibri"/>
                <w:szCs w:val="21"/>
              </w:rPr>
            </w:pPr>
            <w:r>
              <w:rPr>
                <w:rFonts w:ascii="仿宋" w:hAnsi="仿宋" w:eastAsia="仿宋" w:cs="Calibri"/>
                <w:szCs w:val="21"/>
              </w:rPr>
              <w:t>是否回复意见</w:t>
            </w:r>
          </w:p>
        </w:tc>
      </w:tr>
      <w:tr w14:paraId="64EE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11374E57">
            <w:pPr>
              <w:spacing w:line="400" w:lineRule="exact"/>
              <w:jc w:val="center"/>
              <w:rPr>
                <w:rFonts w:hint="eastAsia" w:ascii="仿宋" w:hAnsi="仿宋" w:eastAsia="仿宋" w:cs="Calibri"/>
                <w:szCs w:val="21"/>
              </w:rPr>
            </w:pPr>
            <w:r>
              <w:rPr>
                <w:rFonts w:hint="eastAsia" w:ascii="仿宋" w:hAnsi="仿宋" w:eastAsia="仿宋" w:cs="Calibri"/>
                <w:szCs w:val="21"/>
              </w:rPr>
              <w:t>1</w:t>
            </w:r>
          </w:p>
        </w:tc>
        <w:tc>
          <w:tcPr>
            <w:tcW w:w="4111" w:type="dxa"/>
            <w:noWrap w:val="0"/>
            <w:vAlign w:val="top"/>
          </w:tcPr>
          <w:p w14:paraId="7A721B9C">
            <w:pPr>
              <w:spacing w:line="400" w:lineRule="exact"/>
              <w:jc w:val="left"/>
              <w:rPr>
                <w:rFonts w:ascii="仿宋" w:hAnsi="仿宋" w:eastAsia="仿宋" w:cs="Calibri"/>
                <w:szCs w:val="21"/>
              </w:rPr>
            </w:pPr>
            <w:r>
              <w:rPr>
                <w:rFonts w:hint="eastAsia" w:ascii="仿宋" w:hAnsi="仿宋" w:eastAsia="仿宋" w:cs="Calibri"/>
                <w:szCs w:val="21"/>
              </w:rPr>
              <w:t>河南中医药大学第一附属医院</w:t>
            </w:r>
          </w:p>
        </w:tc>
        <w:tc>
          <w:tcPr>
            <w:tcW w:w="1576" w:type="dxa"/>
            <w:noWrap w:val="0"/>
            <w:vAlign w:val="top"/>
          </w:tcPr>
          <w:p w14:paraId="09A2EF39">
            <w:pPr>
              <w:spacing w:line="400" w:lineRule="exact"/>
              <w:jc w:val="center"/>
              <w:rPr>
                <w:rFonts w:ascii="仿宋" w:hAnsi="仿宋" w:eastAsia="仿宋" w:cs="Calibri"/>
                <w:szCs w:val="21"/>
              </w:rPr>
            </w:pPr>
            <w:r>
              <w:rPr>
                <w:rFonts w:hint="eastAsia" w:ascii="仿宋" w:hAnsi="仿宋" w:eastAsia="仿宋" w:cs="Calibri"/>
                <w:szCs w:val="21"/>
              </w:rPr>
              <w:t>丁  樱</w:t>
            </w:r>
          </w:p>
        </w:tc>
        <w:tc>
          <w:tcPr>
            <w:tcW w:w="1807" w:type="dxa"/>
            <w:noWrap w:val="0"/>
            <w:vAlign w:val="top"/>
          </w:tcPr>
          <w:p w14:paraId="7C740F15">
            <w:pPr>
              <w:spacing w:line="400" w:lineRule="exact"/>
              <w:jc w:val="center"/>
              <w:rPr>
                <w:rFonts w:ascii="仿宋" w:hAnsi="仿宋" w:eastAsia="仿宋" w:cs="Calibri"/>
                <w:szCs w:val="21"/>
              </w:rPr>
            </w:pPr>
            <w:r>
              <w:rPr>
                <w:rFonts w:ascii="仿宋" w:hAnsi="仿宋" w:eastAsia="仿宋" w:cs="Calibri"/>
                <w:szCs w:val="21"/>
              </w:rPr>
              <w:t>回复</w:t>
            </w:r>
          </w:p>
        </w:tc>
      </w:tr>
      <w:tr w14:paraId="5420C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78BAB158">
            <w:pPr>
              <w:spacing w:line="400" w:lineRule="exact"/>
              <w:jc w:val="center"/>
              <w:rPr>
                <w:rFonts w:hint="eastAsia" w:ascii="仿宋" w:hAnsi="仿宋" w:eastAsia="仿宋" w:cs="Calibri"/>
                <w:szCs w:val="21"/>
              </w:rPr>
            </w:pPr>
            <w:r>
              <w:rPr>
                <w:rFonts w:hint="eastAsia" w:ascii="仿宋" w:hAnsi="仿宋" w:eastAsia="仿宋" w:cs="Calibri"/>
                <w:szCs w:val="21"/>
              </w:rPr>
              <w:t>2</w:t>
            </w:r>
          </w:p>
        </w:tc>
        <w:tc>
          <w:tcPr>
            <w:tcW w:w="4111" w:type="dxa"/>
            <w:noWrap w:val="0"/>
            <w:vAlign w:val="top"/>
          </w:tcPr>
          <w:p w14:paraId="70638C11">
            <w:pPr>
              <w:spacing w:line="400" w:lineRule="exact"/>
              <w:jc w:val="left"/>
              <w:rPr>
                <w:rFonts w:ascii="仿宋" w:hAnsi="仿宋" w:eastAsia="仿宋" w:cs="Calibri"/>
                <w:szCs w:val="21"/>
              </w:rPr>
            </w:pPr>
            <w:r>
              <w:rPr>
                <w:rFonts w:hint="eastAsia" w:ascii="仿宋" w:hAnsi="仿宋" w:eastAsia="仿宋" w:cs="Calibri"/>
                <w:szCs w:val="21"/>
              </w:rPr>
              <w:t>深圳市儿童医院</w:t>
            </w:r>
          </w:p>
        </w:tc>
        <w:tc>
          <w:tcPr>
            <w:tcW w:w="1576" w:type="dxa"/>
            <w:noWrap w:val="0"/>
            <w:vAlign w:val="top"/>
          </w:tcPr>
          <w:p w14:paraId="6419C1D1">
            <w:pPr>
              <w:spacing w:line="400" w:lineRule="exact"/>
              <w:jc w:val="center"/>
              <w:rPr>
                <w:rFonts w:ascii="仿宋" w:hAnsi="仿宋" w:eastAsia="仿宋" w:cs="Calibri"/>
                <w:szCs w:val="21"/>
              </w:rPr>
            </w:pPr>
            <w:r>
              <w:rPr>
                <w:rFonts w:hint="eastAsia" w:ascii="仿宋" w:hAnsi="仿宋" w:eastAsia="仿宋" w:cs="Calibri"/>
                <w:szCs w:val="21"/>
              </w:rPr>
              <w:t>万力生</w:t>
            </w:r>
          </w:p>
        </w:tc>
        <w:tc>
          <w:tcPr>
            <w:tcW w:w="1807" w:type="dxa"/>
            <w:noWrap w:val="0"/>
            <w:vAlign w:val="top"/>
          </w:tcPr>
          <w:p w14:paraId="3A7421AD">
            <w:pPr>
              <w:spacing w:line="400" w:lineRule="exact"/>
              <w:jc w:val="center"/>
              <w:rPr>
                <w:rFonts w:ascii="仿宋" w:hAnsi="仿宋" w:eastAsia="仿宋" w:cs="Calibri"/>
                <w:szCs w:val="21"/>
              </w:rPr>
            </w:pPr>
            <w:r>
              <w:rPr>
                <w:rFonts w:ascii="仿宋" w:hAnsi="仿宋" w:eastAsia="仿宋" w:cs="Calibri"/>
                <w:szCs w:val="21"/>
              </w:rPr>
              <w:t>回复</w:t>
            </w:r>
          </w:p>
        </w:tc>
      </w:tr>
      <w:tr w14:paraId="7A44D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3E399BD2">
            <w:pPr>
              <w:spacing w:line="400" w:lineRule="exact"/>
              <w:jc w:val="center"/>
              <w:rPr>
                <w:rFonts w:hint="eastAsia" w:ascii="仿宋" w:hAnsi="仿宋" w:eastAsia="仿宋" w:cs="Calibri"/>
                <w:szCs w:val="21"/>
              </w:rPr>
            </w:pPr>
            <w:r>
              <w:rPr>
                <w:rFonts w:hint="eastAsia" w:ascii="仿宋" w:hAnsi="仿宋" w:eastAsia="仿宋" w:cs="Calibri"/>
                <w:szCs w:val="21"/>
              </w:rPr>
              <w:t>3</w:t>
            </w:r>
          </w:p>
        </w:tc>
        <w:tc>
          <w:tcPr>
            <w:tcW w:w="4111" w:type="dxa"/>
            <w:noWrap w:val="0"/>
            <w:vAlign w:val="top"/>
          </w:tcPr>
          <w:p w14:paraId="741CEDB6">
            <w:pPr>
              <w:spacing w:line="400" w:lineRule="exact"/>
              <w:jc w:val="left"/>
              <w:rPr>
                <w:rFonts w:ascii="仿宋" w:hAnsi="仿宋" w:eastAsia="仿宋" w:cs="Calibri"/>
                <w:szCs w:val="21"/>
              </w:rPr>
            </w:pPr>
            <w:r>
              <w:rPr>
                <w:rFonts w:hint="eastAsia" w:ascii="仿宋" w:hAnsi="仿宋" w:eastAsia="仿宋" w:cs="Calibri"/>
                <w:szCs w:val="21"/>
              </w:rPr>
              <w:t>天津中医药大学第一附属医院</w:t>
            </w:r>
          </w:p>
        </w:tc>
        <w:tc>
          <w:tcPr>
            <w:tcW w:w="1576" w:type="dxa"/>
            <w:noWrap w:val="0"/>
            <w:vAlign w:val="top"/>
          </w:tcPr>
          <w:p w14:paraId="2342C400">
            <w:pPr>
              <w:spacing w:line="400" w:lineRule="exact"/>
              <w:jc w:val="center"/>
              <w:rPr>
                <w:rFonts w:ascii="仿宋" w:hAnsi="仿宋" w:eastAsia="仿宋" w:cs="Calibri"/>
                <w:szCs w:val="21"/>
              </w:rPr>
            </w:pPr>
            <w:r>
              <w:rPr>
                <w:rFonts w:hint="eastAsia" w:ascii="仿宋" w:hAnsi="仿宋" w:eastAsia="仿宋" w:cs="Calibri"/>
                <w:szCs w:val="21"/>
              </w:rPr>
              <w:t>马  融</w:t>
            </w:r>
          </w:p>
        </w:tc>
        <w:tc>
          <w:tcPr>
            <w:tcW w:w="1807" w:type="dxa"/>
            <w:noWrap w:val="0"/>
            <w:vAlign w:val="top"/>
          </w:tcPr>
          <w:p w14:paraId="62C5DA98">
            <w:pPr>
              <w:spacing w:line="400" w:lineRule="exact"/>
              <w:jc w:val="center"/>
              <w:rPr>
                <w:rFonts w:ascii="仿宋" w:hAnsi="仿宋" w:eastAsia="仿宋" w:cs="Calibri"/>
                <w:szCs w:val="21"/>
              </w:rPr>
            </w:pPr>
            <w:r>
              <w:rPr>
                <w:rFonts w:ascii="仿宋" w:hAnsi="仿宋" w:eastAsia="仿宋" w:cs="Calibri"/>
                <w:szCs w:val="21"/>
              </w:rPr>
              <w:t>回复</w:t>
            </w:r>
          </w:p>
        </w:tc>
      </w:tr>
      <w:tr w14:paraId="528E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1743EFFE">
            <w:pPr>
              <w:spacing w:line="400" w:lineRule="exact"/>
              <w:jc w:val="center"/>
              <w:rPr>
                <w:rFonts w:hint="eastAsia" w:ascii="仿宋" w:hAnsi="仿宋" w:eastAsia="仿宋" w:cs="Calibri"/>
                <w:szCs w:val="21"/>
              </w:rPr>
            </w:pPr>
            <w:r>
              <w:rPr>
                <w:rFonts w:hint="eastAsia" w:ascii="仿宋" w:hAnsi="仿宋" w:eastAsia="仿宋" w:cs="Calibri"/>
                <w:szCs w:val="21"/>
              </w:rPr>
              <w:t>4</w:t>
            </w:r>
          </w:p>
        </w:tc>
        <w:tc>
          <w:tcPr>
            <w:tcW w:w="4111" w:type="dxa"/>
            <w:noWrap w:val="0"/>
            <w:vAlign w:val="top"/>
          </w:tcPr>
          <w:p w14:paraId="31CC5460">
            <w:pPr>
              <w:spacing w:line="400" w:lineRule="exact"/>
              <w:jc w:val="left"/>
              <w:rPr>
                <w:rFonts w:ascii="仿宋" w:hAnsi="仿宋" w:eastAsia="仿宋" w:cs="Calibri"/>
                <w:szCs w:val="21"/>
              </w:rPr>
            </w:pPr>
            <w:r>
              <w:rPr>
                <w:rFonts w:hint="eastAsia" w:ascii="仿宋" w:hAnsi="仿宋" w:eastAsia="仿宋" w:cs="Calibri"/>
                <w:szCs w:val="21"/>
              </w:rPr>
              <w:t>黑龙江中医药大学附属第二医院</w:t>
            </w:r>
          </w:p>
        </w:tc>
        <w:tc>
          <w:tcPr>
            <w:tcW w:w="1576" w:type="dxa"/>
            <w:noWrap w:val="0"/>
            <w:vAlign w:val="top"/>
          </w:tcPr>
          <w:p w14:paraId="2155468E">
            <w:pPr>
              <w:spacing w:line="400" w:lineRule="exact"/>
              <w:jc w:val="center"/>
              <w:rPr>
                <w:rFonts w:ascii="仿宋" w:hAnsi="仿宋" w:eastAsia="仿宋" w:cs="Calibri"/>
                <w:szCs w:val="21"/>
              </w:rPr>
            </w:pPr>
            <w:r>
              <w:rPr>
                <w:rFonts w:hint="eastAsia" w:ascii="仿宋" w:hAnsi="仿宋" w:eastAsia="仿宋" w:cs="Calibri"/>
                <w:szCs w:val="21"/>
              </w:rPr>
              <w:t>王有鹏</w:t>
            </w:r>
          </w:p>
        </w:tc>
        <w:tc>
          <w:tcPr>
            <w:tcW w:w="1807" w:type="dxa"/>
            <w:noWrap w:val="0"/>
            <w:vAlign w:val="top"/>
          </w:tcPr>
          <w:p w14:paraId="1F2F07C5">
            <w:pPr>
              <w:spacing w:line="400" w:lineRule="exact"/>
              <w:jc w:val="center"/>
              <w:rPr>
                <w:rFonts w:ascii="仿宋" w:hAnsi="仿宋" w:eastAsia="仿宋" w:cs="Calibri"/>
                <w:szCs w:val="21"/>
              </w:rPr>
            </w:pPr>
            <w:r>
              <w:rPr>
                <w:rFonts w:ascii="仿宋" w:hAnsi="仿宋" w:eastAsia="仿宋" w:cs="Calibri"/>
                <w:szCs w:val="21"/>
              </w:rPr>
              <w:t>回复</w:t>
            </w:r>
          </w:p>
        </w:tc>
      </w:tr>
      <w:tr w14:paraId="64433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6881E6A1">
            <w:pPr>
              <w:spacing w:line="400" w:lineRule="exact"/>
              <w:jc w:val="center"/>
              <w:rPr>
                <w:rFonts w:hint="eastAsia" w:ascii="仿宋" w:hAnsi="仿宋" w:eastAsia="仿宋" w:cs="Calibri"/>
                <w:szCs w:val="21"/>
              </w:rPr>
            </w:pPr>
            <w:r>
              <w:rPr>
                <w:rFonts w:hint="eastAsia" w:ascii="仿宋" w:hAnsi="仿宋" w:eastAsia="仿宋" w:cs="Calibri"/>
                <w:szCs w:val="21"/>
              </w:rPr>
              <w:t>5</w:t>
            </w:r>
          </w:p>
        </w:tc>
        <w:tc>
          <w:tcPr>
            <w:tcW w:w="4111" w:type="dxa"/>
            <w:noWrap w:val="0"/>
            <w:vAlign w:val="top"/>
          </w:tcPr>
          <w:p w14:paraId="4EF7F96F">
            <w:pPr>
              <w:spacing w:line="400" w:lineRule="exact"/>
              <w:jc w:val="left"/>
              <w:rPr>
                <w:rFonts w:ascii="仿宋" w:hAnsi="仿宋" w:eastAsia="仿宋" w:cs="Calibri"/>
                <w:szCs w:val="21"/>
              </w:rPr>
            </w:pPr>
            <w:r>
              <w:rPr>
                <w:rFonts w:hint="eastAsia" w:ascii="仿宋" w:hAnsi="仿宋" w:eastAsia="仿宋" w:cs="Calibri"/>
                <w:szCs w:val="21"/>
              </w:rPr>
              <w:t>世界中医药学会联合会国际标准部</w:t>
            </w:r>
          </w:p>
        </w:tc>
        <w:tc>
          <w:tcPr>
            <w:tcW w:w="1576" w:type="dxa"/>
            <w:noWrap w:val="0"/>
            <w:vAlign w:val="top"/>
          </w:tcPr>
          <w:p w14:paraId="2CD50552">
            <w:pPr>
              <w:spacing w:line="400" w:lineRule="exact"/>
              <w:jc w:val="center"/>
              <w:rPr>
                <w:rFonts w:ascii="仿宋" w:hAnsi="仿宋" w:eastAsia="仿宋" w:cs="Calibri"/>
                <w:szCs w:val="21"/>
              </w:rPr>
            </w:pPr>
            <w:r>
              <w:rPr>
                <w:rFonts w:hint="eastAsia" w:ascii="仿宋" w:hAnsi="仿宋" w:eastAsia="仿宋" w:cs="Calibri"/>
                <w:szCs w:val="21"/>
              </w:rPr>
              <w:t>王丽丽</w:t>
            </w:r>
          </w:p>
        </w:tc>
        <w:tc>
          <w:tcPr>
            <w:tcW w:w="1807" w:type="dxa"/>
            <w:noWrap w:val="0"/>
            <w:vAlign w:val="top"/>
          </w:tcPr>
          <w:p w14:paraId="31892210">
            <w:pPr>
              <w:spacing w:line="400" w:lineRule="exact"/>
              <w:jc w:val="center"/>
              <w:rPr>
                <w:rFonts w:ascii="仿宋" w:hAnsi="仿宋" w:eastAsia="仿宋" w:cs="Calibri"/>
                <w:szCs w:val="21"/>
              </w:rPr>
            </w:pPr>
            <w:r>
              <w:rPr>
                <w:rFonts w:ascii="仿宋" w:hAnsi="仿宋" w:eastAsia="仿宋" w:cs="Calibri"/>
                <w:szCs w:val="21"/>
              </w:rPr>
              <w:t>回复</w:t>
            </w:r>
          </w:p>
        </w:tc>
      </w:tr>
      <w:tr w14:paraId="7E0D5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68A71A81">
            <w:pPr>
              <w:spacing w:line="400" w:lineRule="exact"/>
              <w:jc w:val="center"/>
              <w:rPr>
                <w:rFonts w:ascii="仿宋" w:hAnsi="仿宋" w:eastAsia="仿宋" w:cs="Calibri"/>
                <w:szCs w:val="21"/>
              </w:rPr>
            </w:pPr>
            <w:r>
              <w:rPr>
                <w:rFonts w:hint="eastAsia" w:ascii="仿宋" w:hAnsi="仿宋" w:eastAsia="仿宋" w:cs="Calibri"/>
                <w:szCs w:val="21"/>
              </w:rPr>
              <w:t>6</w:t>
            </w:r>
          </w:p>
        </w:tc>
        <w:tc>
          <w:tcPr>
            <w:tcW w:w="4111" w:type="dxa"/>
            <w:noWrap w:val="0"/>
            <w:vAlign w:val="top"/>
          </w:tcPr>
          <w:p w14:paraId="42D58FFD">
            <w:pPr>
              <w:spacing w:line="400" w:lineRule="exact"/>
              <w:jc w:val="left"/>
              <w:rPr>
                <w:rFonts w:ascii="仿宋" w:hAnsi="仿宋" w:eastAsia="仿宋" w:cs="Calibri"/>
                <w:szCs w:val="21"/>
              </w:rPr>
            </w:pPr>
            <w:r>
              <w:rPr>
                <w:rFonts w:hint="eastAsia" w:ascii="仿宋" w:hAnsi="仿宋" w:eastAsia="仿宋" w:cs="Calibri"/>
                <w:szCs w:val="21"/>
              </w:rPr>
              <w:t>北京中医药大学东方医院</w:t>
            </w:r>
          </w:p>
        </w:tc>
        <w:tc>
          <w:tcPr>
            <w:tcW w:w="1576" w:type="dxa"/>
            <w:noWrap w:val="0"/>
            <w:vAlign w:val="top"/>
          </w:tcPr>
          <w:p w14:paraId="2B8A06A0">
            <w:pPr>
              <w:spacing w:line="400" w:lineRule="exact"/>
              <w:jc w:val="center"/>
              <w:rPr>
                <w:rFonts w:ascii="仿宋" w:hAnsi="仿宋" w:eastAsia="仿宋" w:cs="Calibri"/>
                <w:szCs w:val="21"/>
              </w:rPr>
            </w:pPr>
            <w:r>
              <w:rPr>
                <w:rFonts w:ascii="仿宋" w:hAnsi="仿宋" w:eastAsia="仿宋" w:cs="Calibri"/>
                <w:szCs w:val="21"/>
              </w:rPr>
              <w:t>王素梅</w:t>
            </w:r>
          </w:p>
        </w:tc>
        <w:tc>
          <w:tcPr>
            <w:tcW w:w="1807" w:type="dxa"/>
            <w:noWrap w:val="0"/>
            <w:vAlign w:val="top"/>
          </w:tcPr>
          <w:p w14:paraId="123D8D60">
            <w:pPr>
              <w:spacing w:line="400" w:lineRule="exact"/>
              <w:jc w:val="center"/>
              <w:rPr>
                <w:rFonts w:ascii="仿宋" w:hAnsi="仿宋" w:eastAsia="仿宋" w:cs="Calibri"/>
                <w:szCs w:val="21"/>
              </w:rPr>
            </w:pPr>
            <w:r>
              <w:rPr>
                <w:rFonts w:ascii="仿宋" w:hAnsi="仿宋" w:eastAsia="仿宋" w:cs="Calibri"/>
                <w:szCs w:val="21"/>
              </w:rPr>
              <w:t>回复</w:t>
            </w:r>
          </w:p>
        </w:tc>
      </w:tr>
      <w:tr w14:paraId="05CC4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02B8E8D4">
            <w:pPr>
              <w:spacing w:line="400" w:lineRule="exact"/>
              <w:jc w:val="center"/>
              <w:rPr>
                <w:rFonts w:hint="eastAsia" w:ascii="仿宋" w:hAnsi="仿宋" w:eastAsia="仿宋" w:cs="Calibri"/>
                <w:szCs w:val="21"/>
              </w:rPr>
            </w:pPr>
            <w:r>
              <w:rPr>
                <w:rFonts w:hint="eastAsia" w:ascii="仿宋" w:hAnsi="仿宋" w:eastAsia="仿宋" w:cs="Calibri"/>
                <w:szCs w:val="21"/>
              </w:rPr>
              <w:t>7</w:t>
            </w:r>
          </w:p>
        </w:tc>
        <w:tc>
          <w:tcPr>
            <w:tcW w:w="4111" w:type="dxa"/>
            <w:noWrap w:val="0"/>
            <w:vAlign w:val="top"/>
          </w:tcPr>
          <w:p w14:paraId="1AEFDCFE">
            <w:pPr>
              <w:spacing w:line="400" w:lineRule="exact"/>
              <w:jc w:val="left"/>
              <w:rPr>
                <w:rFonts w:ascii="仿宋" w:hAnsi="仿宋" w:eastAsia="仿宋" w:cs="Calibri"/>
                <w:szCs w:val="21"/>
              </w:rPr>
            </w:pPr>
            <w:r>
              <w:rPr>
                <w:rFonts w:hint="eastAsia" w:ascii="仿宋" w:hAnsi="仿宋" w:eastAsia="仿宋" w:cs="Calibri"/>
                <w:szCs w:val="21"/>
              </w:rPr>
              <w:t>甘肃中医药大学</w:t>
            </w:r>
          </w:p>
        </w:tc>
        <w:tc>
          <w:tcPr>
            <w:tcW w:w="1576" w:type="dxa"/>
            <w:noWrap w:val="0"/>
            <w:vAlign w:val="top"/>
          </w:tcPr>
          <w:p w14:paraId="2330F705">
            <w:pPr>
              <w:spacing w:line="400" w:lineRule="exact"/>
              <w:jc w:val="center"/>
              <w:rPr>
                <w:rFonts w:ascii="仿宋" w:hAnsi="仿宋" w:eastAsia="仿宋" w:cs="Calibri"/>
                <w:szCs w:val="21"/>
              </w:rPr>
            </w:pPr>
            <w:r>
              <w:rPr>
                <w:rFonts w:hint="eastAsia" w:ascii="仿宋" w:hAnsi="仿宋" w:eastAsia="仿宋" w:cs="Calibri"/>
                <w:szCs w:val="21"/>
              </w:rPr>
              <w:t>史正刚</w:t>
            </w:r>
          </w:p>
        </w:tc>
        <w:tc>
          <w:tcPr>
            <w:tcW w:w="1807" w:type="dxa"/>
            <w:noWrap w:val="0"/>
            <w:vAlign w:val="top"/>
          </w:tcPr>
          <w:p w14:paraId="22B4B21F">
            <w:pPr>
              <w:spacing w:line="400" w:lineRule="exact"/>
              <w:jc w:val="center"/>
              <w:rPr>
                <w:rFonts w:ascii="仿宋" w:hAnsi="仿宋" w:eastAsia="仿宋" w:cs="Calibri"/>
                <w:szCs w:val="21"/>
              </w:rPr>
            </w:pPr>
            <w:r>
              <w:rPr>
                <w:rFonts w:ascii="仿宋" w:hAnsi="仿宋" w:eastAsia="仿宋" w:cs="Calibri"/>
                <w:szCs w:val="21"/>
              </w:rPr>
              <w:t>回复</w:t>
            </w:r>
          </w:p>
        </w:tc>
      </w:tr>
      <w:tr w14:paraId="11D7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77B2A550">
            <w:pPr>
              <w:spacing w:line="400" w:lineRule="exact"/>
              <w:jc w:val="center"/>
              <w:rPr>
                <w:rFonts w:hint="eastAsia" w:ascii="仿宋" w:hAnsi="仿宋" w:eastAsia="仿宋" w:cs="Calibri"/>
                <w:szCs w:val="21"/>
              </w:rPr>
            </w:pPr>
            <w:r>
              <w:rPr>
                <w:rFonts w:hint="eastAsia" w:ascii="仿宋" w:hAnsi="仿宋" w:eastAsia="仿宋" w:cs="Calibri"/>
                <w:szCs w:val="21"/>
              </w:rPr>
              <w:t>8</w:t>
            </w:r>
          </w:p>
        </w:tc>
        <w:tc>
          <w:tcPr>
            <w:tcW w:w="4111" w:type="dxa"/>
            <w:noWrap w:val="0"/>
            <w:vAlign w:val="top"/>
          </w:tcPr>
          <w:p w14:paraId="6FCEA211">
            <w:pPr>
              <w:spacing w:line="400" w:lineRule="exact"/>
              <w:jc w:val="left"/>
              <w:rPr>
                <w:rFonts w:ascii="仿宋" w:hAnsi="仿宋" w:eastAsia="仿宋" w:cs="Calibri"/>
                <w:szCs w:val="21"/>
              </w:rPr>
            </w:pPr>
            <w:r>
              <w:rPr>
                <w:rFonts w:hint="eastAsia" w:ascii="仿宋" w:hAnsi="仿宋" w:eastAsia="仿宋" w:cs="Calibri"/>
                <w:szCs w:val="21"/>
              </w:rPr>
              <w:t>湖北中医药大学</w:t>
            </w:r>
          </w:p>
        </w:tc>
        <w:tc>
          <w:tcPr>
            <w:tcW w:w="1576" w:type="dxa"/>
            <w:noWrap w:val="0"/>
            <w:vAlign w:val="top"/>
          </w:tcPr>
          <w:p w14:paraId="41DC77A5">
            <w:pPr>
              <w:spacing w:line="400" w:lineRule="exact"/>
              <w:jc w:val="center"/>
              <w:rPr>
                <w:rFonts w:ascii="仿宋" w:hAnsi="仿宋" w:eastAsia="仿宋" w:cs="Calibri"/>
                <w:szCs w:val="21"/>
              </w:rPr>
            </w:pPr>
            <w:r>
              <w:rPr>
                <w:rFonts w:hint="eastAsia" w:ascii="仿宋" w:hAnsi="仿宋" w:eastAsia="仿宋" w:cs="Calibri"/>
                <w:szCs w:val="21"/>
              </w:rPr>
              <w:t>刘建忠</w:t>
            </w:r>
          </w:p>
        </w:tc>
        <w:tc>
          <w:tcPr>
            <w:tcW w:w="1807" w:type="dxa"/>
            <w:noWrap w:val="0"/>
            <w:vAlign w:val="top"/>
          </w:tcPr>
          <w:p w14:paraId="23DAAD5A">
            <w:pPr>
              <w:spacing w:line="400" w:lineRule="exact"/>
              <w:jc w:val="center"/>
              <w:rPr>
                <w:rFonts w:ascii="仿宋" w:hAnsi="仿宋" w:eastAsia="仿宋" w:cs="Calibri"/>
                <w:szCs w:val="21"/>
              </w:rPr>
            </w:pPr>
            <w:r>
              <w:rPr>
                <w:rFonts w:ascii="仿宋" w:hAnsi="仿宋" w:eastAsia="仿宋" w:cs="Calibri"/>
                <w:szCs w:val="21"/>
              </w:rPr>
              <w:t>回复</w:t>
            </w:r>
          </w:p>
        </w:tc>
      </w:tr>
      <w:tr w14:paraId="0849E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1B98CB6A">
            <w:pPr>
              <w:spacing w:line="400" w:lineRule="exact"/>
              <w:jc w:val="center"/>
              <w:rPr>
                <w:rFonts w:hint="eastAsia" w:ascii="仿宋" w:hAnsi="仿宋" w:eastAsia="仿宋" w:cs="Calibri"/>
                <w:szCs w:val="21"/>
              </w:rPr>
            </w:pPr>
            <w:r>
              <w:rPr>
                <w:rFonts w:hint="eastAsia" w:ascii="仿宋" w:hAnsi="仿宋" w:eastAsia="仿宋" w:cs="Calibri"/>
                <w:szCs w:val="21"/>
              </w:rPr>
              <w:t>9</w:t>
            </w:r>
          </w:p>
        </w:tc>
        <w:tc>
          <w:tcPr>
            <w:tcW w:w="4111" w:type="dxa"/>
            <w:noWrap w:val="0"/>
            <w:vAlign w:val="top"/>
          </w:tcPr>
          <w:p w14:paraId="02889E59">
            <w:pPr>
              <w:spacing w:line="400" w:lineRule="exact"/>
              <w:jc w:val="left"/>
              <w:rPr>
                <w:rFonts w:ascii="仿宋" w:hAnsi="仿宋" w:eastAsia="仿宋" w:cs="Calibri"/>
                <w:szCs w:val="21"/>
              </w:rPr>
            </w:pPr>
            <w:r>
              <w:rPr>
                <w:rFonts w:hint="eastAsia" w:ascii="仿宋" w:hAnsi="仿宋" w:eastAsia="仿宋" w:cs="Calibri"/>
                <w:szCs w:val="21"/>
              </w:rPr>
              <w:t>上海中医药大学</w:t>
            </w:r>
          </w:p>
        </w:tc>
        <w:tc>
          <w:tcPr>
            <w:tcW w:w="1576" w:type="dxa"/>
            <w:noWrap w:val="0"/>
            <w:vAlign w:val="top"/>
          </w:tcPr>
          <w:p w14:paraId="26040FB3">
            <w:pPr>
              <w:spacing w:line="400" w:lineRule="exact"/>
              <w:jc w:val="center"/>
              <w:rPr>
                <w:rFonts w:ascii="仿宋" w:hAnsi="仿宋" w:eastAsia="仿宋" w:cs="Calibri"/>
                <w:szCs w:val="21"/>
              </w:rPr>
            </w:pPr>
            <w:r>
              <w:rPr>
                <w:rFonts w:hint="eastAsia" w:ascii="仿宋" w:hAnsi="仿宋" w:eastAsia="仿宋" w:cs="Calibri"/>
                <w:szCs w:val="21"/>
              </w:rPr>
              <w:t>虞坚尔</w:t>
            </w:r>
          </w:p>
        </w:tc>
        <w:tc>
          <w:tcPr>
            <w:tcW w:w="1807" w:type="dxa"/>
            <w:noWrap w:val="0"/>
            <w:vAlign w:val="top"/>
          </w:tcPr>
          <w:p w14:paraId="58F8120E">
            <w:pPr>
              <w:spacing w:line="400" w:lineRule="exact"/>
              <w:jc w:val="center"/>
              <w:rPr>
                <w:rFonts w:ascii="仿宋" w:hAnsi="仿宋" w:eastAsia="仿宋" w:cs="Calibri"/>
                <w:szCs w:val="21"/>
              </w:rPr>
            </w:pPr>
            <w:r>
              <w:rPr>
                <w:rFonts w:ascii="仿宋" w:hAnsi="仿宋" w:eastAsia="仿宋" w:cs="Calibri"/>
                <w:szCs w:val="21"/>
              </w:rPr>
              <w:t>回复</w:t>
            </w:r>
          </w:p>
        </w:tc>
      </w:tr>
      <w:tr w14:paraId="031BC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2DDA4318">
            <w:pPr>
              <w:spacing w:line="400" w:lineRule="exact"/>
              <w:jc w:val="center"/>
              <w:rPr>
                <w:rFonts w:hint="eastAsia" w:ascii="仿宋" w:hAnsi="仿宋" w:eastAsia="仿宋" w:cs="Calibri"/>
                <w:szCs w:val="21"/>
              </w:rPr>
            </w:pPr>
            <w:r>
              <w:rPr>
                <w:rFonts w:hint="eastAsia" w:ascii="仿宋" w:hAnsi="仿宋" w:eastAsia="仿宋" w:cs="Calibri"/>
                <w:szCs w:val="21"/>
              </w:rPr>
              <w:t>10</w:t>
            </w:r>
          </w:p>
        </w:tc>
        <w:tc>
          <w:tcPr>
            <w:tcW w:w="4111" w:type="dxa"/>
            <w:noWrap w:val="0"/>
            <w:vAlign w:val="top"/>
          </w:tcPr>
          <w:p w14:paraId="7E060241">
            <w:pPr>
              <w:spacing w:line="400" w:lineRule="exact"/>
              <w:jc w:val="left"/>
              <w:rPr>
                <w:rFonts w:ascii="仿宋" w:hAnsi="仿宋" w:eastAsia="仿宋" w:cs="Calibri"/>
                <w:szCs w:val="21"/>
              </w:rPr>
            </w:pPr>
            <w:r>
              <w:rPr>
                <w:rFonts w:hint="eastAsia" w:ascii="仿宋" w:hAnsi="仿宋" w:eastAsia="仿宋" w:cs="Calibri"/>
                <w:szCs w:val="21"/>
              </w:rPr>
              <w:t>云南中医药大学</w:t>
            </w:r>
          </w:p>
        </w:tc>
        <w:tc>
          <w:tcPr>
            <w:tcW w:w="1576" w:type="dxa"/>
            <w:noWrap w:val="0"/>
            <w:vAlign w:val="top"/>
          </w:tcPr>
          <w:p w14:paraId="6DE4BAFB">
            <w:pPr>
              <w:spacing w:line="400" w:lineRule="exact"/>
              <w:jc w:val="center"/>
              <w:rPr>
                <w:rFonts w:ascii="仿宋" w:hAnsi="仿宋" w:eastAsia="仿宋" w:cs="Calibri"/>
                <w:szCs w:val="21"/>
              </w:rPr>
            </w:pPr>
            <w:r>
              <w:rPr>
                <w:rFonts w:hint="eastAsia" w:ascii="仿宋" w:hAnsi="仿宋" w:eastAsia="仿宋" w:cs="Calibri"/>
                <w:szCs w:val="21"/>
              </w:rPr>
              <w:t>熊  磊</w:t>
            </w:r>
          </w:p>
        </w:tc>
        <w:tc>
          <w:tcPr>
            <w:tcW w:w="1807" w:type="dxa"/>
            <w:noWrap w:val="0"/>
            <w:vAlign w:val="top"/>
          </w:tcPr>
          <w:p w14:paraId="0B46A75D">
            <w:pPr>
              <w:spacing w:line="400" w:lineRule="exact"/>
              <w:jc w:val="center"/>
              <w:rPr>
                <w:rFonts w:ascii="仿宋" w:hAnsi="仿宋" w:eastAsia="仿宋" w:cs="Calibri"/>
                <w:szCs w:val="21"/>
              </w:rPr>
            </w:pPr>
            <w:r>
              <w:rPr>
                <w:rFonts w:ascii="仿宋" w:hAnsi="仿宋" w:eastAsia="仿宋" w:cs="Calibri"/>
                <w:szCs w:val="21"/>
              </w:rPr>
              <w:t>回复</w:t>
            </w:r>
          </w:p>
        </w:tc>
      </w:tr>
      <w:tr w14:paraId="182F8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664AEE4">
            <w:pPr>
              <w:spacing w:line="400" w:lineRule="exact"/>
              <w:jc w:val="center"/>
              <w:rPr>
                <w:rFonts w:hint="eastAsia" w:ascii="仿宋" w:hAnsi="仿宋" w:eastAsia="仿宋" w:cs="Calibri"/>
                <w:szCs w:val="21"/>
              </w:rPr>
            </w:pPr>
            <w:r>
              <w:rPr>
                <w:rFonts w:hint="eastAsia" w:ascii="仿宋" w:hAnsi="仿宋" w:eastAsia="仿宋" w:cs="Calibri"/>
                <w:szCs w:val="21"/>
              </w:rPr>
              <w:t>11</w:t>
            </w:r>
          </w:p>
        </w:tc>
        <w:tc>
          <w:tcPr>
            <w:tcW w:w="4111" w:type="dxa"/>
            <w:noWrap w:val="0"/>
            <w:vAlign w:val="top"/>
          </w:tcPr>
          <w:p w14:paraId="2A104376">
            <w:pPr>
              <w:spacing w:line="400" w:lineRule="exact"/>
              <w:jc w:val="left"/>
              <w:rPr>
                <w:rFonts w:ascii="仿宋" w:hAnsi="仿宋" w:eastAsia="仿宋" w:cs="Calibri"/>
                <w:szCs w:val="21"/>
              </w:rPr>
            </w:pPr>
            <w:r>
              <w:rPr>
                <w:rFonts w:hint="eastAsia" w:ascii="仿宋" w:hAnsi="仿宋" w:eastAsia="仿宋" w:cs="Calibri"/>
                <w:szCs w:val="21"/>
              </w:rPr>
              <w:t>山东中医药大学附属医院</w:t>
            </w:r>
          </w:p>
        </w:tc>
        <w:tc>
          <w:tcPr>
            <w:tcW w:w="1576" w:type="dxa"/>
            <w:noWrap w:val="0"/>
            <w:vAlign w:val="top"/>
          </w:tcPr>
          <w:p w14:paraId="65727519">
            <w:pPr>
              <w:spacing w:line="400" w:lineRule="exact"/>
              <w:jc w:val="center"/>
              <w:rPr>
                <w:rFonts w:ascii="仿宋" w:hAnsi="仿宋" w:eastAsia="仿宋" w:cs="Calibri"/>
                <w:szCs w:val="21"/>
              </w:rPr>
            </w:pPr>
            <w:r>
              <w:rPr>
                <w:rFonts w:hint="eastAsia" w:ascii="仿宋" w:hAnsi="仿宋" w:eastAsia="仿宋" w:cs="Calibri"/>
                <w:szCs w:val="21"/>
              </w:rPr>
              <w:t>张葆青</w:t>
            </w:r>
          </w:p>
        </w:tc>
        <w:tc>
          <w:tcPr>
            <w:tcW w:w="1807" w:type="dxa"/>
            <w:noWrap w:val="0"/>
            <w:vAlign w:val="top"/>
          </w:tcPr>
          <w:p w14:paraId="758347CE">
            <w:pPr>
              <w:spacing w:line="400" w:lineRule="exact"/>
              <w:jc w:val="center"/>
              <w:rPr>
                <w:rFonts w:ascii="仿宋" w:hAnsi="仿宋" w:eastAsia="仿宋" w:cs="Calibri"/>
                <w:szCs w:val="21"/>
              </w:rPr>
            </w:pPr>
            <w:r>
              <w:rPr>
                <w:rFonts w:ascii="仿宋" w:hAnsi="仿宋" w:eastAsia="仿宋" w:cs="Calibri"/>
                <w:szCs w:val="21"/>
              </w:rPr>
              <w:t>回复</w:t>
            </w:r>
          </w:p>
        </w:tc>
      </w:tr>
      <w:tr w14:paraId="2D7D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434ACCF1">
            <w:pPr>
              <w:spacing w:line="400" w:lineRule="exact"/>
              <w:jc w:val="center"/>
              <w:rPr>
                <w:rFonts w:hint="eastAsia" w:ascii="仿宋" w:hAnsi="仿宋" w:eastAsia="仿宋" w:cs="Calibri"/>
                <w:szCs w:val="21"/>
              </w:rPr>
            </w:pPr>
            <w:r>
              <w:rPr>
                <w:rFonts w:hint="eastAsia" w:ascii="仿宋" w:hAnsi="仿宋" w:eastAsia="仿宋" w:cs="Calibri"/>
                <w:szCs w:val="21"/>
              </w:rPr>
              <w:t>12</w:t>
            </w:r>
          </w:p>
        </w:tc>
        <w:tc>
          <w:tcPr>
            <w:tcW w:w="4111" w:type="dxa"/>
            <w:noWrap w:val="0"/>
            <w:vAlign w:val="top"/>
          </w:tcPr>
          <w:p w14:paraId="6AB35383">
            <w:pPr>
              <w:spacing w:line="400" w:lineRule="exact"/>
              <w:jc w:val="left"/>
              <w:rPr>
                <w:rFonts w:ascii="仿宋" w:hAnsi="仿宋" w:eastAsia="仿宋" w:cs="Calibri"/>
                <w:szCs w:val="21"/>
              </w:rPr>
            </w:pPr>
            <w:r>
              <w:rPr>
                <w:rFonts w:hint="eastAsia" w:ascii="仿宋" w:hAnsi="仿宋" w:eastAsia="仿宋" w:cs="Calibri"/>
                <w:szCs w:val="21"/>
              </w:rPr>
              <w:t>复旦大学儿科医院</w:t>
            </w:r>
          </w:p>
        </w:tc>
        <w:tc>
          <w:tcPr>
            <w:tcW w:w="1576" w:type="dxa"/>
            <w:noWrap w:val="0"/>
            <w:vAlign w:val="top"/>
          </w:tcPr>
          <w:p w14:paraId="7A3C9073">
            <w:pPr>
              <w:spacing w:line="400" w:lineRule="exact"/>
              <w:jc w:val="center"/>
              <w:rPr>
                <w:rFonts w:ascii="仿宋" w:hAnsi="仿宋" w:eastAsia="仿宋" w:cs="Calibri"/>
                <w:szCs w:val="21"/>
              </w:rPr>
            </w:pPr>
            <w:r>
              <w:rPr>
                <w:rFonts w:hint="eastAsia" w:ascii="仿宋" w:hAnsi="仿宋" w:eastAsia="仿宋" w:cs="Calibri"/>
                <w:szCs w:val="21"/>
              </w:rPr>
              <w:t>俞  建</w:t>
            </w:r>
          </w:p>
        </w:tc>
        <w:tc>
          <w:tcPr>
            <w:tcW w:w="1807" w:type="dxa"/>
            <w:noWrap w:val="0"/>
            <w:vAlign w:val="top"/>
          </w:tcPr>
          <w:p w14:paraId="334B3FBE">
            <w:pPr>
              <w:spacing w:line="400" w:lineRule="exact"/>
              <w:jc w:val="center"/>
              <w:rPr>
                <w:rFonts w:ascii="仿宋" w:hAnsi="仿宋" w:eastAsia="仿宋" w:cs="Calibri"/>
                <w:szCs w:val="21"/>
              </w:rPr>
            </w:pPr>
            <w:r>
              <w:rPr>
                <w:rFonts w:ascii="仿宋" w:hAnsi="仿宋" w:eastAsia="仿宋" w:cs="Calibri"/>
                <w:szCs w:val="21"/>
              </w:rPr>
              <w:t>回复</w:t>
            </w:r>
          </w:p>
        </w:tc>
      </w:tr>
      <w:tr w14:paraId="6DD9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top"/>
          </w:tcPr>
          <w:p w14:paraId="103E3BCE">
            <w:pPr>
              <w:spacing w:line="400" w:lineRule="exact"/>
              <w:jc w:val="center"/>
              <w:rPr>
                <w:rFonts w:hint="eastAsia" w:ascii="仿宋" w:hAnsi="仿宋" w:eastAsia="仿宋" w:cs="Calibri"/>
                <w:szCs w:val="21"/>
              </w:rPr>
            </w:pPr>
            <w:r>
              <w:rPr>
                <w:rFonts w:hint="eastAsia" w:ascii="仿宋" w:hAnsi="仿宋" w:eastAsia="仿宋" w:cs="Calibri"/>
                <w:szCs w:val="21"/>
              </w:rPr>
              <w:t>13</w:t>
            </w:r>
          </w:p>
        </w:tc>
        <w:tc>
          <w:tcPr>
            <w:tcW w:w="4111" w:type="dxa"/>
            <w:noWrap w:val="0"/>
            <w:vAlign w:val="top"/>
          </w:tcPr>
          <w:p w14:paraId="1F737795">
            <w:pPr>
              <w:spacing w:line="400" w:lineRule="exact"/>
              <w:jc w:val="left"/>
              <w:rPr>
                <w:rFonts w:hint="eastAsia" w:ascii="仿宋" w:hAnsi="仿宋" w:eastAsia="仿宋" w:cs="Calibri"/>
                <w:szCs w:val="21"/>
              </w:rPr>
            </w:pPr>
            <w:r>
              <w:rPr>
                <w:rFonts w:hint="eastAsia" w:ascii="仿宋" w:hAnsi="仿宋" w:eastAsia="仿宋" w:cs="Calibri"/>
                <w:szCs w:val="21"/>
              </w:rPr>
              <w:t>南京中医药大学</w:t>
            </w:r>
          </w:p>
        </w:tc>
        <w:tc>
          <w:tcPr>
            <w:tcW w:w="1576" w:type="dxa"/>
            <w:noWrap w:val="0"/>
            <w:vAlign w:val="top"/>
          </w:tcPr>
          <w:p w14:paraId="4309F822">
            <w:pPr>
              <w:spacing w:line="400" w:lineRule="exact"/>
              <w:jc w:val="center"/>
              <w:rPr>
                <w:rFonts w:hint="eastAsia" w:ascii="仿宋" w:hAnsi="仿宋" w:eastAsia="仿宋" w:cs="Calibri"/>
                <w:szCs w:val="21"/>
              </w:rPr>
            </w:pPr>
            <w:r>
              <w:rPr>
                <w:rFonts w:hint="eastAsia" w:ascii="仿宋" w:hAnsi="仿宋" w:eastAsia="仿宋" w:cs="Calibri"/>
                <w:szCs w:val="21"/>
              </w:rPr>
              <w:t>戴启刚</w:t>
            </w:r>
          </w:p>
        </w:tc>
        <w:tc>
          <w:tcPr>
            <w:tcW w:w="1807" w:type="dxa"/>
            <w:noWrap w:val="0"/>
            <w:vAlign w:val="top"/>
          </w:tcPr>
          <w:p w14:paraId="517D3069">
            <w:pPr>
              <w:spacing w:line="400" w:lineRule="exact"/>
              <w:jc w:val="center"/>
              <w:rPr>
                <w:rFonts w:ascii="仿宋" w:hAnsi="仿宋" w:eastAsia="仿宋" w:cs="Calibri"/>
                <w:szCs w:val="21"/>
              </w:rPr>
            </w:pPr>
            <w:r>
              <w:rPr>
                <w:rFonts w:hint="eastAsia" w:ascii="仿宋" w:hAnsi="仿宋" w:eastAsia="仿宋" w:cs="Calibri"/>
                <w:szCs w:val="21"/>
              </w:rPr>
              <w:t>回复</w:t>
            </w:r>
          </w:p>
        </w:tc>
      </w:tr>
    </w:tbl>
    <w:p w14:paraId="233E4689">
      <w:pPr>
        <w:spacing w:line="400" w:lineRule="exact"/>
        <w:ind w:firstLine="480" w:firstLineChars="200"/>
        <w:rPr>
          <w:rFonts w:ascii="仿宋" w:hAnsi="仿宋" w:eastAsia="仿宋"/>
          <w:sz w:val="24"/>
          <w:szCs w:val="24"/>
        </w:rPr>
      </w:pPr>
      <w:r>
        <w:rPr>
          <w:rFonts w:hint="eastAsia" w:ascii="仿宋" w:hAnsi="仿宋" w:eastAsia="仿宋"/>
          <w:sz w:val="24"/>
          <w:szCs w:val="24"/>
        </w:rPr>
        <w:t>专家提出的意见主要集中在以下方面：一是个别条文表述的规范性和一致性；二是部分技术条款在国际应用中的安全性提示；三是标准适用边界和推荐性属性的进一步明确。</w:t>
      </w:r>
    </w:p>
    <w:p w14:paraId="66D4F643">
      <w:pPr>
        <w:spacing w:line="400" w:lineRule="exact"/>
        <w:ind w:firstLine="480" w:firstLineChars="200"/>
        <w:rPr>
          <w:rFonts w:hint="eastAsia" w:ascii="仿宋" w:hAnsi="仿宋" w:eastAsia="仿宋"/>
          <w:sz w:val="24"/>
          <w:szCs w:val="24"/>
        </w:rPr>
      </w:pPr>
      <w:r>
        <w:rPr>
          <w:rFonts w:hint="eastAsia" w:ascii="仿宋" w:hAnsi="仿宋" w:eastAsia="仿宋"/>
          <w:sz w:val="24"/>
          <w:szCs w:val="24"/>
        </w:rPr>
        <w:t>项目工作组对专家指导组反馈的全部意见进行了分析讨论，在此基础上进一步完成了草案修订工作。</w:t>
      </w:r>
    </w:p>
    <w:p w14:paraId="348BF419">
      <w:pPr>
        <w:spacing w:line="400" w:lineRule="exact"/>
        <w:ind w:firstLine="480" w:firstLineChars="200"/>
        <w:jc w:val="right"/>
        <w:rPr>
          <w:rFonts w:hint="eastAsia" w:ascii="仿宋" w:hAnsi="仿宋" w:eastAsia="仿宋"/>
          <w:sz w:val="24"/>
          <w:szCs w:val="24"/>
          <w:lang w:eastAsia="zh-CN"/>
        </w:rPr>
      </w:pPr>
    </w:p>
    <w:p w14:paraId="3136AD28">
      <w:pPr>
        <w:spacing w:line="400" w:lineRule="exact"/>
        <w:ind w:firstLine="480" w:firstLineChars="200"/>
        <w:jc w:val="right"/>
        <w:rPr>
          <w:rFonts w:ascii="仿宋" w:hAnsi="仿宋" w:eastAsia="仿宋"/>
          <w:sz w:val="24"/>
          <w:szCs w:val="24"/>
        </w:rPr>
      </w:pPr>
      <w:r>
        <w:rPr>
          <w:rFonts w:hint="eastAsia" w:ascii="仿宋" w:hAnsi="仿宋" w:eastAsia="仿宋"/>
          <w:sz w:val="24"/>
          <w:szCs w:val="24"/>
          <w:lang w:eastAsia="zh-CN"/>
        </w:rPr>
        <w:t>《国际中医技术操作规范 儿科 第4部分：小儿推拿疗法》</w:t>
      </w:r>
      <w:r>
        <w:rPr>
          <w:rFonts w:hint="eastAsia" w:ascii="仿宋" w:hAnsi="仿宋" w:eastAsia="仿宋"/>
          <w:sz w:val="24"/>
          <w:szCs w:val="24"/>
        </w:rPr>
        <w:t>项目工作组</w:t>
      </w:r>
    </w:p>
    <w:p w14:paraId="5CBCBFA3">
      <w:pPr>
        <w:spacing w:line="400" w:lineRule="exact"/>
        <w:ind w:right="-58"/>
        <w:jc w:val="center"/>
        <w:rPr>
          <w:rFonts w:hint="eastAsia" w:ascii="仿宋" w:hAnsi="仿宋" w:eastAsia="仿宋"/>
          <w:sz w:val="24"/>
          <w:szCs w:val="24"/>
        </w:rPr>
      </w:pPr>
      <w:r>
        <w:rPr>
          <w:rFonts w:hint="eastAsia" w:ascii="仿宋" w:hAnsi="仿宋" w:eastAsia="仿宋"/>
          <w:sz w:val="24"/>
          <w:szCs w:val="24"/>
        </w:rPr>
        <w:t xml:space="preserve">                                                     </w:t>
      </w:r>
      <w:r>
        <w:rPr>
          <w:rFonts w:ascii="仿宋" w:hAnsi="仿宋" w:eastAsia="仿宋"/>
          <w:sz w:val="24"/>
          <w:szCs w:val="24"/>
        </w:rPr>
        <w:t>20</w:t>
      </w:r>
      <w:r>
        <w:rPr>
          <w:rFonts w:hint="eastAsia" w:ascii="仿宋" w:hAnsi="仿宋" w:eastAsia="仿宋"/>
          <w:sz w:val="24"/>
          <w:szCs w:val="24"/>
        </w:rPr>
        <w:t>25年12月</w:t>
      </w:r>
      <w:r>
        <w:rPr>
          <w:rFonts w:hint="eastAsia" w:ascii="仿宋" w:hAnsi="仿宋" w:eastAsia="仿宋"/>
          <w:sz w:val="24"/>
          <w:szCs w:val="24"/>
          <w:lang w:val="en-US" w:eastAsia="zh-CN"/>
        </w:rPr>
        <w:t>25</w:t>
      </w:r>
      <w:r>
        <w:rPr>
          <w:rFonts w:hint="eastAsia" w:ascii="仿宋" w:hAnsi="仿宋" w:eastAsia="仿宋"/>
          <w:sz w:val="24"/>
          <w:szCs w:val="24"/>
        </w:rPr>
        <w:t>日</w:t>
      </w:r>
    </w:p>
    <w:p w14:paraId="2DF0964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Cambria" w:hAnsi="Cambria" w:cs="Cambria"/>
          <w:sz w:val="36"/>
          <w:szCs w:val="36"/>
          <w:highlight w:val="none"/>
        </w:rPr>
      </w:pPr>
      <w:r>
        <w:rPr>
          <w:rFonts w:hint="default" w:ascii="Cambria" w:hAnsi="Cambria" w:eastAsia="宋体" w:cs="Cambria"/>
          <w:color w:val="000000"/>
          <w:kern w:val="0"/>
          <w:sz w:val="36"/>
          <w:szCs w:val="36"/>
          <w:highlight w:val="none"/>
          <w:lang w:val="en-US" w:eastAsia="zh-CN" w:bidi="ar"/>
        </w:rPr>
        <w:br w:type="page"/>
      </w:r>
      <w:r>
        <w:rPr>
          <w:rFonts w:hint="default" w:ascii="Cambria" w:hAnsi="Cambria" w:eastAsia="宋体" w:cs="Cambria"/>
          <w:color w:val="000000"/>
          <w:kern w:val="0"/>
          <w:sz w:val="36"/>
          <w:szCs w:val="36"/>
          <w:highlight w:val="none"/>
          <w:lang w:val="en-US" w:eastAsia="zh-CN" w:bidi="ar"/>
        </w:rPr>
        <w:t>World Federation of Chinese Medicine Societies</w:t>
      </w:r>
    </w:p>
    <w:p w14:paraId="0C270213">
      <w:pPr>
        <w:widowControl/>
        <w:spacing w:before="0" w:beforeLines="0" w:line="23" w:lineRule="atLeast"/>
        <w:jc w:val="center"/>
        <w:rPr>
          <w:rFonts w:hint="default" w:ascii="Cambria" w:hAnsi="Cambria" w:eastAsia="黑体" w:cs="Cambria"/>
          <w:color w:val="0C1F0E"/>
          <w:sz w:val="36"/>
          <w:szCs w:val="36"/>
        </w:rPr>
      </w:pPr>
      <w:r>
        <w:rPr>
          <w:rFonts w:hint="default" w:ascii="Cambria" w:hAnsi="Cambria" w:eastAsia="宋体" w:cs="Cambria"/>
          <w:color w:val="000000"/>
          <w:kern w:val="0"/>
          <w:sz w:val="36"/>
          <w:szCs w:val="36"/>
          <w:highlight w:val="none"/>
          <w:lang w:val="en-US" w:eastAsia="zh-CN" w:bidi="ar"/>
        </w:rPr>
        <w:t>International Standard</w:t>
      </w:r>
    </w:p>
    <w:p w14:paraId="1D6FF82E">
      <w:pPr>
        <w:spacing w:before="157" w:beforeLines="50" w:line="276" w:lineRule="auto"/>
        <w:jc w:val="center"/>
        <w:rPr>
          <w:rFonts w:hint="default" w:ascii="Cambria" w:hAnsi="Cambria" w:eastAsia="黑体" w:cs="Cambria"/>
          <w:color w:val="0C1F0E"/>
          <w:sz w:val="36"/>
          <w:szCs w:val="36"/>
        </w:rPr>
      </w:pPr>
      <w:r>
        <w:rPr>
          <w:rFonts w:hint="default" w:ascii="Cambria" w:hAnsi="Cambria" w:eastAsia="黑体" w:cs="Cambria"/>
          <w:color w:val="0C1F0E"/>
          <w:sz w:val="36"/>
          <w:szCs w:val="36"/>
        </w:rPr>
        <w:t xml:space="preserve">International standardized manipulations </w:t>
      </w:r>
    </w:p>
    <w:p w14:paraId="15CB9894">
      <w:pPr>
        <w:spacing w:line="276" w:lineRule="auto"/>
        <w:jc w:val="center"/>
        <w:rPr>
          <w:rFonts w:hint="default" w:ascii="Cambria" w:hAnsi="Cambria" w:eastAsia="黑体" w:cs="Cambria"/>
          <w:color w:val="0C1F0E"/>
          <w:sz w:val="36"/>
          <w:szCs w:val="36"/>
        </w:rPr>
      </w:pPr>
      <w:r>
        <w:rPr>
          <w:rFonts w:hint="default" w:ascii="Cambria" w:hAnsi="Cambria" w:eastAsia="黑体" w:cs="Cambria"/>
          <w:color w:val="0C1F0E"/>
          <w:sz w:val="36"/>
          <w:szCs w:val="36"/>
        </w:rPr>
        <w:t xml:space="preserve">of Chinese medicine Pediatrics </w:t>
      </w:r>
    </w:p>
    <w:p w14:paraId="6E0BD4A9">
      <w:pPr>
        <w:spacing w:line="276" w:lineRule="auto"/>
        <w:jc w:val="center"/>
        <w:rPr>
          <w:rFonts w:hint="default" w:ascii="Cambria" w:hAnsi="Cambria" w:eastAsia="黑体" w:cs="Cambria"/>
          <w:color w:val="0C1F0E"/>
          <w:sz w:val="36"/>
          <w:szCs w:val="36"/>
        </w:rPr>
      </w:pPr>
      <w:r>
        <w:rPr>
          <w:rFonts w:hint="default" w:ascii="Cambria" w:hAnsi="Cambria" w:eastAsia="黑体" w:cs="Cambria"/>
          <w:color w:val="0C1F0E"/>
          <w:sz w:val="36"/>
          <w:szCs w:val="36"/>
        </w:rPr>
        <w:t xml:space="preserve">Part </w:t>
      </w:r>
      <w:r>
        <w:rPr>
          <w:rFonts w:hint="default" w:ascii="Cambria" w:hAnsi="Cambria" w:eastAsia="黑体" w:cs="Cambria"/>
          <w:color w:val="0C1F0E"/>
          <w:sz w:val="36"/>
          <w:szCs w:val="36"/>
          <w:lang w:val="en-US" w:eastAsia="zh-CN"/>
        </w:rPr>
        <w:t>4：</w:t>
      </w:r>
      <w:r>
        <w:rPr>
          <w:rFonts w:hint="default" w:ascii="Cambria" w:hAnsi="Cambria" w:eastAsia="黑体" w:cs="Cambria"/>
          <w:color w:val="0C1F0E"/>
          <w:sz w:val="36"/>
          <w:szCs w:val="36"/>
        </w:rPr>
        <w:t>Pediatric-Tuina</w:t>
      </w:r>
    </w:p>
    <w:p w14:paraId="128C8405">
      <w:pPr>
        <w:adjustRightInd w:val="0"/>
        <w:spacing w:line="276" w:lineRule="auto"/>
        <w:jc w:val="center"/>
        <w:rPr>
          <w:rFonts w:hint="default" w:ascii="Cambria" w:hAnsi="Cambria" w:eastAsia="汉仪中黑简" w:cs="Cambria"/>
          <w:sz w:val="36"/>
          <w:szCs w:val="36"/>
        </w:rPr>
      </w:pPr>
    </w:p>
    <w:p w14:paraId="11A5905E">
      <w:pPr>
        <w:adjustRightInd w:val="0"/>
        <w:spacing w:line="276" w:lineRule="auto"/>
        <w:jc w:val="center"/>
        <w:rPr>
          <w:rFonts w:hint="default" w:ascii="Cambria" w:hAnsi="Cambria" w:cs="Cambria"/>
          <w:sz w:val="36"/>
          <w:szCs w:val="36"/>
        </w:rPr>
      </w:pPr>
      <w:r>
        <w:rPr>
          <w:rFonts w:hint="default" w:ascii="Cambria" w:hAnsi="Cambria" w:eastAsia="汉仪中黑简" w:cs="Cambria"/>
          <w:sz w:val="36"/>
          <w:szCs w:val="36"/>
        </w:rPr>
        <w:t>Formulation Explanations</w:t>
      </w:r>
    </w:p>
    <w:p w14:paraId="256B57EF">
      <w:pPr>
        <w:jc w:val="center"/>
        <w:rPr>
          <w:rFonts w:hint="default" w:ascii="Cambria" w:hAnsi="Cambria" w:cs="Cambria"/>
        </w:rPr>
      </w:pPr>
    </w:p>
    <w:p w14:paraId="54A0F206">
      <w:pPr>
        <w:jc w:val="center"/>
        <w:rPr>
          <w:rFonts w:hint="default" w:ascii="Cambria" w:hAnsi="Cambria" w:cs="Cambria"/>
        </w:rPr>
      </w:pPr>
    </w:p>
    <w:p w14:paraId="6EBF7617">
      <w:pPr>
        <w:jc w:val="center"/>
        <w:rPr>
          <w:rFonts w:hint="default" w:ascii="Cambria" w:hAnsi="Cambria" w:cs="Cambria"/>
        </w:rPr>
      </w:pPr>
    </w:p>
    <w:p w14:paraId="048F4CFE">
      <w:pPr>
        <w:jc w:val="center"/>
        <w:rPr>
          <w:rFonts w:hint="default" w:ascii="Cambria" w:hAnsi="Cambria" w:cs="Cambria"/>
        </w:rPr>
      </w:pPr>
    </w:p>
    <w:p w14:paraId="7BAAB064">
      <w:pPr>
        <w:jc w:val="center"/>
        <w:rPr>
          <w:rFonts w:hint="default" w:ascii="Cambria" w:hAnsi="Cambria" w:cs="Cambria"/>
        </w:rPr>
      </w:pPr>
    </w:p>
    <w:p w14:paraId="634C901C">
      <w:pPr>
        <w:jc w:val="center"/>
        <w:rPr>
          <w:rFonts w:hint="default" w:ascii="Cambria" w:hAnsi="Cambria" w:cs="Cambria"/>
        </w:rPr>
      </w:pPr>
    </w:p>
    <w:p w14:paraId="0A2F0A1D">
      <w:pPr>
        <w:jc w:val="center"/>
        <w:rPr>
          <w:rFonts w:hint="default" w:ascii="Cambria" w:hAnsi="Cambria" w:cs="Cambria"/>
        </w:rPr>
      </w:pPr>
    </w:p>
    <w:p w14:paraId="2CE11CFB">
      <w:pPr>
        <w:adjustRightInd w:val="0"/>
        <w:spacing w:line="276" w:lineRule="auto"/>
        <w:jc w:val="both"/>
        <w:rPr>
          <w:rFonts w:hint="default" w:ascii="Cambria" w:hAnsi="Cambria" w:eastAsia="汉仪中黑简" w:cs="Cambria"/>
          <w:sz w:val="36"/>
          <w:szCs w:val="36"/>
        </w:rPr>
      </w:pPr>
    </w:p>
    <w:p w14:paraId="11D32700">
      <w:pPr>
        <w:adjustRightInd w:val="0"/>
        <w:spacing w:line="276" w:lineRule="auto"/>
        <w:jc w:val="center"/>
        <w:rPr>
          <w:rFonts w:hint="default" w:ascii="Cambria" w:hAnsi="Cambria" w:eastAsia="汉仪中黑简" w:cs="Cambria"/>
          <w:sz w:val="36"/>
          <w:szCs w:val="36"/>
        </w:rPr>
      </w:pPr>
      <w:r>
        <w:rPr>
          <w:rFonts w:hint="default" w:ascii="Cambria" w:hAnsi="Cambria" w:eastAsia="汉仪中黑简" w:cs="Cambria"/>
          <w:sz w:val="36"/>
          <w:szCs w:val="36"/>
        </w:rPr>
        <w:t>December 2025</w:t>
      </w:r>
    </w:p>
    <w:p w14:paraId="321ECAEA">
      <w:pPr>
        <w:spacing w:before="312" w:beforeLines="100" w:after="312" w:afterLines="100" w:line="276" w:lineRule="auto"/>
        <w:jc w:val="center"/>
        <w:rPr>
          <w:rFonts w:hint="default" w:ascii="Cambria" w:hAnsi="Cambria" w:cs="Cambria"/>
          <w:sz w:val="32"/>
          <w:szCs w:val="32"/>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030A68AF">
      <w:pPr>
        <w:spacing w:before="312" w:beforeLines="100" w:after="312" w:afterLines="100" w:line="276" w:lineRule="auto"/>
        <w:jc w:val="center"/>
        <w:rPr>
          <w:rFonts w:hint="default" w:ascii="Cambria" w:hAnsi="Cambria" w:cs="Cambria"/>
          <w:b/>
          <w:sz w:val="24"/>
        </w:rPr>
      </w:pPr>
      <w:r>
        <w:rPr>
          <w:rFonts w:hint="default" w:ascii="Cambria" w:hAnsi="Cambria" w:cs="Cambria"/>
          <w:sz w:val="32"/>
          <w:szCs w:val="32"/>
        </w:rPr>
        <w:t>Contents</w:t>
      </w:r>
    </w:p>
    <w:p w14:paraId="4CB7450B">
      <w:pPr>
        <w:tabs>
          <w:tab w:val="right" w:leader="dot" w:pos="8639"/>
        </w:tabs>
        <w:spacing w:line="276" w:lineRule="auto"/>
        <w:rPr>
          <w:rFonts w:hint="default" w:ascii="Cambria" w:hAnsi="Cambria" w:cs="Cambria"/>
          <w:sz w:val="24"/>
          <w:szCs w:val="24"/>
          <w:lang w:val="en-US"/>
        </w:rPr>
      </w:pPr>
      <w:r>
        <w:rPr>
          <w:rFonts w:hint="default" w:ascii="Cambria" w:hAnsi="Cambria" w:cs="Cambria"/>
          <w:sz w:val="24"/>
          <w:szCs w:val="24"/>
        </w:rPr>
        <w:t>I. Overview of Work</w:t>
      </w:r>
      <w:r>
        <w:rPr>
          <w:rFonts w:hint="default" w:ascii="Cambria" w:hAnsi="Cambria" w:cs="Cambria"/>
          <w:sz w:val="24"/>
          <w:szCs w:val="24"/>
        </w:rPr>
        <w:tab/>
      </w:r>
      <w:r>
        <w:rPr>
          <w:rFonts w:hint="default" w:ascii="Cambria" w:hAnsi="Cambria" w:cs="Cambria"/>
          <w:sz w:val="24"/>
          <w:szCs w:val="24"/>
          <w:lang w:val="en-US"/>
        </w:rPr>
        <w:t>1</w:t>
      </w:r>
    </w:p>
    <w:p w14:paraId="73EA0063">
      <w:pPr>
        <w:tabs>
          <w:tab w:val="right" w:leader="dot" w:pos="8639"/>
        </w:tabs>
        <w:spacing w:line="276" w:lineRule="auto"/>
        <w:rPr>
          <w:rFonts w:hint="default" w:ascii="Cambria" w:hAnsi="Cambria" w:cs="Cambria"/>
          <w:sz w:val="24"/>
          <w:szCs w:val="24"/>
        </w:rPr>
      </w:pPr>
      <w:r>
        <w:rPr>
          <w:rFonts w:hint="default" w:ascii="Cambria" w:hAnsi="Cambria" w:cs="Cambria"/>
          <w:sz w:val="24"/>
          <w:szCs w:val="24"/>
        </w:rPr>
        <w:t xml:space="preserve">II. Principles </w:t>
      </w:r>
      <w:r>
        <w:rPr>
          <w:rFonts w:hint="default" w:ascii="Cambria" w:hAnsi="Cambria" w:cs="Cambria"/>
          <w:sz w:val="24"/>
          <w:szCs w:val="24"/>
          <w:lang w:val="en-US"/>
        </w:rPr>
        <w:t>for</w:t>
      </w:r>
      <w:r>
        <w:rPr>
          <w:rFonts w:hint="default" w:ascii="Cambria" w:hAnsi="Cambria" w:cs="Cambria"/>
          <w:sz w:val="24"/>
          <w:szCs w:val="24"/>
        </w:rPr>
        <w:t xml:space="preserve"> Standard Formulation and Basis for Determining Key Content of the Standard</w:t>
      </w:r>
      <w:r>
        <w:rPr>
          <w:rFonts w:hint="default" w:ascii="Cambria" w:hAnsi="Cambria" w:cs="Cambria"/>
          <w:sz w:val="24"/>
          <w:szCs w:val="24"/>
        </w:rPr>
        <w:tab/>
      </w:r>
      <w:r>
        <w:rPr>
          <w:rFonts w:hint="default" w:ascii="Cambria" w:hAnsi="Cambria" w:cs="Cambria"/>
          <w:sz w:val="24"/>
          <w:szCs w:val="24"/>
          <w:lang w:val="en-US"/>
        </w:rPr>
        <w:t>15</w:t>
      </w:r>
      <w:r>
        <w:rPr>
          <w:rFonts w:hint="default" w:ascii="Cambria" w:hAnsi="Cambria" w:cs="Cambria"/>
          <w:sz w:val="24"/>
          <w:szCs w:val="24"/>
        </w:rPr>
        <w:t xml:space="preserve">  </w:t>
      </w:r>
    </w:p>
    <w:p w14:paraId="41A18A49">
      <w:pPr>
        <w:tabs>
          <w:tab w:val="right" w:leader="dot" w:pos="8639"/>
        </w:tabs>
        <w:spacing w:line="276" w:lineRule="auto"/>
        <w:rPr>
          <w:rFonts w:hint="default" w:ascii="Cambria" w:hAnsi="Cambria" w:cs="Cambria"/>
          <w:sz w:val="24"/>
          <w:szCs w:val="24"/>
        </w:rPr>
      </w:pPr>
      <w:r>
        <w:rPr>
          <w:rFonts w:hint="default" w:ascii="Cambria" w:hAnsi="Cambria" w:cs="Cambria"/>
          <w:sz w:val="24"/>
          <w:szCs w:val="24"/>
        </w:rPr>
        <w:t>III. Relationship with Relevant Laws, Regulations and Standards</w:t>
      </w:r>
      <w:r>
        <w:rPr>
          <w:rFonts w:hint="default" w:ascii="Cambria" w:hAnsi="Cambria" w:cs="Cambria"/>
          <w:sz w:val="24"/>
          <w:szCs w:val="24"/>
        </w:rPr>
        <w:tab/>
      </w:r>
      <w:r>
        <w:rPr>
          <w:rFonts w:hint="default" w:ascii="Cambria" w:hAnsi="Cambria" w:cs="Cambria"/>
          <w:sz w:val="24"/>
          <w:szCs w:val="24"/>
          <w:lang w:val="en-US"/>
        </w:rPr>
        <w:t>21</w:t>
      </w:r>
      <w:r>
        <w:rPr>
          <w:rFonts w:hint="default" w:ascii="Cambria" w:hAnsi="Cambria" w:cs="Cambria"/>
          <w:sz w:val="24"/>
          <w:szCs w:val="24"/>
        </w:rPr>
        <w:t xml:space="preserve">  </w:t>
      </w:r>
    </w:p>
    <w:p w14:paraId="513C16B1">
      <w:pPr>
        <w:tabs>
          <w:tab w:val="right" w:leader="dot" w:pos="8639"/>
        </w:tabs>
        <w:spacing w:line="276" w:lineRule="auto"/>
        <w:rPr>
          <w:rFonts w:hint="default" w:ascii="Cambria" w:hAnsi="Cambria" w:cs="Cambria"/>
          <w:sz w:val="24"/>
          <w:szCs w:val="24"/>
        </w:rPr>
      </w:pPr>
      <w:r>
        <w:rPr>
          <w:rFonts w:hint="default" w:ascii="Cambria" w:hAnsi="Cambria" w:cs="Cambria"/>
          <w:sz w:val="24"/>
          <w:szCs w:val="24"/>
        </w:rPr>
        <w:t>IV. Handling Process and Basis of Major Comments</w:t>
      </w:r>
      <w:r>
        <w:rPr>
          <w:rFonts w:hint="default" w:ascii="Cambria" w:hAnsi="Cambria" w:cs="Cambria"/>
          <w:sz w:val="24"/>
          <w:szCs w:val="24"/>
        </w:rPr>
        <w:tab/>
      </w:r>
      <w:r>
        <w:rPr>
          <w:rFonts w:hint="default" w:ascii="Cambria" w:hAnsi="Cambria" w:cs="Cambria"/>
          <w:sz w:val="24"/>
          <w:szCs w:val="24"/>
          <w:lang w:val="en-US"/>
        </w:rPr>
        <w:t>24</w:t>
      </w:r>
      <w:r>
        <w:rPr>
          <w:rFonts w:hint="default" w:ascii="Cambria" w:hAnsi="Cambria" w:cs="Cambria"/>
          <w:sz w:val="24"/>
          <w:szCs w:val="24"/>
        </w:rPr>
        <w:t xml:space="preserve">  </w:t>
      </w:r>
    </w:p>
    <w:p w14:paraId="0EAE78CA">
      <w:pPr>
        <w:tabs>
          <w:tab w:val="right" w:leader="dot" w:pos="8639"/>
        </w:tabs>
        <w:spacing w:line="276" w:lineRule="auto"/>
        <w:rPr>
          <w:rFonts w:hint="default" w:ascii="Cambria" w:hAnsi="Cambria" w:cs="Cambria"/>
          <w:sz w:val="24"/>
          <w:szCs w:val="24"/>
        </w:rPr>
      </w:pPr>
      <w:r>
        <w:rPr>
          <w:rFonts w:hint="default" w:ascii="Cambria" w:hAnsi="Cambria" w:cs="Cambria"/>
          <w:sz w:val="24"/>
          <w:szCs w:val="24"/>
        </w:rPr>
        <w:t>V. Recommendations for Adoption as an International Standard</w:t>
      </w:r>
      <w:r>
        <w:rPr>
          <w:rFonts w:hint="default" w:ascii="Cambria" w:hAnsi="Cambria" w:cs="Cambria"/>
          <w:sz w:val="24"/>
          <w:szCs w:val="24"/>
        </w:rPr>
        <w:tab/>
      </w:r>
      <w:r>
        <w:rPr>
          <w:rFonts w:hint="default" w:ascii="Cambria" w:hAnsi="Cambria" w:cs="Cambria"/>
          <w:sz w:val="24"/>
          <w:szCs w:val="24"/>
          <w:lang w:val="en-US"/>
        </w:rPr>
        <w:t>28</w:t>
      </w:r>
      <w:r>
        <w:rPr>
          <w:rFonts w:hint="default" w:ascii="Cambria" w:hAnsi="Cambria" w:cs="Cambria"/>
          <w:sz w:val="24"/>
          <w:szCs w:val="24"/>
        </w:rPr>
        <w:t xml:space="preserve">  </w:t>
      </w:r>
    </w:p>
    <w:p w14:paraId="6D3531FA">
      <w:pPr>
        <w:tabs>
          <w:tab w:val="right" w:leader="dot" w:pos="8639"/>
        </w:tabs>
        <w:spacing w:line="276" w:lineRule="auto"/>
        <w:rPr>
          <w:rFonts w:hint="default" w:ascii="Cambria" w:hAnsi="Cambria" w:cs="Cambria"/>
          <w:sz w:val="24"/>
          <w:szCs w:val="24"/>
        </w:rPr>
      </w:pPr>
      <w:r>
        <w:rPr>
          <w:rFonts w:hint="default" w:ascii="Cambria" w:hAnsi="Cambria" w:cs="Cambria"/>
          <w:sz w:val="24"/>
          <w:szCs w:val="24"/>
        </w:rPr>
        <w:t>VI. Requirements and Suggestions for Implementation of the Standard</w:t>
      </w:r>
      <w:r>
        <w:rPr>
          <w:rFonts w:hint="default" w:ascii="Cambria" w:hAnsi="Cambria" w:cs="Cambria"/>
          <w:sz w:val="24"/>
          <w:szCs w:val="24"/>
        </w:rPr>
        <w:tab/>
      </w:r>
      <w:r>
        <w:rPr>
          <w:rFonts w:hint="default" w:ascii="Cambria" w:hAnsi="Cambria" w:cs="Cambria"/>
          <w:sz w:val="24"/>
          <w:szCs w:val="24"/>
          <w:lang w:val="en-US"/>
        </w:rPr>
        <w:t>28</w:t>
      </w:r>
      <w:r>
        <w:rPr>
          <w:rFonts w:hint="default" w:ascii="Cambria" w:hAnsi="Cambria" w:cs="Cambria"/>
          <w:sz w:val="24"/>
          <w:szCs w:val="24"/>
        </w:rPr>
        <w:t xml:space="preserve"> </w:t>
      </w:r>
    </w:p>
    <w:p w14:paraId="712762BF">
      <w:pPr>
        <w:tabs>
          <w:tab w:val="right" w:leader="dot" w:pos="8639"/>
        </w:tabs>
        <w:spacing w:line="276" w:lineRule="auto"/>
        <w:rPr>
          <w:rFonts w:hint="default" w:ascii="Cambria" w:hAnsi="Cambria" w:cs="Cambria"/>
          <w:sz w:val="24"/>
          <w:szCs w:val="24"/>
          <w:lang w:val="en-US"/>
        </w:rPr>
      </w:pPr>
      <w:r>
        <w:rPr>
          <w:rFonts w:hint="default" w:ascii="Cambria" w:hAnsi="Cambria" w:cs="Cambria"/>
          <w:sz w:val="24"/>
          <w:szCs w:val="24"/>
        </w:rPr>
        <w:t>VII. Facilitating and Impeding Factors in Application</w:t>
      </w:r>
      <w:r>
        <w:rPr>
          <w:rFonts w:hint="default" w:ascii="Cambria" w:hAnsi="Cambria" w:cs="Cambria"/>
          <w:sz w:val="24"/>
          <w:szCs w:val="24"/>
        </w:rPr>
        <w:tab/>
      </w:r>
      <w:r>
        <w:rPr>
          <w:rFonts w:hint="default" w:ascii="Cambria" w:hAnsi="Cambria" w:cs="Cambria"/>
          <w:sz w:val="24"/>
          <w:szCs w:val="24"/>
          <w:lang w:val="en-US"/>
        </w:rPr>
        <w:t>29</w:t>
      </w:r>
    </w:p>
    <w:p w14:paraId="7E206FA4">
      <w:pPr>
        <w:tabs>
          <w:tab w:val="right" w:leader="dot" w:pos="8639"/>
        </w:tabs>
        <w:spacing w:line="276" w:lineRule="auto"/>
        <w:rPr>
          <w:rFonts w:hint="default" w:ascii="Cambria" w:hAnsi="Cambria" w:cs="Cambria"/>
          <w:sz w:val="24"/>
          <w:szCs w:val="24"/>
        </w:rPr>
      </w:pPr>
      <w:r>
        <w:rPr>
          <w:rFonts w:hint="default" w:ascii="Cambria" w:hAnsi="Cambria" w:cs="Cambria"/>
          <w:sz w:val="24"/>
          <w:szCs w:val="24"/>
        </w:rPr>
        <w:t>VIII. Other Matters to Be Clarified</w:t>
      </w:r>
      <w:r>
        <w:rPr>
          <w:rFonts w:hint="default" w:ascii="Cambria" w:hAnsi="Cambria" w:cs="Cambria"/>
          <w:sz w:val="24"/>
          <w:szCs w:val="24"/>
        </w:rPr>
        <w:tab/>
      </w:r>
      <w:r>
        <w:rPr>
          <w:rFonts w:hint="default" w:ascii="Cambria" w:hAnsi="Cambria" w:cs="Cambria"/>
          <w:sz w:val="24"/>
          <w:szCs w:val="24"/>
          <w:lang w:val="en-US"/>
        </w:rPr>
        <w:t>30</w:t>
      </w:r>
      <w:r>
        <w:rPr>
          <w:rFonts w:hint="default" w:ascii="Cambria" w:hAnsi="Cambria" w:cs="Cambria"/>
          <w:sz w:val="24"/>
          <w:szCs w:val="24"/>
        </w:rPr>
        <w:t xml:space="preserve"> </w:t>
      </w:r>
    </w:p>
    <w:p w14:paraId="4B0E6FCE">
      <w:pPr>
        <w:tabs>
          <w:tab w:val="right" w:leader="dot" w:pos="8639"/>
        </w:tabs>
        <w:spacing w:line="276" w:lineRule="auto"/>
        <w:rPr>
          <w:rFonts w:hint="default" w:ascii="Cambria" w:hAnsi="Cambria" w:cs="Cambria"/>
          <w:sz w:val="24"/>
          <w:szCs w:val="24"/>
        </w:rPr>
      </w:pPr>
      <w:r>
        <w:rPr>
          <w:rFonts w:hint="default" w:ascii="Cambria" w:hAnsi="Cambria" w:cs="Cambria"/>
          <w:sz w:val="24"/>
          <w:szCs w:val="24"/>
        </w:rPr>
        <w:t>Appendix 1 Report on Expert Questionnaire Survey</w:t>
      </w:r>
      <w:r>
        <w:rPr>
          <w:rFonts w:hint="default" w:ascii="Cambria" w:hAnsi="Cambria" w:cs="Cambria"/>
          <w:sz w:val="24"/>
          <w:szCs w:val="24"/>
        </w:rPr>
        <w:tab/>
      </w:r>
      <w:r>
        <w:rPr>
          <w:rFonts w:hint="default" w:ascii="Cambria" w:hAnsi="Cambria" w:cs="Cambria"/>
          <w:sz w:val="24"/>
          <w:szCs w:val="24"/>
          <w:lang w:val="en-US"/>
        </w:rPr>
        <w:t>31</w:t>
      </w:r>
      <w:r>
        <w:rPr>
          <w:rFonts w:hint="default" w:ascii="Cambria" w:hAnsi="Cambria" w:cs="Cambria"/>
          <w:sz w:val="24"/>
          <w:szCs w:val="24"/>
        </w:rPr>
        <w:t xml:space="preserve">  </w:t>
      </w:r>
    </w:p>
    <w:p w14:paraId="02CAA771">
      <w:pPr>
        <w:tabs>
          <w:tab w:val="right" w:leader="dot" w:pos="8639"/>
        </w:tabs>
        <w:spacing w:line="276" w:lineRule="auto"/>
        <w:rPr>
          <w:rFonts w:hint="default" w:ascii="Cambria" w:hAnsi="Cambria" w:cs="Cambria"/>
          <w:sz w:val="24"/>
          <w:szCs w:val="24"/>
        </w:rPr>
      </w:pPr>
      <w:r>
        <w:rPr>
          <w:rFonts w:hint="default" w:ascii="Cambria" w:hAnsi="Cambria" w:cs="Cambria"/>
          <w:sz w:val="24"/>
          <w:szCs w:val="24"/>
        </w:rPr>
        <w:t>Appendix 2 Minutes of the Expert Demonstration Meeting</w:t>
      </w:r>
      <w:r>
        <w:rPr>
          <w:rFonts w:hint="default" w:ascii="Cambria" w:hAnsi="Cambria" w:cs="Cambria"/>
          <w:sz w:val="24"/>
          <w:szCs w:val="24"/>
        </w:rPr>
        <w:tab/>
      </w:r>
      <w:r>
        <w:rPr>
          <w:rFonts w:hint="default" w:ascii="Cambria" w:hAnsi="Cambria" w:cs="Cambria"/>
          <w:sz w:val="24"/>
          <w:szCs w:val="24"/>
          <w:lang w:val="en-US"/>
        </w:rPr>
        <w:t>79</w:t>
      </w:r>
      <w:r>
        <w:rPr>
          <w:rFonts w:hint="default" w:ascii="Cambria" w:hAnsi="Cambria" w:cs="Cambria"/>
          <w:sz w:val="24"/>
          <w:szCs w:val="24"/>
        </w:rPr>
        <w:t xml:space="preserve"> </w:t>
      </w:r>
    </w:p>
    <w:p w14:paraId="48C5DA45">
      <w:pPr>
        <w:tabs>
          <w:tab w:val="right" w:leader="dot" w:pos="8639"/>
        </w:tabs>
        <w:spacing w:line="276" w:lineRule="auto"/>
        <w:rPr>
          <w:rFonts w:hint="default" w:ascii="Cambria" w:hAnsi="Cambria" w:cs="Cambria"/>
          <w:b/>
          <w:sz w:val="24"/>
          <w:lang w:val="en-US"/>
        </w:rPr>
      </w:pPr>
      <w:r>
        <w:rPr>
          <w:rFonts w:hint="default" w:ascii="Cambria" w:hAnsi="Cambria" w:cs="Cambria"/>
          <w:sz w:val="24"/>
          <w:szCs w:val="24"/>
        </w:rPr>
        <w:t>Appendix 3 Summary of Review by the Expert Steering Group</w:t>
      </w:r>
      <w:r>
        <w:rPr>
          <w:rFonts w:hint="default" w:ascii="Cambria" w:hAnsi="Cambria" w:cs="Cambria"/>
          <w:sz w:val="24"/>
          <w:szCs w:val="24"/>
        </w:rPr>
        <w:tab/>
      </w:r>
      <w:r>
        <w:rPr>
          <w:rFonts w:hint="default" w:ascii="Cambria" w:hAnsi="Cambria" w:cs="Cambria"/>
          <w:sz w:val="24"/>
          <w:szCs w:val="24"/>
          <w:lang w:val="en-US"/>
        </w:rPr>
        <w:t>95</w:t>
      </w:r>
    </w:p>
    <w:p w14:paraId="41DC703F">
      <w:pPr>
        <w:rPr>
          <w:rFonts w:hint="default" w:ascii="Cambria" w:hAnsi="Cambria" w:cs="Cambria"/>
          <w:b/>
          <w:sz w:val="24"/>
        </w:rPr>
      </w:pPr>
    </w:p>
    <w:p w14:paraId="55F8C5F1">
      <w:pPr>
        <w:rPr>
          <w:rFonts w:hint="default" w:ascii="Cambria" w:hAnsi="Cambria" w:cs="Cambria"/>
          <w:b/>
          <w:sz w:val="24"/>
        </w:rPr>
      </w:pPr>
    </w:p>
    <w:p w14:paraId="5C37A039">
      <w:pPr>
        <w:rPr>
          <w:rFonts w:hint="default" w:ascii="Cambria" w:hAnsi="Cambria" w:cs="Cambria"/>
          <w:b/>
          <w:sz w:val="24"/>
        </w:rPr>
      </w:pPr>
    </w:p>
    <w:p w14:paraId="2D7DF15B">
      <w:pPr>
        <w:rPr>
          <w:rFonts w:hint="default" w:ascii="Cambria" w:hAnsi="Cambria" w:cs="Cambria"/>
          <w:b/>
          <w:sz w:val="24"/>
        </w:rPr>
      </w:pPr>
    </w:p>
    <w:p w14:paraId="6C0BB833">
      <w:pPr>
        <w:rPr>
          <w:rFonts w:hint="default" w:ascii="Cambria" w:hAnsi="Cambria" w:cs="Cambria"/>
          <w:b/>
          <w:sz w:val="24"/>
        </w:rPr>
      </w:pPr>
    </w:p>
    <w:p w14:paraId="29B0C456">
      <w:pPr>
        <w:rPr>
          <w:rFonts w:hint="default" w:ascii="Cambria" w:hAnsi="Cambria" w:cs="Cambria"/>
          <w:b/>
          <w:sz w:val="24"/>
        </w:rPr>
      </w:pPr>
    </w:p>
    <w:p w14:paraId="5CFEF003">
      <w:pPr>
        <w:rPr>
          <w:rFonts w:hint="default" w:ascii="Cambria" w:hAnsi="Cambria" w:cs="Cambria"/>
          <w:b/>
          <w:sz w:val="24"/>
        </w:rPr>
      </w:pPr>
    </w:p>
    <w:p w14:paraId="48222194">
      <w:pPr>
        <w:rPr>
          <w:rFonts w:hint="default" w:ascii="Cambria" w:hAnsi="Cambria" w:cs="Cambria"/>
          <w:b/>
          <w:sz w:val="24"/>
        </w:rPr>
      </w:pPr>
    </w:p>
    <w:p w14:paraId="27F730C2">
      <w:pPr>
        <w:rPr>
          <w:rFonts w:hint="default" w:ascii="Cambria" w:hAnsi="Cambria" w:cs="Cambria"/>
          <w:b/>
          <w:sz w:val="24"/>
        </w:rPr>
      </w:pPr>
    </w:p>
    <w:p w14:paraId="17FFE58A">
      <w:pPr>
        <w:rPr>
          <w:rFonts w:hint="default" w:ascii="Cambria" w:hAnsi="Cambria" w:cs="Cambria"/>
          <w:b/>
          <w:sz w:val="24"/>
        </w:rPr>
      </w:pPr>
    </w:p>
    <w:p w14:paraId="12E87BE6">
      <w:pPr>
        <w:rPr>
          <w:rFonts w:hint="default" w:ascii="Cambria" w:hAnsi="Cambria" w:cs="Cambria"/>
          <w:b/>
          <w:sz w:val="24"/>
        </w:rPr>
      </w:pPr>
    </w:p>
    <w:p w14:paraId="1E074096">
      <w:pPr>
        <w:rPr>
          <w:rFonts w:hint="default" w:ascii="Cambria" w:hAnsi="Cambria" w:cs="Cambria"/>
          <w:b/>
          <w:sz w:val="24"/>
        </w:rPr>
      </w:pPr>
    </w:p>
    <w:p w14:paraId="313728EC">
      <w:pPr>
        <w:rPr>
          <w:rFonts w:hint="default" w:ascii="Cambria" w:hAnsi="Cambria" w:cs="Cambria"/>
          <w:b/>
          <w:sz w:val="24"/>
        </w:rPr>
      </w:pPr>
    </w:p>
    <w:p w14:paraId="5904E4B4">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center"/>
        <w:textAlignment w:val="auto"/>
        <w:outlineLvl w:val="0"/>
        <w:rPr>
          <w:rFonts w:hint="default" w:ascii="Cambria" w:hAnsi="Cambria" w:cs="Cambria"/>
          <w:b/>
          <w:bCs/>
          <w:sz w:val="32"/>
          <w:szCs w:val="32"/>
          <w:lang w:val="en-US"/>
        </w:rPr>
        <w:sectPr>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3D7708C9">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center"/>
        <w:textAlignment w:val="auto"/>
        <w:outlineLvl w:val="0"/>
        <w:rPr>
          <w:rFonts w:hint="default" w:ascii="Cambria" w:hAnsi="Cambria" w:cs="Cambria"/>
          <w:b/>
          <w:bCs/>
          <w:sz w:val="32"/>
          <w:szCs w:val="32"/>
        </w:rPr>
      </w:pPr>
      <w:r>
        <w:rPr>
          <w:rFonts w:hint="default" w:ascii="Cambria" w:hAnsi="Cambria" w:cs="Cambria"/>
          <w:b/>
          <w:bCs/>
          <w:sz w:val="32"/>
          <w:szCs w:val="32"/>
          <w:lang w:val="en-US"/>
        </w:rPr>
        <w:t>International standardized manipulations of Chinese medicine Pediatrics Part 4: Pediatric-Tuina</w:t>
      </w:r>
      <w:r>
        <w:rPr>
          <w:rFonts w:hint="default" w:ascii="Cambria" w:hAnsi="Cambria" w:cs="Cambria"/>
          <w:b/>
          <w:bCs/>
          <w:sz w:val="32"/>
          <w:szCs w:val="32"/>
        </w:rPr>
        <w:t xml:space="preserve"> </w:t>
      </w:r>
    </w:p>
    <w:p w14:paraId="164E2AD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project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was officially approved as an international standard development project by the World Federation of Chinese Medicine Societies (WFCMS) in September 2025, with Nanjing University of Chinese Medicine serving as the undertaking institution. In April 2025, the WFCMS initiated the process of converting the corresponding national standard into an international organizational standard, and by the end of that month established a project working group on pediatric </w:t>
      </w:r>
      <w:r>
        <w:rPr>
          <w:rFonts w:hint="default" w:ascii="Cambria" w:hAnsi="Cambria" w:cs="Cambria"/>
          <w:sz w:val="24"/>
          <w:szCs w:val="24"/>
          <w:lang w:eastAsia="zh-CN"/>
        </w:rPr>
        <w:t>tuina</w:t>
      </w:r>
      <w:r>
        <w:rPr>
          <w:rFonts w:hint="default" w:ascii="Cambria" w:hAnsi="Cambria" w:cs="Cambria"/>
          <w:sz w:val="24"/>
          <w:szCs w:val="24"/>
        </w:rPr>
        <w:t>. The working group comprised members from China (including Taiwan, China), Singapore, Malaysia, Australia, the United States, and other countries and regions. Following the unified requirements, the working group carried out literature reviews, expert questionnaire surveys, expert panel deliberations, and other activities. Based on multiple rounds of systematic analysis and in accordance with the WFCMS rules for drafting international standardization documents, the working group completed the drafting phase and produced a draft for review by the Expert Steering Group. This draft includes the following sections: foreword, introduction, scope, normative references, terms and definitions, operational steps and requirements, precautions and contraindications, appendices, and references. After approval by the Expert Steering Group, the draft was finalized as a submission draft and was submitted to the WFCMS International Standards Department for formal review in December 2025.</w:t>
      </w:r>
    </w:p>
    <w:p w14:paraId="579016E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following is an explanatory summary of the development process of the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w:t>
      </w:r>
    </w:p>
    <w:p w14:paraId="71A0976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rPr>
      </w:pPr>
      <w:r>
        <w:rPr>
          <w:rFonts w:hint="default" w:ascii="Cambria" w:hAnsi="Cambria" w:cs="Cambria"/>
          <w:sz w:val="24"/>
          <w:szCs w:val="24"/>
        </w:rPr>
        <w:t>Following the same professional and standardized medical writing requirements, here is the English translation of the provided text</w:t>
      </w:r>
      <w:r>
        <w:rPr>
          <w:rFonts w:hint="default" w:ascii="Cambria" w:hAnsi="Cambria" w:cs="Cambria"/>
          <w:sz w:val="24"/>
          <w:szCs w:val="24"/>
          <w:lang w:val="en-US"/>
        </w:rPr>
        <w:t>.</w:t>
      </w:r>
    </w:p>
    <w:p w14:paraId="02AFD7A8">
      <w:pPr>
        <w:pStyle w:val="2"/>
        <w:keepNext/>
        <w:keepLines/>
        <w:spacing w:before="312" w:beforeLines="100" w:after="312" w:afterLines="100" w:line="276" w:lineRule="auto"/>
        <w:jc w:val="both"/>
        <w:outlineLvl w:val="0"/>
        <w:rPr>
          <w:rFonts w:hint="default" w:ascii="Cambria" w:hAnsi="Cambria" w:eastAsia="黑体" w:cs="Cambria"/>
          <w:b/>
          <w:bCs/>
          <w:color w:val="auto"/>
          <w:sz w:val="24"/>
          <w:szCs w:val="24"/>
          <w:lang w:val="en-US" w:eastAsia="zh-CN"/>
        </w:rPr>
      </w:pPr>
      <w:r>
        <w:rPr>
          <w:rFonts w:hint="default" w:ascii="Cambria" w:hAnsi="Cambria" w:eastAsia="黑体" w:cs="Cambria"/>
          <w:b/>
          <w:bCs/>
          <w:color w:val="auto"/>
          <w:sz w:val="24"/>
          <w:szCs w:val="24"/>
          <w:lang w:val="en-US" w:eastAsia="zh-CN"/>
        </w:rPr>
        <w:t>I. Overview of Work</w:t>
      </w:r>
    </w:p>
    <w:p w14:paraId="3A7DBEC5">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cs="Cambria"/>
          <w:b/>
          <w:bCs/>
          <w:color w:val="auto"/>
          <w:kern w:val="2"/>
          <w:sz w:val="24"/>
          <w:szCs w:val="24"/>
          <w:lang w:val="en-US" w:eastAsia="zh-CN" w:bidi="ar-SA"/>
        </w:rPr>
        <w:t>1</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eastAsia="宋体" w:cs="Cambria"/>
          <w:b/>
          <w:bCs/>
          <w:color w:val="auto"/>
          <w:kern w:val="2"/>
          <w:sz w:val="24"/>
          <w:szCs w:val="24"/>
          <w:lang w:val="en-US" w:eastAsia="zh-CN" w:bidi="ar-SA"/>
        </w:rPr>
        <w:t>Task Origin</w:t>
      </w:r>
    </w:p>
    <w:p w14:paraId="2AC988A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In November 2021, the Standardization Administration of China (SAC) issued the </w:t>
      </w:r>
      <w:r>
        <w:rPr>
          <w:rFonts w:hint="default" w:ascii="Cambria" w:hAnsi="Cambria" w:cs="Cambria"/>
          <w:sz w:val="24"/>
          <w:szCs w:val="24"/>
          <w:lang w:val="en-US"/>
        </w:rPr>
        <w:t>Specification for operation technologies of traditional Chinese</w:t>
      </w:r>
      <w:r>
        <w:rPr>
          <w:rFonts w:hint="default" w:ascii="Cambria" w:hAnsi="Cambria" w:cs="Cambria"/>
          <w:sz w:val="24"/>
          <w:szCs w:val="24"/>
          <w:lang w:val="en-US" w:eastAsia="zh-CN"/>
        </w:rPr>
        <w:t xml:space="preserve"> </w:t>
      </w:r>
      <w:r>
        <w:rPr>
          <w:rFonts w:hint="default" w:ascii="Cambria" w:hAnsi="Cambria" w:cs="Cambria"/>
          <w:sz w:val="24"/>
          <w:szCs w:val="24"/>
          <w:lang w:val="en-US"/>
        </w:rPr>
        <w:t>medicine</w:t>
      </w:r>
      <w:r>
        <w:rPr>
          <w:rFonts w:hint="default" w:ascii="Cambria" w:hAnsi="Cambria" w:cs="Cambria"/>
          <w:sz w:val="24"/>
          <w:szCs w:val="24"/>
        </w:rPr>
        <w:t xml:space="preserve"> – </w:t>
      </w:r>
      <w:r>
        <w:rPr>
          <w:rFonts w:hint="default" w:ascii="Cambria" w:hAnsi="Cambria" w:cs="Cambria"/>
          <w:sz w:val="24"/>
          <w:szCs w:val="24"/>
          <w:lang w:val="en-US"/>
        </w:rPr>
        <w:t>Pediatrics</w:t>
      </w:r>
      <w:r>
        <w:rPr>
          <w:rFonts w:hint="default" w:ascii="Cambria" w:hAnsi="Cambria" w:cs="Cambria"/>
          <w:sz w:val="24"/>
          <w:szCs w:val="24"/>
        </w:rPr>
        <w:t xml:space="preserve"> – </w:t>
      </w:r>
      <w:r>
        <w:rPr>
          <w:rFonts w:hint="default" w:ascii="Cambria" w:hAnsi="Cambria" w:cs="Cambria"/>
          <w:sz w:val="24"/>
          <w:szCs w:val="24"/>
          <w:lang w:val="en-US"/>
        </w:rPr>
        <w:t>Part 4: Tuina</w:t>
      </w:r>
      <w:r>
        <w:rPr>
          <w:rFonts w:hint="default" w:ascii="Cambria" w:hAnsi="Cambria" w:cs="Cambria"/>
          <w:sz w:val="24"/>
          <w:szCs w:val="24"/>
        </w:rPr>
        <w:t xml:space="preserve"> (GB/Z 40893.4-2021) as a technical guidance document. The standard was intended to standardize the operational procedures and requirements for pediatric tuina, and to clearly define the precautions and contraindications. In April 2025, the World Federation of Chinese Medicine Societies (WFCMS) planned to convert this national standard into an international organizational standard. In accordance with the requirements of SCM 1.1-2021 Directives for Standardization – Part 1: </w:t>
      </w:r>
      <w:r>
        <w:rPr>
          <w:rFonts w:hint="default" w:ascii="Cambria" w:hAnsi="Cambria" w:cs="Cambria"/>
          <w:sz w:val="24"/>
          <w:szCs w:val="24"/>
          <w:lang w:val="en-US"/>
        </w:rPr>
        <w:t>Procedures for s</w:t>
      </w:r>
      <w:r>
        <w:rPr>
          <w:rFonts w:hint="default" w:ascii="Cambria" w:hAnsi="Cambria" w:cs="Cambria"/>
          <w:sz w:val="24"/>
          <w:szCs w:val="24"/>
        </w:rPr>
        <w:t>tandard</w:t>
      </w:r>
      <w:r>
        <w:rPr>
          <w:rFonts w:hint="default" w:ascii="Cambria" w:hAnsi="Cambria" w:cs="Cambria"/>
          <w:sz w:val="24"/>
          <w:szCs w:val="24"/>
          <w:lang w:val="en-US"/>
        </w:rPr>
        <w:t xml:space="preserve"> and development,revison and publication</w:t>
      </w:r>
      <w:r>
        <w:rPr>
          <w:rFonts w:hint="default" w:ascii="Cambria" w:hAnsi="Cambria" w:cs="Cambria"/>
          <w:sz w:val="24"/>
          <w:szCs w:val="24"/>
        </w:rPr>
        <w:t xml:space="preserve">, and under the guidance of the WFCMS International Standards Department and the Expert Steering Group, a project working group for the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was established at the end of April 2025. The working group comprised experts from five countries/regions: China (including Taiwan, China), Singapore, Malaysia, Australia, and the United States. In September 2025, the project was officially approved as a WFCMS international standard development and revision project. The host and drafting institution is Nanjing University of Chinese Medicine, with Dr. Li Jiangquan serving as the project leader. The project is scheduled for completion by the end of 2025.</w:t>
      </w:r>
    </w:p>
    <w:p w14:paraId="6A27792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conversion work of this standard is conducted under the unified direction, management, and supervision of the WFCMS. Technical guidance is provided by a number of domestic experts in TCM pediatrics, integrated traditional Chinese and Western medicine pediatrics, and pediatric tuina. The WFCMS International Standards Department is responsible for project implementation oversight, ensuring that the standard development complies with the relevant provisions, including the WFCMS Management Measures for International Standard Development and Revision.</w:t>
      </w:r>
    </w:p>
    <w:p w14:paraId="6B7E519A">
      <w:pPr>
        <w:numPr>
          <w:ilvl w:val="0"/>
          <w:numId w:val="0"/>
        </w:num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cs="Cambria"/>
          <w:b/>
          <w:bCs/>
          <w:color w:val="auto"/>
          <w:kern w:val="2"/>
          <w:sz w:val="24"/>
          <w:szCs w:val="24"/>
          <w:lang w:val="en-US" w:eastAsia="zh-CN" w:bidi="ar-SA"/>
        </w:rPr>
        <w:t>2</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eastAsia="宋体" w:cs="Cambria"/>
          <w:b/>
          <w:bCs/>
          <w:color w:val="auto"/>
          <w:kern w:val="2"/>
          <w:sz w:val="24"/>
          <w:szCs w:val="24"/>
          <w:lang w:val="en-US" w:eastAsia="zh-CN" w:bidi="ar-SA"/>
        </w:rPr>
        <w:t>Drafting Organizations</w:t>
      </w:r>
    </w:p>
    <w:p w14:paraId="2FB187B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Primary Drafting Organization: Jiangsu Province Hospital of Chinese Medicine.</w:t>
      </w:r>
    </w:p>
    <w:p w14:paraId="60F9495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Participating Drafting Organizations: </w:t>
      </w:r>
      <w:r>
        <w:rPr>
          <w:rFonts w:hint="default" w:ascii="Cambria" w:hAnsi="Cambria" w:cs="Cambria"/>
          <w:sz w:val="24"/>
          <w:szCs w:val="24"/>
          <w:lang w:eastAsia="zh-CN"/>
        </w:rPr>
        <w:t>Nanjing Pukou District Hospital of Traditional Chinese Medicine</w:t>
      </w:r>
      <w:r>
        <w:rPr>
          <w:rFonts w:hint="default" w:ascii="Cambria" w:hAnsi="Cambria" w:cs="Cambria"/>
          <w:sz w:val="24"/>
          <w:szCs w:val="24"/>
        </w:rPr>
        <w:t>; The Institute of Chinese Medical Studie; Chinese Charity Hospital‌; Endeavour College of Natural Health; and Xiamen Changgeng Hospital.</w:t>
      </w:r>
    </w:p>
    <w:p w14:paraId="2EEA944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eastAsia="宋体" w:cs="Cambria"/>
          <w:b/>
          <w:bCs/>
          <w:color w:val="auto"/>
          <w:kern w:val="2"/>
          <w:sz w:val="24"/>
          <w:szCs w:val="24"/>
          <w:lang w:val="en-US" w:eastAsia="zh-CN" w:bidi="ar-SA"/>
        </w:rPr>
      </w:pPr>
      <w:r>
        <w:rPr>
          <w:rFonts w:hint="default" w:ascii="Cambria" w:hAnsi="Cambria" w:cs="Cambria"/>
          <w:b/>
          <w:bCs/>
          <w:color w:val="auto"/>
          <w:kern w:val="2"/>
          <w:sz w:val="24"/>
          <w:szCs w:val="24"/>
          <w:lang w:val="en-US" w:eastAsia="zh-CN" w:bidi="ar-SA"/>
        </w:rPr>
        <w:t>3</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eastAsia="宋体" w:cs="Cambria"/>
          <w:b/>
          <w:bCs/>
          <w:color w:val="auto"/>
          <w:kern w:val="2"/>
          <w:sz w:val="24"/>
          <w:szCs w:val="24"/>
          <w:lang w:val="en-US" w:eastAsia="zh-CN" w:bidi="ar-SA"/>
        </w:rPr>
        <w:t>Experts Involved in Standard Drafting</w:t>
      </w:r>
    </w:p>
    <w:p w14:paraId="65D34ECB">
      <w:pPr>
        <w:spacing w:before="100" w:after="100" w:line="276" w:lineRule="auto"/>
        <w:ind w:firstLine="480" w:firstLineChars="200"/>
        <w:jc w:val="both"/>
        <w:rPr>
          <w:rFonts w:hint="default" w:ascii="Cambria" w:hAnsi="Cambria" w:cs="Cambria"/>
          <w:sz w:val="24"/>
          <w:szCs w:val="24"/>
        </w:rPr>
      </w:pPr>
      <w:r>
        <w:rPr>
          <w:rFonts w:hint="default" w:ascii="Cambria" w:hAnsi="Cambria" w:cs="Cambria"/>
          <w:sz w:val="24"/>
          <w:szCs w:val="24"/>
        </w:rPr>
        <w:t>This guideline was developed under the direction of the Pediatric Expert Steering Group. Based on their respective roles, the drafting personnel are categorized as principal drafters, participating drafters (both groups being members of the project working group), and consulting and validation experts. The relevant information and specific contributions of each individual are set out below.</w:t>
      </w:r>
    </w:p>
    <w:p w14:paraId="227DBE3B">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3.1 Principal Drafters</w:t>
      </w:r>
    </w:p>
    <w:tbl>
      <w:tblPr>
        <w:tblStyle w:val="20"/>
        <w:tblW w:w="9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0"/>
        <w:gridCol w:w="1218"/>
        <w:gridCol w:w="1426"/>
        <w:gridCol w:w="2156"/>
        <w:gridCol w:w="3872"/>
      </w:tblGrid>
      <w:tr w14:paraId="77035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20" w:type="dxa"/>
            <w:noWrap w:val="0"/>
            <w:vAlign w:val="center"/>
          </w:tcPr>
          <w:p w14:paraId="7880C3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Name</w:t>
            </w:r>
          </w:p>
        </w:tc>
        <w:tc>
          <w:tcPr>
            <w:tcW w:w="1218" w:type="dxa"/>
            <w:noWrap w:val="0"/>
            <w:vAlign w:val="center"/>
          </w:tcPr>
          <w:p w14:paraId="46FB89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Degree</w:t>
            </w:r>
          </w:p>
        </w:tc>
        <w:tc>
          <w:tcPr>
            <w:tcW w:w="1426" w:type="dxa"/>
            <w:noWrap w:val="0"/>
            <w:vAlign w:val="center"/>
          </w:tcPr>
          <w:p w14:paraId="0223FA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Title</w:t>
            </w:r>
          </w:p>
        </w:tc>
        <w:tc>
          <w:tcPr>
            <w:tcW w:w="2156" w:type="dxa"/>
            <w:noWrap w:val="0"/>
            <w:vAlign w:val="center"/>
          </w:tcPr>
          <w:p w14:paraId="1374E8D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Affiliation</w:t>
            </w:r>
          </w:p>
        </w:tc>
        <w:tc>
          <w:tcPr>
            <w:tcW w:w="3872" w:type="dxa"/>
            <w:noWrap w:val="0"/>
            <w:vAlign w:val="center"/>
          </w:tcPr>
          <w:p w14:paraId="1F797B00">
            <w:pPr>
              <w:keepNext w:val="0"/>
              <w:keepLines w:val="0"/>
              <w:pageBreakBefore w:val="0"/>
              <w:widowControl w:val="0"/>
              <w:kinsoku/>
              <w:wordWrap/>
              <w:overflowPunct/>
              <w:topLinePunct w:val="0"/>
              <w:autoSpaceDE/>
              <w:autoSpaceDN/>
              <w:bidi w:val="0"/>
              <w:adjustRightInd/>
              <w:snapToGrid/>
              <w:spacing w:line="360" w:lineRule="auto"/>
              <w:ind w:firstLine="1200" w:firstLineChars="500"/>
              <w:jc w:val="both"/>
              <w:textAlignment w:val="auto"/>
              <w:rPr>
                <w:rFonts w:hint="default" w:ascii="Cambria" w:hAnsi="Cambria" w:cs="Cambria"/>
                <w:sz w:val="24"/>
                <w:szCs w:val="24"/>
              </w:rPr>
            </w:pPr>
            <w:r>
              <w:rPr>
                <w:rFonts w:hint="default" w:ascii="Cambria" w:hAnsi="Cambria" w:cs="Cambria"/>
                <w:sz w:val="24"/>
                <w:szCs w:val="24"/>
              </w:rPr>
              <w:t>Responsibilities</w:t>
            </w:r>
          </w:p>
        </w:tc>
      </w:tr>
      <w:tr w14:paraId="3B09C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20" w:type="dxa"/>
            <w:noWrap w:val="0"/>
            <w:vAlign w:val="center"/>
          </w:tcPr>
          <w:p w14:paraId="0188A9B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Li Jiangquan</w:t>
            </w:r>
          </w:p>
        </w:tc>
        <w:tc>
          <w:tcPr>
            <w:tcW w:w="1218" w:type="dxa"/>
            <w:noWrap w:val="0"/>
            <w:vAlign w:val="center"/>
          </w:tcPr>
          <w:p w14:paraId="595A28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426" w:type="dxa"/>
            <w:noWrap w:val="0"/>
            <w:vAlign w:val="center"/>
          </w:tcPr>
          <w:p w14:paraId="742509D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Associate Professor, Chief Traditional Chinese Medicine Physician, Master’s Supervisor</w:t>
            </w:r>
          </w:p>
        </w:tc>
        <w:tc>
          <w:tcPr>
            <w:tcW w:w="2156" w:type="dxa"/>
            <w:noWrap w:val="0"/>
            <w:vAlign w:val="center"/>
          </w:tcPr>
          <w:p w14:paraId="284027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Jiangsu Province Hospital of Chinese Medicine</w:t>
            </w:r>
          </w:p>
        </w:tc>
        <w:tc>
          <w:tcPr>
            <w:tcW w:w="3872" w:type="dxa"/>
            <w:noWrap w:val="0"/>
            <w:vAlign w:val="center"/>
          </w:tcPr>
          <w:p w14:paraId="471F26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Lead Compiler of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participated in drafting and revising the draft, and organized the application, implementation, and summary of the project.</w:t>
            </w:r>
          </w:p>
        </w:tc>
      </w:tr>
      <w:tr w14:paraId="2BE0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20" w:type="dxa"/>
            <w:noWrap w:val="0"/>
            <w:vAlign w:val="center"/>
          </w:tcPr>
          <w:p w14:paraId="228A8D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 Yunyue</w:t>
            </w:r>
          </w:p>
        </w:tc>
        <w:tc>
          <w:tcPr>
            <w:tcW w:w="1218" w:type="dxa"/>
            <w:noWrap w:val="0"/>
            <w:vAlign w:val="center"/>
          </w:tcPr>
          <w:p w14:paraId="62D197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Student</w:t>
            </w:r>
          </w:p>
        </w:tc>
        <w:tc>
          <w:tcPr>
            <w:tcW w:w="1426" w:type="dxa"/>
            <w:noWrap w:val="0"/>
            <w:vAlign w:val="center"/>
          </w:tcPr>
          <w:p w14:paraId="14173C4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Graduate Student</w:t>
            </w:r>
          </w:p>
        </w:tc>
        <w:tc>
          <w:tcPr>
            <w:tcW w:w="2156" w:type="dxa"/>
            <w:noWrap w:val="0"/>
            <w:vAlign w:val="center"/>
          </w:tcPr>
          <w:p w14:paraId="439A2C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Jiangsu Province Hospital of Chinese Medicine</w:t>
            </w:r>
          </w:p>
        </w:tc>
        <w:tc>
          <w:tcPr>
            <w:tcW w:w="3872" w:type="dxa"/>
            <w:noWrap w:val="0"/>
            <w:vAlign w:val="center"/>
          </w:tcPr>
          <w:p w14:paraId="7F33F6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Participated in literature research. Contributed to the drafting and revision of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drafted the compilation notes, and participated in working discussions.</w:t>
            </w:r>
          </w:p>
        </w:tc>
      </w:tr>
      <w:tr w14:paraId="3BF87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320" w:type="dxa"/>
            <w:noWrap w:val="0"/>
            <w:vAlign w:val="center"/>
          </w:tcPr>
          <w:p w14:paraId="4CAAEC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Shouchuan</w:t>
            </w:r>
          </w:p>
        </w:tc>
        <w:tc>
          <w:tcPr>
            <w:tcW w:w="1218" w:type="dxa"/>
            <w:noWrap w:val="0"/>
            <w:vAlign w:val="center"/>
          </w:tcPr>
          <w:p w14:paraId="1C05A40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Degree</w:t>
            </w:r>
          </w:p>
        </w:tc>
        <w:tc>
          <w:tcPr>
            <w:tcW w:w="1426" w:type="dxa"/>
            <w:noWrap w:val="0"/>
            <w:vAlign w:val="center"/>
          </w:tcPr>
          <w:p w14:paraId="1797BC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Traditional Chinese Medicine Physician, PhD Supervisor</w:t>
            </w:r>
          </w:p>
        </w:tc>
        <w:tc>
          <w:tcPr>
            <w:tcW w:w="2156" w:type="dxa"/>
            <w:noWrap w:val="0"/>
            <w:vAlign w:val="center"/>
          </w:tcPr>
          <w:p w14:paraId="64C5A0E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Cambria" w:hAnsi="Cambria" w:cs="Cambria"/>
                <w:sz w:val="24"/>
                <w:szCs w:val="24"/>
              </w:rPr>
            </w:pPr>
            <w:r>
              <w:rPr>
                <w:rFonts w:hint="default" w:ascii="Cambria" w:hAnsi="Cambria" w:cs="Cambria"/>
                <w:sz w:val="24"/>
                <w:szCs w:val="24"/>
              </w:rPr>
              <w:t>Jiangsu Province Hospital of</w:t>
            </w:r>
            <w:r>
              <w:rPr>
                <w:rFonts w:hint="default" w:ascii="Cambria" w:hAnsi="Cambria" w:cs="Cambria"/>
                <w:sz w:val="24"/>
                <w:szCs w:val="24"/>
                <w:lang w:val="en-US" w:eastAsia="zh-CN"/>
              </w:rPr>
              <w:t xml:space="preserve"> </w:t>
            </w:r>
            <w:r>
              <w:rPr>
                <w:rFonts w:hint="default" w:ascii="Cambria" w:hAnsi="Cambria" w:cs="Cambria"/>
                <w:sz w:val="24"/>
                <w:szCs w:val="24"/>
              </w:rPr>
              <w:t>Chinese Medicine</w:t>
            </w:r>
          </w:p>
        </w:tc>
        <w:tc>
          <w:tcPr>
            <w:tcW w:w="3872" w:type="dxa"/>
            <w:noWrap w:val="0"/>
            <w:vAlign w:val="center"/>
          </w:tcPr>
          <w:p w14:paraId="1EA5BF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Participated in the revision of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and engaged in related working discussions.</w:t>
            </w:r>
          </w:p>
        </w:tc>
      </w:tr>
      <w:tr w14:paraId="54077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1320" w:type="dxa"/>
            <w:noWrap w:val="0"/>
            <w:vAlign w:val="center"/>
          </w:tcPr>
          <w:p w14:paraId="0E5FB5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Gao Lanying</w:t>
            </w:r>
          </w:p>
        </w:tc>
        <w:tc>
          <w:tcPr>
            <w:tcW w:w="1218" w:type="dxa"/>
            <w:noWrap w:val="0"/>
            <w:vAlign w:val="center"/>
          </w:tcPr>
          <w:p w14:paraId="2825DE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Bachelor’s Degree</w:t>
            </w:r>
          </w:p>
        </w:tc>
        <w:tc>
          <w:tcPr>
            <w:tcW w:w="1426" w:type="dxa"/>
            <w:noWrap w:val="0"/>
            <w:vAlign w:val="center"/>
          </w:tcPr>
          <w:p w14:paraId="25C9A1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Associate Chief Physician</w:t>
            </w:r>
          </w:p>
        </w:tc>
        <w:tc>
          <w:tcPr>
            <w:tcW w:w="2156" w:type="dxa"/>
            <w:noWrap w:val="0"/>
            <w:vAlign w:val="center"/>
          </w:tcPr>
          <w:p w14:paraId="14CCC0C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Cambria" w:hAnsi="Cambria" w:eastAsia="宋体" w:cs="Cambria"/>
                <w:sz w:val="24"/>
                <w:szCs w:val="24"/>
                <w:lang w:eastAsia="zh-CN"/>
              </w:rPr>
            </w:pPr>
            <w:r>
              <w:rPr>
                <w:rFonts w:hint="default" w:ascii="Cambria" w:hAnsi="Cambria" w:cs="Cambria"/>
                <w:sz w:val="24"/>
                <w:szCs w:val="24"/>
                <w:lang w:eastAsia="zh-CN"/>
              </w:rPr>
              <w:t>Nanjing Pukou District Hospital of Traditional Chinese Medicine</w:t>
            </w:r>
          </w:p>
        </w:tc>
        <w:tc>
          <w:tcPr>
            <w:tcW w:w="3872" w:type="dxa"/>
            <w:noWrap w:val="0"/>
            <w:vAlign w:val="center"/>
          </w:tcPr>
          <w:p w14:paraId="68CD24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Participated in the revision of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and engaged in related work</w:t>
            </w:r>
            <w:r>
              <w:rPr>
                <w:rFonts w:hint="default" w:ascii="Cambria" w:hAnsi="Cambria" w:cs="Cambria"/>
                <w:sz w:val="24"/>
                <w:szCs w:val="24"/>
                <w:lang w:val="en-US" w:eastAsia="zh-CN"/>
              </w:rPr>
              <w:t>ing</w:t>
            </w:r>
            <w:r>
              <w:rPr>
                <w:rFonts w:hint="default" w:ascii="Cambria" w:hAnsi="Cambria" w:cs="Cambria"/>
                <w:sz w:val="24"/>
                <w:szCs w:val="24"/>
              </w:rPr>
              <w:t xml:space="preserve"> discussions.</w:t>
            </w:r>
          </w:p>
        </w:tc>
      </w:tr>
      <w:tr w14:paraId="37B3E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20" w:type="dxa"/>
            <w:noWrap w:val="0"/>
            <w:vAlign w:val="center"/>
          </w:tcPr>
          <w:p w14:paraId="0C5C69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Chen Xiuzhen</w:t>
            </w:r>
          </w:p>
        </w:tc>
        <w:tc>
          <w:tcPr>
            <w:tcW w:w="1218" w:type="dxa"/>
            <w:noWrap w:val="0"/>
            <w:vAlign w:val="center"/>
          </w:tcPr>
          <w:p w14:paraId="478CAF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Degree</w:t>
            </w:r>
          </w:p>
        </w:tc>
        <w:tc>
          <w:tcPr>
            <w:tcW w:w="1426" w:type="dxa"/>
            <w:noWrap w:val="0"/>
            <w:vAlign w:val="center"/>
          </w:tcPr>
          <w:p w14:paraId="65F7BB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TCM Physician</w:t>
            </w:r>
          </w:p>
        </w:tc>
        <w:tc>
          <w:tcPr>
            <w:tcW w:w="2156" w:type="dxa"/>
            <w:noWrap w:val="0"/>
            <w:vAlign w:val="center"/>
          </w:tcPr>
          <w:p w14:paraId="36FE020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eastAsia="宋体" w:cs="Cambria"/>
                <w:sz w:val="24"/>
                <w:szCs w:val="24"/>
                <w:lang w:eastAsia="zh-CN"/>
              </w:rPr>
            </w:pPr>
            <w:r>
              <w:rPr>
                <w:rFonts w:hint="default" w:ascii="Cambria" w:hAnsi="Cambria" w:cs="Cambria"/>
                <w:sz w:val="24"/>
                <w:szCs w:val="24"/>
                <w:lang w:eastAsia="zh-CN"/>
              </w:rPr>
              <w:t>Jiangsu Province Hospital of Chinese Medicine</w:t>
            </w:r>
          </w:p>
        </w:tc>
        <w:tc>
          <w:tcPr>
            <w:tcW w:w="3872" w:type="dxa"/>
            <w:noWrap w:val="0"/>
            <w:vAlign w:val="center"/>
          </w:tcPr>
          <w:p w14:paraId="0F7845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Participated in the drafting and revision of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and engaged in related working discussions.</w:t>
            </w:r>
          </w:p>
        </w:tc>
      </w:tr>
      <w:tr w14:paraId="4D0EB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320" w:type="dxa"/>
            <w:noWrap w:val="0"/>
            <w:vAlign w:val="center"/>
          </w:tcPr>
          <w:p w14:paraId="2E044B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Lei</w:t>
            </w:r>
          </w:p>
        </w:tc>
        <w:tc>
          <w:tcPr>
            <w:tcW w:w="1218" w:type="dxa"/>
            <w:noWrap w:val="0"/>
            <w:vAlign w:val="center"/>
          </w:tcPr>
          <w:p w14:paraId="3FAB6C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Degree</w:t>
            </w:r>
          </w:p>
        </w:tc>
        <w:tc>
          <w:tcPr>
            <w:tcW w:w="1426" w:type="dxa"/>
            <w:noWrap w:val="0"/>
            <w:vAlign w:val="center"/>
          </w:tcPr>
          <w:p w14:paraId="60E133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Attending TCM Physician</w:t>
            </w:r>
          </w:p>
        </w:tc>
        <w:tc>
          <w:tcPr>
            <w:tcW w:w="2156" w:type="dxa"/>
            <w:noWrap w:val="0"/>
            <w:vAlign w:val="center"/>
          </w:tcPr>
          <w:p w14:paraId="584D32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eastAsia="宋体" w:cs="Cambria"/>
                <w:sz w:val="24"/>
                <w:szCs w:val="24"/>
                <w:lang w:eastAsia="zh-CN"/>
              </w:rPr>
            </w:pPr>
            <w:r>
              <w:rPr>
                <w:rFonts w:hint="default" w:ascii="Cambria" w:hAnsi="Cambria" w:cs="Cambria"/>
                <w:sz w:val="24"/>
                <w:szCs w:val="24"/>
                <w:lang w:eastAsia="zh-CN"/>
              </w:rPr>
              <w:t>Jiangsu Province Hospital of Chinese Medicine</w:t>
            </w:r>
          </w:p>
        </w:tc>
        <w:tc>
          <w:tcPr>
            <w:tcW w:w="3872" w:type="dxa"/>
            <w:noWrap w:val="0"/>
            <w:vAlign w:val="center"/>
          </w:tcPr>
          <w:p w14:paraId="1A8F68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Participated in the drafting of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and engaged in related working discussions.</w:t>
            </w:r>
          </w:p>
        </w:tc>
      </w:tr>
    </w:tbl>
    <w:p w14:paraId="486112C8">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3.2 Drafting Contributor</w:t>
      </w:r>
    </w:p>
    <w:tbl>
      <w:tblPr>
        <w:tblStyle w:val="20"/>
        <w:tblW w:w="99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9"/>
        <w:gridCol w:w="1235"/>
        <w:gridCol w:w="1528"/>
        <w:gridCol w:w="2145"/>
        <w:gridCol w:w="3966"/>
      </w:tblGrid>
      <w:tr w14:paraId="27C6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89" w:type="dxa"/>
            <w:noWrap w:val="0"/>
            <w:vAlign w:val="center"/>
          </w:tcPr>
          <w:p w14:paraId="6CF8C9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Name   </w:t>
            </w:r>
          </w:p>
        </w:tc>
        <w:tc>
          <w:tcPr>
            <w:tcW w:w="1235" w:type="dxa"/>
            <w:noWrap w:val="0"/>
            <w:vAlign w:val="center"/>
          </w:tcPr>
          <w:p w14:paraId="166C43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Degree</w:t>
            </w:r>
          </w:p>
        </w:tc>
        <w:tc>
          <w:tcPr>
            <w:tcW w:w="1528" w:type="dxa"/>
            <w:noWrap w:val="0"/>
            <w:vAlign w:val="center"/>
          </w:tcPr>
          <w:p w14:paraId="787CF5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Title</w:t>
            </w:r>
          </w:p>
        </w:tc>
        <w:tc>
          <w:tcPr>
            <w:tcW w:w="2145" w:type="dxa"/>
            <w:noWrap w:val="0"/>
            <w:vAlign w:val="center"/>
          </w:tcPr>
          <w:p w14:paraId="217160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Affiliation</w:t>
            </w:r>
          </w:p>
        </w:tc>
        <w:tc>
          <w:tcPr>
            <w:tcW w:w="3966" w:type="dxa"/>
            <w:noWrap w:val="0"/>
            <w:vAlign w:val="center"/>
          </w:tcPr>
          <w:p w14:paraId="06780C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Responsibilities</w:t>
            </w:r>
          </w:p>
        </w:tc>
      </w:tr>
      <w:tr w14:paraId="7065D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89" w:type="dxa"/>
            <w:noWrap w:val="0"/>
            <w:vAlign w:val="center"/>
          </w:tcPr>
          <w:p w14:paraId="0C3C8E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Xu Zhenyu</w:t>
            </w:r>
          </w:p>
        </w:tc>
        <w:tc>
          <w:tcPr>
            <w:tcW w:w="1235" w:type="dxa"/>
            <w:noWrap w:val="0"/>
            <w:vAlign w:val="center"/>
          </w:tcPr>
          <w:p w14:paraId="031219C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528" w:type="dxa"/>
            <w:noWrap w:val="0"/>
            <w:vAlign w:val="center"/>
          </w:tcPr>
          <w:p w14:paraId="2C6F32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Physician</w:t>
            </w:r>
          </w:p>
        </w:tc>
        <w:tc>
          <w:tcPr>
            <w:tcW w:w="2145" w:type="dxa"/>
            <w:noWrap w:val="0"/>
            <w:vAlign w:val="center"/>
          </w:tcPr>
          <w:p w14:paraId="3F0D5B3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Singapore Yuguo Traditional Chinese Medicine Clinic</w:t>
            </w:r>
          </w:p>
        </w:tc>
        <w:tc>
          <w:tcPr>
            <w:tcW w:w="3966" w:type="dxa"/>
            <w:noWrap w:val="0"/>
            <w:vAlign w:val="center"/>
          </w:tcPr>
          <w:p w14:paraId="5F2042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 and work discussions.</w:t>
            </w:r>
          </w:p>
        </w:tc>
      </w:tr>
      <w:tr w14:paraId="1BFCA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89" w:type="dxa"/>
            <w:noWrap w:val="0"/>
            <w:vAlign w:val="center"/>
          </w:tcPr>
          <w:p w14:paraId="56EE0BD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Lin Wenxian</w:t>
            </w:r>
          </w:p>
        </w:tc>
        <w:tc>
          <w:tcPr>
            <w:tcW w:w="1235" w:type="dxa"/>
            <w:noWrap w:val="0"/>
            <w:vAlign w:val="center"/>
          </w:tcPr>
          <w:p w14:paraId="2B40E39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528" w:type="dxa"/>
            <w:noWrap w:val="0"/>
            <w:vAlign w:val="center"/>
          </w:tcPr>
          <w:p w14:paraId="161EAD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TCM Practitioner</w:t>
            </w:r>
          </w:p>
        </w:tc>
        <w:tc>
          <w:tcPr>
            <w:tcW w:w="2145" w:type="dxa"/>
            <w:noWrap w:val="0"/>
            <w:vAlign w:val="center"/>
          </w:tcPr>
          <w:p w14:paraId="0837FCF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Chinese Charity Hospital</w:t>
            </w:r>
          </w:p>
        </w:tc>
        <w:tc>
          <w:tcPr>
            <w:tcW w:w="3966" w:type="dxa"/>
            <w:noWrap w:val="0"/>
            <w:vAlign w:val="center"/>
          </w:tcPr>
          <w:p w14:paraId="3E6AE98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 in expert surveys and work discussions.</w:t>
            </w:r>
          </w:p>
        </w:tc>
      </w:tr>
      <w:tr w14:paraId="46BB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89" w:type="dxa"/>
            <w:noWrap w:val="0"/>
            <w:vAlign w:val="center"/>
          </w:tcPr>
          <w:p w14:paraId="27D352A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Qiao Mulin</w:t>
            </w:r>
          </w:p>
        </w:tc>
        <w:tc>
          <w:tcPr>
            <w:tcW w:w="1235" w:type="dxa"/>
            <w:noWrap w:val="0"/>
            <w:vAlign w:val="center"/>
          </w:tcPr>
          <w:p w14:paraId="169194D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528" w:type="dxa"/>
            <w:noWrap w:val="0"/>
            <w:vAlign w:val="center"/>
          </w:tcPr>
          <w:p w14:paraId="798EA7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w:t>
            </w:r>
          </w:p>
        </w:tc>
        <w:tc>
          <w:tcPr>
            <w:tcW w:w="2145" w:type="dxa"/>
            <w:noWrap w:val="0"/>
            <w:vAlign w:val="center"/>
          </w:tcPr>
          <w:p w14:paraId="1DF2AF8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Endeavour College of Natural Health</w:t>
            </w:r>
          </w:p>
        </w:tc>
        <w:tc>
          <w:tcPr>
            <w:tcW w:w="3966" w:type="dxa"/>
            <w:noWrap w:val="0"/>
            <w:vAlign w:val="center"/>
          </w:tcPr>
          <w:p w14:paraId="0A1C54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 in expert surveys and work discussions.</w:t>
            </w:r>
          </w:p>
        </w:tc>
      </w:tr>
      <w:tr w14:paraId="3280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89" w:type="dxa"/>
            <w:noWrap w:val="0"/>
            <w:vAlign w:val="center"/>
          </w:tcPr>
          <w:p w14:paraId="253994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Min Kaijia</w:t>
            </w:r>
          </w:p>
        </w:tc>
        <w:tc>
          <w:tcPr>
            <w:tcW w:w="1235" w:type="dxa"/>
            <w:noWrap w:val="0"/>
            <w:vAlign w:val="center"/>
          </w:tcPr>
          <w:p w14:paraId="254E5B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Ph.D.</w:t>
            </w:r>
          </w:p>
        </w:tc>
        <w:tc>
          <w:tcPr>
            <w:tcW w:w="1528" w:type="dxa"/>
            <w:noWrap w:val="0"/>
            <w:vAlign w:val="center"/>
          </w:tcPr>
          <w:p w14:paraId="207BA6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w:t>
            </w:r>
          </w:p>
        </w:tc>
        <w:tc>
          <w:tcPr>
            <w:tcW w:w="2145" w:type="dxa"/>
            <w:noWrap w:val="0"/>
            <w:vAlign w:val="center"/>
          </w:tcPr>
          <w:p w14:paraId="4FDFA6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California International University of Medicine</w:t>
            </w:r>
          </w:p>
        </w:tc>
        <w:tc>
          <w:tcPr>
            <w:tcW w:w="3966" w:type="dxa"/>
            <w:noWrap w:val="0"/>
            <w:vAlign w:val="center"/>
          </w:tcPr>
          <w:p w14:paraId="78F9F6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 in expert surveys and work discussions.</w:t>
            </w:r>
          </w:p>
        </w:tc>
      </w:tr>
      <w:tr w14:paraId="3EAF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089" w:type="dxa"/>
            <w:noWrap w:val="0"/>
            <w:vAlign w:val="center"/>
          </w:tcPr>
          <w:p w14:paraId="0BD0D31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Zhang Yating</w:t>
            </w:r>
          </w:p>
        </w:tc>
        <w:tc>
          <w:tcPr>
            <w:tcW w:w="1235" w:type="dxa"/>
            <w:noWrap w:val="0"/>
            <w:vAlign w:val="center"/>
          </w:tcPr>
          <w:p w14:paraId="39CCA0D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Ph.D.</w:t>
            </w:r>
          </w:p>
        </w:tc>
        <w:tc>
          <w:tcPr>
            <w:tcW w:w="1528" w:type="dxa"/>
            <w:noWrap w:val="0"/>
            <w:vAlign w:val="center"/>
          </w:tcPr>
          <w:p w14:paraId="64CA21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Associate Chief TCM Physician</w:t>
            </w:r>
          </w:p>
        </w:tc>
        <w:tc>
          <w:tcPr>
            <w:tcW w:w="2145" w:type="dxa"/>
            <w:noWrap w:val="0"/>
            <w:vAlign w:val="center"/>
          </w:tcPr>
          <w:p w14:paraId="074C69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Xiamen Changgeng Hospital</w:t>
            </w:r>
          </w:p>
        </w:tc>
        <w:tc>
          <w:tcPr>
            <w:tcW w:w="3966" w:type="dxa"/>
            <w:noWrap w:val="0"/>
            <w:vAlign w:val="center"/>
          </w:tcPr>
          <w:p w14:paraId="05203E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 in expert surveys and work discussions.</w:t>
            </w:r>
          </w:p>
        </w:tc>
      </w:tr>
    </w:tbl>
    <w:p w14:paraId="52C63584">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3.3 Certified Consulting Experts</w:t>
      </w:r>
    </w:p>
    <w:tbl>
      <w:tblPr>
        <w:tblStyle w:val="20"/>
        <w:tblW w:w="10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8"/>
        <w:gridCol w:w="1254"/>
        <w:gridCol w:w="1316"/>
        <w:gridCol w:w="3949"/>
        <w:gridCol w:w="2225"/>
      </w:tblGrid>
      <w:tr w14:paraId="1617A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49D1443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Name</w:t>
            </w:r>
          </w:p>
        </w:tc>
        <w:tc>
          <w:tcPr>
            <w:tcW w:w="1254" w:type="dxa"/>
            <w:noWrap w:val="0"/>
            <w:vAlign w:val="center"/>
          </w:tcPr>
          <w:p w14:paraId="489B2E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Degree</w:t>
            </w:r>
          </w:p>
        </w:tc>
        <w:tc>
          <w:tcPr>
            <w:tcW w:w="1316" w:type="dxa"/>
            <w:noWrap w:val="0"/>
            <w:vAlign w:val="center"/>
          </w:tcPr>
          <w:p w14:paraId="7C1D7A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Title</w:t>
            </w:r>
          </w:p>
        </w:tc>
        <w:tc>
          <w:tcPr>
            <w:tcW w:w="3949" w:type="dxa"/>
            <w:noWrap w:val="0"/>
            <w:vAlign w:val="center"/>
          </w:tcPr>
          <w:p w14:paraId="48D16E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Organization</w:t>
            </w:r>
          </w:p>
        </w:tc>
        <w:tc>
          <w:tcPr>
            <w:tcW w:w="2225" w:type="dxa"/>
            <w:noWrap w:val="0"/>
            <w:vAlign w:val="center"/>
          </w:tcPr>
          <w:p w14:paraId="153DF4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Responsibilities</w:t>
            </w:r>
          </w:p>
        </w:tc>
      </w:tr>
      <w:tr w14:paraId="536B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728C1E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Yu Juan</w:t>
            </w:r>
          </w:p>
        </w:tc>
        <w:tc>
          <w:tcPr>
            <w:tcW w:w="1254" w:type="dxa"/>
            <w:noWrap w:val="0"/>
            <w:vAlign w:val="center"/>
          </w:tcPr>
          <w:p w14:paraId="2B49822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Ph.D.</w:t>
            </w:r>
          </w:p>
        </w:tc>
        <w:tc>
          <w:tcPr>
            <w:tcW w:w="1316" w:type="dxa"/>
            <w:noWrap w:val="0"/>
            <w:vAlign w:val="center"/>
          </w:tcPr>
          <w:p w14:paraId="4D84B8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Professor, Chief Physician, PhD Supervisor</w:t>
            </w:r>
          </w:p>
        </w:tc>
        <w:tc>
          <w:tcPr>
            <w:tcW w:w="3949" w:type="dxa"/>
            <w:noWrap w:val="0"/>
            <w:vAlign w:val="center"/>
          </w:tcPr>
          <w:p w14:paraId="15B30E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Shandong University of Traditional Chinese Medicine Affiliated</w:t>
            </w:r>
          </w:p>
        </w:tc>
        <w:tc>
          <w:tcPr>
            <w:tcW w:w="2225" w:type="dxa"/>
            <w:noWrap w:val="0"/>
            <w:vAlign w:val="center"/>
          </w:tcPr>
          <w:p w14:paraId="7A190C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3D43B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747357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Li Min</w:t>
            </w:r>
          </w:p>
        </w:tc>
        <w:tc>
          <w:tcPr>
            <w:tcW w:w="1254" w:type="dxa"/>
            <w:noWrap w:val="0"/>
            <w:vAlign w:val="center"/>
          </w:tcPr>
          <w:p w14:paraId="0A17EB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Ph.D.</w:t>
            </w:r>
          </w:p>
        </w:tc>
        <w:tc>
          <w:tcPr>
            <w:tcW w:w="1316" w:type="dxa"/>
            <w:noWrap w:val="0"/>
            <w:vAlign w:val="center"/>
          </w:tcPr>
          <w:p w14:paraId="12C57E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Professor, Chief Physician, PhD Supervisor</w:t>
            </w:r>
          </w:p>
        </w:tc>
        <w:tc>
          <w:tcPr>
            <w:tcW w:w="3949" w:type="dxa"/>
            <w:noWrap w:val="0"/>
            <w:vAlign w:val="center"/>
          </w:tcPr>
          <w:p w14:paraId="5E81B3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‌Beijing Hospital of Traditional Chinese Medicine, Capital Medical University‌</w:t>
            </w:r>
          </w:p>
        </w:tc>
        <w:tc>
          <w:tcPr>
            <w:tcW w:w="2225" w:type="dxa"/>
            <w:noWrap w:val="0"/>
            <w:vAlign w:val="center"/>
          </w:tcPr>
          <w:p w14:paraId="3A5B6F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1CF9C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2C025F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Yao Xiao</w:t>
            </w:r>
          </w:p>
        </w:tc>
        <w:tc>
          <w:tcPr>
            <w:tcW w:w="1254" w:type="dxa"/>
            <w:noWrap w:val="0"/>
            <w:vAlign w:val="center"/>
          </w:tcPr>
          <w:p w14:paraId="63078B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316" w:type="dxa"/>
            <w:noWrap w:val="0"/>
            <w:vAlign w:val="center"/>
          </w:tcPr>
          <w:p w14:paraId="0C202B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Professor, Chief Physician, Master’s Supervisor</w:t>
            </w:r>
          </w:p>
        </w:tc>
        <w:tc>
          <w:tcPr>
            <w:tcW w:w="3949" w:type="dxa"/>
            <w:noWrap w:val="0"/>
            <w:vAlign w:val="center"/>
          </w:tcPr>
          <w:p w14:paraId="532D25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Shandong University of Traditional Chinese Medicine Affiliated</w:t>
            </w:r>
          </w:p>
        </w:tc>
        <w:tc>
          <w:tcPr>
            <w:tcW w:w="2225" w:type="dxa"/>
            <w:noWrap w:val="0"/>
            <w:vAlign w:val="center"/>
          </w:tcPr>
          <w:p w14:paraId="252333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041C4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83BBA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Chen Hong</w:t>
            </w:r>
          </w:p>
        </w:tc>
        <w:tc>
          <w:tcPr>
            <w:tcW w:w="1254" w:type="dxa"/>
            <w:noWrap w:val="0"/>
            <w:vAlign w:val="center"/>
          </w:tcPr>
          <w:p w14:paraId="36A9E7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Bachelor's Degree</w:t>
            </w:r>
          </w:p>
        </w:tc>
        <w:tc>
          <w:tcPr>
            <w:tcW w:w="1316" w:type="dxa"/>
            <w:noWrap w:val="0"/>
            <w:vAlign w:val="center"/>
          </w:tcPr>
          <w:p w14:paraId="268EF0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Chief Physician, Master’s Supervisor</w:t>
            </w:r>
          </w:p>
        </w:tc>
        <w:tc>
          <w:tcPr>
            <w:tcW w:w="3949" w:type="dxa"/>
            <w:noWrap w:val="0"/>
            <w:vAlign w:val="center"/>
          </w:tcPr>
          <w:p w14:paraId="4B79A2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Dongzhimen Hospital of Beijing University of Chinese Medicine</w:t>
            </w:r>
          </w:p>
        </w:tc>
        <w:tc>
          <w:tcPr>
            <w:tcW w:w="2225" w:type="dxa"/>
            <w:noWrap w:val="0"/>
            <w:vAlign w:val="center"/>
          </w:tcPr>
          <w:p w14:paraId="20746D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5D7D3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7D9FFC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Jianhong</w:t>
            </w:r>
          </w:p>
        </w:tc>
        <w:tc>
          <w:tcPr>
            <w:tcW w:w="1254" w:type="dxa"/>
            <w:noWrap w:val="0"/>
            <w:vAlign w:val="center"/>
          </w:tcPr>
          <w:p w14:paraId="3FD371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Bachelor's Degree</w:t>
            </w:r>
          </w:p>
        </w:tc>
        <w:tc>
          <w:tcPr>
            <w:tcW w:w="1316" w:type="dxa"/>
            <w:noWrap w:val="0"/>
            <w:vAlign w:val="center"/>
          </w:tcPr>
          <w:p w14:paraId="6DA8E47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Chief Physician</w:t>
            </w:r>
          </w:p>
        </w:tc>
        <w:tc>
          <w:tcPr>
            <w:tcW w:w="3949" w:type="dxa"/>
            <w:noWrap w:val="0"/>
            <w:vAlign w:val="center"/>
          </w:tcPr>
          <w:p w14:paraId="1B8F22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Shanxi Hedong Traditional Chinese Medicine Children's Tuina School‌</w:t>
            </w:r>
          </w:p>
        </w:tc>
        <w:tc>
          <w:tcPr>
            <w:tcW w:w="2225" w:type="dxa"/>
            <w:noWrap w:val="0"/>
            <w:vAlign w:val="center"/>
          </w:tcPr>
          <w:p w14:paraId="49232EB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573E5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2575B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Xu Li</w:t>
            </w:r>
          </w:p>
        </w:tc>
        <w:tc>
          <w:tcPr>
            <w:tcW w:w="1254" w:type="dxa"/>
            <w:noWrap w:val="0"/>
            <w:vAlign w:val="center"/>
          </w:tcPr>
          <w:p w14:paraId="695601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316" w:type="dxa"/>
            <w:noWrap w:val="0"/>
            <w:vAlign w:val="center"/>
          </w:tcPr>
          <w:p w14:paraId="65BE8F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Professor, Associate Chief Physician, Master’s Supervisor</w:t>
            </w:r>
          </w:p>
        </w:tc>
        <w:tc>
          <w:tcPr>
            <w:tcW w:w="3949" w:type="dxa"/>
            <w:noWrap w:val="0"/>
            <w:vAlign w:val="center"/>
          </w:tcPr>
          <w:p w14:paraId="0DE51D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Zhejiang Chinese Medical University‌</w:t>
            </w:r>
          </w:p>
        </w:tc>
        <w:tc>
          <w:tcPr>
            <w:tcW w:w="2225" w:type="dxa"/>
            <w:noWrap w:val="0"/>
            <w:vAlign w:val="center"/>
          </w:tcPr>
          <w:p w14:paraId="636D9859">
            <w:pPr>
              <w:keepNext w:val="0"/>
              <w:keepLines w:val="0"/>
              <w:pageBreakBefore w:val="0"/>
              <w:widowControl w:val="0"/>
              <w:kinsoku/>
              <w:wordWrap/>
              <w:overflowPunct/>
              <w:topLinePunct w:val="0"/>
              <w:autoSpaceDE/>
              <w:autoSpaceDN/>
              <w:bidi w:val="0"/>
              <w:adjustRightInd/>
              <w:snapToGrid/>
              <w:spacing w:line="360" w:lineRule="auto"/>
              <w:ind w:firstLine="240" w:firstLineChars="100"/>
              <w:jc w:val="both"/>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4BA7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4397D9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w:t>
            </w:r>
            <w:r>
              <w:rPr>
                <w:rFonts w:hint="default" w:ascii="Cambria" w:hAnsi="Cambria" w:cs="Cambria"/>
                <w:sz w:val="24"/>
                <w:szCs w:val="24"/>
                <w:highlight w:val="none"/>
              </w:rPr>
              <w:t>Buhbayar‌</w:t>
            </w:r>
          </w:p>
        </w:tc>
        <w:tc>
          <w:tcPr>
            <w:tcW w:w="1254" w:type="dxa"/>
            <w:noWrap w:val="0"/>
            <w:vAlign w:val="center"/>
          </w:tcPr>
          <w:p w14:paraId="04AC57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Bachelor's Degree</w:t>
            </w:r>
          </w:p>
        </w:tc>
        <w:tc>
          <w:tcPr>
            <w:tcW w:w="1316" w:type="dxa"/>
            <w:noWrap w:val="0"/>
            <w:vAlign w:val="center"/>
          </w:tcPr>
          <w:p w14:paraId="5D157A1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Professor, Chief Physician, Master’s Supervisor</w:t>
            </w:r>
          </w:p>
        </w:tc>
        <w:tc>
          <w:tcPr>
            <w:tcW w:w="3949" w:type="dxa"/>
            <w:noWrap w:val="0"/>
            <w:vAlign w:val="center"/>
          </w:tcPr>
          <w:p w14:paraId="7C61CE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The Second Affiliated Hospital of Baotou Medical College</w:t>
            </w:r>
          </w:p>
        </w:tc>
        <w:tc>
          <w:tcPr>
            <w:tcW w:w="2225" w:type="dxa"/>
            <w:noWrap w:val="0"/>
            <w:vAlign w:val="center"/>
          </w:tcPr>
          <w:p w14:paraId="531B5AD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4A647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07099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lang w:eastAsia="zh-Hans"/>
              </w:rPr>
              <w:t>Xue Zheng</w:t>
            </w:r>
          </w:p>
        </w:tc>
        <w:tc>
          <w:tcPr>
            <w:tcW w:w="1254" w:type="dxa"/>
            <w:noWrap w:val="0"/>
            <w:vAlign w:val="center"/>
          </w:tcPr>
          <w:p w14:paraId="53A21A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Ph.D.</w:t>
            </w:r>
          </w:p>
        </w:tc>
        <w:tc>
          <w:tcPr>
            <w:tcW w:w="1316" w:type="dxa"/>
            <w:noWrap w:val="0"/>
            <w:vAlign w:val="center"/>
          </w:tcPr>
          <w:p w14:paraId="50F3DEF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Professor, Chief Physician, PhD Supervisor</w:t>
            </w:r>
          </w:p>
        </w:tc>
        <w:tc>
          <w:tcPr>
            <w:tcW w:w="3949" w:type="dxa"/>
            <w:noWrap w:val="0"/>
            <w:vAlign w:val="center"/>
          </w:tcPr>
          <w:p w14:paraId="2FDB96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Shanghai Hospital of Traditional Chinese Medicine</w:t>
            </w:r>
          </w:p>
        </w:tc>
        <w:tc>
          <w:tcPr>
            <w:tcW w:w="2225" w:type="dxa"/>
            <w:noWrap w:val="0"/>
            <w:vAlign w:val="center"/>
          </w:tcPr>
          <w:p w14:paraId="6863383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1A6D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1BFAC8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lang w:eastAsia="zh-Hans"/>
              </w:rPr>
              <w:t>Wang Quanwu</w:t>
            </w:r>
          </w:p>
        </w:tc>
        <w:tc>
          <w:tcPr>
            <w:tcW w:w="1254" w:type="dxa"/>
            <w:noWrap w:val="0"/>
            <w:vAlign w:val="center"/>
          </w:tcPr>
          <w:p w14:paraId="77A794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316" w:type="dxa"/>
            <w:noWrap w:val="0"/>
            <w:vAlign w:val="center"/>
          </w:tcPr>
          <w:p w14:paraId="2E61CA3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Associate Professor, Associate Chief Physician</w:t>
            </w:r>
          </w:p>
        </w:tc>
        <w:tc>
          <w:tcPr>
            <w:tcW w:w="3949" w:type="dxa"/>
            <w:noWrap w:val="0"/>
            <w:vAlign w:val="center"/>
          </w:tcPr>
          <w:p w14:paraId="5F05A86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Affiliated Hospital of Changchun University of Traditional Chinese Medicine</w:t>
            </w:r>
          </w:p>
        </w:tc>
        <w:tc>
          <w:tcPr>
            <w:tcW w:w="2225" w:type="dxa"/>
            <w:noWrap w:val="0"/>
            <w:vAlign w:val="center"/>
          </w:tcPr>
          <w:p w14:paraId="3A38D8A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6C05A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767439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He Li</w:t>
            </w:r>
          </w:p>
        </w:tc>
        <w:tc>
          <w:tcPr>
            <w:tcW w:w="1254" w:type="dxa"/>
            <w:noWrap w:val="0"/>
            <w:vAlign w:val="center"/>
          </w:tcPr>
          <w:p w14:paraId="028326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0CA12F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Physician, PhD Supervisor</w:t>
            </w:r>
          </w:p>
        </w:tc>
        <w:tc>
          <w:tcPr>
            <w:tcW w:w="3949" w:type="dxa"/>
            <w:noWrap w:val="0"/>
            <w:vAlign w:val="center"/>
          </w:tcPr>
          <w:p w14:paraId="625DF1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Shanghai Children’s Hospital Affiliated to Shanghai Jiao Tong University</w:t>
            </w:r>
          </w:p>
        </w:tc>
        <w:tc>
          <w:tcPr>
            <w:tcW w:w="2225" w:type="dxa"/>
            <w:noWrap w:val="0"/>
            <w:vAlign w:val="center"/>
          </w:tcPr>
          <w:p w14:paraId="3B3B47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0043C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A8BBA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 Zhiming</w:t>
            </w:r>
          </w:p>
        </w:tc>
        <w:tc>
          <w:tcPr>
            <w:tcW w:w="1254" w:type="dxa"/>
            <w:noWrap w:val="0"/>
            <w:vAlign w:val="center"/>
          </w:tcPr>
          <w:p w14:paraId="1B85118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Bachelor's Degree</w:t>
            </w:r>
          </w:p>
        </w:tc>
        <w:tc>
          <w:tcPr>
            <w:tcW w:w="1316" w:type="dxa"/>
            <w:noWrap w:val="0"/>
            <w:vAlign w:val="center"/>
          </w:tcPr>
          <w:p w14:paraId="7ABCA7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Physician</w:t>
            </w:r>
          </w:p>
        </w:tc>
        <w:tc>
          <w:tcPr>
            <w:tcW w:w="3949" w:type="dxa"/>
            <w:noWrap w:val="0"/>
            <w:vAlign w:val="center"/>
          </w:tcPr>
          <w:p w14:paraId="058E60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Taixing People's Hospital</w:t>
            </w:r>
          </w:p>
        </w:tc>
        <w:tc>
          <w:tcPr>
            <w:tcW w:w="2225" w:type="dxa"/>
            <w:noWrap w:val="0"/>
            <w:vAlign w:val="center"/>
          </w:tcPr>
          <w:p w14:paraId="49D8F1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281DE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1775E6A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Wu Yunchuan</w:t>
            </w:r>
          </w:p>
        </w:tc>
        <w:tc>
          <w:tcPr>
            <w:tcW w:w="1254" w:type="dxa"/>
            <w:noWrap w:val="0"/>
            <w:vAlign w:val="center"/>
          </w:tcPr>
          <w:p w14:paraId="0B613B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Ph.D.</w:t>
            </w:r>
          </w:p>
        </w:tc>
        <w:tc>
          <w:tcPr>
            <w:tcW w:w="1316" w:type="dxa"/>
            <w:noWrap w:val="0"/>
            <w:vAlign w:val="center"/>
          </w:tcPr>
          <w:p w14:paraId="55C7050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Master’s Supervisor</w:t>
            </w:r>
          </w:p>
        </w:tc>
        <w:tc>
          <w:tcPr>
            <w:tcW w:w="3949" w:type="dxa"/>
            <w:noWrap w:val="0"/>
            <w:vAlign w:val="center"/>
          </w:tcPr>
          <w:p w14:paraId="2F0D17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lang w:eastAsia="zh-CN"/>
              </w:rPr>
            </w:pPr>
            <w:r>
              <w:rPr>
                <w:rFonts w:hint="default" w:ascii="Cambria" w:hAnsi="Cambria" w:cs="Cambria"/>
                <w:sz w:val="24"/>
                <w:szCs w:val="24"/>
                <w:lang w:eastAsia="zh-CN"/>
              </w:rPr>
              <w:t>Jiangsu Province Hospital of Chinese Medicine</w:t>
            </w:r>
          </w:p>
        </w:tc>
        <w:tc>
          <w:tcPr>
            <w:tcW w:w="2225" w:type="dxa"/>
            <w:noWrap w:val="0"/>
            <w:vAlign w:val="center"/>
          </w:tcPr>
          <w:p w14:paraId="0C19FE1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6ED4D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57DCA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Yufeng</w:t>
            </w:r>
          </w:p>
        </w:tc>
        <w:tc>
          <w:tcPr>
            <w:tcW w:w="1254" w:type="dxa"/>
            <w:noWrap w:val="0"/>
            <w:vAlign w:val="center"/>
          </w:tcPr>
          <w:p w14:paraId="1C4861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1D13F9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Professor, Chief Physician, Doctoral Supervisor</w:t>
            </w:r>
          </w:p>
        </w:tc>
        <w:tc>
          <w:tcPr>
            <w:tcW w:w="3949" w:type="dxa"/>
            <w:noWrap w:val="0"/>
            <w:vAlign w:val="center"/>
          </w:tcPr>
          <w:p w14:paraId="5BA2E5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Changchun University of Traditional Chinese Medicine</w:t>
            </w:r>
          </w:p>
        </w:tc>
        <w:tc>
          <w:tcPr>
            <w:tcW w:w="2225" w:type="dxa"/>
            <w:noWrap w:val="0"/>
            <w:vAlign w:val="center"/>
          </w:tcPr>
          <w:p w14:paraId="705A62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2AAD2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29FA88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Liu Dehua</w:t>
            </w:r>
          </w:p>
        </w:tc>
        <w:tc>
          <w:tcPr>
            <w:tcW w:w="1254" w:type="dxa"/>
            <w:noWrap w:val="0"/>
            <w:vAlign w:val="center"/>
          </w:tcPr>
          <w:p w14:paraId="042D71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Bachelor's Degree</w:t>
            </w:r>
          </w:p>
        </w:tc>
        <w:tc>
          <w:tcPr>
            <w:tcW w:w="1316" w:type="dxa"/>
            <w:noWrap w:val="0"/>
            <w:vAlign w:val="center"/>
          </w:tcPr>
          <w:p w14:paraId="0DACAC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Physician</w:t>
            </w:r>
          </w:p>
        </w:tc>
        <w:tc>
          <w:tcPr>
            <w:tcW w:w="3949" w:type="dxa"/>
            <w:noWrap w:val="0"/>
            <w:vAlign w:val="center"/>
          </w:tcPr>
          <w:p w14:paraId="6C7F49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lang w:eastAsia="zh-CN"/>
              </w:rPr>
            </w:pPr>
            <w:r>
              <w:rPr>
                <w:rFonts w:hint="default" w:ascii="Cambria" w:hAnsi="Cambria" w:cs="Cambria"/>
                <w:sz w:val="24"/>
                <w:szCs w:val="24"/>
              </w:rPr>
              <w:t xml:space="preserve"> </w:t>
            </w:r>
            <w:r>
              <w:rPr>
                <w:rFonts w:hint="default" w:ascii="Cambria" w:hAnsi="Cambria" w:cs="Cambria"/>
                <w:sz w:val="24"/>
                <w:szCs w:val="24"/>
                <w:lang w:eastAsia="zh-CN"/>
              </w:rPr>
              <w:t>Jiangsu Province Hospital of Chinese Medicine</w:t>
            </w:r>
          </w:p>
        </w:tc>
        <w:tc>
          <w:tcPr>
            <w:tcW w:w="2225" w:type="dxa"/>
            <w:noWrap w:val="0"/>
            <w:vAlign w:val="center"/>
          </w:tcPr>
          <w:p w14:paraId="0074B4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12A3B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3EC3B4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Chen Xiuzhen</w:t>
            </w:r>
          </w:p>
        </w:tc>
        <w:tc>
          <w:tcPr>
            <w:tcW w:w="1254" w:type="dxa"/>
            <w:noWrap w:val="0"/>
            <w:vAlign w:val="center"/>
          </w:tcPr>
          <w:p w14:paraId="1648D5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316" w:type="dxa"/>
            <w:noWrap w:val="0"/>
            <w:vAlign w:val="center"/>
          </w:tcPr>
          <w:p w14:paraId="476552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TCM Physician</w:t>
            </w:r>
          </w:p>
        </w:tc>
        <w:tc>
          <w:tcPr>
            <w:tcW w:w="3949" w:type="dxa"/>
            <w:noWrap w:val="0"/>
            <w:vAlign w:val="center"/>
          </w:tcPr>
          <w:p w14:paraId="5816A9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lang w:eastAsia="zh-CN"/>
              </w:rPr>
            </w:pPr>
            <w:r>
              <w:rPr>
                <w:rFonts w:hint="default" w:ascii="Cambria" w:hAnsi="Cambria" w:cs="Cambria"/>
                <w:sz w:val="24"/>
                <w:szCs w:val="24"/>
              </w:rPr>
              <w:t xml:space="preserve"> </w:t>
            </w:r>
            <w:r>
              <w:rPr>
                <w:rFonts w:hint="default" w:ascii="Cambria" w:hAnsi="Cambria" w:cs="Cambria"/>
                <w:sz w:val="24"/>
                <w:szCs w:val="24"/>
                <w:lang w:eastAsia="zh-CN"/>
              </w:rPr>
              <w:t>Jiangsu Province Hospital of Chinese Medicine</w:t>
            </w:r>
          </w:p>
        </w:tc>
        <w:tc>
          <w:tcPr>
            <w:tcW w:w="2225" w:type="dxa"/>
            <w:noWrap w:val="0"/>
            <w:vAlign w:val="center"/>
          </w:tcPr>
          <w:p w14:paraId="26C744C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176F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6FC3CA1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 Bingxiang</w:t>
            </w:r>
          </w:p>
        </w:tc>
        <w:tc>
          <w:tcPr>
            <w:tcW w:w="1254" w:type="dxa"/>
            <w:noWrap w:val="0"/>
            <w:vAlign w:val="center"/>
          </w:tcPr>
          <w:p w14:paraId="136E84C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5F9E0A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and PhD Supervisor</w:t>
            </w:r>
          </w:p>
        </w:tc>
        <w:tc>
          <w:tcPr>
            <w:tcW w:w="3949" w:type="dxa"/>
            <w:noWrap w:val="0"/>
            <w:vAlign w:val="center"/>
          </w:tcPr>
          <w:p w14:paraId="40440C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The First Affiliated Hospital of Henan University of Chinese Medicine</w:t>
            </w:r>
          </w:p>
        </w:tc>
        <w:tc>
          <w:tcPr>
            <w:tcW w:w="2225" w:type="dxa"/>
            <w:noWrap w:val="0"/>
            <w:vAlign w:val="center"/>
          </w:tcPr>
          <w:p w14:paraId="40F3C86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6C01C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4777E6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Shouchuan</w:t>
            </w:r>
          </w:p>
        </w:tc>
        <w:tc>
          <w:tcPr>
            <w:tcW w:w="1254" w:type="dxa"/>
            <w:noWrap w:val="0"/>
            <w:vAlign w:val="center"/>
          </w:tcPr>
          <w:p w14:paraId="0C026E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Degree</w:t>
            </w:r>
          </w:p>
        </w:tc>
        <w:tc>
          <w:tcPr>
            <w:tcW w:w="1316" w:type="dxa"/>
            <w:noWrap w:val="0"/>
            <w:vAlign w:val="center"/>
          </w:tcPr>
          <w:p w14:paraId="26A40C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and Doctoral Advisor</w:t>
            </w:r>
          </w:p>
        </w:tc>
        <w:tc>
          <w:tcPr>
            <w:tcW w:w="3949" w:type="dxa"/>
            <w:noWrap w:val="0"/>
            <w:vAlign w:val="center"/>
          </w:tcPr>
          <w:p w14:paraId="67A044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lang w:eastAsia="zh-CN"/>
              </w:rPr>
            </w:pPr>
            <w:r>
              <w:rPr>
                <w:rFonts w:hint="default" w:ascii="Cambria" w:hAnsi="Cambria" w:cs="Cambria"/>
                <w:sz w:val="24"/>
                <w:szCs w:val="24"/>
              </w:rPr>
              <w:t xml:space="preserve"> </w:t>
            </w:r>
            <w:r>
              <w:rPr>
                <w:rFonts w:hint="default" w:ascii="Cambria" w:hAnsi="Cambria" w:cs="Cambria"/>
                <w:sz w:val="24"/>
                <w:szCs w:val="24"/>
                <w:lang w:eastAsia="zh-CN"/>
              </w:rPr>
              <w:t>Jiangsu Province Hospital of Chinese Medicine</w:t>
            </w:r>
          </w:p>
        </w:tc>
        <w:tc>
          <w:tcPr>
            <w:tcW w:w="2225" w:type="dxa"/>
            <w:noWrap w:val="0"/>
            <w:vAlign w:val="center"/>
          </w:tcPr>
          <w:p w14:paraId="2AA673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6E0F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C2B85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Han Xinmin</w:t>
            </w:r>
          </w:p>
        </w:tc>
        <w:tc>
          <w:tcPr>
            <w:tcW w:w="1254" w:type="dxa"/>
            <w:noWrap w:val="0"/>
            <w:vAlign w:val="center"/>
          </w:tcPr>
          <w:p w14:paraId="1C2BDD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34E5DB3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PhD Supervisor</w:t>
            </w:r>
          </w:p>
        </w:tc>
        <w:tc>
          <w:tcPr>
            <w:tcW w:w="3949" w:type="dxa"/>
            <w:noWrap w:val="0"/>
            <w:vAlign w:val="center"/>
          </w:tcPr>
          <w:p w14:paraId="6E3B844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lang w:eastAsia="zh-CN"/>
              </w:rPr>
            </w:pPr>
            <w:r>
              <w:rPr>
                <w:rFonts w:hint="default" w:ascii="Cambria" w:hAnsi="Cambria" w:cs="Cambria"/>
                <w:sz w:val="24"/>
                <w:szCs w:val="24"/>
              </w:rPr>
              <w:t xml:space="preserve"> </w:t>
            </w:r>
            <w:r>
              <w:rPr>
                <w:rFonts w:hint="default" w:ascii="Cambria" w:hAnsi="Cambria" w:cs="Cambria"/>
                <w:sz w:val="24"/>
                <w:szCs w:val="24"/>
                <w:lang w:eastAsia="zh-CN"/>
              </w:rPr>
              <w:t>Jiangsu Province Hospital of Chinese Medicine</w:t>
            </w:r>
          </w:p>
        </w:tc>
        <w:tc>
          <w:tcPr>
            <w:tcW w:w="2225" w:type="dxa"/>
            <w:noWrap w:val="0"/>
            <w:vAlign w:val="center"/>
          </w:tcPr>
          <w:p w14:paraId="22FF3EE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5F37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267DE4A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Zhao Xia</w:t>
            </w:r>
          </w:p>
        </w:tc>
        <w:tc>
          <w:tcPr>
            <w:tcW w:w="1254" w:type="dxa"/>
            <w:noWrap w:val="0"/>
            <w:vAlign w:val="center"/>
          </w:tcPr>
          <w:p w14:paraId="3F9DF2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6EE45B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PhD Supervisor</w:t>
            </w:r>
          </w:p>
        </w:tc>
        <w:tc>
          <w:tcPr>
            <w:tcW w:w="3949" w:type="dxa"/>
            <w:noWrap w:val="0"/>
            <w:vAlign w:val="center"/>
          </w:tcPr>
          <w:p w14:paraId="61997C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lang w:eastAsia="zh-CN"/>
              </w:rPr>
            </w:pPr>
            <w:r>
              <w:rPr>
                <w:rFonts w:hint="default" w:ascii="Cambria" w:hAnsi="Cambria" w:cs="Cambria"/>
                <w:sz w:val="24"/>
                <w:szCs w:val="24"/>
              </w:rPr>
              <w:t xml:space="preserve"> </w:t>
            </w:r>
            <w:r>
              <w:rPr>
                <w:rFonts w:hint="default" w:ascii="Cambria" w:hAnsi="Cambria" w:cs="Cambria"/>
                <w:sz w:val="24"/>
                <w:szCs w:val="24"/>
                <w:lang w:eastAsia="zh-CN"/>
              </w:rPr>
              <w:t>Jiangsu Province Hospital of Chinese Medicine</w:t>
            </w:r>
          </w:p>
        </w:tc>
        <w:tc>
          <w:tcPr>
            <w:tcW w:w="2225" w:type="dxa"/>
            <w:noWrap w:val="0"/>
            <w:vAlign w:val="center"/>
          </w:tcPr>
          <w:p w14:paraId="34DAAC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3FDBC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78306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Mingming</w:t>
            </w:r>
          </w:p>
        </w:tc>
        <w:tc>
          <w:tcPr>
            <w:tcW w:w="1254" w:type="dxa"/>
            <w:noWrap w:val="0"/>
            <w:vAlign w:val="center"/>
          </w:tcPr>
          <w:p w14:paraId="4F3E11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58A761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Master’s Supervisor</w:t>
            </w:r>
          </w:p>
        </w:tc>
        <w:tc>
          <w:tcPr>
            <w:tcW w:w="3949" w:type="dxa"/>
            <w:noWrap w:val="0"/>
            <w:vAlign w:val="center"/>
          </w:tcPr>
          <w:p w14:paraId="4568C32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lang w:eastAsia="zh-CN"/>
              </w:rPr>
            </w:pPr>
            <w:r>
              <w:rPr>
                <w:rFonts w:hint="default" w:ascii="Cambria" w:hAnsi="Cambria" w:cs="Cambria"/>
                <w:sz w:val="24"/>
                <w:szCs w:val="24"/>
              </w:rPr>
              <w:t xml:space="preserve"> </w:t>
            </w:r>
            <w:r>
              <w:rPr>
                <w:rFonts w:hint="default" w:ascii="Cambria" w:hAnsi="Cambria" w:cs="Cambria"/>
                <w:sz w:val="24"/>
                <w:szCs w:val="24"/>
                <w:lang w:eastAsia="zh-CN"/>
              </w:rPr>
              <w:t>Jiangsu Province Hospital of Chinese Medicine</w:t>
            </w:r>
          </w:p>
        </w:tc>
        <w:tc>
          <w:tcPr>
            <w:tcW w:w="2225" w:type="dxa"/>
            <w:noWrap w:val="0"/>
            <w:vAlign w:val="center"/>
          </w:tcPr>
          <w:p w14:paraId="2476C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090A4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279FF8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Chen Siwen</w:t>
            </w:r>
          </w:p>
        </w:tc>
        <w:tc>
          <w:tcPr>
            <w:tcW w:w="1254" w:type="dxa"/>
            <w:noWrap w:val="0"/>
            <w:vAlign w:val="center"/>
          </w:tcPr>
          <w:p w14:paraId="15513E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41248E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PhD Supervisor</w:t>
            </w:r>
          </w:p>
        </w:tc>
        <w:tc>
          <w:tcPr>
            <w:tcW w:w="3949" w:type="dxa"/>
            <w:noWrap w:val="0"/>
            <w:vAlign w:val="center"/>
          </w:tcPr>
          <w:p w14:paraId="790800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Xiamen Hospital of T.C,M.</w:t>
            </w:r>
          </w:p>
        </w:tc>
        <w:tc>
          <w:tcPr>
            <w:tcW w:w="2225" w:type="dxa"/>
            <w:noWrap w:val="0"/>
            <w:vAlign w:val="center"/>
          </w:tcPr>
          <w:p w14:paraId="6D170F9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50C37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512BB2B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Zhang Yating</w:t>
            </w:r>
          </w:p>
        </w:tc>
        <w:tc>
          <w:tcPr>
            <w:tcW w:w="1254" w:type="dxa"/>
            <w:noWrap w:val="0"/>
            <w:vAlign w:val="center"/>
          </w:tcPr>
          <w:p w14:paraId="3EA0F9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68C96C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Associate Chief Physician</w:t>
            </w:r>
          </w:p>
        </w:tc>
        <w:tc>
          <w:tcPr>
            <w:tcW w:w="3949" w:type="dxa"/>
            <w:noWrap w:val="0"/>
            <w:vAlign w:val="center"/>
          </w:tcPr>
          <w:p w14:paraId="12231C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‌Xiamen Chang Gung Memorial Hospital‌</w:t>
            </w:r>
          </w:p>
        </w:tc>
        <w:tc>
          <w:tcPr>
            <w:tcW w:w="2225" w:type="dxa"/>
            <w:noWrap w:val="0"/>
            <w:vAlign w:val="center"/>
          </w:tcPr>
          <w:p w14:paraId="1E2F0D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5EBC0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6F56C4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Wu Jiasheng</w:t>
            </w:r>
          </w:p>
        </w:tc>
        <w:tc>
          <w:tcPr>
            <w:tcW w:w="1254" w:type="dxa"/>
            <w:noWrap w:val="0"/>
            <w:vAlign w:val="center"/>
          </w:tcPr>
          <w:p w14:paraId="31CB79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Dr.</w:t>
            </w:r>
          </w:p>
        </w:tc>
        <w:tc>
          <w:tcPr>
            <w:tcW w:w="1316" w:type="dxa"/>
            <w:noWrap w:val="0"/>
            <w:vAlign w:val="center"/>
          </w:tcPr>
          <w:p w14:paraId="5C97C01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Physician</w:t>
            </w:r>
          </w:p>
        </w:tc>
        <w:tc>
          <w:tcPr>
            <w:tcW w:w="3949" w:type="dxa"/>
            <w:noWrap w:val="0"/>
            <w:vAlign w:val="center"/>
          </w:tcPr>
          <w:p w14:paraId="59F0735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Singapore Chinese Physicians’ Association (SCPA); Chung Hwa Medical &amp; Drugs Research Institute</w:t>
            </w:r>
          </w:p>
        </w:tc>
        <w:tc>
          <w:tcPr>
            <w:tcW w:w="2225" w:type="dxa"/>
            <w:noWrap w:val="0"/>
            <w:vAlign w:val="center"/>
          </w:tcPr>
          <w:p w14:paraId="7AA2F2E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63FF6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458D97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Zheng Xiufen</w:t>
            </w:r>
          </w:p>
        </w:tc>
        <w:tc>
          <w:tcPr>
            <w:tcW w:w="1254" w:type="dxa"/>
            <w:noWrap w:val="0"/>
            <w:vAlign w:val="center"/>
          </w:tcPr>
          <w:p w14:paraId="51BFDA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Dr.</w:t>
            </w:r>
          </w:p>
        </w:tc>
        <w:tc>
          <w:tcPr>
            <w:tcW w:w="1316" w:type="dxa"/>
            <w:noWrap w:val="0"/>
            <w:vAlign w:val="center"/>
          </w:tcPr>
          <w:p w14:paraId="02A369E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Associate Professor</w:t>
            </w:r>
          </w:p>
        </w:tc>
        <w:tc>
          <w:tcPr>
            <w:tcW w:w="3949" w:type="dxa"/>
            <w:noWrap w:val="0"/>
            <w:vAlign w:val="center"/>
          </w:tcPr>
          <w:p w14:paraId="0439BDC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‌Tunku Abdul Rahman University‌</w:t>
            </w:r>
          </w:p>
        </w:tc>
        <w:tc>
          <w:tcPr>
            <w:tcW w:w="2225" w:type="dxa"/>
            <w:noWrap w:val="0"/>
            <w:vAlign w:val="center"/>
          </w:tcPr>
          <w:p w14:paraId="3FC529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1A4A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2F09E5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Lin Wenxian</w:t>
            </w:r>
          </w:p>
        </w:tc>
        <w:tc>
          <w:tcPr>
            <w:tcW w:w="1254" w:type="dxa"/>
            <w:noWrap w:val="0"/>
            <w:vAlign w:val="center"/>
          </w:tcPr>
          <w:p w14:paraId="4EF5CC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316" w:type="dxa"/>
            <w:noWrap w:val="0"/>
            <w:vAlign w:val="center"/>
          </w:tcPr>
          <w:p w14:paraId="06BFBD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Physician</w:t>
            </w:r>
          </w:p>
        </w:tc>
        <w:tc>
          <w:tcPr>
            <w:tcW w:w="3949" w:type="dxa"/>
            <w:noWrap w:val="0"/>
            <w:vAlign w:val="center"/>
          </w:tcPr>
          <w:p w14:paraId="52BB7F1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‌Chinese Medicine Hospital</w:t>
            </w:r>
          </w:p>
        </w:tc>
        <w:tc>
          <w:tcPr>
            <w:tcW w:w="2225" w:type="dxa"/>
            <w:noWrap w:val="0"/>
            <w:vAlign w:val="center"/>
          </w:tcPr>
          <w:p w14:paraId="7ED5DA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553E4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530829F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Lu Qing</w:t>
            </w:r>
          </w:p>
        </w:tc>
        <w:tc>
          <w:tcPr>
            <w:tcW w:w="1254" w:type="dxa"/>
            <w:noWrap w:val="0"/>
            <w:vAlign w:val="center"/>
          </w:tcPr>
          <w:p w14:paraId="27AABD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Degree</w:t>
            </w:r>
          </w:p>
        </w:tc>
        <w:tc>
          <w:tcPr>
            <w:tcW w:w="1316" w:type="dxa"/>
            <w:noWrap w:val="0"/>
            <w:vAlign w:val="center"/>
          </w:tcPr>
          <w:p w14:paraId="51C8E4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Physician, Clinical Professor</w:t>
            </w:r>
          </w:p>
        </w:tc>
        <w:tc>
          <w:tcPr>
            <w:tcW w:w="3949" w:type="dxa"/>
            <w:noWrap w:val="0"/>
            <w:vAlign w:val="center"/>
          </w:tcPr>
          <w:p w14:paraId="52EEB63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Endeavour College of Natural Health; ‌Lushi Traditional Chinese Medicine Acupuncture Clinic</w:t>
            </w:r>
          </w:p>
        </w:tc>
        <w:tc>
          <w:tcPr>
            <w:tcW w:w="2225" w:type="dxa"/>
            <w:noWrap w:val="0"/>
            <w:vAlign w:val="center"/>
          </w:tcPr>
          <w:p w14:paraId="5504D1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3D218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4DA818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Qiao Mulin</w:t>
            </w:r>
          </w:p>
        </w:tc>
        <w:tc>
          <w:tcPr>
            <w:tcW w:w="1254" w:type="dxa"/>
            <w:noWrap w:val="0"/>
            <w:vAlign w:val="center"/>
          </w:tcPr>
          <w:p w14:paraId="17A6ABB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Degree</w:t>
            </w:r>
          </w:p>
        </w:tc>
        <w:tc>
          <w:tcPr>
            <w:tcW w:w="1316" w:type="dxa"/>
            <w:noWrap w:val="0"/>
            <w:vAlign w:val="center"/>
          </w:tcPr>
          <w:p w14:paraId="7C22651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w:t>
            </w:r>
          </w:p>
        </w:tc>
        <w:tc>
          <w:tcPr>
            <w:tcW w:w="3949" w:type="dxa"/>
            <w:noWrap w:val="0"/>
            <w:vAlign w:val="center"/>
          </w:tcPr>
          <w:p w14:paraId="4527C4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Endeavour College of Natural Health, Australia；Hui Cui Chinese Medicine &amp; Acupuncture Center</w:t>
            </w:r>
          </w:p>
        </w:tc>
        <w:tc>
          <w:tcPr>
            <w:tcW w:w="2225" w:type="dxa"/>
            <w:noWrap w:val="0"/>
            <w:vAlign w:val="center"/>
          </w:tcPr>
          <w:p w14:paraId="36246C8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3650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76CB5EE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Min Kaijia</w:t>
            </w:r>
          </w:p>
        </w:tc>
        <w:tc>
          <w:tcPr>
            <w:tcW w:w="1254" w:type="dxa"/>
            <w:noWrap w:val="0"/>
            <w:vAlign w:val="center"/>
          </w:tcPr>
          <w:p w14:paraId="7FAC42E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06A2E2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Visiting Professor</w:t>
            </w:r>
          </w:p>
        </w:tc>
        <w:tc>
          <w:tcPr>
            <w:tcW w:w="3949" w:type="dxa"/>
            <w:noWrap w:val="0"/>
            <w:vAlign w:val="center"/>
          </w:tcPr>
          <w:p w14:paraId="7692C4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lang w:val="en-US"/>
              </w:rPr>
              <w:t>U</w:t>
            </w:r>
            <w:r>
              <w:rPr>
                <w:rFonts w:hint="default" w:ascii="Cambria" w:hAnsi="Cambria" w:cs="Cambria"/>
                <w:sz w:val="24"/>
                <w:szCs w:val="24"/>
              </w:rPr>
              <w:t>niversity of east-west Medicine</w:t>
            </w:r>
          </w:p>
        </w:tc>
        <w:tc>
          <w:tcPr>
            <w:tcW w:w="2225" w:type="dxa"/>
            <w:noWrap w:val="0"/>
            <w:vAlign w:val="center"/>
          </w:tcPr>
          <w:p w14:paraId="6B5392F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7C1AF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7238576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Xu Zhenyu</w:t>
            </w:r>
          </w:p>
        </w:tc>
        <w:tc>
          <w:tcPr>
            <w:tcW w:w="1254" w:type="dxa"/>
            <w:noWrap w:val="0"/>
            <w:vAlign w:val="center"/>
          </w:tcPr>
          <w:p w14:paraId="5D49932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Degree</w:t>
            </w:r>
          </w:p>
        </w:tc>
        <w:tc>
          <w:tcPr>
            <w:tcW w:w="1316" w:type="dxa"/>
            <w:noWrap w:val="0"/>
            <w:vAlign w:val="center"/>
          </w:tcPr>
          <w:p w14:paraId="23ED1B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Chief Physician</w:t>
            </w:r>
          </w:p>
        </w:tc>
        <w:tc>
          <w:tcPr>
            <w:tcW w:w="3949" w:type="dxa"/>
            <w:noWrap w:val="0"/>
            <w:vAlign w:val="center"/>
          </w:tcPr>
          <w:p w14:paraId="4F05346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Yuguo Traditional Chinese Medicine Clinic</w:t>
            </w:r>
          </w:p>
        </w:tc>
        <w:tc>
          <w:tcPr>
            <w:tcW w:w="2225" w:type="dxa"/>
            <w:noWrap w:val="0"/>
            <w:vAlign w:val="center"/>
          </w:tcPr>
          <w:p w14:paraId="66A52F0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r w14:paraId="13EE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1268" w:type="dxa"/>
            <w:noWrap w:val="0"/>
            <w:vAlign w:val="center"/>
          </w:tcPr>
          <w:p w14:paraId="0A3A79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Xu Weiying</w:t>
            </w:r>
          </w:p>
        </w:tc>
        <w:tc>
          <w:tcPr>
            <w:tcW w:w="1254" w:type="dxa"/>
            <w:noWrap w:val="0"/>
            <w:vAlign w:val="center"/>
          </w:tcPr>
          <w:p w14:paraId="56A188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16" w:type="dxa"/>
            <w:noWrap w:val="0"/>
            <w:vAlign w:val="center"/>
          </w:tcPr>
          <w:p w14:paraId="68ACD59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w:t>
            </w:r>
          </w:p>
        </w:tc>
        <w:tc>
          <w:tcPr>
            <w:tcW w:w="3949" w:type="dxa"/>
            <w:noWrap w:val="0"/>
            <w:vAlign w:val="center"/>
          </w:tcPr>
          <w:p w14:paraId="74D565A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Faculty of Chinese Medicine</w:t>
            </w:r>
          </w:p>
        </w:tc>
        <w:tc>
          <w:tcPr>
            <w:tcW w:w="2225" w:type="dxa"/>
            <w:noWrap w:val="0"/>
            <w:vAlign w:val="center"/>
          </w:tcPr>
          <w:p w14:paraId="2EC4CDD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Participated in the expert questionnaire survey.</w:t>
            </w:r>
          </w:p>
        </w:tc>
      </w:tr>
    </w:tbl>
    <w:p w14:paraId="4A107497">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3.4 Expert Advisory Group Expert</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316"/>
        <w:gridCol w:w="1354"/>
        <w:gridCol w:w="2994"/>
        <w:gridCol w:w="3260"/>
      </w:tblGrid>
      <w:tr w14:paraId="2FF38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7C104B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Name</w:t>
            </w:r>
          </w:p>
        </w:tc>
        <w:tc>
          <w:tcPr>
            <w:tcW w:w="703" w:type="dxa"/>
            <w:noWrap w:val="0"/>
            <w:vAlign w:val="center"/>
          </w:tcPr>
          <w:p w14:paraId="705A986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Degree</w:t>
            </w:r>
          </w:p>
        </w:tc>
        <w:tc>
          <w:tcPr>
            <w:tcW w:w="1354" w:type="dxa"/>
            <w:noWrap w:val="0"/>
            <w:vAlign w:val="center"/>
          </w:tcPr>
          <w:p w14:paraId="562E51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Title</w:t>
            </w:r>
          </w:p>
        </w:tc>
        <w:tc>
          <w:tcPr>
            <w:tcW w:w="2994" w:type="dxa"/>
            <w:noWrap w:val="0"/>
            <w:vAlign w:val="center"/>
          </w:tcPr>
          <w:p w14:paraId="4BBFCF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Affiliation</w:t>
            </w:r>
          </w:p>
        </w:tc>
        <w:tc>
          <w:tcPr>
            <w:tcW w:w="3260" w:type="dxa"/>
            <w:noWrap w:val="0"/>
            <w:vAlign w:val="center"/>
          </w:tcPr>
          <w:p w14:paraId="4050B0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Responsibilities</w:t>
            </w:r>
          </w:p>
        </w:tc>
      </w:tr>
      <w:tr w14:paraId="1083E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E4FEC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Ding Ying</w:t>
            </w:r>
          </w:p>
        </w:tc>
        <w:tc>
          <w:tcPr>
            <w:tcW w:w="703" w:type="dxa"/>
            <w:noWrap w:val="0"/>
            <w:vAlign w:val="center"/>
          </w:tcPr>
          <w:p w14:paraId="2EFB9A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Bachelor's Degree</w:t>
            </w:r>
          </w:p>
        </w:tc>
        <w:tc>
          <w:tcPr>
            <w:tcW w:w="1354" w:type="dxa"/>
            <w:noWrap w:val="0"/>
            <w:vAlign w:val="center"/>
          </w:tcPr>
          <w:p w14:paraId="3F1B5C7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PhD Supervisor</w:t>
            </w:r>
          </w:p>
        </w:tc>
        <w:tc>
          <w:tcPr>
            <w:tcW w:w="2994" w:type="dxa"/>
            <w:noWrap w:val="0"/>
            <w:vAlign w:val="center"/>
          </w:tcPr>
          <w:p w14:paraId="044E13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The First Affiliated Hospital of Henan University of Chinese Medicine‌</w:t>
            </w:r>
          </w:p>
        </w:tc>
        <w:tc>
          <w:tcPr>
            <w:tcW w:w="3260" w:type="dxa"/>
            <w:noWrap w:val="0"/>
            <w:vAlign w:val="center"/>
          </w:tcPr>
          <w:p w14:paraId="0BB8D4E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Guided the development of standards and participated in expert review meetings.</w:t>
            </w:r>
          </w:p>
        </w:tc>
      </w:tr>
      <w:tr w14:paraId="32CB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7BCDE6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 Lisheng</w:t>
            </w:r>
          </w:p>
        </w:tc>
        <w:tc>
          <w:tcPr>
            <w:tcW w:w="703" w:type="dxa"/>
            <w:noWrap w:val="0"/>
            <w:vAlign w:val="center"/>
          </w:tcPr>
          <w:p w14:paraId="0A66CF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54" w:type="dxa"/>
            <w:noWrap w:val="0"/>
            <w:vAlign w:val="center"/>
          </w:tcPr>
          <w:p w14:paraId="29A051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PhD Supervisor</w:t>
            </w:r>
          </w:p>
        </w:tc>
        <w:tc>
          <w:tcPr>
            <w:tcW w:w="2994" w:type="dxa"/>
            <w:noWrap w:val="0"/>
            <w:vAlign w:val="center"/>
          </w:tcPr>
          <w:p w14:paraId="19C67B0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Shenzhen Traditional Chinese Medicine Hospital</w:t>
            </w:r>
          </w:p>
        </w:tc>
        <w:tc>
          <w:tcPr>
            <w:tcW w:w="3260" w:type="dxa"/>
            <w:noWrap w:val="0"/>
            <w:vAlign w:val="center"/>
          </w:tcPr>
          <w:p w14:paraId="1672B1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Guided the development of standards and participated in expert review meetings.</w:t>
            </w:r>
          </w:p>
        </w:tc>
      </w:tr>
      <w:tr w14:paraId="7CC7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8E5E9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 Rong</w:t>
            </w:r>
          </w:p>
        </w:tc>
        <w:tc>
          <w:tcPr>
            <w:tcW w:w="703" w:type="dxa"/>
            <w:noWrap w:val="0"/>
            <w:vAlign w:val="center"/>
          </w:tcPr>
          <w:p w14:paraId="021340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54" w:type="dxa"/>
            <w:noWrap w:val="0"/>
            <w:vAlign w:val="center"/>
          </w:tcPr>
          <w:p w14:paraId="4898B1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Professor, Chief Physician, PhD Supervisor</w:t>
            </w:r>
          </w:p>
        </w:tc>
        <w:tc>
          <w:tcPr>
            <w:tcW w:w="2994" w:type="dxa"/>
            <w:noWrap w:val="0"/>
            <w:vAlign w:val="center"/>
          </w:tcPr>
          <w:p w14:paraId="792DD6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The First Affiliated Hospital of Tianjin University of Traditional Chinese Medicine</w:t>
            </w:r>
          </w:p>
        </w:tc>
        <w:tc>
          <w:tcPr>
            <w:tcW w:w="3260" w:type="dxa"/>
            <w:noWrap w:val="0"/>
            <w:vAlign w:val="center"/>
          </w:tcPr>
          <w:p w14:paraId="4493C8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Guided the development of standards and participated in expert review meetings.</w:t>
            </w:r>
          </w:p>
        </w:tc>
      </w:tr>
      <w:tr w14:paraId="6E2A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3E3F2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Youpeng</w:t>
            </w:r>
          </w:p>
        </w:tc>
        <w:tc>
          <w:tcPr>
            <w:tcW w:w="703" w:type="dxa"/>
            <w:noWrap w:val="0"/>
            <w:vAlign w:val="center"/>
          </w:tcPr>
          <w:p w14:paraId="0FF38B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54" w:type="dxa"/>
            <w:noWrap w:val="0"/>
            <w:vAlign w:val="center"/>
          </w:tcPr>
          <w:p w14:paraId="00D64B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and PhD Supervisor</w:t>
            </w:r>
          </w:p>
        </w:tc>
        <w:tc>
          <w:tcPr>
            <w:tcW w:w="2994" w:type="dxa"/>
            <w:noWrap w:val="0"/>
            <w:vAlign w:val="center"/>
          </w:tcPr>
          <w:p w14:paraId="7131F9B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Second Affiliated Hospital of Heilongjiang University of Chinese Medicine‌</w:t>
            </w:r>
          </w:p>
        </w:tc>
        <w:tc>
          <w:tcPr>
            <w:tcW w:w="3260" w:type="dxa"/>
            <w:noWrap w:val="0"/>
            <w:vAlign w:val="center"/>
          </w:tcPr>
          <w:p w14:paraId="1744892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Guided the development of standards and participated in expert review meetings.</w:t>
            </w:r>
          </w:p>
        </w:tc>
      </w:tr>
      <w:tr w14:paraId="6AF4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68BBEF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Lili</w:t>
            </w:r>
          </w:p>
        </w:tc>
        <w:tc>
          <w:tcPr>
            <w:tcW w:w="703" w:type="dxa"/>
            <w:noWrap w:val="0"/>
            <w:vAlign w:val="center"/>
          </w:tcPr>
          <w:p w14:paraId="3756B7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Master’s Degree</w:t>
            </w:r>
          </w:p>
        </w:tc>
        <w:tc>
          <w:tcPr>
            <w:tcW w:w="1354" w:type="dxa"/>
            <w:noWrap w:val="0"/>
            <w:vAlign w:val="center"/>
          </w:tcPr>
          <w:p w14:paraId="627EB9B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Associate Editor</w:t>
            </w:r>
          </w:p>
        </w:tc>
        <w:tc>
          <w:tcPr>
            <w:tcW w:w="2994" w:type="dxa"/>
            <w:noWrap w:val="0"/>
            <w:vAlign w:val="center"/>
          </w:tcPr>
          <w:p w14:paraId="2CA469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eastAsia="宋体" w:cs="Cambria"/>
                <w:sz w:val="24"/>
                <w:szCs w:val="24"/>
                <w:lang w:val="en-US" w:eastAsia="zh-CN"/>
              </w:rPr>
            </w:pPr>
            <w:r>
              <w:rPr>
                <w:rFonts w:hint="default" w:ascii="Cambria" w:hAnsi="Cambria" w:cs="Cambria"/>
                <w:sz w:val="24"/>
                <w:szCs w:val="24"/>
              </w:rPr>
              <w:t>World Federation of Chinese Medicine Societies</w:t>
            </w:r>
            <w:r>
              <w:rPr>
                <w:rFonts w:hint="default" w:ascii="Cambria" w:hAnsi="Cambria" w:cs="Cambria"/>
                <w:sz w:val="24"/>
                <w:szCs w:val="24"/>
                <w:lang w:val="en-US" w:eastAsia="zh-CN"/>
              </w:rPr>
              <w:t xml:space="preserve"> </w:t>
            </w:r>
            <w:r>
              <w:rPr>
                <w:rFonts w:hint="default" w:ascii="Cambria" w:hAnsi="Cambria" w:cs="Cambria"/>
                <w:sz w:val="24"/>
                <w:szCs w:val="24"/>
              </w:rPr>
              <w:t>Department</w:t>
            </w:r>
            <w:r>
              <w:rPr>
                <w:rFonts w:hint="default" w:ascii="Cambria" w:hAnsi="Cambria" w:cs="Cambria"/>
                <w:sz w:val="24"/>
                <w:szCs w:val="24"/>
                <w:lang w:val="en-US"/>
              </w:rPr>
              <w:t xml:space="preserve"> Standardization Department‌ </w:t>
            </w:r>
          </w:p>
        </w:tc>
        <w:tc>
          <w:tcPr>
            <w:tcW w:w="3260" w:type="dxa"/>
            <w:noWrap w:val="0"/>
            <w:vAlign w:val="center"/>
          </w:tcPr>
          <w:p w14:paraId="26E816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Guides the development of standards and participates in expert review meetings.</w:t>
            </w:r>
          </w:p>
        </w:tc>
      </w:tr>
      <w:tr w14:paraId="5589B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9A236C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Wang Su-mei</w:t>
            </w:r>
          </w:p>
        </w:tc>
        <w:tc>
          <w:tcPr>
            <w:tcW w:w="703" w:type="dxa"/>
            <w:noWrap w:val="0"/>
            <w:vAlign w:val="center"/>
          </w:tcPr>
          <w:p w14:paraId="0A3B737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Bachelor's Degree</w:t>
            </w:r>
          </w:p>
        </w:tc>
        <w:tc>
          <w:tcPr>
            <w:tcW w:w="1354" w:type="dxa"/>
            <w:noWrap w:val="0"/>
            <w:vAlign w:val="center"/>
          </w:tcPr>
          <w:p w14:paraId="6A5D6B6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and Doctoral Advisor</w:t>
            </w:r>
          </w:p>
        </w:tc>
        <w:tc>
          <w:tcPr>
            <w:tcW w:w="2994" w:type="dxa"/>
            <w:noWrap w:val="0"/>
            <w:vAlign w:val="center"/>
          </w:tcPr>
          <w:p w14:paraId="320B42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‌Dongfang Hospital, Beijing University of Chinese Medicine‌</w:t>
            </w:r>
          </w:p>
        </w:tc>
        <w:tc>
          <w:tcPr>
            <w:tcW w:w="3260" w:type="dxa"/>
            <w:noWrap w:val="0"/>
            <w:vAlign w:val="center"/>
          </w:tcPr>
          <w:p w14:paraId="57FE813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Guided the development of standards and participated in expert review meetings.</w:t>
            </w:r>
          </w:p>
        </w:tc>
      </w:tr>
      <w:tr w14:paraId="52B0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1EB21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Shi Zhenggang</w:t>
            </w:r>
          </w:p>
        </w:tc>
        <w:tc>
          <w:tcPr>
            <w:tcW w:w="703" w:type="dxa"/>
            <w:noWrap w:val="0"/>
            <w:vAlign w:val="center"/>
          </w:tcPr>
          <w:p w14:paraId="62AF194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54" w:type="dxa"/>
            <w:noWrap w:val="0"/>
            <w:vAlign w:val="center"/>
          </w:tcPr>
          <w:p w14:paraId="1B3A89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PhD Supervisor</w:t>
            </w:r>
          </w:p>
        </w:tc>
        <w:tc>
          <w:tcPr>
            <w:tcW w:w="2994" w:type="dxa"/>
            <w:noWrap w:val="0"/>
            <w:vAlign w:val="center"/>
          </w:tcPr>
          <w:p w14:paraId="56A293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Gansu University of Chinese Medicine</w:t>
            </w:r>
          </w:p>
        </w:tc>
        <w:tc>
          <w:tcPr>
            <w:tcW w:w="3260" w:type="dxa"/>
            <w:noWrap w:val="0"/>
            <w:vAlign w:val="center"/>
          </w:tcPr>
          <w:p w14:paraId="2CA745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Guided the development of standards and participated in expert review meetings.</w:t>
            </w:r>
          </w:p>
        </w:tc>
      </w:tr>
      <w:tr w14:paraId="3C64D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DF41C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Liu Jianzhong</w:t>
            </w:r>
          </w:p>
        </w:tc>
        <w:tc>
          <w:tcPr>
            <w:tcW w:w="703" w:type="dxa"/>
            <w:noWrap w:val="0"/>
            <w:vAlign w:val="center"/>
          </w:tcPr>
          <w:p w14:paraId="6AA797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54" w:type="dxa"/>
            <w:noWrap w:val="0"/>
            <w:vAlign w:val="center"/>
          </w:tcPr>
          <w:p w14:paraId="4B833B4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PhD Supervisor</w:t>
            </w:r>
          </w:p>
        </w:tc>
        <w:tc>
          <w:tcPr>
            <w:tcW w:w="2994" w:type="dxa"/>
            <w:noWrap w:val="0"/>
            <w:vAlign w:val="center"/>
          </w:tcPr>
          <w:p w14:paraId="5C4B44C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Hubei University of </w:t>
            </w:r>
            <w:r>
              <w:rPr>
                <w:rFonts w:hint="default" w:ascii="Cambria" w:hAnsi="Cambria" w:cs="Cambria"/>
                <w:sz w:val="24"/>
                <w:szCs w:val="24"/>
                <w:lang w:val="en-US" w:eastAsia="zh-CN"/>
              </w:rPr>
              <w:t xml:space="preserve"> </w:t>
            </w:r>
            <w:r>
              <w:rPr>
                <w:rFonts w:hint="default" w:ascii="Cambria" w:hAnsi="Cambria" w:cs="Cambria"/>
                <w:sz w:val="24"/>
                <w:szCs w:val="24"/>
              </w:rPr>
              <w:t>Chinese Medicine</w:t>
            </w:r>
          </w:p>
        </w:tc>
        <w:tc>
          <w:tcPr>
            <w:tcW w:w="3260" w:type="dxa"/>
            <w:noWrap w:val="0"/>
            <w:vAlign w:val="center"/>
          </w:tcPr>
          <w:p w14:paraId="4BED5E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Guided the development of standards and participated in expert review meetings.</w:t>
            </w:r>
          </w:p>
        </w:tc>
      </w:tr>
      <w:tr w14:paraId="1BB6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03C13C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Zhang Baoqing</w:t>
            </w:r>
          </w:p>
        </w:tc>
        <w:tc>
          <w:tcPr>
            <w:tcW w:w="703" w:type="dxa"/>
            <w:noWrap w:val="0"/>
            <w:vAlign w:val="center"/>
          </w:tcPr>
          <w:p w14:paraId="094BF6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54" w:type="dxa"/>
            <w:noWrap w:val="0"/>
            <w:vAlign w:val="center"/>
          </w:tcPr>
          <w:p w14:paraId="07408DC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PhD Supervisor</w:t>
            </w:r>
          </w:p>
        </w:tc>
        <w:tc>
          <w:tcPr>
            <w:tcW w:w="2994" w:type="dxa"/>
            <w:noWrap w:val="0"/>
            <w:vAlign w:val="center"/>
          </w:tcPr>
          <w:p w14:paraId="15ED1B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Affiliated Hospital of Shandong University of Traditional Chinese Medicine</w:t>
            </w:r>
          </w:p>
        </w:tc>
        <w:tc>
          <w:tcPr>
            <w:tcW w:w="3260" w:type="dxa"/>
            <w:noWrap w:val="0"/>
            <w:vAlign w:val="center"/>
          </w:tcPr>
          <w:p w14:paraId="7F70B9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Guided the development of standards and participated in expert review meetings.</w:t>
            </w:r>
          </w:p>
        </w:tc>
      </w:tr>
      <w:tr w14:paraId="414B2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5385E3B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Yu Jian</w:t>
            </w:r>
          </w:p>
        </w:tc>
        <w:tc>
          <w:tcPr>
            <w:tcW w:w="703" w:type="dxa"/>
            <w:noWrap w:val="0"/>
            <w:vAlign w:val="center"/>
          </w:tcPr>
          <w:p w14:paraId="0E5120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Ph.D.</w:t>
            </w:r>
          </w:p>
        </w:tc>
        <w:tc>
          <w:tcPr>
            <w:tcW w:w="1354" w:type="dxa"/>
            <w:noWrap w:val="0"/>
            <w:vAlign w:val="center"/>
          </w:tcPr>
          <w:p w14:paraId="60D69F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Master’s Supervisor</w:t>
            </w:r>
          </w:p>
        </w:tc>
        <w:tc>
          <w:tcPr>
            <w:tcW w:w="2994" w:type="dxa"/>
            <w:noWrap w:val="0"/>
            <w:vAlign w:val="center"/>
          </w:tcPr>
          <w:p w14:paraId="627A265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Children's Hospital of Fudan University‌ </w:t>
            </w:r>
          </w:p>
        </w:tc>
        <w:tc>
          <w:tcPr>
            <w:tcW w:w="3260" w:type="dxa"/>
            <w:noWrap w:val="0"/>
            <w:vAlign w:val="center"/>
          </w:tcPr>
          <w:p w14:paraId="1E460F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Guided the development of standards and participated in expert review meetings.</w:t>
            </w:r>
          </w:p>
        </w:tc>
      </w:tr>
      <w:tr w14:paraId="2E9B7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3782E8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Yu Jian'er</w:t>
            </w:r>
          </w:p>
        </w:tc>
        <w:tc>
          <w:tcPr>
            <w:tcW w:w="703" w:type="dxa"/>
            <w:noWrap w:val="0"/>
            <w:vAlign w:val="center"/>
          </w:tcPr>
          <w:p w14:paraId="527513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354" w:type="dxa"/>
            <w:noWrap w:val="0"/>
            <w:vAlign w:val="center"/>
          </w:tcPr>
          <w:p w14:paraId="4D9A952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Chief Physician, Doctoral Supervisor</w:t>
            </w:r>
          </w:p>
        </w:tc>
        <w:tc>
          <w:tcPr>
            <w:tcW w:w="2994" w:type="dxa"/>
            <w:noWrap w:val="0"/>
            <w:vAlign w:val="center"/>
          </w:tcPr>
          <w:p w14:paraId="77EC92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Shanghai Hospital of Traditional Chinese Medicine</w:t>
            </w:r>
          </w:p>
        </w:tc>
        <w:tc>
          <w:tcPr>
            <w:tcW w:w="3260" w:type="dxa"/>
            <w:noWrap w:val="0"/>
            <w:vAlign w:val="center"/>
          </w:tcPr>
          <w:p w14:paraId="582942A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Guided the development of standards and participated in expert review meetings.</w:t>
            </w:r>
          </w:p>
        </w:tc>
      </w:tr>
      <w:tr w14:paraId="39B3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19E615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Xiong Lei</w:t>
            </w:r>
          </w:p>
        </w:tc>
        <w:tc>
          <w:tcPr>
            <w:tcW w:w="703" w:type="dxa"/>
            <w:noWrap w:val="0"/>
            <w:vAlign w:val="center"/>
          </w:tcPr>
          <w:p w14:paraId="1FB1AA5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Master’s Degree</w:t>
            </w:r>
          </w:p>
        </w:tc>
        <w:tc>
          <w:tcPr>
            <w:tcW w:w="1354" w:type="dxa"/>
            <w:noWrap w:val="0"/>
            <w:vAlign w:val="center"/>
          </w:tcPr>
          <w:p w14:paraId="769240F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Professor, PhD Supervisor</w:t>
            </w:r>
          </w:p>
        </w:tc>
        <w:tc>
          <w:tcPr>
            <w:tcW w:w="2994" w:type="dxa"/>
            <w:noWrap w:val="0"/>
            <w:vAlign w:val="center"/>
          </w:tcPr>
          <w:p w14:paraId="1ADB644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‌Yunnan Provincial Hospital of Traditional Chinese Medicine</w:t>
            </w:r>
          </w:p>
        </w:tc>
        <w:tc>
          <w:tcPr>
            <w:tcW w:w="3260" w:type="dxa"/>
            <w:noWrap w:val="0"/>
            <w:vAlign w:val="center"/>
          </w:tcPr>
          <w:p w14:paraId="6AED3D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Guided the development of standards and participated in expert review meetings.</w:t>
            </w:r>
          </w:p>
        </w:tc>
      </w:tr>
      <w:tr w14:paraId="4B4E4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953" w:type="dxa"/>
            <w:noWrap w:val="0"/>
            <w:vAlign w:val="center"/>
          </w:tcPr>
          <w:p w14:paraId="253669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Dai Qigang</w:t>
            </w:r>
          </w:p>
        </w:tc>
        <w:tc>
          <w:tcPr>
            <w:tcW w:w="703" w:type="dxa"/>
            <w:noWrap w:val="0"/>
            <w:vAlign w:val="center"/>
          </w:tcPr>
          <w:p w14:paraId="4EF560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 xml:space="preserve"> Ph.D.</w:t>
            </w:r>
          </w:p>
        </w:tc>
        <w:tc>
          <w:tcPr>
            <w:tcW w:w="1354" w:type="dxa"/>
            <w:noWrap w:val="0"/>
            <w:vAlign w:val="center"/>
          </w:tcPr>
          <w:p w14:paraId="421E8CF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Associate Professor, Chief Physician, Master’s Supervisor</w:t>
            </w:r>
          </w:p>
        </w:tc>
        <w:tc>
          <w:tcPr>
            <w:tcW w:w="2994" w:type="dxa"/>
            <w:noWrap w:val="0"/>
            <w:vAlign w:val="center"/>
          </w:tcPr>
          <w:p w14:paraId="1FED43D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Nanjing University of Chinese Medicine</w:t>
            </w:r>
          </w:p>
        </w:tc>
        <w:tc>
          <w:tcPr>
            <w:tcW w:w="3260" w:type="dxa"/>
            <w:noWrap w:val="0"/>
            <w:vAlign w:val="center"/>
          </w:tcPr>
          <w:p w14:paraId="1A67E41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Cambria" w:hAnsi="Cambria" w:cs="Cambria"/>
                <w:sz w:val="24"/>
                <w:szCs w:val="24"/>
              </w:rPr>
            </w:pPr>
            <w:r>
              <w:rPr>
                <w:rFonts w:hint="default" w:ascii="Cambria" w:hAnsi="Cambria" w:cs="Cambria"/>
                <w:sz w:val="24"/>
                <w:szCs w:val="24"/>
              </w:rPr>
              <w:t>Guided the development of standards and participated in expert review meetings.</w:t>
            </w:r>
          </w:p>
        </w:tc>
      </w:tr>
    </w:tbl>
    <w:p w14:paraId="1B7B86F9">
      <w:pPr>
        <w:pStyle w:val="2"/>
        <w:spacing w:before="312" w:beforeLines="100" w:after="312" w:afterLines="100" w:line="276" w:lineRule="auto"/>
        <w:rPr>
          <w:rFonts w:hint="default" w:ascii="Cambria" w:hAnsi="Cambria" w:eastAsia="仿宋" w:cs="Cambria"/>
          <w:sz w:val="21"/>
          <w:szCs w:val="21"/>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04625C8F">
      <w:pPr>
        <w:numPr>
          <w:ilvl w:val="0"/>
          <w:numId w:val="0"/>
        </w:num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cs="Cambria"/>
          <w:b/>
          <w:bCs/>
          <w:color w:val="auto"/>
          <w:kern w:val="2"/>
          <w:sz w:val="24"/>
          <w:szCs w:val="24"/>
          <w:lang w:val="en-US" w:eastAsia="zh-CN" w:bidi="ar-SA"/>
        </w:rPr>
        <w:t>4</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eastAsia="宋体" w:cs="Cambria"/>
          <w:b/>
          <w:bCs/>
          <w:color w:val="auto"/>
          <w:kern w:val="2"/>
          <w:sz w:val="24"/>
          <w:szCs w:val="24"/>
          <w:lang w:val="en-US" w:eastAsia="zh-CN" w:bidi="ar-SA"/>
        </w:rPr>
        <w:t>Main Work Process</w:t>
      </w:r>
    </w:p>
    <w:p w14:paraId="071926A4">
      <w:pPr>
        <w:spacing w:before="100" w:after="100" w:line="276" w:lineRule="auto"/>
        <w:jc w:val="both"/>
        <w:rPr>
          <w:rFonts w:hint="default" w:ascii="Cambria" w:hAnsi="Cambria" w:eastAsia="宋体" w:cs="Cambria"/>
          <w:b/>
          <w:bCs/>
          <w:color w:val="auto"/>
          <w:kern w:val="2"/>
          <w:sz w:val="24"/>
          <w:szCs w:val="24"/>
          <w:lang w:val="en-US" w:eastAsia="zh-CN" w:bidi="ar-SA"/>
        </w:rPr>
        <w:sectPr>
          <w:type w:val="continuous"/>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6310D559">
      <w:pPr>
        <w:pStyle w:val="2"/>
        <w:keepNext/>
        <w:keepLines/>
        <w:pageBreakBefore w:val="0"/>
        <w:widowControl w:val="0"/>
        <w:kinsoku/>
        <w:wordWrap/>
        <w:overflowPunct/>
        <w:topLinePunct w:val="0"/>
        <w:autoSpaceDE/>
        <w:autoSpaceDN/>
        <w:bidi w:val="0"/>
        <w:adjustRightInd/>
        <w:snapToGrid/>
        <w:spacing w:before="0" w:after="0" w:line="276" w:lineRule="auto"/>
        <w:ind w:firstLine="480" w:firstLineChars="200"/>
        <w:jc w:val="both"/>
        <w:textAlignment w:val="auto"/>
        <w:rPr>
          <w:rFonts w:hint="default" w:ascii="Cambria" w:hAnsi="Cambria" w:eastAsia="宋体" w:cs="Cambria"/>
          <w:color w:val="auto"/>
          <w:kern w:val="2"/>
          <w:sz w:val="24"/>
          <w:szCs w:val="24"/>
          <w:lang w:val="en-US" w:eastAsia="zh-CN" w:bidi="ar-SA"/>
        </w:rPr>
      </w:pPr>
      <w:r>
        <w:rPr>
          <w:rFonts w:hint="default" w:ascii="Cambria" w:hAnsi="Cambria" w:eastAsia="宋体" w:cs="Cambria"/>
          <w:color w:val="auto"/>
          <w:kern w:val="2"/>
          <w:sz w:val="24"/>
          <w:szCs w:val="24"/>
          <w:lang w:val="en-US" w:eastAsia="zh-CN" w:bidi="ar-SA"/>
        </w:rPr>
        <w:t>The development of this standard strictly followed the requirements of WFCMS SCM 1.1-2021 Directives for Standardization-Part 1: Procedures for standard and development,revison and publication, ensuring the scientific validity, standardization, and international applicability of the conversion work. The development process comprised the following stages.</w:t>
      </w:r>
    </w:p>
    <w:p w14:paraId="6F7252A2">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eastAsia="宋体" w:cs="Cambria"/>
          <w:color w:val="auto"/>
          <w:kern w:val="2"/>
          <w:sz w:val="24"/>
          <w:szCs w:val="24"/>
          <w:lang w:val="en-US" w:eastAsia="zh-CN" w:bidi="ar-SA"/>
        </w:rPr>
      </w:pPr>
      <w:r>
        <w:rPr>
          <w:rFonts w:hint="default" w:ascii="Cambria" w:hAnsi="Cambria" w:eastAsia="宋体" w:cs="Cambria"/>
          <w:color w:val="auto"/>
          <w:kern w:val="2"/>
          <w:sz w:val="24"/>
          <w:szCs w:val="24"/>
          <w:lang w:val="en-US" w:eastAsia="zh-CN" w:bidi="ar-SA"/>
        </w:rPr>
        <w:t>Preparation Phase (April—September 2025): In April 2025, the project team was established, with Dr. Li Jiangquan, Chief Physician of TCM, serving as the project leader. The project proposal and the initial draft were prepared in accordance with WFCMS requirements and submitted in May, along with revised versions. Upon receipt of the proposal and draft, the WFCMS invited experts for review. Expert comments were returned in August, and the project team discussed and responded to each comment, providing justifications for any non-accepted suggestions. In September 2025, the WFCMS issued the formal project approval notice. The official conversion work commenced in late September, carried out in line with the WFCMS standards development and revision procedures.</w:t>
      </w:r>
      <w:r>
        <w:rPr>
          <w:rFonts w:hint="default" w:ascii="Cambria" w:hAnsi="Cambria" w:eastAsia="宋体" w:cs="Cambria"/>
          <w:color w:val="auto"/>
          <w:kern w:val="2"/>
          <w:sz w:val="24"/>
          <w:szCs w:val="24"/>
          <w:lang w:val="en-US" w:eastAsia="zh-CN" w:bidi="ar-SA"/>
        </w:rPr>
        <w:br w:type="textWrapping"/>
      </w:r>
      <w:r>
        <w:rPr>
          <w:rFonts w:hint="default" w:ascii="Cambria" w:hAnsi="Cambria" w:cs="Cambria"/>
          <w:color w:val="auto"/>
          <w:kern w:val="2"/>
          <w:sz w:val="24"/>
          <w:szCs w:val="24"/>
          <w:lang w:val="en-US" w:eastAsia="zh-CN" w:bidi="ar-SA"/>
        </w:rPr>
        <w:t xml:space="preserve">    </w:t>
      </w:r>
      <w:r>
        <w:rPr>
          <w:rFonts w:hint="default" w:ascii="Cambria" w:hAnsi="Cambria" w:eastAsia="宋体" w:cs="Cambria"/>
          <w:color w:val="auto"/>
          <w:kern w:val="2"/>
          <w:sz w:val="24"/>
          <w:szCs w:val="24"/>
          <w:lang w:val="en-US" w:eastAsia="zh-CN" w:bidi="ar-SA"/>
        </w:rPr>
        <w:t xml:space="preserve">Literature Review (September—October 2025): A systematic search was conducted for relevant standards, guidelines, and research literature both domestically and internationally. The search scope included international standards issued by the WHO and ISO/TC249, the Pharmacopoeia of the People's Republic of China (2025 Edition), group standards issued by the WFCMS and the China Association of Chinese Medicine, guidelines developed by foreign organizations such as Indian Pediatr, and research articles on pediatric tuina in databases including PubMed and CNKI. Search keywords included </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Pediatric,</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 xml:space="preserve"> </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Child,</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 xml:space="preserve"> </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Infant,</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 xml:space="preserve"> </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Newborn,</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 xml:space="preserve"> </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Tuina,</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 xml:space="preserve"> </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Massage,</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 xml:space="preserve"> as well as TCM-specific terms such as </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acupoints.</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 xml:space="preserve"> The retrieved results were subjected to initial and secondary screening, and the key evidence was incorporated to optimize and cross-reference the standard provisions, thereby providing an evidence base for the expert questionnaire survey.</w:t>
      </w:r>
    </w:p>
    <w:p w14:paraId="53CE2EF6">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eastAsia="宋体" w:cs="Cambria"/>
          <w:color w:val="auto"/>
          <w:kern w:val="2"/>
          <w:sz w:val="24"/>
          <w:szCs w:val="24"/>
          <w:lang w:val="en-US" w:eastAsia="zh-CN" w:bidi="ar-SA"/>
        </w:rPr>
      </w:pPr>
      <w:r>
        <w:rPr>
          <w:rFonts w:hint="default" w:ascii="Cambria" w:hAnsi="Cambria" w:eastAsia="宋体" w:cs="Cambria"/>
          <w:color w:val="auto"/>
          <w:kern w:val="2"/>
          <w:sz w:val="24"/>
          <w:szCs w:val="24"/>
          <w:lang w:val="en-US" w:eastAsia="zh-CN" w:bidi="ar-SA"/>
        </w:rPr>
        <w:t>Expert Questionnaire Survey (October—November 2025): An expert questionnaire survey was conducted. Based on the original national standard and informed by the literature search findings, a questionnaire was developed focusing on items that differed significantly from the original standard, such as terminology definitions, operational steps, and precautions. The questionnaire comprised 33 core items covering term definitions, operational steps and requirements, commonly used techniques in pediatric tuina, and appendix content. Questionnaires were distributed to 30 experts from both domestic and international backgrounds, covering seven countries and regions, including China (including Macau, China, and Taiwan, China), Singapore, Malaysia, Australia, and the United States. A total of 30 responses were collected, of which 27 were deemed valid, yielding an expert positive coefficient of 90%. Statistical analysis showed that consensus was reached on 21 items with over 50% expert support, while 12 contentious items and open-ended questions were submitted for focused discussion at the expert validation meeting.</w:t>
      </w:r>
    </w:p>
    <w:p w14:paraId="1F55B0E7">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eastAsia="宋体" w:cs="Cambria"/>
          <w:color w:val="auto"/>
          <w:kern w:val="2"/>
          <w:sz w:val="24"/>
          <w:szCs w:val="24"/>
          <w:lang w:val="en-US" w:eastAsia="zh-CN" w:bidi="ar-SA"/>
        </w:rPr>
      </w:pPr>
      <w:r>
        <w:rPr>
          <w:rFonts w:hint="default" w:ascii="Cambria" w:hAnsi="Cambria" w:eastAsia="宋体" w:cs="Cambria"/>
          <w:color w:val="auto"/>
          <w:kern w:val="2"/>
          <w:sz w:val="24"/>
          <w:szCs w:val="24"/>
          <w:lang w:val="en-US" w:eastAsia="zh-CN" w:bidi="ar-SA"/>
        </w:rPr>
        <w:t xml:space="preserve">Expert Validation Meeting (December 3, 2025): A hybrid online and offline expert validation meeting was convened to review the progress of the project, with particular emphasis on the unresolved issues identified in the expert questionnaire. The meeting adopted a three‑step approach: </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pre‑meeting correspondence review, in‑meeting discussion, and post‑meeting written confirmation.</w:t>
      </w:r>
      <w:r>
        <w:rPr>
          <w:rFonts w:hint="default" w:ascii="Cambria" w:hAnsi="Cambria" w:cs="Cambria"/>
          <w:color w:val="auto"/>
          <w:kern w:val="2"/>
          <w:sz w:val="24"/>
          <w:szCs w:val="24"/>
          <w:lang w:val="en-US" w:eastAsia="zh-CN" w:bidi="ar-SA"/>
        </w:rPr>
        <w:t>”</w:t>
      </w:r>
      <w:r>
        <w:rPr>
          <w:rFonts w:hint="default" w:ascii="Cambria" w:hAnsi="Cambria" w:eastAsia="宋体" w:cs="Cambria"/>
          <w:color w:val="auto"/>
          <w:kern w:val="2"/>
          <w:sz w:val="24"/>
          <w:szCs w:val="24"/>
          <w:lang w:val="en-US" w:eastAsia="zh-CN" w:bidi="ar-SA"/>
        </w:rPr>
        <w:t xml:space="preserve"> Questions for expert deliberation, including contentious items and the project team's preliminary opinions, were sent to the experts in advance. Each disputed item was scored and thoroughly discussed, leading to the formation of consensus-based revisions. In addition, open‑ended issues were addressed, covering topics such as local regulatory limitations, protection of special populations, and internationalization of terminological usage.</w:t>
      </w:r>
    </w:p>
    <w:p w14:paraId="2EB03840">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eastAsia="宋体" w:cs="Cambria"/>
          <w:color w:val="auto"/>
          <w:kern w:val="2"/>
          <w:sz w:val="24"/>
          <w:szCs w:val="24"/>
          <w:lang w:val="en-US" w:eastAsia="zh-CN" w:bidi="ar-SA"/>
        </w:rPr>
      </w:pPr>
      <w:r>
        <w:rPr>
          <w:rFonts w:hint="default" w:ascii="Cambria" w:hAnsi="Cambria" w:eastAsia="宋体" w:cs="Cambria"/>
          <w:color w:val="auto"/>
          <w:kern w:val="2"/>
          <w:sz w:val="24"/>
          <w:szCs w:val="24"/>
          <w:lang w:val="en-US" w:eastAsia="zh-CN" w:bidi="ar-SA"/>
        </w:rPr>
        <w:t>Joint Coordination Meeting of Five Project Teams (December 13, 2025): Core members from the five project teams—namely pediatric internal therapy by oral administration, commonly used external pediatric therapies, pediatric acupuncture therapy, pediatric tuina, and pediatric cupping therapy—participated in a joint meeting. The meeting summarized previous work, compiled opinions from questionnaire respondents and validation experts, aligned common elements across the standards, discussed and resolved several contentious items, and determined the next steps for project summarization, as well as the materials and timelines for submission to the WFCMS International Standards Department.</w:t>
      </w:r>
    </w:p>
    <w:p w14:paraId="54B13C2D">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eastAsia="宋体" w:cs="Cambria"/>
          <w:color w:val="auto"/>
          <w:kern w:val="2"/>
          <w:sz w:val="24"/>
          <w:szCs w:val="24"/>
          <w:lang w:val="en-US" w:eastAsia="zh-CN" w:bidi="ar-SA"/>
        </w:rPr>
      </w:pPr>
      <w:r>
        <w:rPr>
          <w:rFonts w:hint="default" w:ascii="Cambria" w:hAnsi="Cambria" w:eastAsia="宋体" w:cs="Cambria"/>
          <w:color w:val="auto"/>
          <w:kern w:val="2"/>
          <w:sz w:val="24"/>
          <w:szCs w:val="24"/>
          <w:lang w:val="en-US" w:eastAsia="zh-CN" w:bidi="ar-SA"/>
        </w:rPr>
        <w:t>Standard Revision and Refinement (December 13–22, 2025): Based on feedback from literature reviews, expert questionnaires, validation meetings, the Expert Steering Group, and project team discussions, the project team revised each provision of the draft and prepared a comparative revision table.</w:t>
      </w:r>
    </w:p>
    <w:p w14:paraId="1FAF835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color w:val="auto"/>
          <w:kern w:val="2"/>
          <w:sz w:val="24"/>
          <w:szCs w:val="24"/>
          <w:lang w:val="en-US" w:eastAsia="zh-CN" w:bidi="ar-SA"/>
        </w:rPr>
      </w:pPr>
      <w:r>
        <w:rPr>
          <w:rFonts w:hint="default" w:ascii="Cambria" w:hAnsi="Cambria" w:eastAsia="宋体" w:cs="Cambria"/>
          <w:color w:val="auto"/>
          <w:kern w:val="2"/>
          <w:sz w:val="24"/>
          <w:szCs w:val="24"/>
          <w:lang w:val="en-US" w:eastAsia="zh-CN" w:bidi="ar-SA"/>
        </w:rPr>
        <w:t xml:space="preserve">Drafting and Submission of the Compilation Notes (December 22–31, 2025): The draft of the </w:t>
      </w:r>
      <w:r>
        <w:rPr>
          <w:rFonts w:hint="default" w:ascii="Cambria" w:hAnsi="Cambria" w:cs="Cambria"/>
          <w:color w:val="auto"/>
          <w:kern w:val="2"/>
          <w:sz w:val="24"/>
          <w:szCs w:val="24"/>
          <w:lang w:val="en-US" w:eastAsia="zh-CN" w:bidi="ar-SA"/>
        </w:rPr>
        <w:t>International standardized manipulations of Chinese medicine Pediatrics Part 4: Pediatric-Tuina</w:t>
      </w:r>
      <w:r>
        <w:rPr>
          <w:rFonts w:hint="default" w:ascii="Cambria" w:hAnsi="Cambria" w:eastAsia="宋体" w:cs="Cambria"/>
          <w:color w:val="auto"/>
          <w:kern w:val="2"/>
          <w:sz w:val="24"/>
          <w:szCs w:val="24"/>
          <w:lang w:val="en-US" w:eastAsia="zh-CN" w:bidi="ar-SA"/>
        </w:rPr>
        <w:t xml:space="preserve"> and its accompanying compilation notes were finalized and submitted to the WFCMS International Standards Department for review.</w:t>
      </w:r>
    </w:p>
    <w:p w14:paraId="338D668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color w:val="auto"/>
          <w:kern w:val="2"/>
          <w:sz w:val="24"/>
          <w:szCs w:val="24"/>
          <w:lang w:val="en-US" w:eastAsia="zh-CN" w:bidi="ar-SA"/>
        </w:rPr>
        <w:sectPr>
          <w:type w:val="continuous"/>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default" w:ascii="Cambria" w:hAnsi="Cambria" w:eastAsia="宋体" w:cs="Cambria"/>
          <w:color w:val="auto"/>
          <w:kern w:val="2"/>
          <w:sz w:val="24"/>
          <w:szCs w:val="24"/>
          <w:lang w:val="en-US" w:eastAsia="zh-CN" w:bidi="ar-SA"/>
        </w:rPr>
        <w:t>The development process of this standard revision is illustrated in the figure below</w:t>
      </w:r>
      <w:r>
        <w:rPr>
          <w:rFonts w:hint="default" w:ascii="Cambria" w:hAnsi="Cambria" w:cs="Cambria"/>
          <w:color w:val="auto"/>
          <w:kern w:val="2"/>
          <w:sz w:val="24"/>
          <w:szCs w:val="24"/>
          <w:lang w:val="en-US" w:eastAsia="zh-CN" w:bidi="ar-SA"/>
        </w:rPr>
        <w:t>.</w:t>
      </w:r>
    </w:p>
    <w:p w14:paraId="0F3C9367">
      <w:pPr>
        <w:pStyle w:val="2"/>
        <w:spacing w:before="312" w:beforeLines="100" w:after="312" w:afterLines="100" w:line="276" w:lineRule="auto"/>
        <w:rPr>
          <w:rFonts w:hint="default" w:ascii="Cambria" w:hAnsi="Cambria" w:eastAsia="仿宋" w:cs="Cambria"/>
          <w:b/>
          <w:bCs/>
          <w:color w:val="auto"/>
          <w:sz w:val="24"/>
          <w:lang w:val="en-US" w:eastAsia="zh-CN"/>
        </w:rPr>
      </w:pPr>
      <w:r>
        <w:rPr>
          <w:rFonts w:hint="default" w:ascii="Cambria" w:hAnsi="Cambria" w:eastAsia="仿宋" w:cs="Cambria"/>
          <w:sz w:val="24"/>
        </w:rPr>
        <w:br w:type="textWrapping"/>
      </w:r>
      <w:r>
        <w:rPr>
          <w:rFonts w:hint="default" w:ascii="Cambria" w:hAnsi="Cambria" w:eastAsia="仿宋" w:cs="Cambria"/>
          <w:b/>
          <w:bCs/>
          <w:color w:val="auto"/>
          <w:sz w:val="24"/>
          <w:lang w:val="en-US" w:eastAsia="zh-CN"/>
        </w:rPr>
        <mc:AlternateContent>
          <mc:Choice Requires="wpg">
            <w:drawing>
              <wp:anchor distT="0" distB="0" distL="114300" distR="114300" simplePos="0" relativeHeight="251660288" behindDoc="0" locked="0" layoutInCell="1" allowOverlap="1">
                <wp:simplePos x="0" y="0"/>
                <wp:positionH relativeFrom="column">
                  <wp:posOffset>55245</wp:posOffset>
                </wp:positionH>
                <wp:positionV relativeFrom="paragraph">
                  <wp:posOffset>6350</wp:posOffset>
                </wp:positionV>
                <wp:extent cx="6208395" cy="7443470"/>
                <wp:effectExtent l="4445" t="4445" r="10160" b="6985"/>
                <wp:wrapSquare wrapText="bothSides"/>
                <wp:docPr id="1758616004" name="组合 1"/>
                <wp:cNvGraphicFramePr/>
                <a:graphic xmlns:a="http://schemas.openxmlformats.org/drawingml/2006/main">
                  <a:graphicData uri="http://schemas.microsoft.com/office/word/2010/wordprocessingGroup">
                    <wpg:wgp>
                      <wpg:cNvGrpSpPr/>
                      <wpg:grpSpPr>
                        <a:xfrm>
                          <a:off x="0" y="0"/>
                          <a:ext cx="6208395" cy="7443470"/>
                          <a:chOff x="1138" y="1634"/>
                          <a:chExt cx="9777" cy="13345"/>
                        </a:xfrm>
                        <a:effectLst/>
                      </wpg:grpSpPr>
                      <wps:wsp>
                        <wps:cNvPr id="169797034" name="文本框 35"/>
                        <wps:cNvSpPr txBox="1">
                          <a:spLocks noChangeArrowheads="1"/>
                        </wps:cNvSpPr>
                        <wps:spPr bwMode="auto">
                          <a:xfrm>
                            <a:off x="1219" y="13982"/>
                            <a:ext cx="3911" cy="997"/>
                          </a:xfrm>
                          <a:prstGeom prst="rect">
                            <a:avLst/>
                          </a:prstGeom>
                          <a:solidFill>
                            <a:srgbClr val="FFFFFF"/>
                          </a:solidFill>
                          <a:ln w="9525">
                            <a:solidFill>
                              <a:srgbClr val="000000"/>
                            </a:solidFill>
                            <a:miter lim="800000"/>
                          </a:ln>
                          <a:effectLst/>
                        </wps:spPr>
                        <wps:txbx>
                          <w:txbxContent>
                            <w:p w14:paraId="1749B2A1">
                              <w:pPr>
                                <w:jc w:val="center"/>
                                <w:rPr>
                                  <w:rFonts w:ascii="仿宋" w:hAnsi="仿宋" w:eastAsia="仿宋"/>
                                </w:rPr>
                              </w:pPr>
                              <w:r>
                                <w:rPr>
                                  <w:rFonts w:hint="default" w:ascii="Times New Roman Regular" w:hAnsi="Times New Roman Regular" w:cs="Times New Roman Regular"/>
                                </w:rPr>
                                <w:t>Formation of final international standard and publication</w:t>
                              </w:r>
                            </w:p>
                          </w:txbxContent>
                        </wps:txbx>
                        <wps:bodyPr rot="0" vert="horz" wrap="square" lIns="91440" tIns="45720" rIns="91440" bIns="45720" anchor="t" anchorCtr="0" upright="1">
                          <a:noAutofit/>
                        </wps:bodyPr>
                      </wps:wsp>
                      <wps:wsp>
                        <wps:cNvPr id="455580337" name="直线 71"/>
                        <wps:cNvCnPr>
                          <a:cxnSpLocks noChangeShapeType="1"/>
                          <a:stCxn id="1888458445" idx="2"/>
                        </wps:cNvCnPr>
                        <wps:spPr bwMode="auto">
                          <a:xfrm flipH="1">
                            <a:off x="3813" y="11854"/>
                            <a:ext cx="4567" cy="544"/>
                          </a:xfrm>
                          <a:prstGeom prst="line">
                            <a:avLst/>
                          </a:prstGeom>
                          <a:noFill/>
                          <a:ln w="9525">
                            <a:solidFill>
                              <a:srgbClr val="000000"/>
                            </a:solidFill>
                            <a:round/>
                            <a:tailEnd type="triangle" w="med" len="med"/>
                          </a:ln>
                          <a:effectLst/>
                        </wps:spPr>
                        <wps:bodyPr/>
                      </wps:wsp>
                      <wpg:grpSp>
                        <wpg:cNvPr id="2093675288" name="组合 31"/>
                        <wpg:cNvGrpSpPr/>
                        <wpg:grpSpPr>
                          <a:xfrm>
                            <a:off x="1138" y="1634"/>
                            <a:ext cx="9777" cy="12353"/>
                            <a:chOff x="0" y="0"/>
                            <a:chExt cx="60459" cy="63241"/>
                          </a:xfrm>
                          <a:effectLst/>
                        </wpg:grpSpPr>
                        <wps:wsp>
                          <wps:cNvPr id="1037978601" name="Line 4"/>
                          <wps:cNvCnPr>
                            <a:cxnSpLocks noChangeShapeType="1"/>
                            <a:endCxn id="1202482703" idx="0"/>
                          </wps:cNvCnPr>
                          <wps:spPr bwMode="auto">
                            <a:xfrm>
                              <a:off x="12096" y="4936"/>
                              <a:ext cx="0" cy="2215"/>
                            </a:xfrm>
                            <a:prstGeom prst="line">
                              <a:avLst/>
                            </a:prstGeom>
                            <a:noFill/>
                            <a:ln w="9525">
                              <a:solidFill>
                                <a:srgbClr val="000000"/>
                              </a:solidFill>
                              <a:round/>
                              <a:tailEnd type="triangle" w="med" len="med"/>
                            </a:ln>
                            <a:effectLst/>
                          </wps:spPr>
                          <wps:bodyPr/>
                        </wps:wsp>
                        <wps:wsp>
                          <wps:cNvPr id="1202482703" name="Text Box 5"/>
                          <wps:cNvSpPr txBox="1">
                            <a:spLocks noChangeArrowheads="1"/>
                          </wps:cNvSpPr>
                          <wps:spPr bwMode="auto">
                            <a:xfrm>
                              <a:off x="0" y="7151"/>
                              <a:ext cx="24191" cy="4552"/>
                            </a:xfrm>
                            <a:prstGeom prst="rect">
                              <a:avLst/>
                            </a:prstGeom>
                            <a:solidFill>
                              <a:srgbClr val="FFFFFF"/>
                            </a:solidFill>
                            <a:ln w="9525">
                              <a:solidFill>
                                <a:srgbClr val="000000"/>
                              </a:solidFill>
                              <a:miter lim="800000"/>
                            </a:ln>
                            <a:effectLst/>
                          </wps:spPr>
                          <wps:txbx>
                            <w:txbxContent>
                              <w:p w14:paraId="1116D16A">
                                <w:pPr>
                                  <w:keepNext w:val="0"/>
                                  <w:keepLines w:val="0"/>
                                  <w:pageBreakBefore w:val="0"/>
                                  <w:widowControl w:val="0"/>
                                  <w:kinsoku/>
                                  <w:wordWrap/>
                                  <w:overflowPunct/>
                                  <w:topLinePunct w:val="0"/>
                                  <w:bidi w:val="0"/>
                                  <w:adjustRightInd/>
                                  <w:snapToGrid/>
                                  <w:spacing w:after="0" w:line="279" w:lineRule="auto"/>
                                  <w:jc w:val="center"/>
                                  <w:textAlignment w:val="auto"/>
                                  <w:rPr>
                                    <w:rFonts w:hint="default" w:ascii="Times New Roman Regular" w:hAnsi="Times New Roman Regular" w:cs="Times New Roman Regular"/>
                                  </w:rPr>
                                </w:pPr>
                                <w:r>
                                  <w:rPr>
                                    <w:rFonts w:hint="default" w:ascii="Times New Roman Regular" w:hAnsi="Times New Roman Regular" w:cs="Times New Roman Regular"/>
                                  </w:rPr>
                                  <w:t>Multi-source literature retrieval</w:t>
                                </w:r>
                              </w:p>
                            </w:txbxContent>
                          </wps:txbx>
                          <wps:bodyPr rot="0" vert="horz" wrap="square" lIns="91440" tIns="45720" rIns="91440" bIns="45720" anchor="ctr" anchorCtr="0" upright="1">
                            <a:noAutofit/>
                          </wps:bodyPr>
                        </wps:wsp>
                        <wps:wsp>
                          <wps:cNvPr id="1239255807" name="Line 6"/>
                          <wps:cNvCnPr>
                            <a:cxnSpLocks noChangeShapeType="1"/>
                          </wps:cNvCnPr>
                          <wps:spPr bwMode="auto">
                            <a:xfrm>
                              <a:off x="24308" y="9121"/>
                              <a:ext cx="4755" cy="82"/>
                            </a:xfrm>
                            <a:prstGeom prst="line">
                              <a:avLst/>
                            </a:prstGeom>
                            <a:noFill/>
                            <a:ln w="9525">
                              <a:solidFill>
                                <a:srgbClr val="000000"/>
                              </a:solidFill>
                              <a:round/>
                              <a:tailEnd type="triangle" w="med" len="med"/>
                            </a:ln>
                            <a:effectLst/>
                          </wps:spPr>
                          <wps:bodyPr/>
                        </wps:wsp>
                        <wps:wsp>
                          <wps:cNvPr id="636766353" name="Text Box 7"/>
                          <wps:cNvSpPr txBox="1">
                            <a:spLocks noChangeArrowheads="1"/>
                          </wps:cNvSpPr>
                          <wps:spPr bwMode="auto">
                            <a:xfrm>
                              <a:off x="29064" y="7011"/>
                              <a:ext cx="31315" cy="4581"/>
                            </a:xfrm>
                            <a:prstGeom prst="rect">
                              <a:avLst/>
                            </a:prstGeom>
                            <a:solidFill>
                              <a:srgbClr val="FFFFFF"/>
                            </a:solidFill>
                            <a:ln w="9525">
                              <a:solidFill>
                                <a:srgbClr val="000000"/>
                              </a:solidFill>
                              <a:miter lim="800000"/>
                            </a:ln>
                            <a:effectLst/>
                          </wps:spPr>
                          <wps:txbx>
                            <w:txbxContent>
                              <w:p w14:paraId="11A36733">
                                <w:pPr>
                                  <w:ind w:firstLine="105" w:firstLineChars="50"/>
                                  <w:jc w:val="center"/>
                                  <w:rPr>
                                    <w:rFonts w:ascii="仿宋" w:hAnsi="仿宋" w:eastAsia="仿宋"/>
                                  </w:rPr>
                                </w:pPr>
                                <w:r>
                                  <w:rPr>
                                    <w:rFonts w:hint="default" w:ascii="Times New Roman Regular" w:hAnsi="Times New Roman Regular" w:cs="Times New Roman Regular"/>
                                  </w:rPr>
                                  <w:t>Comparative analysis of national standard and literature content</w:t>
                                </w:r>
                              </w:p>
                            </w:txbxContent>
                          </wps:txbx>
                          <wps:bodyPr rot="0" vert="horz" wrap="square" lIns="91440" tIns="45720" rIns="91440" bIns="45720" anchor="ctr" anchorCtr="0" upright="1">
                            <a:noAutofit/>
                          </wps:bodyPr>
                        </wps:wsp>
                        <wps:wsp>
                          <wps:cNvPr id="1773553246" name="Text Box 8"/>
                          <wps:cNvSpPr txBox="1">
                            <a:spLocks noChangeArrowheads="1"/>
                          </wps:cNvSpPr>
                          <wps:spPr bwMode="auto">
                            <a:xfrm>
                              <a:off x="235" y="22613"/>
                              <a:ext cx="24265" cy="4732"/>
                            </a:xfrm>
                            <a:prstGeom prst="rect">
                              <a:avLst/>
                            </a:prstGeom>
                            <a:solidFill>
                              <a:srgbClr val="FFFFFF"/>
                            </a:solidFill>
                            <a:ln w="9525">
                              <a:solidFill>
                                <a:srgbClr val="000000"/>
                              </a:solidFill>
                              <a:miter lim="800000"/>
                            </a:ln>
                            <a:effectLst/>
                          </wps:spPr>
                          <wps:txbx>
                            <w:txbxContent>
                              <w:p w14:paraId="1E6207F1">
                                <w:pPr>
                                  <w:jc w:val="center"/>
                                  <w:rPr>
                                    <w:rFonts w:ascii="仿宋" w:hAnsi="仿宋" w:eastAsia="仿宋"/>
                                  </w:rPr>
                                </w:pPr>
                                <w:r>
                                  <w:rPr>
                                    <w:rFonts w:hint="default" w:ascii="Times New Roman Regular" w:hAnsi="Times New Roman Regular" w:cs="Times New Roman Regular"/>
                                  </w:rPr>
                                  <w:t>Questionnaire collection and statistical summarization of expert opinions</w:t>
                                </w:r>
                                <w:r>
                                  <w:rPr>
                                    <w:rFonts w:hint="eastAsia" w:ascii="仿宋" w:hAnsi="仿宋" w:eastAsia="仿宋"/>
                                  </w:rPr>
                                  <w:t>questionnaires, and consolidation of expert opinions</w:t>
                                </w:r>
                              </w:p>
                            </w:txbxContent>
                          </wps:txbx>
                          <wps:bodyPr rot="0" vert="horz" wrap="square" lIns="91440" tIns="45720" rIns="91440" bIns="45720" anchor="ctr" anchorCtr="0" upright="1">
                            <a:noAutofit/>
                          </wps:bodyPr>
                        </wps:wsp>
                        <wps:wsp>
                          <wps:cNvPr id="895143714" name="Line 9"/>
                          <wps:cNvCnPr>
                            <a:cxnSpLocks noChangeShapeType="1"/>
                          </wps:cNvCnPr>
                          <wps:spPr bwMode="auto">
                            <a:xfrm flipH="1">
                              <a:off x="14816" y="11581"/>
                              <a:ext cx="29892" cy="2658"/>
                            </a:xfrm>
                            <a:prstGeom prst="line">
                              <a:avLst/>
                            </a:prstGeom>
                            <a:noFill/>
                            <a:ln w="9525">
                              <a:solidFill>
                                <a:srgbClr val="000000"/>
                              </a:solidFill>
                              <a:round/>
                              <a:tailEnd type="triangle" w="med" len="med"/>
                            </a:ln>
                            <a:effectLst/>
                          </wps:spPr>
                          <wps:bodyPr/>
                        </wps:wsp>
                        <wps:wsp>
                          <wps:cNvPr id="100590062" name="Line 10"/>
                          <wps:cNvCnPr>
                            <a:cxnSpLocks noChangeShapeType="1"/>
                            <a:stCxn id="817951583" idx="2"/>
                          </wps:cNvCnPr>
                          <wps:spPr bwMode="auto">
                            <a:xfrm flipH="1">
                              <a:off x="16961" y="60438"/>
                              <a:ext cx="27833" cy="2803"/>
                            </a:xfrm>
                            <a:prstGeom prst="line">
                              <a:avLst/>
                            </a:prstGeom>
                            <a:noFill/>
                            <a:ln w="9525">
                              <a:solidFill>
                                <a:srgbClr val="000000"/>
                              </a:solidFill>
                              <a:round/>
                              <a:tailEnd type="triangle" w="med" len="med"/>
                            </a:ln>
                            <a:effectLst/>
                          </wps:spPr>
                          <wps:bodyPr/>
                        </wps:wsp>
                        <wps:wsp>
                          <wps:cNvPr id="972839567" name="Text Box 11"/>
                          <wps:cNvSpPr txBox="1">
                            <a:spLocks noChangeArrowheads="1"/>
                          </wps:cNvSpPr>
                          <wps:spPr bwMode="auto">
                            <a:xfrm>
                              <a:off x="29249" y="22607"/>
                              <a:ext cx="31129" cy="4785"/>
                            </a:xfrm>
                            <a:prstGeom prst="rect">
                              <a:avLst/>
                            </a:prstGeom>
                            <a:solidFill>
                              <a:srgbClr val="FFFFFF"/>
                            </a:solidFill>
                            <a:ln w="9525">
                              <a:solidFill>
                                <a:srgbClr val="000000"/>
                              </a:solidFill>
                              <a:miter lim="800000"/>
                            </a:ln>
                            <a:effectLst/>
                          </wps:spPr>
                          <wps:txbx>
                            <w:txbxContent>
                              <w:p w14:paraId="57CE6268">
                                <w:pPr>
                                  <w:jc w:val="center"/>
                                  <w:rPr>
                                    <w:rFonts w:ascii="仿宋" w:hAnsi="仿宋" w:eastAsia="仿宋"/>
                                  </w:rPr>
                                </w:pPr>
                                <w:r>
                                  <w:rPr>
                                    <w:rFonts w:hint="default" w:ascii="Times New Roman Regular" w:hAnsi="Times New Roman Regular" w:cs="Times New Roman Regular"/>
                                  </w:rPr>
                                  <w:t>Screening of contentious items and preparation of solicitation letters</w:t>
                                </w:r>
                              </w:p>
                            </w:txbxContent>
                          </wps:txbx>
                          <wps:bodyPr rot="0" vert="horz" wrap="square" lIns="91440" tIns="45720" rIns="91440" bIns="45720" anchor="ctr" anchorCtr="0" upright="1">
                            <a:noAutofit/>
                          </wps:bodyPr>
                        </wps:wsp>
                        <wps:wsp>
                          <wps:cNvPr id="335635057" name="Line 12"/>
                          <wps:cNvCnPr>
                            <a:cxnSpLocks noChangeShapeType="1"/>
                            <a:stCxn id="972839567" idx="2"/>
                          </wps:cNvCnPr>
                          <wps:spPr bwMode="auto">
                            <a:xfrm flipH="1">
                              <a:off x="15473" y="27392"/>
                              <a:ext cx="29342" cy="2943"/>
                            </a:xfrm>
                            <a:prstGeom prst="line">
                              <a:avLst/>
                            </a:prstGeom>
                            <a:noFill/>
                            <a:ln w="9525">
                              <a:solidFill>
                                <a:srgbClr val="000000"/>
                              </a:solidFill>
                              <a:round/>
                              <a:tailEnd type="triangle" w="med" len="med"/>
                            </a:ln>
                            <a:effectLst/>
                          </wps:spPr>
                          <wps:bodyPr/>
                        </wps:wsp>
                        <wps:wsp>
                          <wps:cNvPr id="1688526318" name="Text Box 13"/>
                          <wps:cNvSpPr txBox="1">
                            <a:spLocks noChangeArrowheads="1"/>
                          </wps:cNvSpPr>
                          <wps:spPr bwMode="auto">
                            <a:xfrm>
                              <a:off x="383" y="30598"/>
                              <a:ext cx="24488" cy="4884"/>
                            </a:xfrm>
                            <a:prstGeom prst="rect">
                              <a:avLst/>
                            </a:prstGeom>
                            <a:solidFill>
                              <a:srgbClr val="FFFFFF"/>
                            </a:solidFill>
                            <a:ln w="9525">
                              <a:solidFill>
                                <a:srgbClr val="000000"/>
                              </a:solidFill>
                              <a:miter lim="800000"/>
                            </a:ln>
                            <a:effectLst/>
                          </wps:spPr>
                          <wps:txbx>
                            <w:txbxContent>
                              <w:p w14:paraId="2AE27948">
                                <w:pPr>
                                  <w:jc w:val="center"/>
                                  <w:rPr>
                                    <w:rFonts w:ascii="仿宋" w:hAnsi="仿宋" w:eastAsia="仿宋"/>
                                  </w:rPr>
                                </w:pPr>
                                <w:r>
                                  <w:rPr>
                                    <w:rFonts w:hint="eastAsia" w:ascii="仿宋" w:hAnsi="仿宋" w:eastAsia="仿宋"/>
                                  </w:rPr>
                                  <w:t xml:space="preserve"> </w:t>
                                </w:r>
                                <w:r>
                                  <w:rPr>
                                    <w:rFonts w:hint="default" w:ascii="Times New Roman Regular" w:hAnsi="Times New Roman Regular" w:cs="Times New Roman Regular"/>
                                  </w:rPr>
                                  <w:t>Distribution of solicitation letters and preparation for expert validation meeting</w:t>
                                </w:r>
                                <w:r>
                                  <w:rPr>
                                    <w:rFonts w:hint="eastAsia" w:ascii="仿宋" w:hAnsi="仿宋" w:eastAsia="仿宋"/>
                                  </w:rPr>
                                  <w:t>feedback from relevant experts</w:t>
                                </w:r>
                              </w:p>
                              <w:p w14:paraId="45805DEB">
                                <w:pPr>
                                  <w:jc w:val="center"/>
                                  <w:rPr>
                                    <w:rFonts w:ascii="仿宋" w:hAnsi="仿宋" w:eastAsia="仿宋"/>
                                  </w:rPr>
                                </w:pPr>
                              </w:p>
                            </w:txbxContent>
                          </wps:txbx>
                          <wps:bodyPr rot="0" vert="horz" wrap="square" lIns="91440" tIns="45720" rIns="91440" bIns="45720" anchor="ctr" anchorCtr="0" upright="1">
                            <a:noAutofit/>
                          </wps:bodyPr>
                        </wps:wsp>
                        <wps:wsp>
                          <wps:cNvPr id="871942478" name="Text Box 14"/>
                          <wps:cNvSpPr txBox="1">
                            <a:spLocks noChangeArrowheads="1"/>
                          </wps:cNvSpPr>
                          <wps:spPr bwMode="auto">
                            <a:xfrm>
                              <a:off x="241" y="14530"/>
                              <a:ext cx="24185" cy="4768"/>
                            </a:xfrm>
                            <a:prstGeom prst="rect">
                              <a:avLst/>
                            </a:prstGeom>
                            <a:solidFill>
                              <a:srgbClr val="FFFFFF"/>
                            </a:solidFill>
                            <a:ln w="9525">
                              <a:solidFill>
                                <a:srgbClr val="000000"/>
                              </a:solidFill>
                              <a:miter lim="800000"/>
                            </a:ln>
                            <a:effectLst/>
                          </wps:spPr>
                          <wps:txbx>
                            <w:txbxContent>
                              <w:p w14:paraId="01F69E7E">
                                <w:pPr>
                                  <w:keepNext w:val="0"/>
                                  <w:keepLines w:val="0"/>
                                  <w:pageBreakBefore w:val="0"/>
                                  <w:widowControl w:val="0"/>
                                  <w:kinsoku/>
                                  <w:wordWrap/>
                                  <w:overflowPunct/>
                                  <w:topLinePunct w:val="0"/>
                                  <w:bidi w:val="0"/>
                                  <w:adjustRightInd/>
                                  <w:snapToGrid/>
                                  <w:spacing w:after="0" w:line="279" w:lineRule="auto"/>
                                  <w:jc w:val="center"/>
                                  <w:textAlignment w:val="auto"/>
                                  <w:rPr>
                                    <w:rFonts w:hint="default" w:ascii="Times New Roman Regular" w:hAnsi="Times New Roman Regular" w:cs="Times New Roman Regular"/>
                                  </w:rPr>
                                </w:pPr>
                                <w:r>
                                  <w:rPr>
                                    <w:rFonts w:hint="default" w:ascii="Times New Roman Regular" w:hAnsi="Times New Roman Regular" w:cs="Times New Roman Regular"/>
                                  </w:rPr>
                                  <w:t>Development of expert questionnaire</w:t>
                                </w:r>
                              </w:p>
                            </w:txbxContent>
                          </wps:txbx>
                          <wps:bodyPr rot="0" vert="horz" wrap="square" lIns="91440" tIns="45720" rIns="91440" bIns="45720" anchor="ctr" anchorCtr="0" upright="1">
                            <a:noAutofit/>
                          </wps:bodyPr>
                        </wps:wsp>
                        <wps:wsp>
                          <wps:cNvPr id="2067087431" name="Text Box 15"/>
                          <wps:cNvSpPr txBox="1">
                            <a:spLocks noChangeArrowheads="1"/>
                          </wps:cNvSpPr>
                          <wps:spPr bwMode="auto">
                            <a:xfrm>
                              <a:off x="29200" y="14599"/>
                              <a:ext cx="31259" cy="4639"/>
                            </a:xfrm>
                            <a:prstGeom prst="rect">
                              <a:avLst/>
                            </a:prstGeom>
                            <a:solidFill>
                              <a:srgbClr val="FFFFFF"/>
                            </a:solidFill>
                            <a:ln w="9525">
                              <a:solidFill>
                                <a:srgbClr val="000000"/>
                              </a:solidFill>
                              <a:miter lim="800000"/>
                            </a:ln>
                            <a:effectLst/>
                          </wps:spPr>
                          <wps:txbx>
                            <w:txbxContent>
                              <w:p w14:paraId="41C75564">
                                <w:pPr>
                                  <w:jc w:val="center"/>
                                </w:pPr>
                                <w:r>
                                  <w:rPr>
                                    <w:rFonts w:hint="default" w:ascii="Times New Roman Regular" w:hAnsi="Times New Roman Regular" w:cs="Times New Roman Regular"/>
                                  </w:rPr>
                                  <w:t>Distribution of questionnaire and solicitation of expert opinions</w:t>
                                </w:r>
                              </w:p>
                            </w:txbxContent>
                          </wps:txbx>
                          <wps:bodyPr rot="0" vert="horz" wrap="square" lIns="91440" tIns="45720" rIns="91440" bIns="45720" anchor="ctr" anchorCtr="0" upright="1">
                            <a:noAutofit/>
                          </wps:bodyPr>
                        </wps:wsp>
                        <wps:wsp>
                          <wps:cNvPr id="887941834" name="Line 16"/>
                          <wps:cNvCnPr>
                            <a:cxnSpLocks noChangeShapeType="1"/>
                          </wps:cNvCnPr>
                          <wps:spPr bwMode="auto">
                            <a:xfrm>
                              <a:off x="24642" y="57570"/>
                              <a:ext cx="4879" cy="6"/>
                            </a:xfrm>
                            <a:prstGeom prst="line">
                              <a:avLst/>
                            </a:prstGeom>
                            <a:noFill/>
                            <a:ln w="9525">
                              <a:solidFill>
                                <a:srgbClr val="000000"/>
                              </a:solidFill>
                              <a:round/>
                              <a:tailEnd type="triangle" w="med" len="med"/>
                            </a:ln>
                            <a:effectLst/>
                          </wps:spPr>
                          <wps:bodyPr/>
                        </wps:wsp>
                        <wps:wsp>
                          <wps:cNvPr id="1648635612" name="Line 17"/>
                          <wps:cNvCnPr>
                            <a:cxnSpLocks noChangeShapeType="1"/>
                          </wps:cNvCnPr>
                          <wps:spPr bwMode="auto">
                            <a:xfrm flipV="1">
                              <a:off x="24485" y="25241"/>
                              <a:ext cx="4756" cy="6"/>
                            </a:xfrm>
                            <a:prstGeom prst="line">
                              <a:avLst/>
                            </a:prstGeom>
                            <a:noFill/>
                            <a:ln w="9525">
                              <a:solidFill>
                                <a:srgbClr val="000000"/>
                              </a:solidFill>
                              <a:round/>
                              <a:tailEnd type="triangle" w="med" len="med"/>
                            </a:ln>
                            <a:effectLst/>
                          </wps:spPr>
                          <wps:bodyPr/>
                        </wps:wsp>
                        <wps:wsp>
                          <wps:cNvPr id="672577701" name="Text Box 18"/>
                          <wps:cNvSpPr txBox="1">
                            <a:spLocks noChangeArrowheads="1"/>
                          </wps:cNvSpPr>
                          <wps:spPr bwMode="auto">
                            <a:xfrm>
                              <a:off x="29262" y="30568"/>
                              <a:ext cx="31012" cy="4878"/>
                            </a:xfrm>
                            <a:prstGeom prst="rect">
                              <a:avLst/>
                            </a:prstGeom>
                            <a:solidFill>
                              <a:srgbClr val="FFFFFF"/>
                            </a:solidFill>
                            <a:ln w="9525">
                              <a:solidFill>
                                <a:srgbClr val="000000"/>
                              </a:solidFill>
                              <a:miter lim="800000"/>
                            </a:ln>
                            <a:effectLst/>
                          </wps:spPr>
                          <wps:txbx>
                            <w:txbxContent>
                              <w:p w14:paraId="54B36FEF">
                                <w:pPr>
                                  <w:keepNext w:val="0"/>
                                  <w:keepLines w:val="0"/>
                                  <w:pageBreakBefore w:val="0"/>
                                  <w:widowControl w:val="0"/>
                                  <w:kinsoku/>
                                  <w:wordWrap/>
                                  <w:overflowPunct/>
                                  <w:topLinePunct w:val="0"/>
                                  <w:bidi w:val="0"/>
                                  <w:adjustRightInd/>
                                  <w:snapToGrid/>
                                  <w:spacing w:after="0" w:line="279" w:lineRule="auto"/>
                                  <w:jc w:val="center"/>
                                  <w:textAlignment w:val="auto"/>
                                  <w:rPr>
                                    <w:rFonts w:ascii="仿宋" w:hAnsi="仿宋" w:eastAsia="仿宋"/>
                                  </w:rPr>
                                </w:pPr>
                                <w:r>
                                  <w:rPr>
                                    <w:rFonts w:hint="default" w:ascii="Times New Roman Regular" w:hAnsi="Times New Roman Regular" w:cs="Times New Roman Regular"/>
                                  </w:rPr>
                                  <w:t xml:space="preserve">Expert validation meeting (focused explanation and solicitation of revision suggestions) </w:t>
                                </w:r>
                              </w:p>
                            </w:txbxContent>
                          </wps:txbx>
                          <wps:bodyPr rot="0" vert="horz" wrap="square" lIns="91440" tIns="45720" rIns="91440" bIns="45720" anchor="ctr" anchorCtr="0" upright="1">
                            <a:noAutofit/>
                          </wps:bodyPr>
                        </wps:wsp>
                        <wps:wsp>
                          <wps:cNvPr id="9022050" name="Line 19"/>
                          <wps:cNvCnPr>
                            <a:cxnSpLocks noChangeShapeType="1"/>
                            <a:stCxn id="871942478" idx="3"/>
                            <a:endCxn id="2067087431" idx="1"/>
                          </wps:cNvCnPr>
                          <wps:spPr bwMode="auto">
                            <a:xfrm>
                              <a:off x="24427" y="16914"/>
                              <a:ext cx="4774" cy="6"/>
                            </a:xfrm>
                            <a:prstGeom prst="line">
                              <a:avLst/>
                            </a:prstGeom>
                            <a:noFill/>
                            <a:ln w="9525">
                              <a:solidFill>
                                <a:srgbClr val="000000"/>
                              </a:solidFill>
                              <a:round/>
                              <a:tailEnd type="triangle" w="med" len="med"/>
                            </a:ln>
                            <a:effectLst/>
                          </wps:spPr>
                          <wps:bodyPr/>
                        </wps:wsp>
                        <wps:wsp>
                          <wps:cNvPr id="438316342" name="Text Box 20"/>
                          <wps:cNvSpPr txBox="1">
                            <a:spLocks noChangeArrowheads="1"/>
                          </wps:cNvSpPr>
                          <wps:spPr bwMode="auto">
                            <a:xfrm>
                              <a:off x="0" y="0"/>
                              <a:ext cx="24185" cy="4773"/>
                            </a:xfrm>
                            <a:prstGeom prst="rect">
                              <a:avLst/>
                            </a:prstGeom>
                            <a:solidFill>
                              <a:srgbClr val="FFFFFF"/>
                            </a:solidFill>
                            <a:ln w="9525">
                              <a:solidFill>
                                <a:srgbClr val="000000"/>
                              </a:solidFill>
                              <a:miter lim="800000"/>
                            </a:ln>
                            <a:effectLst/>
                          </wps:spPr>
                          <wps:txbx>
                            <w:txbxContent>
                              <w:p w14:paraId="2C37BE30">
                                <w:pPr>
                                  <w:jc w:val="center"/>
                                  <w:rPr>
                                    <w:rFonts w:ascii="仿宋" w:hAnsi="仿宋" w:eastAsia="仿宋"/>
                                  </w:rPr>
                                </w:pPr>
                                <w:r>
                                  <w:rPr>
                                    <w:rFonts w:hint="default" w:ascii="Times New Roman Regular" w:hAnsi="Times New Roman Regular" w:cs="Times New Roman Regular"/>
                                  </w:rPr>
                                  <w:t>Literature research and multi-source literature retrieval</w:t>
                                </w:r>
                              </w:p>
                            </w:txbxContent>
                          </wps:txbx>
                          <wps:bodyPr rot="0" vert="horz" wrap="square" lIns="91440" tIns="45720" rIns="91440" bIns="45720" anchor="ctr" anchorCtr="0" upright="1">
                            <a:noAutofit/>
                          </wps:bodyPr>
                        </wps:wsp>
                        <wps:wsp>
                          <wps:cNvPr id="1629792627" name="Line 12"/>
                          <wps:cNvCnPr>
                            <a:cxnSpLocks noChangeShapeType="1"/>
                            <a:stCxn id="672577701" idx="2"/>
                          </wps:cNvCnPr>
                          <wps:spPr bwMode="auto">
                            <a:xfrm flipH="1">
                              <a:off x="16267" y="35444"/>
                              <a:ext cx="28501" cy="3293"/>
                            </a:xfrm>
                            <a:prstGeom prst="line">
                              <a:avLst/>
                            </a:prstGeom>
                            <a:noFill/>
                            <a:ln w="9525">
                              <a:solidFill>
                                <a:srgbClr val="000000"/>
                              </a:solidFill>
                              <a:round/>
                              <a:tailEnd type="triangle" w="med" len="med"/>
                            </a:ln>
                            <a:effectLst/>
                          </wps:spPr>
                          <wps:bodyPr/>
                        </wps:wsp>
                        <wps:wsp>
                          <wps:cNvPr id="1418365364" name="Text Box 13"/>
                          <wps:cNvSpPr txBox="1">
                            <a:spLocks noChangeArrowheads="1"/>
                          </wps:cNvSpPr>
                          <wps:spPr bwMode="auto">
                            <a:xfrm>
                              <a:off x="383" y="38990"/>
                              <a:ext cx="24216" cy="4901"/>
                            </a:xfrm>
                            <a:prstGeom prst="rect">
                              <a:avLst/>
                            </a:prstGeom>
                            <a:solidFill>
                              <a:srgbClr val="FFFFFF"/>
                            </a:solidFill>
                            <a:ln w="9525">
                              <a:solidFill>
                                <a:srgbClr val="000000"/>
                              </a:solidFill>
                              <a:miter lim="800000"/>
                            </a:ln>
                            <a:effectLst/>
                          </wps:spPr>
                          <wps:txbx>
                            <w:txbxContent>
                              <w:p w14:paraId="1C777209">
                                <w:pPr>
                                  <w:jc w:val="center"/>
                                  <w:rPr>
                                    <w:rFonts w:hint="default" w:ascii="Times New Roman Regular" w:hAnsi="Times New Roman Regular" w:cs="Times New Roman Regular"/>
                                  </w:rPr>
                                </w:pPr>
                                <w:r>
                                  <w:rPr>
                                    <w:rFonts w:hint="eastAsia" w:ascii="Times New Roman Regular" w:hAnsi="Times New Roman Regular" w:cs="Times New Roman Regular"/>
                                  </w:rPr>
                                  <w:t xml:space="preserve"> </w:t>
                                </w:r>
                                <w:r>
                                  <w:rPr>
                                    <w:rFonts w:hint="default" w:ascii="Times New Roman Regular" w:hAnsi="Times New Roman Regular" w:cs="Times New Roman Regular"/>
                                  </w:rPr>
                                  <w:t>Summarization of expert opinions and drafting of meeting minutes</w:t>
                                </w:r>
                              </w:p>
                            </w:txbxContent>
                          </wps:txbx>
                          <wps:bodyPr rot="0" vert="horz" wrap="square" lIns="91440" tIns="45720" rIns="91440" bIns="45720" anchor="ctr" anchorCtr="0" upright="1">
                            <a:noAutofit/>
                          </wps:bodyPr>
                        </wps:wsp>
                        <wps:wsp>
                          <wps:cNvPr id="1524167803" name="Line 17"/>
                          <wps:cNvCnPr>
                            <a:cxnSpLocks noChangeShapeType="1"/>
                          </wps:cNvCnPr>
                          <wps:spPr bwMode="auto">
                            <a:xfrm>
                              <a:off x="24791" y="32843"/>
                              <a:ext cx="4545" cy="0"/>
                            </a:xfrm>
                            <a:prstGeom prst="line">
                              <a:avLst/>
                            </a:prstGeom>
                            <a:noFill/>
                            <a:ln w="9525">
                              <a:solidFill>
                                <a:srgbClr val="000000"/>
                              </a:solidFill>
                              <a:round/>
                              <a:tailEnd type="triangle" w="med" len="med"/>
                            </a:ln>
                            <a:effectLst/>
                          </wps:spPr>
                          <wps:bodyPr/>
                        </wps:wsp>
                        <wps:wsp>
                          <wps:cNvPr id="673201196" name="Text Box 18"/>
                          <wps:cNvSpPr txBox="1">
                            <a:spLocks noChangeArrowheads="1"/>
                          </wps:cNvSpPr>
                          <wps:spPr bwMode="auto">
                            <a:xfrm>
                              <a:off x="29243" y="39048"/>
                              <a:ext cx="30999" cy="4820"/>
                            </a:xfrm>
                            <a:prstGeom prst="rect">
                              <a:avLst/>
                            </a:prstGeom>
                            <a:solidFill>
                              <a:srgbClr val="FFFFFF"/>
                            </a:solidFill>
                            <a:ln w="9525">
                              <a:solidFill>
                                <a:srgbClr val="000000"/>
                              </a:solidFill>
                              <a:miter lim="800000"/>
                            </a:ln>
                            <a:effectLst/>
                          </wps:spPr>
                          <wps:txbx>
                            <w:txbxContent>
                              <w:p w14:paraId="10A5EEED">
                                <w:pPr>
                                  <w:keepNext w:val="0"/>
                                  <w:keepLines w:val="0"/>
                                  <w:pageBreakBefore w:val="0"/>
                                  <w:widowControl w:val="0"/>
                                  <w:kinsoku/>
                                  <w:wordWrap/>
                                  <w:overflowPunct/>
                                  <w:topLinePunct w:val="0"/>
                                  <w:bidi w:val="0"/>
                                  <w:adjustRightInd/>
                                  <w:snapToGrid/>
                                  <w:spacing w:after="0" w:line="279" w:lineRule="auto"/>
                                  <w:jc w:val="center"/>
                                  <w:textAlignment w:val="auto"/>
                                </w:pPr>
                                <w:r>
                                  <w:rPr>
                                    <w:rFonts w:hint="default" w:ascii="Times New Roman Regular" w:hAnsi="Times New Roman Regular" w:cs="Times New Roman Regular"/>
                                  </w:rPr>
                                  <w:t>Expert Steering Group review</w:t>
                                </w:r>
                              </w:p>
                            </w:txbxContent>
                          </wps:txbx>
                          <wps:bodyPr rot="0" vert="horz" wrap="square" lIns="91440" tIns="45720" rIns="91440" bIns="45720" anchor="ctr" anchorCtr="0" upright="1">
                            <a:noAutofit/>
                          </wps:bodyPr>
                        </wps:wsp>
                        <wps:wsp>
                          <wps:cNvPr id="468115401" name="Line 12"/>
                          <wps:cNvCnPr>
                            <a:cxnSpLocks noChangeShapeType="1"/>
                            <a:stCxn id="673201196" idx="2"/>
                          </wps:cNvCnPr>
                          <wps:spPr bwMode="auto">
                            <a:xfrm flipH="1">
                              <a:off x="16805" y="43868"/>
                              <a:ext cx="27932" cy="3106"/>
                            </a:xfrm>
                            <a:prstGeom prst="line">
                              <a:avLst/>
                            </a:prstGeom>
                            <a:noFill/>
                            <a:ln w="9525">
                              <a:solidFill>
                                <a:srgbClr val="000000"/>
                              </a:solidFill>
                              <a:round/>
                              <a:tailEnd type="triangle" w="med" len="med"/>
                            </a:ln>
                            <a:effectLst/>
                          </wps:spPr>
                          <wps:bodyPr/>
                        </wps:wsp>
                      </wpg:grpSp>
                      <wps:wsp>
                        <wps:cNvPr id="1888276526" name="Text Box 13"/>
                        <wps:cNvSpPr txBox="1">
                          <a:spLocks noChangeArrowheads="1"/>
                        </wps:cNvSpPr>
                        <wps:spPr bwMode="auto">
                          <a:xfrm>
                            <a:off x="1209" y="10883"/>
                            <a:ext cx="3961" cy="969"/>
                          </a:xfrm>
                          <a:prstGeom prst="rect">
                            <a:avLst/>
                          </a:prstGeom>
                          <a:solidFill>
                            <a:srgbClr val="FFFFFF"/>
                          </a:solidFill>
                          <a:ln w="9525">
                            <a:solidFill>
                              <a:srgbClr val="000000"/>
                            </a:solidFill>
                            <a:miter lim="800000"/>
                          </a:ln>
                          <a:effectLst/>
                        </wps:spPr>
                        <wps:txbx>
                          <w:txbxContent>
                            <w:p w14:paraId="176B8969">
                              <w:pPr>
                                <w:jc w:val="center"/>
                                <w:rPr>
                                  <w:rFonts w:hint="default" w:ascii="Times New Roman Regular" w:hAnsi="Times New Roman Regular" w:cs="Times New Roman Regular"/>
                                </w:rPr>
                              </w:pPr>
                              <w:r>
                                <w:rPr>
                                  <w:rFonts w:hint="default" w:ascii="Times New Roman Regular" w:hAnsi="Times New Roman Regular" w:cs="Times New Roman Regular"/>
                                </w:rPr>
                                <w:t>Convening of project team coordination meeting</w:t>
                              </w:r>
                            </w:p>
                            <w:p w14:paraId="47DDAFF5">
                              <w:pPr>
                                <w:jc w:val="center"/>
                                <w:rPr>
                                  <w:rFonts w:ascii="仿宋" w:hAnsi="仿宋" w:eastAsia="仿宋"/>
                                </w:rPr>
                              </w:pPr>
                            </w:p>
                            <w:p w14:paraId="296E8B47">
                              <w:pPr>
                                <w:rPr>
                                  <w:rFonts w:ascii="仿宋" w:hAnsi="仿宋" w:eastAsia="仿宋"/>
                                </w:rPr>
                              </w:pPr>
                            </w:p>
                          </w:txbxContent>
                        </wps:txbx>
                        <wps:bodyPr rot="0" vert="horz" wrap="square" lIns="91440" tIns="45720" rIns="91440" bIns="45720" anchor="ctr" anchorCtr="0" upright="1">
                          <a:noAutofit/>
                        </wps:bodyPr>
                      </wps:wsp>
                      <wps:wsp>
                        <wps:cNvPr id="2119526956" name="Line 17"/>
                        <wps:cNvCnPr>
                          <a:cxnSpLocks noChangeShapeType="1"/>
                          <a:endCxn id="673201196" idx="1"/>
                        </wps:cNvCnPr>
                        <wps:spPr bwMode="auto">
                          <a:xfrm>
                            <a:off x="5151" y="9733"/>
                            <a:ext cx="716" cy="0"/>
                          </a:xfrm>
                          <a:prstGeom prst="line">
                            <a:avLst/>
                          </a:prstGeom>
                          <a:noFill/>
                          <a:ln w="9525">
                            <a:solidFill>
                              <a:srgbClr val="000000"/>
                            </a:solidFill>
                            <a:round/>
                            <a:tailEnd type="triangle" w="med" len="med"/>
                          </a:ln>
                          <a:effectLst/>
                        </wps:spPr>
                        <wps:bodyPr/>
                      </wps:wsp>
                      <wps:wsp>
                        <wps:cNvPr id="1888458445" name="Text Box 18"/>
                        <wps:cNvSpPr txBox="1">
                          <a:spLocks noChangeArrowheads="1"/>
                        </wps:cNvSpPr>
                        <wps:spPr bwMode="auto">
                          <a:xfrm>
                            <a:off x="5891" y="10883"/>
                            <a:ext cx="4977" cy="971"/>
                          </a:xfrm>
                          <a:prstGeom prst="rect">
                            <a:avLst/>
                          </a:prstGeom>
                          <a:solidFill>
                            <a:srgbClr val="FFFFFF"/>
                          </a:solidFill>
                          <a:ln w="9525">
                            <a:solidFill>
                              <a:srgbClr val="000000"/>
                            </a:solidFill>
                            <a:miter lim="800000"/>
                          </a:ln>
                          <a:effectLst/>
                        </wps:spPr>
                        <wps:txbx>
                          <w:txbxContent>
                            <w:p w14:paraId="2D71308E">
                              <w:pPr>
                                <w:jc w:val="center"/>
                                <w:rPr>
                                  <w:rFonts w:ascii="仿宋" w:hAnsi="仿宋" w:eastAsia="仿宋"/>
                                </w:rPr>
                              </w:pPr>
                              <w:r>
                                <w:rPr>
                                  <w:rFonts w:hint="eastAsia" w:ascii="仿宋" w:hAnsi="仿宋" w:eastAsia="仿宋"/>
                                </w:rPr>
                                <w:t xml:space="preserve"> </w:t>
                              </w:r>
                              <w:r>
                                <w:rPr>
                                  <w:rFonts w:hint="default" w:ascii="Times New Roman Regular" w:hAnsi="Times New Roman Regular" w:cs="Times New Roman Regular"/>
                                </w:rPr>
                                <w:t>Formation of pediatric tuina standard draft and formulation explanations</w:t>
                              </w:r>
                            </w:p>
                          </w:txbxContent>
                        </wps:txbx>
                        <wps:bodyPr rot="0" vert="horz" wrap="square" lIns="91440" tIns="45720" rIns="91440" bIns="45720" anchor="ctr" anchorCtr="0" upright="1">
                          <a:noAutofit/>
                        </wps:bodyPr>
                      </wps:wsp>
                      <wps:wsp>
                        <wps:cNvPr id="315906752" name="Line 12"/>
                        <wps:cNvCnPr>
                          <a:cxnSpLocks noChangeShapeType="1"/>
                          <a:stCxn id="2067087431" idx="2"/>
                        </wps:cNvCnPr>
                        <wps:spPr bwMode="auto">
                          <a:xfrm flipH="1">
                            <a:off x="3571" y="5392"/>
                            <a:ext cx="4817" cy="597"/>
                          </a:xfrm>
                          <a:prstGeom prst="line">
                            <a:avLst/>
                          </a:prstGeom>
                          <a:noFill/>
                          <a:ln w="9525">
                            <a:solidFill>
                              <a:srgbClr val="000000"/>
                            </a:solidFill>
                            <a:round/>
                            <a:tailEnd type="triangle" w="med" len="med"/>
                          </a:ln>
                          <a:effectLst/>
                        </wps:spPr>
                        <wps:bodyPr/>
                      </wps:wsp>
                      <wps:wsp>
                        <wps:cNvPr id="1096896824" name="Text Box 13"/>
                        <wps:cNvSpPr txBox="1">
                          <a:spLocks noChangeArrowheads="1"/>
                        </wps:cNvSpPr>
                        <wps:spPr bwMode="auto">
                          <a:xfrm>
                            <a:off x="1226" y="12435"/>
                            <a:ext cx="3886" cy="986"/>
                          </a:xfrm>
                          <a:prstGeom prst="rect">
                            <a:avLst/>
                          </a:prstGeom>
                          <a:solidFill>
                            <a:srgbClr val="FFFFFF"/>
                          </a:solidFill>
                          <a:ln w="9525">
                            <a:solidFill>
                              <a:srgbClr val="000000"/>
                            </a:solidFill>
                            <a:miter lim="800000"/>
                          </a:ln>
                          <a:effectLst/>
                        </wps:spPr>
                        <wps:txbx>
                          <w:txbxContent>
                            <w:p w14:paraId="05B9E3D1">
                              <w:pPr>
                                <w:keepNext w:val="0"/>
                                <w:keepLines w:val="0"/>
                                <w:pageBreakBefore w:val="0"/>
                                <w:widowControl w:val="0"/>
                                <w:kinsoku/>
                                <w:wordWrap/>
                                <w:overflowPunct/>
                                <w:topLinePunct w:val="0"/>
                                <w:bidi w:val="0"/>
                                <w:adjustRightInd/>
                                <w:snapToGrid/>
                                <w:spacing w:after="0" w:line="279" w:lineRule="auto"/>
                                <w:jc w:val="center"/>
                                <w:textAlignment w:val="auto"/>
                                <w:rPr>
                                  <w:rFonts w:ascii="仿宋" w:hAnsi="仿宋" w:eastAsia="仿宋"/>
                                </w:rPr>
                              </w:pPr>
                              <w:r>
                                <w:rPr>
                                  <w:rFonts w:hint="eastAsia" w:ascii="仿宋" w:hAnsi="仿宋" w:eastAsia="仿宋"/>
                                </w:rPr>
                                <w:t xml:space="preserve"> </w:t>
                              </w:r>
                              <w:r>
                                <w:rPr>
                                  <w:rFonts w:hint="default" w:ascii="Times New Roman Regular" w:hAnsi="Times New Roman Regular" w:cs="Times New Roman Regular"/>
                                </w:rPr>
                                <w:t>Submission to WFCMS for review</w:t>
                              </w:r>
                            </w:p>
                          </w:txbxContent>
                        </wps:txbx>
                        <wps:bodyPr rot="0" vert="horz" wrap="square" lIns="91440" tIns="45720" rIns="91440" bIns="45720" anchor="ctr" anchorCtr="0" upright="1">
                          <a:noAutofit/>
                        </wps:bodyPr>
                      </wps:wsp>
                      <wps:wsp>
                        <wps:cNvPr id="1582553500" name="Line 17"/>
                        <wps:cNvCnPr>
                          <a:cxnSpLocks noChangeShapeType="1"/>
                          <a:endCxn id="1888458445" idx="1"/>
                        </wps:cNvCnPr>
                        <wps:spPr bwMode="auto">
                          <a:xfrm>
                            <a:off x="5180" y="11369"/>
                            <a:ext cx="711" cy="0"/>
                          </a:xfrm>
                          <a:prstGeom prst="line">
                            <a:avLst/>
                          </a:prstGeom>
                          <a:noFill/>
                          <a:ln w="9525">
                            <a:solidFill>
                              <a:srgbClr val="000000"/>
                            </a:solidFill>
                            <a:round/>
                            <a:tailEnd type="triangle" w="med" len="med"/>
                          </a:ln>
                          <a:effectLst/>
                        </wps:spPr>
                        <wps:bodyPr/>
                      </wps:wsp>
                      <wps:wsp>
                        <wps:cNvPr id="817951583" name="Text Box 18"/>
                        <wps:cNvSpPr txBox="1">
                          <a:spLocks noChangeArrowheads="1"/>
                        </wps:cNvSpPr>
                        <wps:spPr bwMode="auto">
                          <a:xfrm>
                            <a:off x="5889" y="12452"/>
                            <a:ext cx="4986" cy="988"/>
                          </a:xfrm>
                          <a:prstGeom prst="rect">
                            <a:avLst/>
                          </a:prstGeom>
                          <a:solidFill>
                            <a:srgbClr val="FFFFFF"/>
                          </a:solidFill>
                          <a:ln w="9525">
                            <a:solidFill>
                              <a:srgbClr val="000000"/>
                            </a:solidFill>
                            <a:miter lim="800000"/>
                          </a:ln>
                          <a:effectLst/>
                        </wps:spPr>
                        <wps:txbx>
                          <w:txbxContent>
                            <w:p w14:paraId="2E145F11">
                              <w:pPr>
                                <w:keepNext w:val="0"/>
                                <w:keepLines w:val="0"/>
                                <w:pageBreakBefore w:val="0"/>
                                <w:widowControl w:val="0"/>
                                <w:kinsoku/>
                                <w:wordWrap/>
                                <w:overflowPunct/>
                                <w:topLinePunct w:val="0"/>
                                <w:bidi w:val="0"/>
                                <w:adjustRightInd/>
                                <w:snapToGrid/>
                                <w:spacing w:after="0" w:line="279" w:lineRule="auto"/>
                                <w:jc w:val="center"/>
                                <w:textAlignment w:val="auto"/>
                              </w:pPr>
                              <w:r>
                                <w:rPr>
                                  <w:rFonts w:hint="default" w:ascii="Times New Roman Regular" w:hAnsi="Times New Roman Regular" w:cs="Times New Roman Regular"/>
                                </w:rPr>
                                <w:t>Public solicitation of comments and further revision</w:t>
                              </w:r>
                            </w:p>
                          </w:txbxContent>
                        </wps:txbx>
                        <wps:bodyPr rot="0" vert="horz" wrap="square" lIns="91440" tIns="45720" rIns="91440" bIns="45720" anchor="ctr" anchorCtr="0" upright="1">
                          <a:noAutofit/>
                        </wps:bodyPr>
                      </wps:wsp>
                    </wpg:wgp>
                  </a:graphicData>
                </a:graphic>
              </wp:anchor>
            </w:drawing>
          </mc:Choice>
          <mc:Fallback>
            <w:pict>
              <v:group id="组合 1" o:spid="_x0000_s1026" o:spt="203" style="position:absolute;left:0pt;margin-left:4.35pt;margin-top:0.5pt;height:586.1pt;width:488.85pt;mso-wrap-distance-bottom:0pt;mso-wrap-distance-left:9pt;mso-wrap-distance-right:9pt;mso-wrap-distance-top:0pt;z-index:251660288;mso-width-relative:page;mso-height-relative:page;" coordorigin="1138,1634" coordsize="9777,13345" o:gfxdata="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">
                <o:lock v:ext="edit" aspectratio="f"/>
                <v:shape id="文本框 35" o:spid="_x0000_s1026" o:spt="202" type="#_x0000_t202" style="position:absolute;left:1219;top:13982;height:997;width:3911;" fillcolor="#FFFFFF" filled="t" stroked="t" coordsize="21600,21600" o:gfxdata="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IU1&#10;W8EAAADi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w:txbxContent>
                      <w:p w14:paraId="1749B2A1">
                        <w:pPr>
                          <w:jc w:val="center"/>
                          <w:rPr>
                            <w:rFonts w:ascii="仿宋" w:hAnsi="仿宋" w:eastAsia="仿宋"/>
                          </w:rPr>
                        </w:pPr>
                        <w:r>
                          <w:rPr>
                            <w:rFonts w:hint="default" w:ascii="Times New Roman Regular" w:hAnsi="Times New Roman Regular" w:cs="Times New Roman Regular"/>
                          </w:rPr>
                          <w:t>Formation of final international standard and publication</w:t>
                        </w:r>
                      </w:p>
                    </w:txbxContent>
                  </v:textbox>
                </v:shape>
                <v:line id="直线 71" o:spid="_x0000_s1026" o:spt="20" style="position:absolute;left:3813;top:11854;flip:x;height:544;width:4567;" filled="f" stroked="t" coordsize="21600,21600" o:gfxdata="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8kULvc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group id="组合 31" o:spid="_x0000_s1026" o:spt="203" style="position:absolute;left:1138;top:1634;height:12353;width:9777;" coordsize="60459,63241" o:gfxdata="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">
                  <o:lock v:ext="edit" aspectratio="f"/>
                  <v:line id="Line 4" o:spid="_x0000_s1026" o:spt="20" style="position:absolute;left:12096;top:4936;height:2215;width:0;" filled="f" stroked="t" coordsize="21600,21600" o:gfxdata="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oo&#10;7iDCAAAA4w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shape id="Text Box 5" o:spid="_x0000_s1026" o:spt="202" type="#_x0000_t202" style="position:absolute;left:0;top:7151;height:4552;width:24191;v-text-anchor:middle;" fillcolor="#FFFFFF" filled="t" stroked="t" coordsize="21600,21600" o:gfxdata="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y1xtC/&#10;AAAA4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1116D16A">
                          <w:pPr>
                            <w:keepNext w:val="0"/>
                            <w:keepLines w:val="0"/>
                            <w:pageBreakBefore w:val="0"/>
                            <w:widowControl w:val="0"/>
                            <w:kinsoku/>
                            <w:wordWrap/>
                            <w:overflowPunct/>
                            <w:topLinePunct w:val="0"/>
                            <w:bidi w:val="0"/>
                            <w:adjustRightInd/>
                            <w:snapToGrid/>
                            <w:spacing w:after="0" w:line="279" w:lineRule="auto"/>
                            <w:jc w:val="center"/>
                            <w:textAlignment w:val="auto"/>
                            <w:rPr>
                              <w:rFonts w:hint="default" w:ascii="Times New Roman Regular" w:hAnsi="Times New Roman Regular" w:cs="Times New Roman Regular"/>
                            </w:rPr>
                          </w:pPr>
                          <w:r>
                            <w:rPr>
                              <w:rFonts w:hint="default" w:ascii="Times New Roman Regular" w:hAnsi="Times New Roman Regular" w:cs="Times New Roman Regular"/>
                            </w:rPr>
                            <w:t>Multi-source literature retrieval</w:t>
                          </w:r>
                        </w:p>
                      </w:txbxContent>
                    </v:textbox>
                  </v:shape>
                  <v:line id="Line 6" o:spid="_x0000_s1026" o:spt="20" style="position:absolute;left:24308;top:9121;height:82;width:4755;" filled="f" stroked="t" coordsize="21600,21600" o:gfxdata="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6&#10;/48ZwwAAAOMAAAAPAAAAAAAAAAEAIAAAACIAAABkcnMvZG93bnJldi54bWxQSwECFAAUAAAACACH&#10;TuJAMy8FnjsAAAA5AAAAEAAAAAAAAAABACAAAAASAQAAZHJzL3NoYXBleG1sLnhtbFBLBQYAAAAA&#10;BgAGAFsBAAC8AwAAAAA=&#10;">
                    <v:fill on="f" focussize="0,0"/>
                    <v:stroke color="#000000" joinstyle="round" endarrow="block"/>
                    <v:imagedata o:title=""/>
                    <o:lock v:ext="edit" aspectratio="f"/>
                  </v:line>
                  <v:shape id="Text Box 7" o:spid="_x0000_s1026" o:spt="202" type="#_x0000_t202" style="position:absolute;left:29064;top:7011;height:4581;width:31315;v-text-anchor:middle;" fillcolor="#FFFFFF" filled="t" stroked="t" coordsize="21600,21600" o:gfxdata="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1JH&#10;IMEAAADi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w:txbxContent>
                        <w:p w14:paraId="11A36733">
                          <w:pPr>
                            <w:ind w:firstLine="105" w:firstLineChars="50"/>
                            <w:jc w:val="center"/>
                            <w:rPr>
                              <w:rFonts w:ascii="仿宋" w:hAnsi="仿宋" w:eastAsia="仿宋"/>
                            </w:rPr>
                          </w:pPr>
                          <w:r>
                            <w:rPr>
                              <w:rFonts w:hint="default" w:ascii="Times New Roman Regular" w:hAnsi="Times New Roman Regular" w:cs="Times New Roman Regular"/>
                            </w:rPr>
                            <w:t>Comparative analysis of national standard and literature content</w:t>
                          </w:r>
                        </w:p>
                      </w:txbxContent>
                    </v:textbox>
                  </v:shape>
                  <v:shape id="Text Box 8" o:spid="_x0000_s1026" o:spt="202" type="#_x0000_t202" style="position:absolute;left:235;top:22613;height:4732;width:24265;v-text-anchor:middle;" fillcolor="#FFFFFF" filled="t" stroked="t" coordsize="21600,21600" o:gfxdata="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B5jrW/&#10;AAAA4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1E6207F1">
                          <w:pPr>
                            <w:jc w:val="center"/>
                            <w:rPr>
                              <w:rFonts w:ascii="仿宋" w:hAnsi="仿宋" w:eastAsia="仿宋"/>
                            </w:rPr>
                          </w:pPr>
                          <w:r>
                            <w:rPr>
                              <w:rFonts w:hint="default" w:ascii="Times New Roman Regular" w:hAnsi="Times New Roman Regular" w:cs="Times New Roman Regular"/>
                            </w:rPr>
                            <w:t>Questionnaire collection and statistical summarization of expert opinions</w:t>
                          </w:r>
                          <w:r>
                            <w:rPr>
                              <w:rFonts w:hint="eastAsia" w:ascii="仿宋" w:hAnsi="仿宋" w:eastAsia="仿宋"/>
                            </w:rPr>
                            <w:t>questionnaires, and consolidation of expert opinions</w:t>
                          </w:r>
                        </w:p>
                      </w:txbxContent>
                    </v:textbox>
                  </v:shape>
                  <v:line id="Line 9" o:spid="_x0000_s1026" o:spt="20" style="position:absolute;left:14816;top:11581;flip:x;height:2658;width:29892;" filled="f" stroked="t" coordsize="21600,21600" o:gfxdata="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oB7NRc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line id="Line 10" o:spid="_x0000_s1026" o:spt="20" style="position:absolute;left:16961;top:60438;flip:x;height:2803;width:27833;" filled="f" stroked="t" coordsize="21600,21600" o:gfxdata="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5&#10;CXQbwwAAAOIAAAAPAAAAAAAAAAEAIAAAACIAAABkcnMvZG93bnJldi54bWxQSwECFAAUAAAACACH&#10;TuJAMy8FnjsAAAA5AAAAEAAAAAAAAAABACAAAAASAQAAZHJzL3NoYXBleG1sLnhtbFBLBQYAAAAA&#10;BgAGAFsBAAC8AwAAAAA=&#10;">
                    <v:fill on="f" focussize="0,0"/>
                    <v:stroke color="#000000" joinstyle="round" endarrow="block"/>
                    <v:imagedata o:title=""/>
                    <o:lock v:ext="edit" aspectratio="f"/>
                  </v:line>
                  <v:shape id="Text Box 11" o:spid="_x0000_s1026" o:spt="202" type="#_x0000_t202" style="position:absolute;left:29249;top:22607;height:4785;width:31129;v-text-anchor:middle;" fillcolor="#FFFFFF" filled="t" stroked="t" coordsize="21600,21600" o:gfxdata="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DfJ&#10;RRDCAAAA4gAAAA8AAAAAAAAAAQAgAAAAIgAAAGRycy9kb3ducmV2LnhtbFBLAQIUABQAAAAIAIdO&#10;4kAzLwWeOwAAADkAAAAQAAAAAAAAAAEAIAAAABEBAABkcnMvc2hhcGV4bWwueG1sUEsFBgAAAAAG&#10;AAYAWwEAALsDAAAAAA==&#10;">
                    <v:fill on="t" focussize="0,0"/>
                    <v:stroke color="#000000" miterlimit="8" joinstyle="miter"/>
                    <v:imagedata o:title=""/>
                    <o:lock v:ext="edit" aspectratio="f"/>
                    <v:textbox>
                      <w:txbxContent>
                        <w:p w14:paraId="57CE6268">
                          <w:pPr>
                            <w:jc w:val="center"/>
                            <w:rPr>
                              <w:rFonts w:ascii="仿宋" w:hAnsi="仿宋" w:eastAsia="仿宋"/>
                            </w:rPr>
                          </w:pPr>
                          <w:r>
                            <w:rPr>
                              <w:rFonts w:hint="default" w:ascii="Times New Roman Regular" w:hAnsi="Times New Roman Regular" w:cs="Times New Roman Regular"/>
                            </w:rPr>
                            <w:t>Screening of contentious items and preparation of solicitation letters</w:t>
                          </w:r>
                        </w:p>
                      </w:txbxContent>
                    </v:textbox>
                  </v:shape>
                  <v:line id="Line 12" o:spid="_x0000_s1026" o:spt="20" style="position:absolute;left:15473;top:27392;flip:x;height:2943;width:29342;" filled="f" stroked="t" coordsize="21600,21600" o:gfxdata="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xtzRJ8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shape id="Text Box 13" o:spid="_x0000_s1026" o:spt="202" type="#_x0000_t202" style="position:absolute;left:383;top:30598;height:4884;width:24488;v-text-anchor:middle;" fillcolor="#FFFFFF" filled="t" stroked="t" coordsize="21600,21600" o:gfxdata="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z&#10;YM7JwwAAAOMAAAAPAAAAAAAAAAEAIAAAACIAAABkcnMvZG93bnJldi54bWxQSwECFAAUAAAACACH&#10;TuJAMy8FnjsAAAA5AAAAEAAAAAAAAAABACAAAAASAQAAZHJzL3NoYXBleG1sLnhtbFBLBQYAAAAA&#10;BgAGAFsBAAC8AwAAAAA=&#10;">
                    <v:fill on="t" focussize="0,0"/>
                    <v:stroke color="#000000" miterlimit="8" joinstyle="miter"/>
                    <v:imagedata o:title=""/>
                    <o:lock v:ext="edit" aspectratio="f"/>
                    <v:textbox>
                      <w:txbxContent>
                        <w:p w14:paraId="2AE27948">
                          <w:pPr>
                            <w:jc w:val="center"/>
                            <w:rPr>
                              <w:rFonts w:ascii="仿宋" w:hAnsi="仿宋" w:eastAsia="仿宋"/>
                            </w:rPr>
                          </w:pPr>
                          <w:r>
                            <w:rPr>
                              <w:rFonts w:hint="eastAsia" w:ascii="仿宋" w:hAnsi="仿宋" w:eastAsia="仿宋"/>
                            </w:rPr>
                            <w:t xml:space="preserve"> </w:t>
                          </w:r>
                          <w:r>
                            <w:rPr>
                              <w:rFonts w:hint="default" w:ascii="Times New Roman Regular" w:hAnsi="Times New Roman Regular" w:cs="Times New Roman Regular"/>
                            </w:rPr>
                            <w:t>Distribution of solicitation letters and preparation for expert validation meeting</w:t>
                          </w:r>
                          <w:r>
                            <w:rPr>
                              <w:rFonts w:hint="eastAsia" w:ascii="仿宋" w:hAnsi="仿宋" w:eastAsia="仿宋"/>
                            </w:rPr>
                            <w:t>feedback from relevant experts</w:t>
                          </w:r>
                        </w:p>
                        <w:p w14:paraId="45805DEB">
                          <w:pPr>
                            <w:jc w:val="center"/>
                            <w:rPr>
                              <w:rFonts w:ascii="仿宋" w:hAnsi="仿宋" w:eastAsia="仿宋"/>
                            </w:rPr>
                          </w:pPr>
                        </w:p>
                      </w:txbxContent>
                    </v:textbox>
                  </v:shape>
                  <v:shape id="Text Box 14" o:spid="_x0000_s1026" o:spt="202" type="#_x0000_t202" style="position:absolute;left:241;top:14530;height:4768;width:24185;v-text-anchor:middle;" fillcolor="#FFFFFF" filled="t" stroked="t" coordsize="21600,21600" o:gfxdata="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kdAgm/&#10;AAAA4g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01F69E7E">
                          <w:pPr>
                            <w:keepNext w:val="0"/>
                            <w:keepLines w:val="0"/>
                            <w:pageBreakBefore w:val="0"/>
                            <w:widowControl w:val="0"/>
                            <w:kinsoku/>
                            <w:wordWrap/>
                            <w:overflowPunct/>
                            <w:topLinePunct w:val="0"/>
                            <w:bidi w:val="0"/>
                            <w:adjustRightInd/>
                            <w:snapToGrid/>
                            <w:spacing w:after="0" w:line="279" w:lineRule="auto"/>
                            <w:jc w:val="center"/>
                            <w:textAlignment w:val="auto"/>
                            <w:rPr>
                              <w:rFonts w:hint="default" w:ascii="Times New Roman Regular" w:hAnsi="Times New Roman Regular" w:cs="Times New Roman Regular"/>
                            </w:rPr>
                          </w:pPr>
                          <w:r>
                            <w:rPr>
                              <w:rFonts w:hint="default" w:ascii="Times New Roman Regular" w:hAnsi="Times New Roman Regular" w:cs="Times New Roman Regular"/>
                            </w:rPr>
                            <w:t>Development of expert questionnaire</w:t>
                          </w:r>
                        </w:p>
                      </w:txbxContent>
                    </v:textbox>
                  </v:shape>
                  <v:shape id="Text Box 15" o:spid="_x0000_s1026" o:spt="202" type="#_x0000_t202" style="position:absolute;left:29200;top:14599;height:4639;width:31259;v-text-anchor:middle;" fillcolor="#FFFFFF" filled="t" stroked="t" coordsize="21600,21600" o:gfxdata="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ll&#10;L3XCAAAA4wAAAA8AAAAAAAAAAQAgAAAAIgAAAGRycy9kb3ducmV2LnhtbFBLAQIUABQAAAAIAIdO&#10;4kAzLwWeOwAAADkAAAAQAAAAAAAAAAEAIAAAABEBAABkcnMvc2hhcGV4bWwueG1sUEsFBgAAAAAG&#10;AAYAWwEAALsDAAAAAA==&#10;">
                    <v:fill on="t" focussize="0,0"/>
                    <v:stroke color="#000000" miterlimit="8" joinstyle="miter"/>
                    <v:imagedata o:title=""/>
                    <o:lock v:ext="edit" aspectratio="f"/>
                    <v:textbox>
                      <w:txbxContent>
                        <w:p w14:paraId="41C75564">
                          <w:pPr>
                            <w:jc w:val="center"/>
                          </w:pPr>
                          <w:r>
                            <w:rPr>
                              <w:rFonts w:hint="default" w:ascii="Times New Roman Regular" w:hAnsi="Times New Roman Regular" w:cs="Times New Roman Regular"/>
                            </w:rPr>
                            <w:t>Distribution of questionnaire and solicitation of expert opinions</w:t>
                          </w:r>
                        </w:p>
                      </w:txbxContent>
                    </v:textbox>
                  </v:shape>
                  <v:line id="Line 16" o:spid="_x0000_s1026" o:spt="20" style="position:absolute;left:24642;top:57570;height:6;width:4879;" filled="f" stroked="t" coordsize="21600,21600" o:gfxdata="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MW1R/3FAAAA4gAAAA8AAAAAAAAAAQAgAAAAIgAAAGRycy9kb3ducmV2LnhtbFBLAQIUABQAAAAI&#10;AIdO4kAzLwWeOwAAADkAAAAQAAAAAAAAAAEAIAAAABQBAABkcnMvc2hhcGV4bWwueG1sUEsFBgAA&#10;AAAGAAYAWwEAAL4DAAAAAA==&#10;">
                    <v:fill on="f" focussize="0,0"/>
                    <v:stroke color="#000000" joinstyle="round" endarrow="block"/>
                    <v:imagedata o:title=""/>
                    <o:lock v:ext="edit" aspectratio="f"/>
                  </v:line>
                  <v:line id="Line 17" o:spid="_x0000_s1026" o:spt="20" style="position:absolute;left:24485;top:25241;flip:y;height:6;width:4756;" filled="f" stroked="t" coordsize="21600,21600" o:gfxdata="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My&#10;nVXCAAAA4w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shape id="Text Box 18" o:spid="_x0000_s1026" o:spt="202" type="#_x0000_t202" style="position:absolute;left:29262;top:30568;height:4878;width:31012;v-text-anchor:middle;" fillcolor="#FFFFFF" filled="t" stroked="t" coordsize="21600,21600" o:gfxdata="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vCQ&#10;6cEAAADi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w:txbxContent>
                        <w:p w14:paraId="54B36FEF">
                          <w:pPr>
                            <w:keepNext w:val="0"/>
                            <w:keepLines w:val="0"/>
                            <w:pageBreakBefore w:val="0"/>
                            <w:widowControl w:val="0"/>
                            <w:kinsoku/>
                            <w:wordWrap/>
                            <w:overflowPunct/>
                            <w:topLinePunct w:val="0"/>
                            <w:bidi w:val="0"/>
                            <w:adjustRightInd/>
                            <w:snapToGrid/>
                            <w:spacing w:after="0" w:line="279" w:lineRule="auto"/>
                            <w:jc w:val="center"/>
                            <w:textAlignment w:val="auto"/>
                            <w:rPr>
                              <w:rFonts w:ascii="仿宋" w:hAnsi="仿宋" w:eastAsia="仿宋"/>
                            </w:rPr>
                          </w:pPr>
                          <w:r>
                            <w:rPr>
                              <w:rFonts w:hint="default" w:ascii="Times New Roman Regular" w:hAnsi="Times New Roman Regular" w:cs="Times New Roman Regular"/>
                            </w:rPr>
                            <w:t xml:space="preserve">Expert validation meeting (focused explanation and solicitation of revision suggestions) </w:t>
                          </w:r>
                        </w:p>
                      </w:txbxContent>
                    </v:textbox>
                  </v:shape>
                  <v:line id="Line 19" o:spid="_x0000_s1026" o:spt="20" style="position:absolute;left:24427;top:16914;height:6;width:4774;" filled="f" stroked="t" coordsize="21600,21600" o:gfxdata="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as&#10;kZ3CAAAA4A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shape id="Text Box 20" o:spid="_x0000_s1026" o:spt="202" type="#_x0000_t202" style="position:absolute;left:0;top:0;height:4773;width:24185;v-text-anchor:middle;" fillcolor="#FFFFFF" filled="t" stroked="t" coordsize="21600,21600" o:gfxdata="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xm&#10;O8EAAADi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w:txbxContent>
                        <w:p w14:paraId="2C37BE30">
                          <w:pPr>
                            <w:jc w:val="center"/>
                            <w:rPr>
                              <w:rFonts w:ascii="仿宋" w:hAnsi="仿宋" w:eastAsia="仿宋"/>
                            </w:rPr>
                          </w:pPr>
                          <w:r>
                            <w:rPr>
                              <w:rFonts w:hint="default" w:ascii="Times New Roman Regular" w:hAnsi="Times New Roman Regular" w:cs="Times New Roman Regular"/>
                            </w:rPr>
                            <w:t>Literature research and multi-source literature retrieval</w:t>
                          </w:r>
                        </w:p>
                      </w:txbxContent>
                    </v:textbox>
                  </v:shape>
                  <v:line id="Line 12" o:spid="_x0000_s1026" o:spt="20" style="position:absolute;left:16267;top:35444;flip:x;height:3293;width:28501;" filled="f" stroked="t" coordsize="21600,21600" o:gfxdata="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Hrq&#10;burCAAAA4wAAAA8AAAAAAAAAAQAgAAAAIgAAAGRycy9kb3ducmV2LnhtbFBLAQIUABQAAAAIAIdO&#10;4kAzLwWeOwAAADkAAAAQAAAAAAAAAAEAIAAAABEBAABkcnMvc2hhcGV4bWwueG1sUEsFBgAAAAAG&#10;AAYAWwEAALsDAAAAAA==&#10;">
                    <v:fill on="f" focussize="0,0"/>
                    <v:stroke color="#000000" joinstyle="round" endarrow="block"/>
                    <v:imagedata o:title=""/>
                    <o:lock v:ext="edit" aspectratio="f"/>
                  </v:line>
                  <v:shape id="Text Box 13" o:spid="_x0000_s1026" o:spt="202" type="#_x0000_t202" style="position:absolute;left:383;top:38990;height:4901;width:24216;v-text-anchor:middle;" fillcolor="#FFFFFF" filled="t" stroked="t" coordsize="21600,21600" o:gfxdata="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1RQse/&#10;AAAA4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1C777209">
                          <w:pPr>
                            <w:jc w:val="center"/>
                            <w:rPr>
                              <w:rFonts w:hint="default" w:ascii="Times New Roman Regular" w:hAnsi="Times New Roman Regular" w:cs="Times New Roman Regular"/>
                            </w:rPr>
                          </w:pPr>
                          <w:r>
                            <w:rPr>
                              <w:rFonts w:hint="eastAsia" w:ascii="Times New Roman Regular" w:hAnsi="Times New Roman Regular" w:cs="Times New Roman Regular"/>
                            </w:rPr>
                            <w:t xml:space="preserve"> </w:t>
                          </w:r>
                          <w:r>
                            <w:rPr>
                              <w:rFonts w:hint="default" w:ascii="Times New Roman Regular" w:hAnsi="Times New Roman Regular" w:cs="Times New Roman Regular"/>
                            </w:rPr>
                            <w:t>Summarization of expert opinions and drafting of meeting minutes</w:t>
                          </w:r>
                        </w:p>
                      </w:txbxContent>
                    </v:textbox>
                  </v:shape>
                  <v:line id="Line 17" o:spid="_x0000_s1026" o:spt="20" style="position:absolute;left:24791;top:32843;height:0;width:4545;" filled="f" stroked="t" coordsize="21600,21600" o:gfxdata="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C&#10;c1ANwwAAAOMAAAAPAAAAAAAAAAEAIAAAACIAAABkcnMvZG93bnJldi54bWxQSwECFAAUAAAACACH&#10;TuJAMy8FnjsAAAA5AAAAEAAAAAAAAAABACAAAAASAQAAZHJzL3NoYXBleG1sLnhtbFBLBQYAAAAA&#10;BgAGAFsBAAC8AwAAAAA=&#10;">
                    <v:fill on="f" focussize="0,0"/>
                    <v:stroke color="#000000" joinstyle="round" endarrow="block"/>
                    <v:imagedata o:title=""/>
                    <o:lock v:ext="edit" aspectratio="f"/>
                  </v:line>
                  <v:shape id="Text Box 18" o:spid="_x0000_s1026" o:spt="202" type="#_x0000_t202" style="position:absolute;left:29243;top:39048;height:4820;width:30999;v-text-anchor:middle;" fillcolor="#FFFFFF" filled="t" stroked="t" coordsize="21600,21600" o:gfxdata="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mr6c&#10;8sEAAADi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w:txbxContent>
                        <w:p w14:paraId="10A5EEED">
                          <w:pPr>
                            <w:keepNext w:val="0"/>
                            <w:keepLines w:val="0"/>
                            <w:pageBreakBefore w:val="0"/>
                            <w:widowControl w:val="0"/>
                            <w:kinsoku/>
                            <w:wordWrap/>
                            <w:overflowPunct/>
                            <w:topLinePunct w:val="0"/>
                            <w:bidi w:val="0"/>
                            <w:adjustRightInd/>
                            <w:snapToGrid/>
                            <w:spacing w:after="0" w:line="279" w:lineRule="auto"/>
                            <w:jc w:val="center"/>
                            <w:textAlignment w:val="auto"/>
                          </w:pPr>
                          <w:r>
                            <w:rPr>
                              <w:rFonts w:hint="default" w:ascii="Times New Roman Regular" w:hAnsi="Times New Roman Regular" w:cs="Times New Roman Regular"/>
                            </w:rPr>
                            <w:t>Expert Steering Group review</w:t>
                          </w:r>
                        </w:p>
                      </w:txbxContent>
                    </v:textbox>
                  </v:shape>
                  <v:line id="Line 12" o:spid="_x0000_s1026" o:spt="20" style="position:absolute;left:16805;top:43868;flip:x;height:3106;width:27932;" filled="f" stroked="t" coordsize="21600,21600" o:gfxdata="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xPg4R8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group>
                <v:shape id="Text Box 13" o:spid="_x0000_s1026" o:spt="202" type="#_x0000_t202" style="position:absolute;left:1209;top:10883;height:969;width:3961;v-text-anchor:middle;" fillcolor="#FFFFFF" filled="t" stroked="t" coordsize="21600,21600" o:gfxdata="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9+xCa/&#10;AAAA4wAAAA8AAAAAAAAAAQAgAAAAIgAAAGRycy9kb3ducmV2LnhtbFBLAQIUABQAAAAIAIdO4kAz&#10;LwWeOwAAADkAAAAQAAAAAAAAAAEAIAAAAA4BAABkcnMvc2hhcGV4bWwueG1sUEsFBgAAAAAGAAYA&#10;WwEAALgDAAAAAA==&#10;">
                  <v:fill on="t" focussize="0,0"/>
                  <v:stroke color="#000000" miterlimit="8" joinstyle="miter"/>
                  <v:imagedata o:title=""/>
                  <o:lock v:ext="edit" aspectratio="f"/>
                  <v:textbox>
                    <w:txbxContent>
                      <w:p w14:paraId="176B8969">
                        <w:pPr>
                          <w:jc w:val="center"/>
                          <w:rPr>
                            <w:rFonts w:hint="default" w:ascii="Times New Roman Regular" w:hAnsi="Times New Roman Regular" w:cs="Times New Roman Regular"/>
                          </w:rPr>
                        </w:pPr>
                        <w:r>
                          <w:rPr>
                            <w:rFonts w:hint="default" w:ascii="Times New Roman Regular" w:hAnsi="Times New Roman Regular" w:cs="Times New Roman Regular"/>
                          </w:rPr>
                          <w:t>Convening of project team coordination meeting</w:t>
                        </w:r>
                      </w:p>
                      <w:p w14:paraId="47DDAFF5">
                        <w:pPr>
                          <w:jc w:val="center"/>
                          <w:rPr>
                            <w:rFonts w:ascii="仿宋" w:hAnsi="仿宋" w:eastAsia="仿宋"/>
                          </w:rPr>
                        </w:pPr>
                      </w:p>
                      <w:p w14:paraId="296E8B47">
                        <w:pPr>
                          <w:rPr>
                            <w:rFonts w:ascii="仿宋" w:hAnsi="仿宋" w:eastAsia="仿宋"/>
                          </w:rPr>
                        </w:pPr>
                      </w:p>
                    </w:txbxContent>
                  </v:textbox>
                </v:shape>
                <v:line id="Line 17" o:spid="_x0000_s1026" o:spt="20" style="position:absolute;left:5151;top:9733;height:0;width:716;" filled="f" stroked="t" coordsize="21600,21600" o:gfxdata="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Dvxh9uxgAAAOMAAAAPAAAAAAAAAAEAIAAAACIAAABkcnMvZG93bnJldi54bWxQSwECFAAUAAAA&#10;CACHTuJAMy8FnjsAAAA5AAAAEAAAAAAAAAABACAAAAAVAQAAZHJzL3NoYXBleG1sLnhtbFBLBQYA&#10;AAAABgAGAFsBAAC/AwAAAAA=&#10;">
                  <v:fill on="f" focussize="0,0"/>
                  <v:stroke color="#000000" joinstyle="round" endarrow="block"/>
                  <v:imagedata o:title=""/>
                  <o:lock v:ext="edit" aspectratio="f"/>
                </v:line>
                <v:shape id="Text Box 18" o:spid="_x0000_s1026" o:spt="202" type="#_x0000_t202" style="position:absolute;left:5891;top:10883;height:971;width:4977;v-text-anchor:middle;" fillcolor="#FFFFFF" filled="t" stroked="t" coordsize="21600,21600" o:gfxdata="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hhXob4A&#10;AADjAAAADwAAAAAAAAABACAAAAAiAAAAZHJzL2Rvd25yZXYueG1sUEsBAhQAFAAAAAgAh07iQDMv&#10;BZ47AAAAOQAAABAAAAAAAAAAAQAgAAAADQEAAGRycy9zaGFwZXhtbC54bWxQSwUGAAAAAAYABgBb&#10;AQAAtwMAAAAA&#10;">
                  <v:fill on="t" focussize="0,0"/>
                  <v:stroke color="#000000" miterlimit="8" joinstyle="miter"/>
                  <v:imagedata o:title=""/>
                  <o:lock v:ext="edit" aspectratio="f"/>
                  <v:textbox>
                    <w:txbxContent>
                      <w:p w14:paraId="2D71308E">
                        <w:pPr>
                          <w:jc w:val="center"/>
                          <w:rPr>
                            <w:rFonts w:ascii="仿宋" w:hAnsi="仿宋" w:eastAsia="仿宋"/>
                          </w:rPr>
                        </w:pPr>
                        <w:r>
                          <w:rPr>
                            <w:rFonts w:hint="eastAsia" w:ascii="仿宋" w:hAnsi="仿宋" w:eastAsia="仿宋"/>
                          </w:rPr>
                          <w:t xml:space="preserve"> </w:t>
                        </w:r>
                        <w:r>
                          <w:rPr>
                            <w:rFonts w:hint="default" w:ascii="Times New Roman Regular" w:hAnsi="Times New Roman Regular" w:cs="Times New Roman Regular"/>
                          </w:rPr>
                          <w:t>Formation of pediatric tuina standard draft and formulation explanations</w:t>
                        </w:r>
                      </w:p>
                    </w:txbxContent>
                  </v:textbox>
                </v:shape>
                <v:line id="Line 12" o:spid="_x0000_s1026" o:spt="20" style="position:absolute;left:3571;top:5392;flip:x;height:597;width:4817;" filled="f" stroked="t" coordsize="21600,21600" o:gfxdata="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ueo8UMQAAADiAAAADwAAAAAAAAABACAAAAAiAAAAZHJzL2Rvd25yZXYueG1sUEsBAhQAFAAAAAgA&#10;h07iQDMvBZ47AAAAOQAAABAAAAAAAAAAAQAgAAAAEwEAAGRycy9zaGFwZXhtbC54bWxQSwUGAAAA&#10;AAYABgBbAQAAvQMAAAAA&#10;">
                  <v:fill on="f" focussize="0,0"/>
                  <v:stroke color="#000000" joinstyle="round" endarrow="block"/>
                  <v:imagedata o:title=""/>
                  <o:lock v:ext="edit" aspectratio="f"/>
                </v:line>
                <v:shape id="Text Box 13" o:spid="_x0000_s1026" o:spt="202" type="#_x0000_t202" style="position:absolute;left:1226;top:12435;height:986;width:3886;v-text-anchor:middle;" fillcolor="#FFFFFF" filled="t" stroked="t" coordsize="21600,21600" o:gfxdata="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v2/&#10;PMEAAADjAAAADwAAAAAAAAABACAAAAAiAAAAZHJzL2Rvd25yZXYueG1sUEsBAhQAFAAAAAgAh07i&#10;QDMvBZ47AAAAOQAAABAAAAAAAAAAAQAgAAAAEAEAAGRycy9zaGFwZXhtbC54bWxQSwUGAAAAAAYA&#10;BgBbAQAAugMAAAAA&#10;">
                  <v:fill on="t" focussize="0,0"/>
                  <v:stroke color="#000000" miterlimit="8" joinstyle="miter"/>
                  <v:imagedata o:title=""/>
                  <o:lock v:ext="edit" aspectratio="f"/>
                  <v:textbox>
                    <w:txbxContent>
                      <w:p w14:paraId="05B9E3D1">
                        <w:pPr>
                          <w:keepNext w:val="0"/>
                          <w:keepLines w:val="0"/>
                          <w:pageBreakBefore w:val="0"/>
                          <w:widowControl w:val="0"/>
                          <w:kinsoku/>
                          <w:wordWrap/>
                          <w:overflowPunct/>
                          <w:topLinePunct w:val="0"/>
                          <w:bidi w:val="0"/>
                          <w:adjustRightInd/>
                          <w:snapToGrid/>
                          <w:spacing w:after="0" w:line="279" w:lineRule="auto"/>
                          <w:jc w:val="center"/>
                          <w:textAlignment w:val="auto"/>
                          <w:rPr>
                            <w:rFonts w:ascii="仿宋" w:hAnsi="仿宋" w:eastAsia="仿宋"/>
                          </w:rPr>
                        </w:pPr>
                        <w:r>
                          <w:rPr>
                            <w:rFonts w:hint="eastAsia" w:ascii="仿宋" w:hAnsi="仿宋" w:eastAsia="仿宋"/>
                          </w:rPr>
                          <w:t xml:space="preserve"> </w:t>
                        </w:r>
                        <w:r>
                          <w:rPr>
                            <w:rFonts w:hint="default" w:ascii="Times New Roman Regular" w:hAnsi="Times New Roman Regular" w:cs="Times New Roman Regular"/>
                          </w:rPr>
                          <w:t>Submission to WFCMS for review</w:t>
                        </w:r>
                      </w:p>
                    </w:txbxContent>
                  </v:textbox>
                </v:shape>
                <v:line id="Line 17" o:spid="_x0000_s1026" o:spt="20" style="position:absolute;left:5180;top:11369;height:0;width:711;" filled="f" stroked="t" coordsize="21600,21600" o:gfxdata="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DGgOFuxgAAAOMAAAAPAAAAAAAAAAEAIAAAACIAAABkcnMvZG93bnJldi54bWxQSwECFAAUAAAA&#10;CACHTuJAMy8FnjsAAAA5AAAAEAAAAAAAAAABACAAAAAVAQAAZHJzL3NoYXBleG1sLnhtbFBLBQYA&#10;AAAABgAGAFsBAAC/AwAAAAA=&#10;">
                  <v:fill on="f" focussize="0,0"/>
                  <v:stroke color="#000000" joinstyle="round" endarrow="block"/>
                  <v:imagedata o:title=""/>
                  <o:lock v:ext="edit" aspectratio="f"/>
                </v:line>
                <v:shape id="Text Box 18" o:spid="_x0000_s1026" o:spt="202" type="#_x0000_t202" style="position:absolute;left:5889;top:12452;height:988;width:4986;v-text-anchor:middle;" fillcolor="#FFFFFF" filled="t" stroked="t" coordsize="21600,21600" o:gfxdata="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rB&#10;Wu7CAAAA4gAAAA8AAAAAAAAAAQAgAAAAIgAAAGRycy9kb3ducmV2LnhtbFBLAQIUABQAAAAIAIdO&#10;4kAzLwWeOwAAADkAAAAQAAAAAAAAAAEAIAAAABEBAABkcnMvc2hhcGV4bWwueG1sUEsFBgAAAAAG&#10;AAYAWwEAALsDAAAAAA==&#10;">
                  <v:fill on="t" focussize="0,0"/>
                  <v:stroke color="#000000" miterlimit="8" joinstyle="miter"/>
                  <v:imagedata o:title=""/>
                  <o:lock v:ext="edit" aspectratio="f"/>
                  <v:textbox>
                    <w:txbxContent>
                      <w:p w14:paraId="2E145F11">
                        <w:pPr>
                          <w:keepNext w:val="0"/>
                          <w:keepLines w:val="0"/>
                          <w:pageBreakBefore w:val="0"/>
                          <w:widowControl w:val="0"/>
                          <w:kinsoku/>
                          <w:wordWrap/>
                          <w:overflowPunct/>
                          <w:topLinePunct w:val="0"/>
                          <w:bidi w:val="0"/>
                          <w:adjustRightInd/>
                          <w:snapToGrid/>
                          <w:spacing w:after="0" w:line="279" w:lineRule="auto"/>
                          <w:jc w:val="center"/>
                          <w:textAlignment w:val="auto"/>
                        </w:pPr>
                        <w:r>
                          <w:rPr>
                            <w:rFonts w:hint="default" w:ascii="Times New Roman Regular" w:hAnsi="Times New Roman Regular" w:cs="Times New Roman Regular"/>
                          </w:rPr>
                          <w:t>Public solicitation of comments and further revision</w:t>
                        </w:r>
                      </w:p>
                    </w:txbxContent>
                  </v:textbox>
                </v:shape>
                <w10:wrap type="square"/>
              </v:group>
            </w:pict>
          </mc:Fallback>
        </mc:AlternateContent>
      </w:r>
      <w:r>
        <w:rPr>
          <w:rFonts w:hint="default" w:ascii="Cambria" w:hAnsi="Cambria" w:eastAsia="仿宋" w:cs="Cambria"/>
          <w:b/>
          <w:bCs/>
          <w:color w:val="auto"/>
          <w:sz w:val="24"/>
          <w:lang w:val="en-US" w:eastAsia="zh-CN"/>
        </w:rPr>
        <w:t>II. Principles for Standard Formulation and Basis for Determining Key Content of the Standard</w:t>
      </w:r>
    </w:p>
    <w:p w14:paraId="3495F32C">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color w:val="auto"/>
          <w:kern w:val="2"/>
          <w:sz w:val="24"/>
          <w:szCs w:val="24"/>
          <w:lang w:val="en-US" w:eastAsia="zh-CN" w:bidi="ar-SA"/>
        </w:rPr>
        <w:t>1</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cs="Cambria"/>
          <w:b/>
          <w:bCs/>
          <w:sz w:val="24"/>
          <w:szCs w:val="24"/>
          <w:lang w:val="en-US" w:eastAsia="zh-CN"/>
        </w:rPr>
        <w:t>Principles for Standard Development</w:t>
      </w:r>
    </w:p>
    <w:p w14:paraId="4090FB70">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This standard was developed following four principles: </w:t>
      </w:r>
      <w:r>
        <w:rPr>
          <w:rFonts w:hint="default" w:ascii="Cambria" w:hAnsi="Cambria" w:cs="Cambria"/>
          <w:sz w:val="24"/>
          <w:szCs w:val="24"/>
          <w:lang w:val="en-US"/>
        </w:rPr>
        <w:t>“</w:t>
      </w:r>
      <w:r>
        <w:rPr>
          <w:rFonts w:hint="default" w:ascii="Cambria" w:hAnsi="Cambria" w:cs="Cambria"/>
          <w:sz w:val="24"/>
          <w:szCs w:val="24"/>
        </w:rPr>
        <w:t>scientific validity, practicality, standardization, and international applicability,</w:t>
      </w:r>
      <w:r>
        <w:rPr>
          <w:rFonts w:hint="default" w:ascii="Cambria" w:hAnsi="Cambria" w:cs="Cambria"/>
          <w:sz w:val="24"/>
          <w:szCs w:val="24"/>
          <w:lang w:val="en-US"/>
        </w:rPr>
        <w:t>”</w:t>
      </w:r>
      <w:r>
        <w:rPr>
          <w:rFonts w:hint="default" w:ascii="Cambria" w:hAnsi="Cambria" w:cs="Cambria"/>
          <w:sz w:val="24"/>
          <w:szCs w:val="24"/>
        </w:rPr>
        <w:t xml:space="preserve"> with the aim of producing a document that can be practically applied by TCM pediatric practitioners globally, is widely accepted and recognized internationally, and is aligned with international medical technical norms.</w:t>
      </w:r>
    </w:p>
    <w:p w14:paraId="3BE79197">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1.1 Scientific Validity</w:t>
      </w:r>
    </w:p>
    <w:p w14:paraId="3D197DDA">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development of this standard employed systematic literature research, extensively searching and integrating authoritative standards, guidelines, and clinical evidence from both domestic and international sources, including WHO guidelines, Indian Academy of Pediatrics guidelines, WFCMS specifications, and the Pharmacopoeia of the People's Republic of China (2025 Edition). Concurrently, consensus opinions from expert questionnaire surveys (27 experts) and expert validation meetings (13 experts) were incorporated to ensure that technical items (such as terminology definitions, operational steps and requirements, precautions and contraindications) are supported by reliable evidence, avoiding subjective experiential bias and promoting objectivity and verifiability of the content. The expert validation meeting included specialists in TCM pediatrics, integrated Chinese-Western medicine pediatrics, Western pediatrics, and standardization, ensuring the scientific rigor of the technical content.</w:t>
      </w:r>
    </w:p>
    <w:p w14:paraId="56A3017C">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1.2 Practicality</w:t>
      </w:r>
    </w:p>
    <w:p w14:paraId="23DC49C1">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standard aims to standardize global TCM pediatric tuina operations and directly serve clinical pediatric practice. Operational details were optimized based on the actual needs of TCM pediatric clinical work. Building upon the framework of the original national standard GB/Z 40893.4-2021, and incorporating literature research and expert consensus, the standard is designed to be easy to implement and applicable to TCM medical care, education, and research, thereby enhancing clinical compliance and therapeutic efficacy. The content fully references clinical feedback from over three years of implementation of the original national standard and experience from overseas promotion and application, ensuring that the content is aligned with clinical reality and easy to execute.</w:t>
      </w:r>
    </w:p>
    <w:p w14:paraId="0E0CFE85">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1.3 Standardization</w:t>
      </w:r>
    </w:p>
    <w:p w14:paraId="30EEA02E">
      <w:pPr>
        <w:keepNext w:val="0"/>
        <w:keepLines w:val="0"/>
        <w:pageBreakBefore w:val="0"/>
        <w:widowControl w:val="0"/>
        <w:kinsoku/>
        <w:wordWrap/>
        <w:overflowPunct/>
        <w:topLinePunct w:val="0"/>
        <w:autoSpaceDE/>
        <w:autoSpaceDN/>
        <w:bidi w:val="0"/>
        <w:adjustRightInd/>
        <w:snapToGrid/>
        <w:spacing w:after="0" w:line="279" w:lineRule="auto"/>
        <w:jc w:val="both"/>
        <w:textAlignment w:val="auto"/>
        <w:rPr>
          <w:rFonts w:hint="default" w:ascii="Cambria" w:hAnsi="Cambria" w:eastAsia="仿宋" w:cs="Cambria"/>
          <w:bCs/>
          <w:sz w:val="24"/>
          <w:szCs w:val="24"/>
        </w:rPr>
      </w:pPr>
      <w:r>
        <w:rPr>
          <w:rFonts w:hint="default" w:ascii="Cambria" w:hAnsi="Cambria" w:eastAsia="仿宋" w:cs="Cambria"/>
          <w:bCs/>
          <w:sz w:val="24"/>
          <w:szCs w:val="24"/>
        </w:rPr>
        <w:t xml:space="preserve"> </w:t>
      </w:r>
      <w:r>
        <w:rPr>
          <w:rFonts w:hint="default" w:ascii="Cambria" w:hAnsi="Cambria" w:eastAsia="仿宋" w:cs="Cambria"/>
          <w:bCs/>
          <w:sz w:val="24"/>
          <w:szCs w:val="24"/>
          <w:lang w:val="en-US"/>
        </w:rPr>
        <w:t xml:space="preserve">   </w:t>
      </w:r>
      <w:r>
        <w:rPr>
          <w:rFonts w:hint="default" w:ascii="Cambria" w:hAnsi="Cambria" w:cs="Cambria"/>
          <w:sz w:val="24"/>
          <w:szCs w:val="24"/>
        </w:rPr>
        <w:t xml:space="preserve">The development strictly followed the procedural requirements of WFCMS </w:t>
      </w:r>
      <w:r>
        <w:rPr>
          <w:rFonts w:hint="default" w:ascii="Cambria" w:hAnsi="Cambria" w:eastAsia="宋体" w:cs="Cambria"/>
          <w:color w:val="auto"/>
          <w:kern w:val="2"/>
          <w:sz w:val="24"/>
          <w:szCs w:val="24"/>
          <w:lang w:val="en-US" w:eastAsia="zh-CN" w:bidi="ar-SA"/>
        </w:rPr>
        <w:t>SCM 1.1-2021 Directives for Standardization-Part 1: Procedures for standard and development,revison and publication</w:t>
      </w:r>
      <w:r>
        <w:rPr>
          <w:rFonts w:hint="default" w:ascii="Cambria" w:hAnsi="Cambria" w:cs="Cambria"/>
          <w:sz w:val="24"/>
          <w:szCs w:val="24"/>
        </w:rPr>
        <w:t>, including literature research, expert surveys, validation meetings, and internal coordination meetings. Unified terminology definitions and standardized operational steps ensure that the text is clearly structured and highly consistent, facilitating international organizational review and global application.</w:t>
      </w:r>
    </w:p>
    <w:p w14:paraId="7DF81E06">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1.4 International Adaptability</w:t>
      </w:r>
    </w:p>
    <w:p w14:paraId="7BBC2C0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standard balances TCM characteristics with international regulatory requirements, covering expert opinions from multiple countries (including China, Singapore, Malaysia, Australia, and the United States), and takes full account of differences in legal frameworks, healthcare systems, and cultural backgrounds across different nations. In the "Scope" section, it is explicitly stated: </w:t>
      </w:r>
      <w:r>
        <w:rPr>
          <w:rFonts w:hint="default" w:ascii="Cambria" w:hAnsi="Cambria" w:cs="Cambria"/>
          <w:sz w:val="24"/>
          <w:szCs w:val="24"/>
          <w:lang w:val="en-US"/>
        </w:rPr>
        <w:t>“</w:t>
      </w:r>
      <w:r>
        <w:rPr>
          <w:rFonts w:hint="default" w:ascii="Cambria" w:hAnsi="Cambria" w:cs="Cambria"/>
          <w:sz w:val="24"/>
          <w:szCs w:val="24"/>
        </w:rPr>
        <w:t>All operations covered in this document should be performed by practitioners in compliance with the laws, regulations, and scope of practice requirements of their respective countries or regions.</w:t>
      </w:r>
      <w:r>
        <w:rPr>
          <w:rFonts w:hint="default" w:ascii="Cambria" w:hAnsi="Cambria" w:cs="Cambria"/>
          <w:sz w:val="24"/>
          <w:szCs w:val="24"/>
          <w:lang w:val="en-US"/>
        </w:rPr>
        <w:t>”</w:t>
      </w:r>
      <w:r>
        <w:rPr>
          <w:rFonts w:hint="default" w:ascii="Cambria" w:hAnsi="Cambria" w:cs="Cambria"/>
          <w:sz w:val="24"/>
          <w:szCs w:val="24"/>
        </w:rPr>
        <w:t xml:space="preserve"> In terminology definitions and operational steps, authoritative technical norms from WHO, WFCMS, and the Indian Academy of Pediatrics were incorporated, facilitating global dissemination and application, adapting to diverse healthcare environments, and promoting the internationalization of</w:t>
      </w:r>
      <w:r>
        <w:rPr>
          <w:rFonts w:hint="default" w:ascii="Cambria" w:hAnsi="Cambria" w:cs="Cambria"/>
          <w:sz w:val="24"/>
          <w:szCs w:val="24"/>
          <w:lang w:val="en-US"/>
        </w:rPr>
        <w:t xml:space="preserve"> </w:t>
      </w:r>
      <w:r>
        <w:rPr>
          <w:rFonts w:hint="default" w:ascii="Cambria" w:hAnsi="Cambria" w:cs="Cambria"/>
          <w:sz w:val="24"/>
          <w:szCs w:val="24"/>
        </w:rPr>
        <w:t>TCM pediatric techniques.</w:t>
      </w:r>
    </w:p>
    <w:p w14:paraId="50120C2C">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color w:val="auto"/>
          <w:kern w:val="2"/>
          <w:sz w:val="24"/>
          <w:szCs w:val="24"/>
          <w:lang w:val="en-US" w:eastAsia="zh-CN" w:bidi="ar-SA"/>
        </w:rPr>
        <w:t>2</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cs="Cambria"/>
          <w:b/>
          <w:bCs/>
          <w:sz w:val="24"/>
          <w:szCs w:val="24"/>
          <w:lang w:val="en-US" w:eastAsia="zh-CN"/>
        </w:rPr>
        <w:t>Methods and Basis for Determining the Main Content of the Standard</w:t>
      </w:r>
    </w:p>
    <w:p w14:paraId="33B24CA9">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 Main Content of the Standard</w:t>
      </w:r>
    </w:p>
    <w:p w14:paraId="61D94D6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This project,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comprises 11 sections: scope, normative references, terms and definitions, operational steps and requirements, precautions and contraindications, Appendix A (informative) Commonly Used Media in Pediatric Tuina, Appendix B (informative) Commonly Used Acupoints in Pediatric Tuina, Appendix C (informative) Treatment Duration, Intervals, and Courses for Pediatric Tuina, Appendix D (informative) Precautions for Pediatric Tuina Therapy, Appendix E (informative) Contraindications for Pediatric Tuina Therapy, and references.</w:t>
      </w:r>
    </w:p>
    <w:p w14:paraId="47D2A40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Scope</w:t>
      </w:r>
    </w:p>
    <w:p w14:paraId="6BD8E2B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(2) Normative References</w:t>
      </w:r>
    </w:p>
    <w:p w14:paraId="10A8E6B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(3) Terms and Definitions</w:t>
      </w:r>
    </w:p>
    <w:p w14:paraId="661088A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(4) Operational Steps and Requirements</w:t>
      </w:r>
    </w:p>
    <w:p w14:paraId="6A9DBAB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(5) Precautions and Contraindications</w:t>
      </w:r>
    </w:p>
    <w:p w14:paraId="22D4F0A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(6) Annex A (informative) Commonly Used Media in Pediatric Tuina</w:t>
      </w:r>
    </w:p>
    <w:p w14:paraId="73481E1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(7) Annex B (informative) Commonly Used Acupoints in Pediatric Tuina</w:t>
      </w:r>
    </w:p>
    <w:p w14:paraId="6C70D2E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(8) Annex C (informative) Treatment Duration, Intervals, and Courses for Pediatric Tuina</w:t>
      </w:r>
    </w:p>
    <w:p w14:paraId="064C71D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(9) Annex D (informative) Precautions for Pediatric Tuina Therapy</w:t>
      </w:r>
    </w:p>
    <w:p w14:paraId="5029168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(10) Annex E (informative) Contraindications for Pediatric Tuina Therapy</w:t>
      </w:r>
    </w:p>
    <w:p w14:paraId="22D0DE2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(11) References</w:t>
      </w:r>
    </w:p>
    <w:p w14:paraId="285C855E">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 Methods for Determining the Main Content</w:t>
      </w:r>
    </w:p>
    <w:p w14:paraId="16F6C40A">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textAlignment w:val="auto"/>
        <w:rPr>
          <w:rFonts w:hint="default" w:ascii="Cambria" w:hAnsi="Cambria" w:cs="Cambria"/>
          <w:sz w:val="24"/>
          <w:szCs w:val="24"/>
        </w:rPr>
      </w:pPr>
      <w:r>
        <w:rPr>
          <w:rFonts w:hint="default" w:ascii="Cambria" w:hAnsi="Cambria" w:cs="Cambria"/>
          <w:sz w:val="24"/>
          <w:szCs w:val="24"/>
        </w:rPr>
        <w:t>(1) Literature Collection and Screening</w:t>
      </w:r>
    </w:p>
    <w:p w14:paraId="0E25F3F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Literature collection was carried out from September to October 2025, aiming to provide evidence support for the conversion of the national standard to an international standard. The project team conducted systematic searches through authoritative domestic and international databases and standard platforms, including international standards (e.g., ISO/TC249, WHO</w:t>
      </w:r>
      <w:r>
        <w:rPr>
          <w:rFonts w:hint="default" w:ascii="Cambria" w:hAnsi="Cambria" w:cs="Cambria"/>
          <w:sz w:val="24"/>
          <w:szCs w:val="24"/>
          <w:lang w:val="en-US"/>
        </w:rPr>
        <w:t xml:space="preserve"> </w:t>
      </w:r>
      <w:r>
        <w:rPr>
          <w:rFonts w:hint="default" w:ascii="Cambria" w:hAnsi="Cambria" w:cs="Cambria"/>
          <w:sz w:val="24"/>
          <w:szCs w:val="24"/>
        </w:rPr>
        <w:t xml:space="preserve">IRIS), domestic standards (e.g., National Standard Full-text Disclosure System, National Standard Information Public Service Platform), literature databases (e.g., PubMed, CNKI), and guidelines and consensus documents published by foreign organizations. The search strategy employed combinations of keywords: English terms included </w:t>
      </w:r>
      <w:r>
        <w:rPr>
          <w:rFonts w:hint="default" w:ascii="Cambria" w:hAnsi="Cambria" w:cs="Cambria"/>
          <w:sz w:val="24"/>
          <w:szCs w:val="24"/>
          <w:lang w:val="en-US"/>
        </w:rPr>
        <w:t>“</w:t>
      </w:r>
      <w:r>
        <w:rPr>
          <w:rFonts w:hint="default" w:ascii="Cambria" w:hAnsi="Cambria" w:cs="Cambria"/>
          <w:sz w:val="24"/>
          <w:szCs w:val="24"/>
        </w:rPr>
        <w:t>Pediatric,</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Child,</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Infant,</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Newborn,</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Tuina,</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Massage,</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Guideline,</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Standard,</w:t>
      </w:r>
      <w:r>
        <w:rPr>
          <w:rFonts w:hint="default" w:ascii="Cambria" w:hAnsi="Cambria" w:cs="Cambria"/>
          <w:sz w:val="24"/>
          <w:szCs w:val="24"/>
          <w:lang w:val="en-US"/>
        </w:rPr>
        <w:t>”</w:t>
      </w:r>
      <w:r>
        <w:rPr>
          <w:rFonts w:hint="default" w:ascii="Cambria" w:hAnsi="Cambria" w:cs="Cambria"/>
          <w:sz w:val="24"/>
          <w:szCs w:val="24"/>
        </w:rPr>
        <w:t xml:space="preserve"> etc.; Chinese terms included </w:t>
      </w:r>
      <w:r>
        <w:rPr>
          <w:rFonts w:hint="default" w:ascii="Cambria" w:hAnsi="Cambria" w:cs="Cambria"/>
          <w:sz w:val="24"/>
          <w:szCs w:val="24"/>
          <w:lang w:val="en-US"/>
        </w:rPr>
        <w:t>“</w:t>
      </w:r>
      <w:r>
        <w:rPr>
          <w:rFonts w:hint="default" w:ascii="Cambria" w:hAnsi="Cambria" w:cs="Cambria"/>
          <w:sz w:val="24"/>
          <w:szCs w:val="24"/>
        </w:rPr>
        <w:t>推拿</w:t>
      </w:r>
      <w:r>
        <w:rPr>
          <w:rFonts w:hint="default" w:ascii="Cambria" w:hAnsi="Cambria" w:cs="Cambria"/>
          <w:sz w:val="24"/>
          <w:szCs w:val="24"/>
          <w:lang w:val="en-US"/>
        </w:rPr>
        <w:t>”</w:t>
      </w:r>
      <w:r>
        <w:rPr>
          <w:rFonts w:hint="default" w:ascii="Cambria" w:hAnsi="Cambria" w:cs="Cambria"/>
          <w:sz w:val="24"/>
          <w:szCs w:val="24"/>
        </w:rPr>
        <w:t xml:space="preserve"> (tuina), </w:t>
      </w:r>
      <w:r>
        <w:rPr>
          <w:rFonts w:hint="default" w:ascii="Cambria" w:hAnsi="Cambria" w:cs="Cambria"/>
          <w:sz w:val="24"/>
          <w:szCs w:val="24"/>
          <w:lang w:val="en-US"/>
        </w:rPr>
        <w:t>“</w:t>
      </w:r>
      <w:r>
        <w:rPr>
          <w:rFonts w:hint="default" w:ascii="Cambria" w:hAnsi="Cambria" w:cs="Cambria"/>
          <w:sz w:val="24"/>
          <w:szCs w:val="24"/>
        </w:rPr>
        <w:t>按摩</w:t>
      </w:r>
      <w:r>
        <w:rPr>
          <w:rFonts w:hint="default" w:ascii="Cambria" w:hAnsi="Cambria" w:cs="Cambria"/>
          <w:sz w:val="24"/>
          <w:szCs w:val="24"/>
          <w:lang w:val="en-US"/>
        </w:rPr>
        <w:t>”</w:t>
      </w:r>
      <w:r>
        <w:rPr>
          <w:rFonts w:hint="default" w:ascii="Cambria" w:hAnsi="Cambria" w:cs="Cambria"/>
          <w:sz w:val="24"/>
          <w:szCs w:val="24"/>
        </w:rPr>
        <w:t xml:space="preserve"> (massage), </w:t>
      </w:r>
      <w:r>
        <w:rPr>
          <w:rFonts w:hint="default" w:ascii="Cambria" w:hAnsi="Cambria" w:cs="Cambria"/>
          <w:sz w:val="24"/>
          <w:szCs w:val="24"/>
          <w:lang w:val="en-US"/>
        </w:rPr>
        <w:t>“</w:t>
      </w:r>
      <w:r>
        <w:rPr>
          <w:rFonts w:hint="default" w:ascii="Cambria" w:hAnsi="Cambria" w:cs="Cambria"/>
          <w:sz w:val="24"/>
          <w:szCs w:val="24"/>
        </w:rPr>
        <w:t>中医</w:t>
      </w:r>
      <w:r>
        <w:rPr>
          <w:rFonts w:hint="default" w:ascii="Cambria" w:hAnsi="Cambria" w:cs="Cambria"/>
          <w:sz w:val="24"/>
          <w:szCs w:val="24"/>
          <w:lang w:val="en-US"/>
        </w:rPr>
        <w:t>”</w:t>
      </w:r>
      <w:r>
        <w:rPr>
          <w:rFonts w:hint="default" w:ascii="Cambria" w:hAnsi="Cambria" w:cs="Cambria"/>
          <w:sz w:val="24"/>
          <w:szCs w:val="24"/>
        </w:rPr>
        <w:t xml:space="preserve"> (TCM), </w:t>
      </w:r>
      <w:r>
        <w:rPr>
          <w:rFonts w:hint="default" w:ascii="Cambria" w:hAnsi="Cambria" w:cs="Cambria"/>
          <w:sz w:val="24"/>
          <w:szCs w:val="24"/>
          <w:lang w:val="en-US"/>
        </w:rPr>
        <w:t>“</w:t>
      </w:r>
      <w:r>
        <w:rPr>
          <w:rFonts w:hint="default" w:ascii="Cambria" w:hAnsi="Cambria" w:cs="Cambria"/>
          <w:sz w:val="24"/>
          <w:szCs w:val="24"/>
        </w:rPr>
        <w:t>穴位</w:t>
      </w:r>
      <w:r>
        <w:rPr>
          <w:rFonts w:hint="default" w:ascii="Cambria" w:hAnsi="Cambria" w:cs="Cambria"/>
          <w:sz w:val="24"/>
          <w:szCs w:val="24"/>
          <w:lang w:val="en-US"/>
        </w:rPr>
        <w:t>”</w:t>
      </w:r>
      <w:r>
        <w:rPr>
          <w:rFonts w:hint="default" w:ascii="Cambria" w:hAnsi="Cambria" w:cs="Cambria"/>
          <w:sz w:val="24"/>
          <w:szCs w:val="24"/>
        </w:rPr>
        <w:t xml:space="preserve"> (acupoints), </w:t>
      </w:r>
      <w:r>
        <w:rPr>
          <w:rFonts w:hint="default" w:ascii="Cambria" w:hAnsi="Cambria" w:cs="Cambria"/>
          <w:sz w:val="24"/>
          <w:szCs w:val="24"/>
          <w:lang w:val="en-US"/>
        </w:rPr>
        <w:t>“</w:t>
      </w:r>
      <w:r>
        <w:rPr>
          <w:rFonts w:hint="default" w:ascii="Cambria" w:hAnsi="Cambria" w:cs="Cambria"/>
          <w:sz w:val="24"/>
          <w:szCs w:val="24"/>
        </w:rPr>
        <w:t>儿科</w:t>
      </w:r>
      <w:r>
        <w:rPr>
          <w:rFonts w:hint="default" w:ascii="Cambria" w:hAnsi="Cambria" w:cs="Cambria"/>
          <w:sz w:val="24"/>
          <w:szCs w:val="24"/>
          <w:lang w:val="en-US"/>
        </w:rPr>
        <w:t>”</w:t>
      </w:r>
      <w:r>
        <w:rPr>
          <w:rFonts w:hint="default" w:ascii="Cambria" w:hAnsi="Cambria" w:cs="Cambria"/>
          <w:sz w:val="24"/>
          <w:szCs w:val="24"/>
        </w:rPr>
        <w:t xml:space="preserve"> (pediatrics), </w:t>
      </w:r>
      <w:r>
        <w:rPr>
          <w:rFonts w:hint="default" w:ascii="Cambria" w:hAnsi="Cambria" w:cs="Cambria"/>
          <w:sz w:val="24"/>
          <w:szCs w:val="24"/>
          <w:lang w:val="en-US"/>
        </w:rPr>
        <w:t>“</w:t>
      </w:r>
      <w:r>
        <w:rPr>
          <w:rFonts w:hint="default" w:ascii="Cambria" w:hAnsi="Cambria" w:cs="Cambria"/>
          <w:sz w:val="24"/>
          <w:szCs w:val="24"/>
        </w:rPr>
        <w:t>儿童</w:t>
      </w:r>
      <w:r>
        <w:rPr>
          <w:rFonts w:hint="default" w:ascii="Cambria" w:hAnsi="Cambria" w:cs="Cambria"/>
          <w:sz w:val="24"/>
          <w:szCs w:val="24"/>
          <w:lang w:val="en-US"/>
        </w:rPr>
        <w:t>”</w:t>
      </w:r>
      <w:r>
        <w:rPr>
          <w:rFonts w:hint="default" w:ascii="Cambria" w:hAnsi="Cambria" w:cs="Cambria"/>
          <w:sz w:val="24"/>
          <w:szCs w:val="24"/>
        </w:rPr>
        <w:t xml:space="preserve"> (children), etc. Limits were primarily English-language literature (human, children 0–18 years) and Chinese-language literature (post-November 2021) to ensure timeliness and relevance of the evidence.</w:t>
      </w:r>
    </w:p>
    <w:p w14:paraId="3D66501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Search sources covered: ① Domestic standards: national standards, industry standards, group standards, local standards, and the Pharmacopoeia of the People's Republic of China (2025 Edition). ② International (organizational) standards: ISO, WHO guidelines, WFCMS standards, etc. ③ Foreign organizations: standards and guidelines issued by the Indian Academy of Pediatrics, etc. ④ Literature databases: guidelines, consensus documents, and clinical studies in PubMed, CNKI, and other databases.</w:t>
      </w:r>
    </w:p>
    <w:p w14:paraId="61F466D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Initial screening was based on titles and abstracts to exclude irrelevant or duplicate literature; secondary screening involved full-text reading to include evidence directly related to pediatric tuina therapy. Ultimately, included evidence comprised national standards (e.g., GB/T 12346 Nomenclature and location of meridian points), group standards (Specification for health care of traditional Chinese medicine(Non-medical treatment)Tuina in pediatric), WHO guidelines ("Benchmarks for the Practice of Tuina"), WFCMS standards (SCM-C 0056-2023 Specification for Pediatric Tuina Manipulation Techniques), multiple foreign organizational guidelines (e.g., Indian Academy of Pediatrics guidelines on pediatric skin care), and literature evidence (e.g., current 14th Five-Year Plan pediatric tuina textbooks detailing operational steps for various pediatric tuina techniques).</w:t>
      </w:r>
    </w:p>
    <w:p w14:paraId="6F1A029F">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textAlignment w:val="auto"/>
        <w:rPr>
          <w:rFonts w:hint="default" w:ascii="Cambria" w:hAnsi="Cambria" w:cs="Cambria"/>
          <w:sz w:val="24"/>
          <w:szCs w:val="24"/>
        </w:rPr>
      </w:pPr>
      <w:r>
        <w:rPr>
          <w:rFonts w:hint="default" w:ascii="Cambria" w:hAnsi="Cambria" w:cs="Cambria"/>
          <w:sz w:val="24"/>
          <w:szCs w:val="24"/>
        </w:rPr>
        <w:t>(2) Literature Appraisal</w:t>
      </w:r>
    </w:p>
    <w:p w14:paraId="71AC372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Literature appraisal employed qualitative assessment methods, focusing on the authority, applicability, and compatibility with TCM pediatrics of the evidence, rather than quantitative grading, because the retrieved literature consisted mainly of standards, guidelines, and consensus documents, which are typically issued by international or national authoritative bodies and have high reliability and credibility. Literature was classified as follows: ① Standards: including mandatory and recommended standards, such as GB/Z 40893.4-2021 (original national standard), which are highly authoritative and directly used for cross-referencing provisions. ② Guidelines and consensus documents: such as WHO's </w:t>
      </w:r>
      <w:r>
        <w:rPr>
          <w:rFonts w:hint="default" w:ascii="Cambria" w:hAnsi="Cambria" w:cs="Cambria"/>
          <w:sz w:val="24"/>
          <w:szCs w:val="24"/>
          <w:lang w:val="en-US"/>
        </w:rPr>
        <w:t>“</w:t>
      </w:r>
      <w:r>
        <w:rPr>
          <w:rFonts w:hint="default" w:ascii="Cambria" w:hAnsi="Cambria" w:cs="Cambria"/>
          <w:sz w:val="24"/>
          <w:szCs w:val="24"/>
        </w:rPr>
        <w:t>Benchmarks for the Practice of Tuina</w:t>
      </w:r>
      <w:r>
        <w:rPr>
          <w:rFonts w:hint="default" w:ascii="Cambria" w:hAnsi="Cambria" w:cs="Cambria"/>
          <w:sz w:val="24"/>
          <w:szCs w:val="24"/>
          <w:lang w:val="en-US"/>
        </w:rPr>
        <w:t>”</w:t>
      </w:r>
      <w:r>
        <w:rPr>
          <w:rFonts w:hint="default" w:ascii="Cambria" w:hAnsi="Cambria" w:cs="Cambria"/>
          <w:sz w:val="24"/>
          <w:szCs w:val="24"/>
        </w:rPr>
        <w:t xml:space="preserve"> and Indian Academy of Pediatrics guidelines on pediatric skin care, which are issued by international organizations or professional bodies, emphasize clinical safety and operational norms, and are suitable for international conversion. ③ Literature: clinical studies, reviews, and textbooks from databases such as PubMed; these supplement operational details but have lower priority than standards and guidelines.</w:t>
      </w:r>
    </w:p>
    <w:p w14:paraId="309A40F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Evaluation criteria included: ① Source authority (international standard organizations &gt; national bodies &gt; academic journals); ② Timeliness (priority given to post-2021 publications); ③ Relevance (directly related to pediatric tuina therapy); ④ TCM compatibility (preservation of TCM characteristics). All included literature was collectively discussed and confirmed by the project team; no low-quality evidence was included.</w:t>
      </w:r>
    </w:p>
    <w:p w14:paraId="5102A7C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(3) Literature Research</w:t>
      </w:r>
    </w:p>
    <w:p w14:paraId="44FBDA5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Based on the literature appraisal, the project team carefully read and analyzed the included evidence, focusing on comparison with the content of the original national standard GB/Z 40893.4-2021, and paying attention to differences in wording from the national standard provisions. According to topics and provisions, a comparative table was created. Where a single provision had multiple different expressions, all were listed for reference in subsequent questionnaires and validation. Through the comparative table, the project team identified items requiring optimization, forming the basis for the questionnaire.</w:t>
      </w:r>
    </w:p>
    <w:p w14:paraId="475B7E2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(4) Questionnaire Survey</w:t>
      </w:r>
    </w:p>
    <w:p w14:paraId="480B345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To extensively solicit opinions, the project team developed an expert questionnaire in October 2025. Based on the literature research results and the comparative table, the questionnaire set single-choice options and open-ended comments for items with divergent expressions (e.g., terminology definitions, operational steps). Expert selection criteria included: ① Holding senior professional titles in TCM pediatrics or related fields (e.g., professor, chief physician); ② Extensive clinical or teaching experience, with mainland Chinese experts having over 18 years in the specialty and overseas experts over 9 years; ③ Familiarity with pediatric tuina; ④ Coverage of different countries and regions to ensure international representation. Ultimately, 30 experts were selected: 22 from China (including mainland, Macau, and Taiwan), 2 from Singapore, 1 from Malaysia, 1 from Australia, and 1 from the United States, covering higher TCM institutions, hospitals, and overseas TCM organizations, with strong authority and broad geographical representation.</w:t>
      </w:r>
    </w:p>
    <w:p w14:paraId="6BA0D9B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questionnaire was sent on October 31 and the deadline for return was November 14. A total of 30 questionnaires were distributed and 30 responses were collected, of which 27 were valid, yielding an expert positive coefficient of 90%. Statistical analysis used indicators such as mean, percentage of unimportance, and rank sum. The consensus screening method was: an option support rate exceeding 50% was considered preliminary consensus; divergent items were submitted to the validation meeting. Results are detailed in </w:t>
      </w:r>
      <w:r>
        <w:rPr>
          <w:rFonts w:hint="default" w:ascii="Cambria" w:hAnsi="Cambria" w:cs="Cambria"/>
          <w:sz w:val="24"/>
          <w:szCs w:val="24"/>
          <w:lang w:val="en-US"/>
        </w:rPr>
        <w:t>“</w:t>
      </w:r>
      <w:r>
        <w:rPr>
          <w:rFonts w:hint="default" w:ascii="Cambria" w:hAnsi="Cambria" w:cs="Cambria"/>
          <w:sz w:val="24"/>
          <w:szCs w:val="24"/>
        </w:rPr>
        <w:t>Appendix 1 Report on Expert Questionnaire Survey.</w:t>
      </w:r>
      <w:r>
        <w:rPr>
          <w:rFonts w:hint="default" w:ascii="Cambria" w:hAnsi="Cambria" w:cs="Cambria"/>
          <w:sz w:val="24"/>
          <w:szCs w:val="24"/>
          <w:lang w:val="en-US"/>
        </w:rPr>
        <w:t>”</w:t>
      </w:r>
      <w:r>
        <w:rPr>
          <w:rFonts w:hint="default" w:ascii="Cambria" w:hAnsi="Cambria" w:cs="Cambria"/>
          <w:sz w:val="24"/>
          <w:szCs w:val="24"/>
        </w:rPr>
        <w:t xml:space="preserve"> Items with high consistency were directly incorporated, and the remaining items formed 12 points of contention, which were submitted to the expert validation meeting along with open-ended questions.</w:t>
      </w:r>
    </w:p>
    <w:p w14:paraId="2B7BB67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(5) Expert Validation Meeting</w:t>
      </w:r>
    </w:p>
    <w:p w14:paraId="3EB7366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An expert validation meeting was held on December 3, 2025, focusing on the divergent items from the questionnaire. Thirteen domestic authoritative experts in pediatrics and standardization were invited. Before the meeting, a solicitation letter (containing the 12 contentious items, open-ended questions, and project team recommendations) was sent to the experts; discussion was held during the meeting, and written opinions were returned within one week after the meeting. The meeting adopted and integrated opinions, such as on the definition of pediatric tuina and treatment courses. Results are detailed in </w:t>
      </w:r>
      <w:r>
        <w:rPr>
          <w:rFonts w:hint="default" w:ascii="Cambria" w:hAnsi="Cambria" w:cs="Cambria"/>
          <w:sz w:val="24"/>
          <w:szCs w:val="24"/>
          <w:lang w:val="en-US"/>
        </w:rPr>
        <w:t>“</w:t>
      </w:r>
      <w:r>
        <w:rPr>
          <w:rFonts w:hint="default" w:ascii="Cambria" w:hAnsi="Cambria" w:cs="Cambria"/>
          <w:sz w:val="24"/>
          <w:szCs w:val="24"/>
        </w:rPr>
        <w:t>Appendix 2 Minutes of the Expert Demonstration Meeting.</w:t>
      </w:r>
      <w:r>
        <w:rPr>
          <w:rFonts w:hint="default" w:ascii="Cambria" w:hAnsi="Cambria" w:cs="Cambria"/>
          <w:sz w:val="24"/>
          <w:szCs w:val="24"/>
          <w:lang w:val="en-US"/>
        </w:rPr>
        <w:t>”</w:t>
      </w:r>
    </w:p>
    <w:p w14:paraId="7481207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(6) Expert Review</w:t>
      </w:r>
    </w:p>
    <w:p w14:paraId="2B0F12F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After the draft for Expert Steering Group review was formed, it was reviewed by the project's Expert Steering Group (Ding Ying, Wan Lisheng, Ma Rong, Wang Youpeng, Wang Lili, Wang Sumei, Shi Zhenggang, Liu Jianzhong, Yu Jian'er, Xiong Lei, Zhang Baoqing, Yu Jian, Dai Qigang). The review focused on verifying the scientific validity, international applicability, and consistency of the content, resulting in the draft for submission.</w:t>
      </w:r>
    </w:p>
    <w:p w14:paraId="091C0D2D">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 Basis for Determining the Main Content of the Standard</w:t>
      </w:r>
    </w:p>
    <w:p w14:paraId="2DB256C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procedures, technical methods, and requirements at each stage of the standard development complied with the requirements of the aforementioned relevant normative documents, including WFCMS </w:t>
      </w:r>
      <w:r>
        <w:rPr>
          <w:rFonts w:hint="default" w:ascii="Cambria" w:hAnsi="Cambria" w:eastAsia="宋体" w:cs="Cambria"/>
          <w:color w:val="auto"/>
          <w:kern w:val="2"/>
          <w:sz w:val="24"/>
          <w:szCs w:val="24"/>
          <w:lang w:val="en-US" w:eastAsia="zh-CN" w:bidi="ar-SA"/>
        </w:rPr>
        <w:t>SCM 1.1-2021 Directives for Standardization-Part 1: Procedures for standard and development,revison and publication</w:t>
      </w:r>
      <w:r>
        <w:rPr>
          <w:rFonts w:hint="default" w:ascii="Cambria" w:hAnsi="Cambria" w:cs="Cambria"/>
          <w:sz w:val="24"/>
          <w:szCs w:val="24"/>
        </w:rPr>
        <w:t xml:space="preserve">, the original national standard GB/Z 40893.4-2021 the </w:t>
      </w:r>
      <w:r>
        <w:rPr>
          <w:rFonts w:hint="default" w:ascii="Cambria" w:hAnsi="Cambria" w:cs="Cambria"/>
          <w:sz w:val="24"/>
          <w:szCs w:val="24"/>
          <w:lang w:val="en-US"/>
        </w:rPr>
        <w:t>Specification for operation technologies of traditional Chinese</w:t>
      </w:r>
      <w:r>
        <w:rPr>
          <w:rFonts w:hint="default" w:ascii="Cambria" w:hAnsi="Cambria" w:cs="Cambria"/>
          <w:sz w:val="24"/>
          <w:szCs w:val="24"/>
          <w:lang w:val="en-US" w:eastAsia="zh-CN"/>
        </w:rPr>
        <w:t xml:space="preserve"> </w:t>
      </w:r>
      <w:r>
        <w:rPr>
          <w:rFonts w:hint="default" w:ascii="Cambria" w:hAnsi="Cambria" w:cs="Cambria"/>
          <w:sz w:val="24"/>
          <w:szCs w:val="24"/>
          <w:lang w:val="en-US"/>
        </w:rPr>
        <w:t>medicine</w:t>
      </w:r>
      <w:r>
        <w:rPr>
          <w:rFonts w:hint="default" w:ascii="Cambria" w:hAnsi="Cambria" w:cs="Cambria"/>
          <w:sz w:val="24"/>
          <w:szCs w:val="24"/>
        </w:rPr>
        <w:t xml:space="preserve"> – </w:t>
      </w:r>
      <w:r>
        <w:rPr>
          <w:rFonts w:hint="default" w:ascii="Cambria" w:hAnsi="Cambria" w:cs="Cambria"/>
          <w:sz w:val="24"/>
          <w:szCs w:val="24"/>
          <w:lang w:val="en-US"/>
        </w:rPr>
        <w:t>Pediatrics</w:t>
      </w:r>
      <w:r>
        <w:rPr>
          <w:rFonts w:hint="default" w:ascii="Cambria" w:hAnsi="Cambria" w:cs="Cambria"/>
          <w:sz w:val="24"/>
          <w:szCs w:val="24"/>
        </w:rPr>
        <w:t xml:space="preserve"> – </w:t>
      </w:r>
      <w:r>
        <w:rPr>
          <w:rFonts w:hint="default" w:ascii="Cambria" w:hAnsi="Cambria" w:cs="Cambria"/>
          <w:sz w:val="24"/>
          <w:szCs w:val="24"/>
          <w:lang w:val="en-US"/>
        </w:rPr>
        <w:t>Part 4: Tuina</w:t>
      </w:r>
      <w:r>
        <w:rPr>
          <w:rFonts w:hint="default" w:ascii="Cambria" w:hAnsi="Cambria" w:cs="Cambria"/>
          <w:sz w:val="24"/>
          <w:szCs w:val="24"/>
        </w:rPr>
        <w:t>, as well as the processes of literature research, expert questionnaire surveys, and expert validation meetings, ensuring that the content is based on evidence and expert consensus.</w:t>
      </w:r>
    </w:p>
    <w:p w14:paraId="3D8135C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All terminological requirements are standardized. Acupoint names are based on relevant Chinese national standards, such as GB/T 12346 Nomenclature and location of meridian points. Disease names are based on WHO-ICD-11 (2022). Unit names are expressed using internationally accepted symbols.</w:t>
      </w:r>
    </w:p>
    <w:p w14:paraId="0EF21137">
      <w:pPr>
        <w:pStyle w:val="2"/>
        <w:spacing w:before="312" w:beforeLines="100" w:after="312" w:afterLines="100" w:line="276" w:lineRule="auto"/>
        <w:rPr>
          <w:rFonts w:hint="default" w:ascii="Cambria" w:hAnsi="Cambria" w:eastAsia="仿宋" w:cs="Cambria"/>
          <w:b/>
          <w:bCs/>
          <w:color w:val="auto"/>
          <w:sz w:val="24"/>
          <w:lang w:val="en-US" w:eastAsia="zh-CN"/>
        </w:rPr>
      </w:pPr>
      <w:r>
        <w:rPr>
          <w:rFonts w:hint="default" w:ascii="Cambria" w:hAnsi="Cambria" w:eastAsia="仿宋" w:cs="Cambria"/>
          <w:b/>
          <w:bCs/>
          <w:color w:val="auto"/>
          <w:sz w:val="24"/>
          <w:lang w:val="en-US" w:eastAsia="zh-CN"/>
        </w:rPr>
        <w:t>III. Relationship with Relevant Laws, Regulations, and Standards</w:t>
      </w:r>
    </w:p>
    <w:p w14:paraId="5B055AA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sz w:val="21"/>
          <w:szCs w:val="21"/>
        </w:rPr>
      </w:pPr>
      <w:r>
        <w:rPr>
          <w:rFonts w:hint="default" w:ascii="Cambria" w:hAnsi="Cambria" w:cs="Cambria"/>
          <w:sz w:val="24"/>
          <w:szCs w:val="24"/>
        </w:rPr>
        <w:t>As an international organizational standard, this standard was developed through systematic identification and coordination of relationships with relevant laws, regulations, and domestic and international mandatory and recommended standards. The standard not only follows the basic requirements of existing norms but also, on the basis of thorough investigation, expert validation, and international benchmarking, makes evidence-based and technically bounded adjustments to certain contents, ensuring scientific validity, safety, standardization, and international applicability.</w:t>
      </w:r>
    </w:p>
    <w:p w14:paraId="1B7CE062">
      <w:pPr>
        <w:spacing w:before="156" w:beforeLines="50" w:after="156" w:afterLines="50" w:line="276" w:lineRule="auto"/>
        <w:jc w:val="both"/>
        <w:outlineLvl w:val="1"/>
        <w:rPr>
          <w:rFonts w:hint="default" w:ascii="Cambria" w:hAnsi="Cambria" w:cs="Cambria"/>
          <w:b/>
          <w:bCs/>
          <w:sz w:val="24"/>
          <w:szCs w:val="24"/>
          <w:lang w:val="en-US"/>
        </w:rPr>
      </w:pPr>
      <w:r>
        <w:rPr>
          <w:rFonts w:hint="default" w:ascii="Cambria" w:hAnsi="Cambria" w:cs="Cambria"/>
          <w:b/>
          <w:bCs/>
          <w:sz w:val="24"/>
          <w:szCs w:val="24"/>
          <w:lang w:val="en-US"/>
        </w:rPr>
        <w:t>1. Relationship with Laws and Regulations</w:t>
      </w:r>
    </w:p>
    <w:p w14:paraId="77BABA6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During its development and application, this standard fully respects and complies with the existing healthcare laws, regulations, and practice management systems of various countries and regions. The pediatric tuina operations covered by the standard—including requirements for the environment and </w:t>
      </w:r>
      <w:r>
        <w:rPr>
          <w:rFonts w:hint="default" w:ascii="Cambria" w:hAnsi="Cambria" w:cs="Cambria"/>
          <w:sz w:val="24"/>
          <w:szCs w:val="24"/>
          <w:lang w:val="en-US"/>
        </w:rPr>
        <w:t>practitioner</w:t>
      </w:r>
      <w:r>
        <w:rPr>
          <w:rFonts w:hint="default" w:ascii="Cambria" w:hAnsi="Cambria" w:cs="Cambria"/>
          <w:sz w:val="24"/>
          <w:szCs w:val="24"/>
        </w:rPr>
        <w:t>s, selection of media, intervals and courses—are explicitly stated to be implemented in compliance with legal regulations, scope of practice, and personnel qualification requirements.</w:t>
      </w:r>
    </w:p>
    <w:p w14:paraId="3CFC9F1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After expert validation, this standard prominently states the principle of primacy of local laws and regulations in the </w:t>
      </w:r>
      <w:r>
        <w:rPr>
          <w:rFonts w:hint="default" w:ascii="Cambria" w:hAnsi="Cambria" w:cs="Cambria"/>
          <w:sz w:val="24"/>
          <w:szCs w:val="24"/>
          <w:lang w:val="en-US"/>
        </w:rPr>
        <w:t>“</w:t>
      </w:r>
      <w:r>
        <w:rPr>
          <w:rFonts w:hint="default" w:ascii="Cambria" w:hAnsi="Cambria" w:cs="Cambria"/>
          <w:sz w:val="24"/>
          <w:szCs w:val="24"/>
        </w:rPr>
        <w:t>Scope</w:t>
      </w:r>
      <w:r>
        <w:rPr>
          <w:rFonts w:hint="default" w:ascii="Cambria" w:hAnsi="Cambria" w:cs="Cambria"/>
          <w:sz w:val="24"/>
          <w:szCs w:val="24"/>
          <w:lang w:val="en-US"/>
        </w:rPr>
        <w:t>”</w:t>
      </w:r>
      <w:r>
        <w:rPr>
          <w:rFonts w:hint="default" w:ascii="Cambria" w:hAnsi="Cambria" w:cs="Cambria"/>
          <w:sz w:val="24"/>
          <w:szCs w:val="24"/>
        </w:rPr>
        <w:t xml:space="preserve"> and </w:t>
      </w:r>
      <w:r>
        <w:rPr>
          <w:rFonts w:hint="default" w:ascii="Cambria" w:hAnsi="Cambria" w:cs="Cambria"/>
          <w:sz w:val="24"/>
          <w:szCs w:val="24"/>
          <w:lang w:val="en-US"/>
        </w:rPr>
        <w:t>“</w:t>
      </w:r>
      <w:r>
        <w:rPr>
          <w:rFonts w:hint="default" w:ascii="Cambria" w:hAnsi="Cambria" w:cs="Cambria"/>
          <w:sz w:val="24"/>
          <w:szCs w:val="24"/>
        </w:rPr>
        <w:t>Foreword</w:t>
      </w:r>
      <w:r>
        <w:rPr>
          <w:rFonts w:hint="default" w:ascii="Cambria" w:hAnsi="Cambria" w:cs="Cambria"/>
          <w:sz w:val="24"/>
          <w:szCs w:val="24"/>
          <w:lang w:val="en-US"/>
        </w:rPr>
        <w:t>”</w:t>
      </w:r>
      <w:r>
        <w:rPr>
          <w:rFonts w:hint="default" w:ascii="Cambria" w:hAnsi="Cambria" w:cs="Cambria"/>
          <w:sz w:val="24"/>
          <w:szCs w:val="24"/>
        </w:rPr>
        <w:t xml:space="preserve"> sections, i.e., the standard provides only technical operational references and does not make uniform provisions on specific practice qualifications or management systems, thereby ensuring legality and feasibility during international promotion and application.</w:t>
      </w:r>
    </w:p>
    <w:p w14:paraId="335751FC">
      <w:pPr>
        <w:spacing w:before="156" w:beforeLines="50" w:after="156" w:afterLines="50" w:line="276" w:lineRule="auto"/>
        <w:jc w:val="both"/>
        <w:outlineLvl w:val="1"/>
        <w:rPr>
          <w:rFonts w:hint="default" w:ascii="Cambria" w:hAnsi="Cambria" w:cs="Cambria"/>
          <w:b/>
          <w:bCs/>
          <w:sz w:val="24"/>
          <w:szCs w:val="24"/>
          <w:lang w:val="en-US"/>
        </w:rPr>
      </w:pPr>
      <w:r>
        <w:rPr>
          <w:rFonts w:hint="default" w:ascii="Cambria" w:hAnsi="Cambria" w:cs="Cambria"/>
          <w:b/>
          <w:bCs/>
          <w:sz w:val="24"/>
          <w:szCs w:val="24"/>
          <w:lang w:val="en-US"/>
        </w:rPr>
        <w:t>2. Relationship with Mandatory Standards</w:t>
      </w:r>
    </w:p>
    <w:p w14:paraId="30E2E77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standard strictly follows relevant mandatory national standards and internationally accepted safety norms during its development, and does not conflict with any current mandatory standards. When addressing environmental hygiene, device safety, disinfection, and protection, the standard directly cites or follows the basic requirements of mandatory standards, such as those related to disinfection in healthcare facilities and hand hygiene. Relevant provisions are implemented as safety baselines in the standard. If any content of this standard is inconsistent with local mandatory standards or laws and regulations, the local laws and mandatory standards shall prevail.</w:t>
      </w:r>
    </w:p>
    <w:p w14:paraId="315BDAAC">
      <w:pPr>
        <w:numPr>
          <w:ilvl w:val="0"/>
          <w:numId w:val="0"/>
        </w:numPr>
        <w:spacing w:before="156" w:beforeLines="50" w:after="156" w:afterLines="50" w:line="276" w:lineRule="auto"/>
        <w:jc w:val="both"/>
        <w:outlineLvl w:val="1"/>
        <w:rPr>
          <w:rFonts w:hint="default" w:ascii="Cambria" w:hAnsi="Cambria" w:cs="Cambria"/>
          <w:b/>
          <w:bCs/>
          <w:sz w:val="24"/>
          <w:szCs w:val="24"/>
          <w:lang w:val="en-US"/>
        </w:rPr>
      </w:pPr>
      <w:r>
        <w:rPr>
          <w:rFonts w:hint="default" w:ascii="Cambria" w:hAnsi="Cambria" w:cs="Cambria"/>
          <w:b/>
          <w:bCs/>
          <w:color w:val="auto"/>
          <w:kern w:val="2"/>
          <w:sz w:val="24"/>
          <w:szCs w:val="24"/>
          <w:lang w:val="en-US" w:eastAsia="zh-CN" w:bidi="ar-SA"/>
        </w:rPr>
        <w:t>3</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cs="Cambria"/>
          <w:b/>
          <w:bCs/>
          <w:sz w:val="24"/>
          <w:szCs w:val="24"/>
          <w:lang w:val="en-US"/>
        </w:rPr>
        <w:t>Relationship with Non-mandatory National Standards, International Standards, and Group Standards, and Basis for Modifications</w:t>
      </w:r>
    </w:p>
    <w:p w14:paraId="7633B4C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This standard is based on GB/Z 40893.4-2021 the </w:t>
      </w:r>
      <w:r>
        <w:rPr>
          <w:rFonts w:hint="default" w:ascii="Cambria" w:hAnsi="Cambria" w:cs="Cambria"/>
          <w:sz w:val="24"/>
          <w:szCs w:val="24"/>
          <w:lang w:val="en-US"/>
        </w:rPr>
        <w:t>Specification for operation technologies of traditional Chinese</w:t>
      </w:r>
      <w:r>
        <w:rPr>
          <w:rFonts w:hint="default" w:ascii="Cambria" w:hAnsi="Cambria" w:cs="Cambria"/>
          <w:sz w:val="24"/>
          <w:szCs w:val="24"/>
          <w:lang w:val="en-US" w:eastAsia="zh-CN"/>
        </w:rPr>
        <w:t xml:space="preserve"> </w:t>
      </w:r>
      <w:r>
        <w:rPr>
          <w:rFonts w:hint="default" w:ascii="Cambria" w:hAnsi="Cambria" w:cs="Cambria"/>
          <w:sz w:val="24"/>
          <w:szCs w:val="24"/>
          <w:lang w:val="en-US"/>
        </w:rPr>
        <w:t>medicine</w:t>
      </w:r>
      <w:r>
        <w:rPr>
          <w:rFonts w:hint="default" w:ascii="Cambria" w:hAnsi="Cambria" w:cs="Cambria"/>
          <w:sz w:val="24"/>
          <w:szCs w:val="24"/>
        </w:rPr>
        <w:t xml:space="preserve"> – </w:t>
      </w:r>
      <w:r>
        <w:rPr>
          <w:rFonts w:hint="default" w:ascii="Cambria" w:hAnsi="Cambria" w:cs="Cambria"/>
          <w:sz w:val="24"/>
          <w:szCs w:val="24"/>
          <w:lang w:val="en-US"/>
        </w:rPr>
        <w:t>Pediatrics</w:t>
      </w:r>
      <w:r>
        <w:rPr>
          <w:rFonts w:hint="default" w:ascii="Cambria" w:hAnsi="Cambria" w:cs="Cambria"/>
          <w:sz w:val="24"/>
          <w:szCs w:val="24"/>
        </w:rPr>
        <w:t xml:space="preserve"> – </w:t>
      </w:r>
      <w:r>
        <w:rPr>
          <w:rFonts w:hint="default" w:ascii="Cambria" w:hAnsi="Cambria" w:cs="Cambria"/>
          <w:sz w:val="24"/>
          <w:szCs w:val="24"/>
          <w:lang w:val="en-US"/>
        </w:rPr>
        <w:t>Part 4: Tuina</w:t>
      </w:r>
      <w:r>
        <w:rPr>
          <w:rFonts w:hint="default" w:ascii="Cambria" w:hAnsi="Cambria" w:cs="Cambria"/>
          <w:sz w:val="24"/>
          <w:szCs w:val="24"/>
        </w:rPr>
        <w:t>. Through expert questionnaire surveys, expert validation, and international benchmarking, systematic optimization and technical refinement have been made to certain contents. These modifications do not substantially alter the technical connotation but, while maintaining the core framework and basic principles of the original standard, enhance its international applicability and operational safety.</w:t>
      </w:r>
    </w:p>
    <w:p w14:paraId="4891D798">
      <w:pPr>
        <w:spacing w:before="156" w:beforeLines="50" w:after="156" w:afterLines="50" w:line="276" w:lineRule="auto"/>
        <w:jc w:val="both"/>
        <w:outlineLvl w:val="1"/>
        <w:rPr>
          <w:rFonts w:hint="default" w:ascii="Cambria" w:hAnsi="Cambria" w:cs="Cambria"/>
          <w:b/>
          <w:bCs/>
          <w:sz w:val="24"/>
          <w:szCs w:val="24"/>
          <w:lang w:val="en-US"/>
        </w:rPr>
      </w:pPr>
      <w:r>
        <w:rPr>
          <w:rFonts w:hint="default" w:ascii="Cambria" w:hAnsi="Cambria" w:cs="Cambria"/>
          <w:b/>
          <w:bCs/>
          <w:sz w:val="24"/>
          <w:szCs w:val="24"/>
          <w:lang w:val="en-US"/>
        </w:rPr>
        <w:t>3.1 Clarification and Adjustment of Pediatric Tuina Manipulation Techniques and Acupoint Locations</w:t>
      </w:r>
    </w:p>
    <w:p w14:paraId="678EA9A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For the location and naming of specific pediatric tuina acupoints in the appendices, after expert questionnaire survey and validation meeting discussions, it was decided to retain the original national standard. At the same time, the motion trajectories, frequency, amplitude, and </w:t>
      </w:r>
      <w:r>
        <w:rPr>
          <w:rFonts w:hint="default" w:ascii="Cambria" w:hAnsi="Cambria" w:cs="Cambria"/>
          <w:sz w:val="24"/>
          <w:szCs w:val="24"/>
          <w:lang w:val="en-US"/>
        </w:rPr>
        <w:t>practitioner</w:t>
      </w:r>
      <w:r>
        <w:rPr>
          <w:rFonts w:hint="default" w:ascii="Cambria" w:hAnsi="Cambria" w:cs="Cambria"/>
          <w:sz w:val="24"/>
          <w:szCs w:val="24"/>
        </w:rPr>
        <w:t xml:space="preserve"> positioning for commonly used techniques such as Pressing Manipulation, Rubbing Manipulation, Tapping-Patting Method, Shui Di Lao Yue (Scooping the Moon from the Water), and Huang Feng Ru Dong (Yellow Bee Entering the Cave)</w:t>
      </w:r>
      <w:r>
        <w:rPr>
          <w:rFonts w:hint="default" w:ascii="Cambria" w:hAnsi="Cambria" w:cs="Cambria"/>
          <w:sz w:val="24"/>
          <w:szCs w:val="24"/>
          <w:lang w:val="en-US" w:eastAsia="zh-CN"/>
        </w:rPr>
        <w:t xml:space="preserve"> </w:t>
      </w:r>
      <w:r>
        <w:rPr>
          <w:rFonts w:hint="default" w:ascii="Cambria" w:hAnsi="Cambria" w:cs="Cambria"/>
          <w:sz w:val="24"/>
          <w:szCs w:val="24"/>
        </w:rPr>
        <w:t xml:space="preserve">were described with greater precision—for example, specifying the operational essentials of </w:t>
      </w:r>
      <w:r>
        <w:rPr>
          <w:rFonts w:hint="default" w:ascii="Cambria" w:hAnsi="Cambria" w:cs="Cambria"/>
          <w:sz w:val="24"/>
          <w:szCs w:val="24"/>
          <w:lang w:val="en-US"/>
        </w:rPr>
        <w:t>“</w:t>
      </w:r>
      <w:r>
        <w:rPr>
          <w:rFonts w:hint="default" w:ascii="Cambria" w:hAnsi="Cambria" w:cs="Cambria"/>
          <w:sz w:val="24"/>
          <w:szCs w:val="24"/>
        </w:rPr>
        <w:t>apply pressure vertically</w:t>
      </w:r>
      <w:r>
        <w:rPr>
          <w:rFonts w:hint="default" w:ascii="Cambria" w:hAnsi="Cambria" w:cs="Cambria"/>
          <w:sz w:val="24"/>
          <w:szCs w:val="24"/>
          <w:lang w:val="en-US"/>
        </w:rPr>
        <w:t>”</w:t>
      </w:r>
      <w:r>
        <w:rPr>
          <w:rFonts w:hint="default" w:ascii="Cambria" w:hAnsi="Cambria" w:cs="Cambria"/>
          <w:sz w:val="24"/>
          <w:szCs w:val="24"/>
        </w:rPr>
        <w:t xml:space="preserve"> and </w:t>
      </w:r>
      <w:r>
        <w:rPr>
          <w:rFonts w:hint="default" w:ascii="Cambria" w:hAnsi="Cambria" w:cs="Cambria"/>
          <w:sz w:val="24"/>
          <w:szCs w:val="24"/>
          <w:lang w:val="en-US"/>
        </w:rPr>
        <w:t>“</w:t>
      </w:r>
      <w:r>
        <w:rPr>
          <w:rFonts w:hint="default" w:ascii="Cambria" w:hAnsi="Cambria" w:cs="Cambria"/>
          <w:sz w:val="24"/>
          <w:szCs w:val="24"/>
        </w:rPr>
        <w:t>press and hold</w:t>
      </w:r>
      <w:r>
        <w:rPr>
          <w:rFonts w:hint="default" w:ascii="Cambria" w:hAnsi="Cambria" w:cs="Cambria"/>
          <w:sz w:val="24"/>
          <w:szCs w:val="24"/>
          <w:lang w:val="en-US"/>
        </w:rPr>
        <w:t>”</w:t>
      </w:r>
      <w:r>
        <w:rPr>
          <w:rFonts w:hint="default" w:ascii="Cambria" w:hAnsi="Cambria" w:cs="Cambria"/>
          <w:sz w:val="24"/>
          <w:szCs w:val="24"/>
        </w:rPr>
        <w:t xml:space="preserve"> for Pressing Manipulation, and clarifying that the frequency of Rotating Pushing is typically around 160–260 times per minute. While ensuring safety, the operational procedures were optimized to enhance and stabilize therapeutic efficacy.</w:t>
      </w:r>
    </w:p>
    <w:p w14:paraId="4943BD80">
      <w:pPr>
        <w:spacing w:before="156" w:beforeLines="50" w:after="156" w:afterLines="50" w:line="276" w:lineRule="auto"/>
        <w:jc w:val="both"/>
        <w:outlineLvl w:val="1"/>
        <w:rPr>
          <w:rFonts w:hint="default" w:ascii="Cambria" w:hAnsi="Cambria" w:cs="Cambria"/>
          <w:b/>
          <w:bCs/>
          <w:sz w:val="24"/>
          <w:szCs w:val="24"/>
          <w:lang w:val="en-US"/>
        </w:rPr>
      </w:pPr>
      <w:r>
        <w:rPr>
          <w:rFonts w:hint="default" w:ascii="Cambria" w:hAnsi="Cambria" w:cs="Cambria"/>
          <w:b/>
          <w:bCs/>
          <w:sz w:val="24"/>
          <w:szCs w:val="24"/>
          <w:lang w:val="en-US"/>
        </w:rPr>
        <w:t>3.2 Coordinated Citation of International Organizational Standards and Group Standards</w:t>
      </w:r>
    </w:p>
    <w:p w14:paraId="40756D9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rPr>
      </w:pPr>
      <w:r>
        <w:rPr>
          <w:rFonts w:hint="default" w:ascii="Cambria" w:hAnsi="Cambria" w:cs="Cambria"/>
          <w:sz w:val="24"/>
          <w:szCs w:val="24"/>
        </w:rPr>
        <w:t>In sections such as operational steps and requirements, including pre-procedure preparation and manipulation methods, this standard extensively references the WFCMS international organizational standard SCM-C 0056-2023 Specification for Pediatric Tuina Manipulation Techniques and the China Association of Chinese Medicine group standard T/CACM 1560.7-2023 Specification for health care of traditional Chinese medicine(Non-medical treatment)Tuina in pediatric.</w:t>
      </w:r>
    </w:p>
    <w:p w14:paraId="5E0ADEB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Expert survey results showed that a majority of experts supported integrating the content of the above documents to produce a comprehensive expression that balances safety and operability. Therefore, where no conflict exists, the relevant provisions have been optimized and integrated, representing coordinated application of multiple standards rather than simple reproduction or repeated citation.</w:t>
      </w:r>
    </w:p>
    <w:p w14:paraId="30EB24CC">
      <w:pPr>
        <w:spacing w:before="156" w:beforeLines="50" w:after="156" w:afterLines="50" w:line="276" w:lineRule="auto"/>
        <w:jc w:val="both"/>
        <w:outlineLvl w:val="1"/>
        <w:rPr>
          <w:rFonts w:hint="default" w:ascii="Cambria" w:hAnsi="Cambria" w:cs="Cambria"/>
          <w:b/>
          <w:bCs/>
          <w:sz w:val="24"/>
          <w:szCs w:val="24"/>
          <w:lang w:val="en-US"/>
        </w:rPr>
      </w:pPr>
      <w:r>
        <w:rPr>
          <w:rFonts w:hint="default" w:ascii="Cambria" w:hAnsi="Cambria" w:cs="Cambria"/>
          <w:b/>
          <w:bCs/>
          <w:sz w:val="24"/>
          <w:szCs w:val="24"/>
          <w:lang w:val="en-US"/>
        </w:rPr>
        <w:t>3.3 Technical Reference to Modern Medicine and International Evidence-Based Guidelines</w:t>
      </w:r>
    </w:p>
    <w:p w14:paraId="519A50C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In content related to pediatric tuina media and contraindications, this standard references disease nomenclature and massage oils from international authoritative bodies such as the WHO and the Indian Academy of Pediatrics.</w:t>
      </w:r>
    </w:p>
    <w:p w14:paraId="021661C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Expert questionnaire and validation results showed that the vast majority of experts supported, without altering the TCM technical attributes, incorporating widely validated safety principles from modern evidence-based medicine and modifying standard provisions based on international evidence. For example, reference was made to the WHO's </w:t>
      </w:r>
      <w:r>
        <w:rPr>
          <w:rFonts w:hint="default" w:ascii="Cambria" w:hAnsi="Cambria" w:cs="Cambria"/>
          <w:sz w:val="24"/>
          <w:szCs w:val="24"/>
          <w:lang w:val="en-US"/>
        </w:rPr>
        <w:t>“</w:t>
      </w:r>
      <w:r>
        <w:rPr>
          <w:rFonts w:hint="default" w:ascii="Cambria" w:hAnsi="Cambria" w:cs="Cambria"/>
          <w:sz w:val="24"/>
          <w:szCs w:val="24"/>
        </w:rPr>
        <w:t>Benchmarks for the Practice of Tuina</w:t>
      </w:r>
      <w:r>
        <w:rPr>
          <w:rFonts w:hint="default" w:ascii="Cambria" w:hAnsi="Cambria" w:cs="Cambria"/>
          <w:sz w:val="24"/>
          <w:szCs w:val="24"/>
          <w:lang w:val="en-US"/>
        </w:rPr>
        <w:t>”</w:t>
      </w:r>
      <w:r>
        <w:rPr>
          <w:rFonts w:hint="default" w:ascii="Cambria" w:hAnsi="Cambria" w:cs="Cambria"/>
          <w:sz w:val="24"/>
          <w:szCs w:val="24"/>
        </w:rPr>
        <w:t xml:space="preserve"> to refine environmental requirements and positioning choices; and guidelines from the Indian Academy of Pediatrics and other bodies were consulted to expand the range of massage oil options.</w:t>
      </w:r>
    </w:p>
    <w:p w14:paraId="739F084A">
      <w:pPr>
        <w:spacing w:before="156" w:beforeLines="50" w:after="156" w:afterLines="50" w:line="276" w:lineRule="auto"/>
        <w:jc w:val="both"/>
        <w:outlineLvl w:val="1"/>
        <w:rPr>
          <w:rFonts w:hint="default" w:ascii="Cambria" w:hAnsi="Cambria" w:cs="Cambria"/>
          <w:b/>
          <w:bCs/>
          <w:sz w:val="24"/>
          <w:szCs w:val="24"/>
          <w:lang w:val="en-US"/>
        </w:rPr>
      </w:pPr>
      <w:r>
        <w:rPr>
          <w:rFonts w:hint="default" w:ascii="Cambria" w:hAnsi="Cambria" w:cs="Cambria"/>
          <w:b/>
          <w:bCs/>
          <w:sz w:val="24"/>
          <w:szCs w:val="24"/>
          <w:lang w:val="en-US"/>
        </w:rPr>
        <w:t>4. Relationship with Disease Classification and Clinical Diagnosis/Treatment Guideline Documents</w:t>
      </w:r>
    </w:p>
    <w:p w14:paraId="3A4EADC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Documents such as the Clinical Diagnosis and Treatment Guidelines for TCM Pediatrics are not directly cited in this standard. These documents are primarily used for guidance on disease classification, diagnostic principles, and treatment strategies, and do not directly regulate the specific operational techniques of pediatric tuina therapy in TCM pediatrics.</w:t>
      </w:r>
    </w:p>
    <w:p w14:paraId="4D61CC4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During the development of this standard, relevant disease classification systems and diagnosis guidelines were used primarily as background and reference material, only for disease contraindications. The standard does not presuppose specific disease diagnoses nor does it prescribe treatment regimens, thus maintaining the independence and general applicability of the technical operation specification.</w:t>
      </w:r>
    </w:p>
    <w:p w14:paraId="11276C77">
      <w:pPr>
        <w:spacing w:before="156" w:beforeLines="50" w:after="156" w:afterLines="50" w:line="276" w:lineRule="auto"/>
        <w:jc w:val="both"/>
        <w:outlineLvl w:val="1"/>
        <w:rPr>
          <w:rFonts w:hint="default" w:ascii="Cambria" w:hAnsi="Cambria" w:cs="Cambria"/>
          <w:b/>
          <w:bCs/>
          <w:sz w:val="24"/>
          <w:szCs w:val="24"/>
          <w:lang w:val="en-US"/>
        </w:rPr>
      </w:pPr>
      <w:r>
        <w:rPr>
          <w:rFonts w:hint="default" w:ascii="Cambria" w:hAnsi="Cambria" w:cs="Cambria"/>
          <w:b/>
          <w:bCs/>
          <w:sz w:val="24"/>
          <w:szCs w:val="24"/>
          <w:lang w:val="en-US"/>
        </w:rPr>
        <w:t>5. Standard Application Principles and Coordination Statement</w:t>
      </w:r>
    </w:p>
    <w:p w14:paraId="1BFC5D3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standard is positioned as an operational specification for pediatric tuina therapy in TCM pediatrics, and does not address disease diagnosis, therapeutic efficacy evaluation, or specific prescription drug selection. During implementation, the principles of primacy of laws and regulations, primacy of mandatory standards, and primacy of local management shall be followed. Under the above preconditions, this standard may serve as a technical reference document for clinical practice, education, research, and international exchange in TCM pediatrics.</w:t>
      </w:r>
    </w:p>
    <w:p w14:paraId="6F05BE08">
      <w:pPr>
        <w:pStyle w:val="2"/>
        <w:spacing w:before="312" w:beforeLines="100" w:after="312" w:afterLines="100" w:line="276" w:lineRule="auto"/>
        <w:rPr>
          <w:rFonts w:hint="default" w:ascii="Cambria" w:hAnsi="Cambria" w:eastAsia="仿宋" w:cs="Cambria"/>
          <w:b/>
          <w:bCs/>
          <w:color w:val="auto"/>
          <w:sz w:val="24"/>
          <w:lang w:val="en-US" w:eastAsia="zh-CN"/>
        </w:rPr>
      </w:pPr>
      <w:r>
        <w:rPr>
          <w:rFonts w:hint="default" w:ascii="Cambria" w:hAnsi="Cambria" w:eastAsia="仿宋" w:cs="Cambria"/>
          <w:b/>
          <w:bCs/>
          <w:color w:val="auto"/>
          <w:sz w:val="24"/>
          <w:lang w:val="en-US" w:eastAsia="zh-CN"/>
        </w:rPr>
        <w:t>IV. Handling Process and Basis of Major Comments</w:t>
      </w:r>
    </w:p>
    <w:p w14:paraId="1BD7570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During the conversion of the </w:t>
      </w:r>
      <w:r>
        <w:rPr>
          <w:rFonts w:hint="default" w:ascii="Cambria" w:hAnsi="Cambria" w:cs="Cambria"/>
          <w:sz w:val="24"/>
          <w:szCs w:val="24"/>
          <w:lang w:val="en-US"/>
        </w:rPr>
        <w:t>Specification for operation technologies of traditional Chinese</w:t>
      </w:r>
      <w:r>
        <w:rPr>
          <w:rFonts w:hint="default" w:ascii="Cambria" w:hAnsi="Cambria" w:cs="Cambria"/>
          <w:sz w:val="24"/>
          <w:szCs w:val="24"/>
          <w:lang w:val="en-US" w:eastAsia="zh-CN"/>
        </w:rPr>
        <w:t xml:space="preserve"> </w:t>
      </w:r>
      <w:r>
        <w:rPr>
          <w:rFonts w:hint="default" w:ascii="Cambria" w:hAnsi="Cambria" w:cs="Cambria"/>
          <w:sz w:val="24"/>
          <w:szCs w:val="24"/>
          <w:lang w:val="en-US"/>
        </w:rPr>
        <w:t>medicine</w:t>
      </w:r>
      <w:r>
        <w:rPr>
          <w:rFonts w:hint="default" w:ascii="Cambria" w:hAnsi="Cambria" w:cs="Cambria"/>
          <w:sz w:val="24"/>
          <w:szCs w:val="24"/>
        </w:rPr>
        <w:t xml:space="preserve"> – </w:t>
      </w:r>
      <w:r>
        <w:rPr>
          <w:rFonts w:hint="default" w:ascii="Cambria" w:hAnsi="Cambria" w:cs="Cambria"/>
          <w:sz w:val="24"/>
          <w:szCs w:val="24"/>
          <w:lang w:val="en-US"/>
        </w:rPr>
        <w:t>Pediatrics</w:t>
      </w:r>
      <w:r>
        <w:rPr>
          <w:rFonts w:hint="default" w:ascii="Cambria" w:hAnsi="Cambria" w:cs="Cambria"/>
          <w:sz w:val="24"/>
          <w:szCs w:val="24"/>
        </w:rPr>
        <w:t xml:space="preserve"> – </w:t>
      </w:r>
      <w:r>
        <w:rPr>
          <w:rFonts w:hint="default" w:ascii="Cambria" w:hAnsi="Cambria" w:cs="Cambria"/>
          <w:sz w:val="24"/>
          <w:szCs w:val="24"/>
          <w:lang w:val="en-US"/>
        </w:rPr>
        <w:t>Part 4: Tuina</w:t>
      </w:r>
      <w:r>
        <w:rPr>
          <w:rFonts w:hint="default" w:ascii="Cambria" w:hAnsi="Cambria" w:cs="Cambria"/>
          <w:sz w:val="24"/>
          <w:szCs w:val="24"/>
        </w:rPr>
        <w:t xml:space="preserve"> from a national standard to an international organizational standard, the project working group systematically carried out expert questionnaire surveys, expert validation meetings, and Expert Steering Group reviews around key issues such as technical content, scope of application, and safety. Major opinions from experts were systematically compiled, centrally analyzed, and normatively processed, resulting in the final text of this standard. The handling process and basis for the relevant opinions are described below.</w:t>
      </w:r>
    </w:p>
    <w:p w14:paraId="0687773D">
      <w:pPr>
        <w:numPr>
          <w:ilvl w:val="0"/>
          <w:numId w:val="0"/>
        </w:num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color w:val="auto"/>
          <w:kern w:val="2"/>
          <w:sz w:val="24"/>
          <w:szCs w:val="24"/>
          <w:lang w:val="en-US" w:eastAsia="zh-CN" w:bidi="ar-SA"/>
        </w:rPr>
        <w:t>1</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cs="Cambria"/>
          <w:b/>
          <w:bCs/>
          <w:sz w:val="24"/>
          <w:szCs w:val="24"/>
          <w:lang w:val="en-US" w:eastAsia="zh-CN"/>
        </w:rPr>
        <w:t>Compilation and Handling of Expert Questionnaire Survey Opinions</w:t>
      </w:r>
    </w:p>
    <w:p w14:paraId="39165368">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Based on literature research and the original national standard, the project working group conducted an expert questionnaire survey to extensively solicit opinions from domestic and international experts in TCM pediatrics and related fields on the provisions of the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The questionnaire covered terminology definitions, operational steps and requirements, precautions and contraindications, and included open-ended questions for expert comments.</w:t>
      </w:r>
    </w:p>
    <w:p w14:paraId="626311BA">
      <w:pPr>
        <w:keepNext w:val="0"/>
        <w:keepLines w:val="0"/>
        <w:pageBreakBefore w:val="0"/>
        <w:widowControl w:val="0"/>
        <w:kinsoku/>
        <w:wordWrap/>
        <w:overflowPunct/>
        <w:topLinePunct w:val="0"/>
        <w:autoSpaceDE/>
        <w:autoSpaceDN/>
        <w:bidi w:val="0"/>
        <w:adjustRightInd/>
        <w:snapToGrid/>
        <w:spacing w:after="0" w:line="279"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 total of 30 questionnaires were distributed, and 27 valid responses were collected, giving an expert positive coefficient of 90%. Participating experts came from multiple countries and regions, including China (including mainland, Macau, and Taiwan), Singapore, Malaysia, Australia, and the United States, demonstrating high authority and international representativeness. Expert opinions were systematically analyzed and processed according to established statistical and handling principles, as detailed below.</w:t>
      </w:r>
    </w:p>
    <w:p w14:paraId="5A0863B4">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1.1 Opinions with Relatively High Consensus and Their Handling</w:t>
      </w:r>
    </w:p>
    <w:p w14:paraId="22DDA24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According to the statistical method, where an option received over 50% expert support (rank sum greater than half of total responses), it was considered a consensus opinion, and the project working group generally adopted it and revised or improved the standard provisions accordingly.</w:t>
      </w:r>
    </w:p>
    <w:p w14:paraId="7A66945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rPr>
      </w:pPr>
      <w:r>
        <w:rPr>
          <w:rFonts w:hint="default" w:ascii="Cambria" w:hAnsi="Cambria" w:cs="Cambria"/>
          <w:sz w:val="24"/>
          <w:szCs w:val="24"/>
        </w:rPr>
        <w:t>The opinions with high consensus among experts were mainly concentrated in the following areas</w:t>
      </w:r>
      <w:r>
        <w:rPr>
          <w:rFonts w:hint="default" w:ascii="Cambria" w:hAnsi="Cambria" w:cs="Cambria"/>
          <w:sz w:val="24"/>
          <w:szCs w:val="24"/>
          <w:lang w:val="en-US"/>
        </w:rPr>
        <w:t>.</w:t>
      </w:r>
    </w:p>
    <w:p w14:paraId="5C51143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First, </w:t>
      </w:r>
      <w:r>
        <w:rPr>
          <w:rFonts w:hint="default" w:ascii="Cambria" w:hAnsi="Cambria" w:cs="Cambria"/>
          <w:sz w:val="24"/>
          <w:szCs w:val="24"/>
          <w:lang w:val="en-US" w:eastAsia="zh-CN"/>
        </w:rPr>
        <w:t>n</w:t>
      </w:r>
      <w:r>
        <w:rPr>
          <w:rFonts w:hint="default" w:ascii="Cambria" w:hAnsi="Cambria" w:cs="Cambria"/>
          <w:sz w:val="24"/>
          <w:szCs w:val="24"/>
        </w:rPr>
        <w:t>ames and locations of specific pediatric tuina acupoints, including Pitu, Siwenheng,</w:t>
      </w:r>
      <w:r>
        <w:rPr>
          <w:rFonts w:hint="default" w:ascii="Cambria" w:hAnsi="Cambria" w:cs="Cambria"/>
          <w:sz w:val="24"/>
          <w:szCs w:val="24"/>
          <w:lang w:val="en-US" w:eastAsia="zh-CN"/>
        </w:rPr>
        <w:t xml:space="preserve"> </w:t>
      </w:r>
      <w:r>
        <w:rPr>
          <w:rFonts w:hint="default" w:ascii="Cambria" w:hAnsi="Cambria" w:cs="Cambria"/>
          <w:sz w:val="24"/>
          <w:szCs w:val="24"/>
        </w:rPr>
        <w:t>Erren Shangma,</w:t>
      </w:r>
      <w:r>
        <w:rPr>
          <w:rFonts w:hint="default" w:ascii="Cambria" w:hAnsi="Cambria" w:cs="Cambria"/>
          <w:sz w:val="24"/>
          <w:szCs w:val="24"/>
          <w:lang w:val="en-US" w:eastAsia="zh-CN"/>
        </w:rPr>
        <w:t xml:space="preserve"> </w:t>
      </w:r>
      <w:r>
        <w:rPr>
          <w:rFonts w:hint="default" w:ascii="Cambria" w:hAnsi="Cambria" w:cs="Cambria"/>
          <w:sz w:val="24"/>
          <w:szCs w:val="24"/>
          <w:lang w:val="en-US"/>
        </w:rPr>
        <w:t>Sanguan</w:t>
      </w:r>
      <w:r>
        <w:rPr>
          <w:rFonts w:hint="default" w:ascii="Cambria" w:hAnsi="Cambria" w:cs="Cambria"/>
          <w:sz w:val="24"/>
          <w:szCs w:val="24"/>
        </w:rPr>
        <w:t>,</w:t>
      </w:r>
      <w:r>
        <w:rPr>
          <w:rFonts w:hint="default" w:ascii="Cambria" w:hAnsi="Cambria" w:cs="Cambria"/>
          <w:sz w:val="24"/>
          <w:szCs w:val="24"/>
          <w:lang w:val="en-US" w:eastAsia="zh-CN"/>
        </w:rPr>
        <w:t xml:space="preserve"> </w:t>
      </w:r>
      <w:r>
        <w:rPr>
          <w:rFonts w:hint="default" w:ascii="Cambria" w:hAnsi="Cambria" w:cs="Cambria"/>
          <w:sz w:val="24"/>
          <w:szCs w:val="24"/>
        </w:rPr>
        <w:t>Liufu, etc. Most experts supported directly adopting the mature and standardized names and locations from the original national standard as the basis for the international standard text, to enhance terminological authority.</w:t>
      </w:r>
    </w:p>
    <w:p w14:paraId="1DED85E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Second, </w:t>
      </w:r>
      <w:r>
        <w:rPr>
          <w:rFonts w:hint="default" w:ascii="Cambria" w:hAnsi="Cambria" w:cs="Cambria"/>
          <w:sz w:val="24"/>
          <w:szCs w:val="24"/>
          <w:lang w:val="en-US" w:eastAsia="zh-CN"/>
        </w:rPr>
        <w:t>c</w:t>
      </w:r>
      <w:r>
        <w:rPr>
          <w:rFonts w:hint="default" w:ascii="Cambria" w:hAnsi="Cambria" w:cs="Cambria"/>
          <w:sz w:val="24"/>
          <w:szCs w:val="24"/>
        </w:rPr>
        <w:t>larification of commonly used pediatric tuina techniques, such as circular Rubbing Manipulation, Fei Jing Zou Qi (Flying along the Meridian to Move Qi), Shui Di Lao Yue (Scooping the Moon from the Water), Da Ma Guo Tian He (Flicking along the Tianhe), Huang Feng Ru Dong (Yellow Bee Entering the Cave), An Xian Cuo Mo (Pressing the Hypochondrium and Rubbing-Kneading), and Er Long Xi Zhu (Two Dragons Playing with a Pearl)—all were generally recognized and directly adopted.</w:t>
      </w:r>
    </w:p>
    <w:p w14:paraId="4AEA1E6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sz w:val="21"/>
          <w:szCs w:val="21"/>
        </w:rPr>
      </w:pPr>
      <w:r>
        <w:rPr>
          <w:rFonts w:hint="default" w:ascii="Cambria" w:hAnsi="Cambria" w:cs="Cambria"/>
          <w:sz w:val="24"/>
          <w:szCs w:val="24"/>
        </w:rPr>
        <w:t xml:space="preserve">Third, Improvement of standard structure and completeness, such as revision of </w:t>
      </w:r>
      <w:r>
        <w:rPr>
          <w:rFonts w:hint="default" w:ascii="Cambria" w:hAnsi="Cambria" w:cs="Cambria"/>
          <w:sz w:val="24"/>
          <w:szCs w:val="24"/>
          <w:lang w:val="en-US"/>
        </w:rPr>
        <w:t>“</w:t>
      </w:r>
      <w:r>
        <w:rPr>
          <w:rFonts w:hint="default" w:ascii="Cambria" w:hAnsi="Cambria" w:cs="Cambria"/>
          <w:sz w:val="24"/>
          <w:szCs w:val="24"/>
        </w:rPr>
        <w:t>Scope</w:t>
      </w:r>
      <w:r>
        <w:rPr>
          <w:rFonts w:hint="default" w:ascii="Cambria" w:hAnsi="Cambria" w:cs="Cambria"/>
          <w:sz w:val="24"/>
          <w:szCs w:val="24"/>
          <w:lang w:val="en-US"/>
        </w:rPr>
        <w:t>”</w:t>
      </w:r>
      <w:r>
        <w:rPr>
          <w:rFonts w:hint="default" w:ascii="Cambria" w:hAnsi="Cambria" w:cs="Cambria"/>
          <w:sz w:val="24"/>
          <w:szCs w:val="24"/>
        </w:rPr>
        <w:t xml:space="preserve"> and </w:t>
      </w:r>
      <w:r>
        <w:rPr>
          <w:rFonts w:hint="default" w:ascii="Cambria" w:hAnsi="Cambria" w:cs="Cambria"/>
          <w:sz w:val="24"/>
          <w:szCs w:val="24"/>
          <w:lang w:val="en-US"/>
        </w:rPr>
        <w:t>“</w:t>
      </w:r>
      <w:r>
        <w:rPr>
          <w:rFonts w:hint="default" w:ascii="Cambria" w:hAnsi="Cambria" w:cs="Cambria"/>
          <w:sz w:val="24"/>
          <w:szCs w:val="24"/>
        </w:rPr>
        <w:t>Normative References,</w:t>
      </w:r>
      <w:r>
        <w:rPr>
          <w:rFonts w:hint="default" w:ascii="Cambria" w:hAnsi="Cambria" w:cs="Cambria"/>
          <w:sz w:val="24"/>
          <w:szCs w:val="24"/>
          <w:lang w:val="en-US"/>
        </w:rPr>
        <w:t>”</w:t>
      </w:r>
      <w:r>
        <w:rPr>
          <w:rFonts w:hint="default" w:ascii="Cambria" w:hAnsi="Cambria" w:cs="Cambria"/>
          <w:sz w:val="24"/>
          <w:szCs w:val="24"/>
        </w:rPr>
        <w:t xml:space="preserve"> addition of contraindications for pediatric tuina, and inclusion of references, all received over 90% expert agreement, and the project working group made corresponding adjustments to the standard structure.</w:t>
      </w:r>
    </w:p>
    <w:p w14:paraId="3D25E00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During the revision process, the above items were all handled strictly in accordance with the principle of </w:t>
      </w:r>
      <w:r>
        <w:rPr>
          <w:rFonts w:hint="default" w:ascii="Cambria" w:hAnsi="Cambria" w:cs="Cambria"/>
          <w:sz w:val="24"/>
          <w:szCs w:val="24"/>
          <w:lang w:val="en-US"/>
        </w:rPr>
        <w:t>“</w:t>
      </w:r>
      <w:r>
        <w:rPr>
          <w:rFonts w:hint="default" w:ascii="Cambria" w:hAnsi="Cambria" w:cs="Cambria"/>
          <w:sz w:val="24"/>
          <w:szCs w:val="24"/>
        </w:rPr>
        <w:t>no alteration of the original technical connotation, only enhancement of standardization and safety.</w:t>
      </w:r>
      <w:r>
        <w:rPr>
          <w:rFonts w:hint="default" w:ascii="Cambria" w:hAnsi="Cambria" w:cs="Cambria"/>
          <w:sz w:val="24"/>
          <w:szCs w:val="24"/>
          <w:lang w:val="en-US"/>
        </w:rPr>
        <w:t>”</w:t>
      </w:r>
    </w:p>
    <w:p w14:paraId="08748CA7">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1.2 Divergent Opinions and Handling Principles</w:t>
      </w:r>
    </w:p>
    <w:p w14:paraId="199CF87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rPr>
      </w:pPr>
      <w:r>
        <w:rPr>
          <w:rFonts w:hint="default" w:ascii="Cambria" w:hAnsi="Cambria" w:cs="Cambria"/>
          <w:sz w:val="24"/>
          <w:szCs w:val="24"/>
        </w:rPr>
        <w:t>In the questionnaire, some items had support rates for each option close to each other, without forming a clear majority, mainly concentrated in the following areas</w:t>
      </w:r>
      <w:r>
        <w:rPr>
          <w:rFonts w:hint="default" w:ascii="Cambria" w:hAnsi="Cambria" w:cs="Cambria"/>
          <w:sz w:val="24"/>
          <w:szCs w:val="24"/>
          <w:lang w:val="en-US"/>
        </w:rPr>
        <w:t>.</w:t>
      </w:r>
    </w:p>
    <w:p w14:paraId="3439E0E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textAlignment w:val="auto"/>
        <w:rPr>
          <w:rFonts w:hint="default" w:ascii="Cambria" w:hAnsi="Cambria" w:eastAsia="仿宋" w:cs="Cambria"/>
          <w:sz w:val="21"/>
          <w:szCs w:val="21"/>
        </w:rPr>
      </w:pPr>
      <w:r>
        <w:rPr>
          <w:rFonts w:hint="default" w:ascii="Cambria" w:hAnsi="Cambria" w:cs="Cambria"/>
          <w:sz w:val="24"/>
          <w:szCs w:val="24"/>
        </w:rPr>
        <w:t xml:space="preserve">First, </w:t>
      </w:r>
      <w:r>
        <w:rPr>
          <w:rFonts w:hint="default" w:ascii="Cambria" w:hAnsi="Cambria" w:cs="Cambria"/>
          <w:sz w:val="24"/>
          <w:szCs w:val="24"/>
          <w:lang w:val="en-US" w:eastAsia="zh-CN"/>
        </w:rPr>
        <w:t>s</w:t>
      </w:r>
      <w:r>
        <w:rPr>
          <w:rFonts w:hint="default" w:ascii="Cambria" w:hAnsi="Cambria" w:cs="Cambria"/>
          <w:sz w:val="24"/>
          <w:szCs w:val="24"/>
        </w:rPr>
        <w:t xml:space="preserve">pecific requirements for pre-procedure preparation, such as environment, </w:t>
      </w:r>
      <w:r>
        <w:rPr>
          <w:rFonts w:hint="default" w:ascii="Cambria" w:hAnsi="Cambria" w:cs="Cambria"/>
          <w:sz w:val="24"/>
          <w:szCs w:val="24"/>
          <w:lang w:val="en-US"/>
        </w:rPr>
        <w:t>practitioner</w:t>
      </w:r>
      <w:r>
        <w:rPr>
          <w:rFonts w:hint="default" w:ascii="Cambria" w:hAnsi="Cambria" w:cs="Cambria"/>
          <w:sz w:val="24"/>
          <w:szCs w:val="24"/>
        </w:rPr>
        <w:t>, positioning, etc.</w:t>
      </w:r>
    </w:p>
    <w:p w14:paraId="269E8CC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sz w:val="21"/>
          <w:szCs w:val="21"/>
        </w:rPr>
      </w:pPr>
      <w:r>
        <w:rPr>
          <w:rFonts w:hint="default" w:ascii="Cambria" w:hAnsi="Cambria" w:cs="Cambria"/>
          <w:sz w:val="24"/>
          <w:szCs w:val="24"/>
        </w:rPr>
        <w:t xml:space="preserve">Second, </w:t>
      </w:r>
      <w:r>
        <w:rPr>
          <w:rFonts w:hint="default" w:ascii="Cambria" w:hAnsi="Cambria" w:eastAsia="仿宋" w:cs="Cambria"/>
          <w:sz w:val="24"/>
          <w:szCs w:val="24"/>
          <w:lang w:val="en-US" w:eastAsia="zh-CN"/>
        </w:rPr>
        <w:t>s</w:t>
      </w:r>
      <w:r>
        <w:rPr>
          <w:rFonts w:hint="default" w:ascii="Cambria" w:hAnsi="Cambria" w:cs="Cambria"/>
          <w:sz w:val="24"/>
          <w:szCs w:val="24"/>
        </w:rPr>
        <w:t>ome commonly used pediatric tuina techniques, such as Pressing Manipulation and Rotating Pushing.</w:t>
      </w:r>
    </w:p>
    <w:p w14:paraId="6F96157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sz w:val="21"/>
          <w:szCs w:val="21"/>
        </w:rPr>
      </w:pPr>
      <w:r>
        <w:rPr>
          <w:rFonts w:hint="default" w:ascii="Cambria" w:hAnsi="Cambria" w:cs="Cambria"/>
          <w:sz w:val="24"/>
          <w:szCs w:val="24"/>
        </w:rPr>
        <w:t>Third, Operation sequence and reinforcing-reducing methods, including clarification of the operation sequence and supplementation of commonly used reinforcing-reducing methods.</w:t>
      </w:r>
    </w:p>
    <w:p w14:paraId="043BAA4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For these contentious items, the project working group did not simply decide based on vote counts. Instead, it compiled the statistical results, different option contents, and expert textual comments, and then preliminarily integrated and absorbed reasonable content from different normative sources (national standards, international organizational standards, group standards, etc.) to form a comprehensive expression that balances safety and operability, and submitted these to the expert validation meeting for focused discussion.</w:t>
      </w:r>
    </w:p>
    <w:p w14:paraId="30497F0A">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1.3 Handling of Open-ended and Policy-related Opinions</w:t>
      </w:r>
    </w:p>
    <w:p w14:paraId="53A5171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project working group did not make uniform provisions on specific practice qualifications or management systems at the standard level. Instead, it prominently stated the principle of primacy of local laws and regulations in the </w:t>
      </w:r>
      <w:r>
        <w:rPr>
          <w:rFonts w:hint="default" w:ascii="Cambria" w:hAnsi="Cambria" w:cs="Cambria"/>
          <w:sz w:val="24"/>
          <w:szCs w:val="24"/>
          <w:lang w:val="en-US"/>
        </w:rPr>
        <w:t>“</w:t>
      </w:r>
      <w:r>
        <w:rPr>
          <w:rFonts w:hint="default" w:ascii="Cambria" w:hAnsi="Cambria" w:cs="Cambria"/>
          <w:sz w:val="24"/>
          <w:szCs w:val="24"/>
        </w:rPr>
        <w:t>Scope,</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Foreword,</w:t>
      </w:r>
      <w:r>
        <w:rPr>
          <w:rFonts w:hint="default" w:ascii="Cambria" w:hAnsi="Cambria" w:cs="Cambria"/>
          <w:sz w:val="24"/>
          <w:szCs w:val="24"/>
          <w:lang w:val="en-US"/>
        </w:rPr>
        <w:t>”</w:t>
      </w:r>
      <w:r>
        <w:rPr>
          <w:rFonts w:hint="default" w:ascii="Cambria" w:hAnsi="Cambria" w:cs="Cambria"/>
          <w:sz w:val="24"/>
          <w:szCs w:val="24"/>
        </w:rPr>
        <w:t xml:space="preserve"> and relevant precautions, emphasizing that the standard provides only normative references at the technical operational level, and its implementation should be premised on local laws, regulations, and practice management requirements. This approach was generally recognized by experts and also preserved necessary flexibility for the international promotion and practical application of the standard.</w:t>
      </w:r>
    </w:p>
    <w:p w14:paraId="31A73E5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In summary, the expert questionnaire survey opinions provided an important basis for the revision of this standard. On the basis of fully respecting expert consensus, the project working group adopted a prudent handling strategy for contentious and open-ended issues, laying a solid foundation for the subsequent expert validation meeting and Expert Steering Group review.</w:t>
      </w:r>
    </w:p>
    <w:p w14:paraId="7173065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For details, see </w:t>
      </w:r>
      <w:r>
        <w:rPr>
          <w:rFonts w:hint="default" w:ascii="Cambria" w:hAnsi="Cambria" w:cs="Cambria"/>
          <w:sz w:val="24"/>
          <w:szCs w:val="24"/>
          <w:lang w:val="en-US"/>
        </w:rPr>
        <w:t>“</w:t>
      </w:r>
      <w:r>
        <w:rPr>
          <w:rFonts w:hint="default" w:ascii="Cambria" w:hAnsi="Cambria" w:cs="Cambria"/>
          <w:sz w:val="24"/>
          <w:szCs w:val="24"/>
        </w:rPr>
        <w:t>Appendix 1 Report on Expert Questionnaire Survey</w:t>
      </w:r>
      <w:r>
        <w:rPr>
          <w:rFonts w:hint="default" w:ascii="Cambria" w:hAnsi="Cambria" w:cs="Cambria"/>
          <w:sz w:val="24"/>
          <w:szCs w:val="24"/>
          <w:lang w:val="en-US"/>
        </w:rPr>
        <w:t>”</w:t>
      </w:r>
    </w:p>
    <w:p w14:paraId="6BC5B566">
      <w:pPr>
        <w:numPr>
          <w:ilvl w:val="0"/>
          <w:numId w:val="0"/>
        </w:numPr>
        <w:spacing w:before="156" w:beforeLines="50" w:after="156" w:afterLines="50" w:line="276" w:lineRule="auto"/>
        <w:ind w:leftChars="0"/>
        <w:jc w:val="both"/>
        <w:outlineLvl w:val="1"/>
        <w:rPr>
          <w:rFonts w:hint="default" w:ascii="Cambria" w:hAnsi="Cambria" w:cs="Cambria"/>
          <w:b/>
          <w:bCs/>
          <w:sz w:val="24"/>
          <w:szCs w:val="24"/>
          <w:lang w:val="en-US" w:eastAsia="zh-CN"/>
        </w:rPr>
      </w:pPr>
      <w:r>
        <w:rPr>
          <w:rFonts w:hint="default" w:ascii="Cambria" w:hAnsi="Cambria" w:cs="Cambria"/>
          <w:b/>
          <w:bCs/>
          <w:color w:val="auto"/>
          <w:kern w:val="2"/>
          <w:sz w:val="24"/>
          <w:szCs w:val="24"/>
          <w:lang w:val="en-US" w:eastAsia="zh-CN" w:bidi="ar-SA"/>
        </w:rPr>
        <w:t>2</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cs="Cambria"/>
          <w:b/>
          <w:bCs/>
          <w:sz w:val="24"/>
          <w:szCs w:val="24"/>
          <w:lang w:val="en-US" w:eastAsia="zh-CN"/>
        </w:rPr>
        <w:t>Centralized Explanation and Handling of Expert Validation Meeting Opinions</w:t>
      </w:r>
    </w:p>
    <w:p w14:paraId="6D77362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Based on the summarized expert questionnaire survey opinions, the project working group convened the expert validation meeting for the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on December 3, 2025. The participants included invited validation experts and project team members, including successive chairpersons of the Pediatrics Branch of the China Association of Chinese Medicine and the President of the WFCMS Pediatrics Professional Committee, among other authoritative experts. The meeting was conducted in a hybrid online and offline format, focusing on the key technical issues and contentious items arising during the conversion from the national standard to the WFCMS international organizational standard, for centralized validation and decision-making.</w:t>
      </w:r>
    </w:p>
    <w:p w14:paraId="49DE823F">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 Working Methods and Positioning of the Validation Meeting</w:t>
      </w:r>
    </w:p>
    <w:p w14:paraId="4AADCD3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To improve meeting efficiency and ensure the adequacy and objectivity of expert opinions, the expert validation meeting did not conduct on-site voting or detailed validation for each contentious item individually. Instead, it adopted a working model of </w:t>
      </w:r>
      <w:r>
        <w:rPr>
          <w:rFonts w:hint="default" w:ascii="Cambria" w:hAnsi="Cambria" w:cs="Cambria"/>
          <w:sz w:val="24"/>
          <w:szCs w:val="24"/>
          <w:lang w:val="en-US"/>
        </w:rPr>
        <w:t>“</w:t>
      </w:r>
      <w:r>
        <w:rPr>
          <w:rFonts w:hint="default" w:ascii="Cambria" w:hAnsi="Cambria" w:cs="Cambria"/>
          <w:sz w:val="24"/>
          <w:szCs w:val="24"/>
        </w:rPr>
        <w:t>thorough pre-meeting preparation, focused in-meeting explanation, and post-meeting quantitative decision-making.</w:t>
      </w:r>
      <w:r>
        <w:rPr>
          <w:rFonts w:hint="default" w:ascii="Cambria" w:hAnsi="Cambria" w:cs="Cambria"/>
          <w:sz w:val="24"/>
          <w:szCs w:val="24"/>
          <w:lang w:val="en-US"/>
        </w:rPr>
        <w:t>”</w:t>
      </w:r>
    </w:p>
    <w:p w14:paraId="26551AA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Before the meeting, the project working group had sent complete validation materials to all experts, including: the summary report of the expert questionnaire survey; the solicitation letter for the expert validation meeting (listing 12 core contentious items, open-ended questions, and the project team's integrated recommendations); and the text of the original national standard. Experts had completed independent review of the contentious items before the meeting and made preliminary judgments on each item. The main task of the validation meeting was for the project working group to provide centralized explanations of the points of contention, different revision options, and their technical backgrounds, clarifying the technical essentials, sources of controversy, and possible handling directions for each item, thereby providing a common basis of understanding for experts to independently score and provide written feedback after the meeting.</w:t>
      </w:r>
    </w:p>
    <w:p w14:paraId="28D15B4E">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 Formation and Collection of Expert Opinions</w:t>
      </w:r>
    </w:p>
    <w:p w14:paraId="14D56C8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During the meeting, experts engaged in directional and principled discussions on certain key issues. For example, it was suggested to unify the subject of the document, and it was noted that the expression </w:t>
      </w:r>
      <w:r>
        <w:rPr>
          <w:rFonts w:hint="default" w:ascii="Cambria" w:hAnsi="Cambria" w:cs="Cambria"/>
          <w:sz w:val="24"/>
          <w:szCs w:val="24"/>
          <w:lang w:val="en-US"/>
        </w:rPr>
        <w:t>“</w:t>
      </w:r>
      <w:r>
        <w:rPr>
          <w:rFonts w:hint="default" w:ascii="Cambria" w:hAnsi="Cambria" w:cs="Cambria"/>
          <w:sz w:val="24"/>
          <w:szCs w:val="24"/>
        </w:rPr>
        <w:t>5 days as one course</w:t>
      </w:r>
      <w:r>
        <w:rPr>
          <w:rFonts w:hint="default" w:ascii="Cambria" w:hAnsi="Cambria" w:cs="Cambria"/>
          <w:sz w:val="24"/>
          <w:szCs w:val="24"/>
          <w:lang w:val="en-US"/>
        </w:rPr>
        <w:t>”</w:t>
      </w:r>
      <w:r>
        <w:rPr>
          <w:rFonts w:hint="default" w:ascii="Cambria" w:hAnsi="Cambria" w:cs="Cambria"/>
          <w:sz w:val="24"/>
          <w:szCs w:val="24"/>
        </w:rPr>
        <w:t xml:space="preserve"> in the pediatric tuina treatment course was imprecise and could cause ambiguity. After discussion, the meeting unanimously decided to modify the relevant content to enhance the standard's practicality and safety.</w:t>
      </w:r>
    </w:p>
    <w:p w14:paraId="40B577D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meeting did not form on-site resolutions for each contentious item. After the meeting, the project working group, following the established procedure, uniformly collected the completed </w:t>
      </w:r>
      <w:r>
        <w:rPr>
          <w:rFonts w:hint="default" w:ascii="Cambria" w:hAnsi="Cambria" w:cs="Cambria"/>
          <w:sz w:val="24"/>
          <w:szCs w:val="24"/>
          <w:lang w:val="en-US"/>
        </w:rPr>
        <w:t>“</w:t>
      </w:r>
      <w:r>
        <w:rPr>
          <w:rFonts w:hint="default" w:ascii="Cambria" w:hAnsi="Cambria" w:cs="Cambria"/>
          <w:sz w:val="24"/>
          <w:szCs w:val="24"/>
        </w:rPr>
        <w:t>Solicitation Letters</w:t>
      </w:r>
      <w:r>
        <w:rPr>
          <w:rFonts w:hint="default" w:ascii="Cambria" w:hAnsi="Cambria" w:cs="Cambria"/>
          <w:sz w:val="24"/>
          <w:szCs w:val="24"/>
          <w:lang w:val="en-US"/>
        </w:rPr>
        <w:t>”</w:t>
      </w:r>
      <w:r>
        <w:rPr>
          <w:rFonts w:hint="default" w:ascii="Cambria" w:hAnsi="Cambria" w:cs="Cambria"/>
          <w:sz w:val="24"/>
          <w:szCs w:val="24"/>
        </w:rPr>
        <w:t xml:space="preserve"> from the experts. In the letters, experts provided quantitative scores (required/optional) and written revision suggestions for each contentious item, generating complete, statistically analyzable, and traceable expert opinion data.</w:t>
      </w:r>
    </w:p>
    <w:p w14:paraId="2F1F738F">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 Statistical Analysis and Handling Principles of Post-meeting Expert Opinions</w:t>
      </w:r>
    </w:p>
    <w:p w14:paraId="2504EBC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After the meeting, the project working group systematically compiled and statistically analyzed the returned solicitation letters, using these as important decision-making bases for the standard revision.</w:t>
      </w:r>
    </w:p>
    <w:p w14:paraId="221363A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handling principles were as follows: For items with significantly high support rates and converging expert opinions, the corresponding revision suggestions were directly adopted; for items with a small number of differing opinions but no impact on technical safety or standard positioning, wording was optimized in light of expert textual comments; for items with insufficient support or involving inadequate technical maturity or evidence, they were in principle deferred from inclusion in the current conversion text.</w:t>
      </w:r>
    </w:p>
    <w:p w14:paraId="7EBAE00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Through this approach, the expert validation meeting fully leveraged the collective wisdom of the experts, ensuring that the standard revision reflects expert consensus while maintaining a scientific and standardized decision-making process. Following the expert validation meeting, experts unanimously agreed that the overall technical scheme of this standard is mature, the direction of modification is clear, and it can serve as the basis for the international organizational standard conversion text.</w:t>
      </w:r>
    </w:p>
    <w:p w14:paraId="69506C1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For details, see </w:t>
      </w:r>
      <w:r>
        <w:rPr>
          <w:rFonts w:hint="default" w:ascii="Cambria" w:hAnsi="Cambria" w:cs="Cambria"/>
          <w:sz w:val="24"/>
          <w:szCs w:val="24"/>
          <w:lang w:val="en-US"/>
        </w:rPr>
        <w:t>“</w:t>
      </w:r>
      <w:r>
        <w:rPr>
          <w:rFonts w:hint="default" w:ascii="Cambria" w:hAnsi="Cambria" w:cs="Cambria"/>
          <w:sz w:val="24"/>
          <w:szCs w:val="24"/>
        </w:rPr>
        <w:t>Appendix 2 Minutes of the Expert Demonstration Meeting.</w:t>
      </w:r>
      <w:r>
        <w:rPr>
          <w:rFonts w:hint="default" w:ascii="Cambria" w:hAnsi="Cambria" w:cs="Cambria"/>
          <w:sz w:val="24"/>
          <w:szCs w:val="24"/>
          <w:lang w:val="en-US"/>
        </w:rPr>
        <w:t>”</w:t>
      </w:r>
    </w:p>
    <w:p w14:paraId="442E1CE8">
      <w:pPr>
        <w:numPr>
          <w:ilvl w:val="0"/>
          <w:numId w:val="0"/>
        </w:numPr>
        <w:spacing w:before="156" w:beforeLines="50" w:after="156" w:afterLines="50" w:line="276" w:lineRule="auto"/>
        <w:ind w:leftChars="0"/>
        <w:jc w:val="both"/>
        <w:outlineLvl w:val="1"/>
        <w:rPr>
          <w:rFonts w:hint="default" w:ascii="Cambria" w:hAnsi="Cambria" w:cs="Cambria"/>
          <w:b/>
          <w:bCs/>
          <w:sz w:val="24"/>
          <w:szCs w:val="24"/>
          <w:lang w:val="en-US" w:eastAsia="zh-CN"/>
        </w:rPr>
      </w:pPr>
      <w:r>
        <w:rPr>
          <w:rFonts w:hint="default" w:ascii="Cambria" w:hAnsi="Cambria" w:cs="Cambria"/>
          <w:b/>
          <w:bCs/>
          <w:color w:val="auto"/>
          <w:kern w:val="2"/>
          <w:sz w:val="24"/>
          <w:szCs w:val="24"/>
          <w:lang w:val="en-US" w:eastAsia="zh-CN" w:bidi="ar-SA"/>
        </w:rPr>
        <w:t>3</w:t>
      </w:r>
      <w:r>
        <w:rPr>
          <w:rFonts w:hint="default" w:ascii="Cambria" w:hAnsi="Cambria" w:eastAsia="宋体" w:cs="Cambria"/>
          <w:b/>
          <w:bCs/>
          <w:color w:val="auto"/>
          <w:kern w:val="2"/>
          <w:sz w:val="24"/>
          <w:szCs w:val="24"/>
          <w:lang w:val="en-US" w:eastAsia="zh-CN" w:bidi="ar-SA"/>
        </w:rPr>
        <w:t>.</w:t>
      </w:r>
      <w:r>
        <w:rPr>
          <w:rFonts w:hint="default" w:ascii="Cambria" w:hAnsi="Cambria" w:cs="Cambria"/>
          <w:b/>
          <w:bCs/>
          <w:color w:val="auto"/>
          <w:kern w:val="2"/>
          <w:sz w:val="24"/>
          <w:szCs w:val="24"/>
          <w:lang w:val="en-US" w:eastAsia="zh-CN" w:bidi="ar-SA"/>
        </w:rPr>
        <w:t xml:space="preserve"> </w:t>
      </w:r>
      <w:r>
        <w:rPr>
          <w:rFonts w:hint="default" w:ascii="Cambria" w:hAnsi="Cambria" w:cs="Cambria"/>
          <w:b/>
          <w:bCs/>
          <w:sz w:val="24"/>
          <w:szCs w:val="24"/>
          <w:lang w:val="en-US" w:eastAsia="zh-CN"/>
        </w:rPr>
        <w:t>Expert Steering Group Review</w:t>
      </w:r>
    </w:p>
    <w:p w14:paraId="1B3BD90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After handling the opinions from the expert questionnaire survey and validation meeting, the project working group, based on expert consensus, formed the initial draft of the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and submitted this draft together with the formulation explanations and summary materials of expert opinions to the Expert Steering Group for review.</w:t>
      </w:r>
    </w:p>
    <w:p w14:paraId="20EC0B8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Expert Steering Group conducted an overall review and gatekeeping of the revised draft from the perspectives of standard positioning, technical boundaries, textual standardization, and feasibility of international conversion. For opinions raised during the review, the project working group studied and implemented each one; the relevant modifications did not involve substantive changes to technical content, but rather further improved the completeness, rigor, and readability of the standard.</w:t>
      </w:r>
    </w:p>
    <w:p w14:paraId="58C0EDA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After fully incorporating the Expert Steering Group's review opinions, the project working group made final revisions to the draft text and formulation explanations, forming the finalized text of this standard, and laying the foundation for the subsequent international organizational standard approval procedures.</w:t>
      </w:r>
    </w:p>
    <w:p w14:paraId="427C2E81">
      <w:pPr>
        <w:pStyle w:val="2"/>
        <w:spacing w:before="312" w:beforeLines="100" w:after="312" w:afterLines="100" w:line="276" w:lineRule="auto"/>
        <w:rPr>
          <w:rFonts w:hint="default" w:ascii="Cambria" w:hAnsi="Cambria" w:eastAsia="仿宋" w:cs="Cambria"/>
          <w:b/>
          <w:bCs/>
          <w:color w:val="auto"/>
          <w:sz w:val="24"/>
          <w:lang w:val="en-US" w:eastAsia="zh-CN"/>
        </w:rPr>
      </w:pPr>
      <w:r>
        <w:rPr>
          <w:rFonts w:hint="default" w:ascii="Cambria" w:hAnsi="Cambria" w:eastAsia="仿宋" w:cs="Cambria"/>
          <w:b/>
          <w:bCs/>
          <w:color w:val="auto"/>
          <w:sz w:val="24"/>
          <w:lang w:val="en-US" w:eastAsia="zh-CN"/>
        </w:rPr>
        <w:t>V. Recommendations for Adoption as an International Standard</w:t>
      </w:r>
    </w:p>
    <w:p w14:paraId="2BA6209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as an international organizational standard issued by the WFCMS, aims to standardize the technical operations related to pediatric tuina in TCM pediatric clinical practice, and to provide referable and adaptable technical bases for TCM pediatric diagnosis and treatment activities in different countries and regions.</w:t>
      </w:r>
    </w:p>
    <w:p w14:paraId="678EFBB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standard is not mandatory, and does not serve as a basis for medical practice access or practice qualification recognition, nor does it replace the current laws, regulations, mandatory standards, or clinical diagnosis and treatment guidelines of any country or region. The main functions of the standard are: to standardize the operational procedures of pediatric tuina in TCM pediatrics; to enhance the safety and consistency of related technical operations; and to provide a unified technical language and operational framework for clinical practice, education and training, and international exchange. In specific applications, countries and regions may reasonably select from the content of this standard based on their own laws, regulations, healthcare management systems, and clinical realities.</w:t>
      </w:r>
    </w:p>
    <w:p w14:paraId="71BEEF6B">
      <w:pPr>
        <w:pStyle w:val="2"/>
        <w:spacing w:before="312" w:beforeLines="100" w:after="312" w:afterLines="100" w:line="276" w:lineRule="auto"/>
        <w:rPr>
          <w:rFonts w:hint="default" w:ascii="Cambria" w:hAnsi="Cambria" w:eastAsia="仿宋" w:cs="Cambria"/>
          <w:b/>
          <w:bCs/>
          <w:color w:val="auto"/>
          <w:sz w:val="24"/>
          <w:lang w:val="en-US" w:eastAsia="zh-CN"/>
        </w:rPr>
      </w:pPr>
      <w:r>
        <w:rPr>
          <w:rFonts w:hint="default" w:ascii="Cambria" w:hAnsi="Cambria" w:eastAsia="仿宋" w:cs="Cambria"/>
          <w:b/>
          <w:bCs/>
          <w:color w:val="auto"/>
          <w:sz w:val="24"/>
          <w:lang w:val="en-US" w:eastAsia="zh-CN"/>
        </w:rPr>
        <w:t>VI. Requirements and Suggestions for Implementation of the Standard</w:t>
      </w:r>
    </w:p>
    <w:p w14:paraId="13C9ADE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After this standard has been reviewed, approved, issued and implemented by the World Federation of Chinese Medicine Societies, it is recommended that publicity, implementation and application be carried out through multiple channels, so as to promote its dissemination and reasonable use in the field of TCM pediatrics in China and other countries.</w:t>
      </w:r>
    </w:p>
    <w:p w14:paraId="2538DFEF">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val="en-US"/>
        </w:rPr>
        <w:t>1.</w:t>
      </w:r>
      <w:r>
        <w:rPr>
          <w:rFonts w:hint="default" w:ascii="Cambria" w:hAnsi="Cambria" w:cs="Cambria"/>
          <w:sz w:val="24"/>
          <w:szCs w:val="24"/>
        </w:rPr>
        <w:t xml:space="preserve"> The World Federation of Chinese Medicine Societies may coordinate the international publicity, promotion and application of the standard, and, in light of the actual conditions of its member countries and regions, promote the use of the standard as a reference in clinical practice, teaching and scientific research in TCM pediatrics.</w:t>
      </w:r>
    </w:p>
    <w:p w14:paraId="1C938C3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val="en-US"/>
        </w:rPr>
        <w:t>2.</w:t>
      </w:r>
      <w:r>
        <w:rPr>
          <w:rFonts w:hint="default" w:ascii="Cambria" w:hAnsi="Cambria" w:cs="Cambria"/>
          <w:sz w:val="24"/>
          <w:szCs w:val="24"/>
        </w:rPr>
        <w:t xml:space="preserve"> Relying on the World Federation of Chinese Medicine Societies and its Pediatrics Specialty Committee, interpretation of the standard and application training may be organized, with a focus on TCM pediatric clinicians and relevant professional and technical personnel, so as to improve understanding of the content of the standard and the principles for its application.</w:t>
      </w:r>
    </w:p>
    <w:p w14:paraId="23DFCAF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val="en-US"/>
        </w:rPr>
        <w:t>3.</w:t>
      </w:r>
      <w:r>
        <w:rPr>
          <w:rFonts w:hint="default" w:ascii="Cambria" w:hAnsi="Cambria" w:cs="Cambria"/>
          <w:sz w:val="24"/>
          <w:szCs w:val="24"/>
        </w:rPr>
        <w:t xml:space="preserve"> The standard may be introduced and interpreted through Chinese medicine and related medical academic conferences, thematic seminars and other forms in China and other countries, so as to promote consensus in the academic community on the standardization of internal administration techniques in TCM pediatrics.</w:t>
      </w:r>
    </w:p>
    <w:p w14:paraId="1F85436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val="en-US"/>
        </w:rPr>
        <w:t>4.</w:t>
      </w:r>
      <w:r>
        <w:rPr>
          <w:rFonts w:hint="default" w:ascii="Cambria" w:hAnsi="Cambria" w:cs="Cambria"/>
          <w:sz w:val="24"/>
          <w:szCs w:val="24"/>
        </w:rPr>
        <w:t xml:space="preserve"> The standard text, explanatory notes on the development of the standard and relevant research results may be published in academic journals and professional media, so as to expand the influence of the standard. Feedback may also be continuously collected during application to provide a basis for subsequent revision.</w:t>
      </w:r>
    </w:p>
    <w:p w14:paraId="1F84A353">
      <w:pPr>
        <w:pStyle w:val="2"/>
        <w:spacing w:before="312" w:beforeLines="100" w:after="312" w:afterLines="100" w:line="276" w:lineRule="auto"/>
        <w:rPr>
          <w:rFonts w:hint="default" w:ascii="Cambria" w:hAnsi="Cambria" w:eastAsia="仿宋" w:cs="Cambria"/>
          <w:b/>
          <w:bCs/>
          <w:color w:val="auto"/>
          <w:sz w:val="24"/>
          <w:lang w:val="en-US" w:eastAsia="zh-CN"/>
        </w:rPr>
      </w:pPr>
      <w:r>
        <w:rPr>
          <w:rFonts w:hint="default" w:ascii="Cambria" w:hAnsi="Cambria" w:eastAsia="仿宋" w:cs="Cambria"/>
          <w:b/>
          <w:bCs/>
          <w:color w:val="auto"/>
          <w:sz w:val="24"/>
          <w:lang w:val="en-US" w:eastAsia="zh-CN"/>
        </w:rPr>
        <w:t>VII. Facilitating and impeding factors in application</w:t>
      </w:r>
    </w:p>
    <w:p w14:paraId="778002E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After review and release by the World Federation of Chinese Medicine Societies, this standard will be implemented as a recommended international organization standard. During application, the academic influence of the World Federation of Chinese Medicine Societies, together with multiple channels such as training, meetings and academic journals, may be used to promote dissemination and application of the standard in the field of TCM pediatrics in China and other countries.</w:t>
      </w:r>
    </w:p>
    <w:p w14:paraId="2287E4B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At the same time, objective factors that may be encountered during the promotion and application of this standard should be fully recognized. On the one hand, different countries and regions differ in the legal status of Chinese medicine, medical management systems and clinical practice models. On the other hand, different academic schools and individual experience have long existed in the field of TCM pediatrics, and clinical operating habits are not fully consistent, which may affect the unified application of the standard to a certain extent.</w:t>
      </w:r>
    </w:p>
    <w:p w14:paraId="12AA1C5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With the continuous deepening of international exchange in Chinese medicine, the gradual formation of clinical consensus in TCM pediatrics, and increasing recognition of the concept of standardization, the acceptability and scope of application of this standard are expected to continue expanding through continuous training, demonstration application and dynamic improvement of the standard.</w:t>
      </w:r>
    </w:p>
    <w:p w14:paraId="520CC9A1">
      <w:pPr>
        <w:pStyle w:val="2"/>
        <w:spacing w:before="312" w:beforeLines="100" w:after="312" w:afterLines="100" w:line="276" w:lineRule="auto"/>
        <w:rPr>
          <w:rFonts w:hint="default" w:ascii="Cambria" w:hAnsi="Cambria" w:eastAsia="仿宋" w:cs="Cambria"/>
          <w:b/>
          <w:bCs/>
          <w:color w:val="auto"/>
          <w:sz w:val="24"/>
          <w:lang w:val="en-US" w:eastAsia="zh-CN"/>
        </w:rPr>
      </w:pPr>
      <w:r>
        <w:rPr>
          <w:rFonts w:hint="default" w:ascii="Cambria" w:hAnsi="Cambria" w:eastAsia="仿宋" w:cs="Cambria"/>
          <w:b/>
          <w:bCs/>
          <w:color w:val="auto"/>
          <w:sz w:val="24"/>
          <w:lang w:val="en-US" w:eastAsia="zh-CN"/>
        </w:rPr>
        <w:t>VIII. Other Matters to Be Clarified</w:t>
      </w:r>
    </w:p>
    <w:p w14:paraId="38005DF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黑体" w:cs="Cambria"/>
          <w:b/>
          <w:bCs/>
          <w:color w:val="auto"/>
          <w:sz w:val="24"/>
          <w:szCs w:val="24"/>
        </w:rPr>
      </w:pPr>
      <w:r>
        <w:rPr>
          <w:rFonts w:hint="default" w:ascii="Cambria" w:hAnsi="Cambria" w:cs="Cambria"/>
          <w:sz w:val="24"/>
          <w:szCs w:val="24"/>
        </w:rPr>
        <w:t>In view of the development of clinical practice in TCM pediatrics and the continuous progress of relevant technical methods, it is recommended that, 3 to 5 years after the publication and implementation of this standard, a systematic evaluation be conducted in light of international application feedback, advances in clinical research and safety evidence. Supplementation, revision or updating may be carried out as appropriate, so as to maintain the scientific validity, advancement and applicability of the standard.</w:t>
      </w:r>
      <w:r>
        <w:rPr>
          <w:rFonts w:hint="default" w:ascii="Cambria" w:hAnsi="Cambria" w:eastAsia="黑体" w:cs="Cambria"/>
          <w:b/>
          <w:bCs/>
          <w:color w:val="auto"/>
          <w:sz w:val="24"/>
          <w:szCs w:val="24"/>
        </w:rPr>
        <w:br w:type="page"/>
      </w:r>
    </w:p>
    <w:p w14:paraId="7BAAFC55">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left"/>
        <w:textAlignment w:val="auto"/>
        <w:outlineLvl w:val="0"/>
        <w:rPr>
          <w:rFonts w:hint="default" w:ascii="Cambria" w:hAnsi="Cambria" w:cs="Cambria"/>
          <w:b/>
          <w:bCs/>
          <w:sz w:val="32"/>
          <w:szCs w:val="32"/>
        </w:rPr>
      </w:pPr>
      <w:r>
        <w:rPr>
          <w:rFonts w:hint="default" w:ascii="Cambria" w:hAnsi="Cambria" w:cs="Cambria"/>
          <w:b/>
          <w:bCs/>
          <w:sz w:val="32"/>
          <w:szCs w:val="32"/>
        </w:rPr>
        <w:t>Appendix 1 Report on Expert Questionnaire Survey</w:t>
      </w:r>
    </w:p>
    <w:p w14:paraId="55D40BBE">
      <w:pPr>
        <w:spacing w:before="156" w:beforeLines="50" w:after="156" w:afterLines="50" w:line="276" w:lineRule="auto"/>
        <w:jc w:val="both"/>
        <w:outlineLvl w:val="1"/>
        <w:rPr>
          <w:rFonts w:hint="default" w:ascii="Cambria" w:hAnsi="Cambria" w:cs="Cambria"/>
          <w:sz w:val="24"/>
          <w:szCs w:val="24"/>
        </w:rPr>
      </w:pPr>
      <w:r>
        <w:rPr>
          <w:rFonts w:hint="default" w:ascii="Cambria" w:hAnsi="Cambria" w:cs="Cambria"/>
          <w:b/>
          <w:bCs/>
          <w:sz w:val="24"/>
          <w:szCs w:val="24"/>
          <w:lang w:val="en-US" w:eastAsia="zh-CN"/>
        </w:rPr>
        <w:t>I. Survey Background and Purpose</w:t>
      </w:r>
    </w:p>
    <w:p w14:paraId="2C33475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The project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originates from the WFCMS international standard development and revision project. It is based on the National Standard of the People's Republic of China (technical guidance document) GB/Z 40893.4-2021 the </w:t>
      </w:r>
      <w:r>
        <w:rPr>
          <w:rFonts w:hint="default" w:ascii="Cambria" w:hAnsi="Cambria" w:cs="Cambria"/>
          <w:sz w:val="24"/>
          <w:szCs w:val="24"/>
          <w:lang w:val="en-US"/>
        </w:rPr>
        <w:t>Specification for operation technologies of traditional Chinese</w:t>
      </w:r>
      <w:r>
        <w:rPr>
          <w:rFonts w:hint="default" w:ascii="Cambria" w:hAnsi="Cambria" w:cs="Cambria"/>
          <w:sz w:val="24"/>
          <w:szCs w:val="24"/>
          <w:lang w:val="en-US" w:eastAsia="zh-CN"/>
        </w:rPr>
        <w:t xml:space="preserve"> </w:t>
      </w:r>
      <w:r>
        <w:rPr>
          <w:rFonts w:hint="default" w:ascii="Cambria" w:hAnsi="Cambria" w:cs="Cambria"/>
          <w:sz w:val="24"/>
          <w:szCs w:val="24"/>
          <w:lang w:val="en-US"/>
        </w:rPr>
        <w:t>medicine</w:t>
      </w:r>
      <w:r>
        <w:rPr>
          <w:rFonts w:hint="default" w:ascii="Cambria" w:hAnsi="Cambria" w:cs="Cambria"/>
          <w:sz w:val="24"/>
          <w:szCs w:val="24"/>
        </w:rPr>
        <w:t xml:space="preserve"> – </w:t>
      </w:r>
      <w:r>
        <w:rPr>
          <w:rFonts w:hint="default" w:ascii="Cambria" w:hAnsi="Cambria" w:cs="Cambria"/>
          <w:sz w:val="24"/>
          <w:szCs w:val="24"/>
          <w:lang w:val="en-US"/>
        </w:rPr>
        <w:t>Pediatrics</w:t>
      </w:r>
      <w:r>
        <w:rPr>
          <w:rFonts w:hint="default" w:ascii="Cambria" w:hAnsi="Cambria" w:cs="Cambria"/>
          <w:sz w:val="24"/>
          <w:szCs w:val="24"/>
        </w:rPr>
        <w:t xml:space="preserve"> – </w:t>
      </w:r>
      <w:r>
        <w:rPr>
          <w:rFonts w:hint="default" w:ascii="Cambria" w:hAnsi="Cambria" w:cs="Cambria"/>
          <w:sz w:val="24"/>
          <w:szCs w:val="24"/>
          <w:lang w:val="en-US"/>
        </w:rPr>
        <w:t>Part 4: Tuina</w:t>
      </w:r>
      <w:r>
        <w:rPr>
          <w:rFonts w:hint="default" w:ascii="Cambria" w:hAnsi="Cambria" w:cs="Cambria"/>
          <w:sz w:val="24"/>
          <w:szCs w:val="24"/>
        </w:rPr>
        <w:t>, aiming to convert this standard into a WFCMS international organizational standard. This standard specifies in detail the operational steps, requirements, precautions, and contraindications for pediatric tuina, with the goal of establishing standardized operational techniques for pediatric tuina in TCM pediatrics, providing safe and standardized operational guidelines for TCM pediatric practitioners worldwide, and promoting the standardization and international application of clinical technical operations in TCM pediatrics.</w:t>
      </w:r>
    </w:p>
    <w:p w14:paraId="0DD1831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To ensure the scientific validity, standardization, and international applicability of the standard conversion process, this study conducted an expert questionnaire survey to extensively solicit opinions from domestic and international TCM pediatric experts, analyze the level of agreement and revision suggestions on each technical provision, and provide empirical evidence for the revision of the international standard text.</w:t>
      </w:r>
    </w:p>
    <w:p w14:paraId="66508E33">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II. Survey Methods and Expert Information Analysis</w:t>
      </w:r>
    </w:p>
    <w:p w14:paraId="28273762">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1.Survey Methods</w:t>
      </w:r>
    </w:p>
    <w:p w14:paraId="1219E6B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survey was conducted using an online questionnaire format from October to November 2025. The questionnaire included main items such as terminology definitions, operational steps and requirements, commonly used techniques in pediatric tuina, and appendix content, with open-ended questions to collect supplementary opinions.</w:t>
      </w:r>
    </w:p>
    <w:p w14:paraId="09C98782">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 Expert Information Analysis</w:t>
      </w:r>
    </w:p>
    <w:p w14:paraId="011BFE1A">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 Expert Selection Criteria</w:t>
      </w:r>
    </w:p>
    <w:p w14:paraId="2AD1366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criteria for selecting experts included: ① Holding senior professional backgrounds in TCM pediatrics or related fields; ② Having extensive clinical or teaching experience, with mainland Chinese experts having over 18 years in the specialty and overseas experts over 9 years; ③ Familiarity with pediatric tuina techniques; ④ Coverage of different countries and regions to enhance the international representativeness of the standard.</w:t>
      </w:r>
    </w:p>
    <w:p w14:paraId="37C0D7B4">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 Expert Positive Coefficient</w:t>
      </w:r>
    </w:p>
    <w:p w14:paraId="2733DA0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 total of 30 questionnaires were distributed, and 27 valid responses were collected, giving an expert positive coefficient of 90%. The survey had a high expert positive coefficient (90%), a reasonable professional structure, and strong authority, ensuring the scientific validity and reliability of the survey results.</w:t>
      </w:r>
    </w:p>
    <w:p w14:paraId="0B181870">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 Expert Authority and Representativeness</w:t>
      </w:r>
    </w:p>
    <w:p w14:paraId="0E8CF5B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 total of 27 experts provided suggestions on provisions related to pediatric tuina. The selection of experts balanced geographical distribution, professionalism, and authority. Experts came from 7 countries/regions: China (including multiple mainland provinces, Macau, and Taiwan), Singapore, Malaysia, Australia, and the United States. Among them, 22 experts were from China (including mainland multiple provinces/cities, Macau, and Taiwan), 2 from Singapore, 1 from Malaysia, 1 from Australia, and 1 from the United States, covering a wide range of areas with strong geographical representativeness.</w:t>
      </w:r>
    </w:p>
    <w:p w14:paraId="0CA017B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experts selected for this study are all senior practitioners in TCM pediatrics and related fields, including professors and chief physicians from domestic higher TCM institutions, and experts and scholars from overseas TCM medical and educational institutions. All possess extensive clinical, research, and teaching experience, and their opinions can fully reflect the professional insights of senior experts in the field of TCM pediatrics on pediatric tuina. The distribution of the 27 experts by country/region, age, educational background, professional title, graduate supervisor status, specialty, and years of working experience is shown in Tables 1–7.</w:t>
      </w:r>
    </w:p>
    <w:p w14:paraId="1D4D0BE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center"/>
        <w:textAlignment w:val="auto"/>
        <w:rPr>
          <w:rFonts w:hint="default" w:ascii="Cambria" w:hAnsi="Cambria" w:cs="Cambria"/>
          <w:sz w:val="24"/>
          <w:szCs w:val="24"/>
        </w:rPr>
      </w:pPr>
      <w:r>
        <w:rPr>
          <w:rFonts w:hint="default" w:ascii="Cambria" w:hAnsi="Cambria" w:cs="Cambria"/>
          <w:sz w:val="24"/>
          <w:szCs w:val="24"/>
        </w:rPr>
        <w:t>Table 1 Distribution of Experts by Country/Region</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91"/>
        <w:gridCol w:w="2639"/>
        <w:gridCol w:w="2766"/>
      </w:tblGrid>
      <w:tr w14:paraId="53DC2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noWrap w:val="0"/>
            <w:vAlign w:val="center"/>
          </w:tcPr>
          <w:p w14:paraId="3182AB4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Country/Region</w:t>
            </w:r>
          </w:p>
        </w:tc>
        <w:tc>
          <w:tcPr>
            <w:tcW w:w="2639" w:type="dxa"/>
            <w:noWrap w:val="0"/>
            <w:vAlign w:val="center"/>
          </w:tcPr>
          <w:p w14:paraId="37D529E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Number</w:t>
            </w:r>
          </w:p>
        </w:tc>
        <w:tc>
          <w:tcPr>
            <w:tcW w:w="2766" w:type="dxa"/>
            <w:noWrap w:val="0"/>
            <w:vAlign w:val="center"/>
          </w:tcPr>
          <w:p w14:paraId="4DAF6E7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085F6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noWrap w:val="0"/>
            <w:vAlign w:val="center"/>
          </w:tcPr>
          <w:p w14:paraId="4DE7AF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Mainland</w:t>
            </w:r>
            <w:r>
              <w:rPr>
                <w:rFonts w:hint="default" w:ascii="Cambria" w:hAnsi="Cambria" w:cs="Cambria"/>
                <w:sz w:val="24"/>
                <w:szCs w:val="24"/>
                <w:lang w:val="en-US" w:eastAsia="en-US"/>
              </w:rPr>
              <w:t xml:space="preserve"> </w:t>
            </w:r>
            <w:r>
              <w:rPr>
                <w:rFonts w:hint="default" w:ascii="Cambria" w:hAnsi="Cambria" w:cs="Cambria"/>
                <w:sz w:val="24"/>
                <w:szCs w:val="24"/>
                <w:lang w:eastAsia="en-US"/>
              </w:rPr>
              <w:t>China (including Beijing, Shanghai, Tianjin, etc.)</w:t>
            </w:r>
          </w:p>
        </w:tc>
        <w:tc>
          <w:tcPr>
            <w:tcW w:w="2639" w:type="dxa"/>
            <w:noWrap w:val="0"/>
            <w:vAlign w:val="center"/>
          </w:tcPr>
          <w:p w14:paraId="19885D0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20</w:t>
            </w:r>
          </w:p>
        </w:tc>
        <w:tc>
          <w:tcPr>
            <w:tcW w:w="2766" w:type="dxa"/>
            <w:noWrap w:val="0"/>
            <w:vAlign w:val="center"/>
          </w:tcPr>
          <w:p w14:paraId="006D7E1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74.07%</w:t>
            </w:r>
          </w:p>
        </w:tc>
      </w:tr>
      <w:tr w14:paraId="7656C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noWrap w:val="0"/>
            <w:vAlign w:val="center"/>
          </w:tcPr>
          <w:p w14:paraId="06ABD95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Macau, China</w:t>
            </w:r>
          </w:p>
        </w:tc>
        <w:tc>
          <w:tcPr>
            <w:tcW w:w="2639" w:type="dxa"/>
            <w:noWrap w:val="0"/>
            <w:vAlign w:val="center"/>
          </w:tcPr>
          <w:p w14:paraId="09AAAB7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center"/>
          </w:tcPr>
          <w:p w14:paraId="5EDBF22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1B5A9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noWrap w:val="0"/>
            <w:vAlign w:val="center"/>
          </w:tcPr>
          <w:p w14:paraId="64B250A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Taiwan, China</w:t>
            </w:r>
          </w:p>
        </w:tc>
        <w:tc>
          <w:tcPr>
            <w:tcW w:w="2639" w:type="dxa"/>
            <w:noWrap w:val="0"/>
            <w:vAlign w:val="center"/>
          </w:tcPr>
          <w:p w14:paraId="7B3414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center"/>
          </w:tcPr>
          <w:p w14:paraId="3C05940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6195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noWrap w:val="0"/>
            <w:vAlign w:val="center"/>
          </w:tcPr>
          <w:p w14:paraId="371DDB4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Singapore</w:t>
            </w:r>
          </w:p>
        </w:tc>
        <w:tc>
          <w:tcPr>
            <w:tcW w:w="2639" w:type="dxa"/>
            <w:noWrap w:val="0"/>
            <w:vAlign w:val="center"/>
          </w:tcPr>
          <w:p w14:paraId="66D2C1A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c>
          <w:tcPr>
            <w:tcW w:w="2766" w:type="dxa"/>
            <w:noWrap w:val="0"/>
            <w:vAlign w:val="center"/>
          </w:tcPr>
          <w:p w14:paraId="280C1B3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7.4%</w:t>
            </w:r>
          </w:p>
        </w:tc>
      </w:tr>
      <w:tr w14:paraId="08EB1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noWrap w:val="0"/>
            <w:vAlign w:val="center"/>
          </w:tcPr>
          <w:p w14:paraId="3F4641B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Malaysia</w:t>
            </w:r>
          </w:p>
        </w:tc>
        <w:tc>
          <w:tcPr>
            <w:tcW w:w="2639" w:type="dxa"/>
            <w:noWrap w:val="0"/>
            <w:vAlign w:val="center"/>
          </w:tcPr>
          <w:p w14:paraId="5986A4C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center"/>
          </w:tcPr>
          <w:p w14:paraId="7E723A7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7833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noWrap w:val="0"/>
            <w:vAlign w:val="center"/>
          </w:tcPr>
          <w:p w14:paraId="3606BD9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Australia</w:t>
            </w:r>
          </w:p>
        </w:tc>
        <w:tc>
          <w:tcPr>
            <w:tcW w:w="2639" w:type="dxa"/>
            <w:noWrap w:val="0"/>
            <w:vAlign w:val="center"/>
          </w:tcPr>
          <w:p w14:paraId="4FCEE61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center"/>
          </w:tcPr>
          <w:p w14:paraId="66BAAE3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20B2B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91" w:type="dxa"/>
            <w:noWrap w:val="0"/>
            <w:vAlign w:val="center"/>
          </w:tcPr>
          <w:p w14:paraId="2DC855C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United States</w:t>
            </w:r>
          </w:p>
        </w:tc>
        <w:tc>
          <w:tcPr>
            <w:tcW w:w="2639" w:type="dxa"/>
            <w:noWrap w:val="0"/>
            <w:vAlign w:val="center"/>
          </w:tcPr>
          <w:p w14:paraId="06291AC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center"/>
          </w:tcPr>
          <w:p w14:paraId="3767EE3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bl>
    <w:p w14:paraId="0ED7524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center"/>
        <w:textAlignment w:val="auto"/>
        <w:rPr>
          <w:rFonts w:hint="default" w:ascii="Cambria" w:hAnsi="Cambria" w:cs="Cambria"/>
          <w:sz w:val="24"/>
          <w:szCs w:val="24"/>
        </w:rPr>
      </w:pPr>
      <w:r>
        <w:rPr>
          <w:rFonts w:hint="default" w:ascii="Cambria" w:hAnsi="Cambria" w:cs="Cambria"/>
          <w:sz w:val="24"/>
          <w:szCs w:val="24"/>
        </w:rPr>
        <w:t>Table 2 Age Distribution of Experts</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04130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17804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Age Range</w:t>
            </w:r>
          </w:p>
        </w:tc>
        <w:tc>
          <w:tcPr>
            <w:tcW w:w="2765" w:type="dxa"/>
            <w:noWrap w:val="0"/>
            <w:vAlign w:val="top"/>
          </w:tcPr>
          <w:p w14:paraId="1774CFE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Number</w:t>
            </w:r>
          </w:p>
        </w:tc>
        <w:tc>
          <w:tcPr>
            <w:tcW w:w="2766" w:type="dxa"/>
            <w:noWrap w:val="0"/>
            <w:vAlign w:val="top"/>
          </w:tcPr>
          <w:p w14:paraId="3D43BED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7007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417D29D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val="en-US" w:eastAsia="en-US"/>
              </w:rPr>
            </w:pPr>
            <w:r>
              <w:rPr>
                <w:rFonts w:hint="default" w:ascii="Cambria" w:hAnsi="Cambria" w:cs="Cambria"/>
                <w:sz w:val="24"/>
                <w:szCs w:val="24"/>
                <w:lang w:eastAsia="en-US"/>
              </w:rPr>
              <w:t>40–49</w:t>
            </w:r>
            <w:r>
              <w:rPr>
                <w:rFonts w:hint="default" w:ascii="Cambria" w:hAnsi="Cambria" w:cs="Cambria"/>
                <w:sz w:val="24"/>
                <w:szCs w:val="24"/>
                <w:lang w:val="en-US" w:eastAsia="en-US"/>
              </w:rPr>
              <w:t xml:space="preserve"> </w:t>
            </w:r>
            <w:r>
              <w:rPr>
                <w:rFonts w:hint="default" w:ascii="Cambria" w:hAnsi="Cambria" w:cs="Cambria"/>
                <w:sz w:val="24"/>
                <w:szCs w:val="24"/>
                <w:lang w:eastAsia="en-US"/>
              </w:rPr>
              <w:t>years</w:t>
            </w:r>
          </w:p>
        </w:tc>
        <w:tc>
          <w:tcPr>
            <w:tcW w:w="2765" w:type="dxa"/>
            <w:noWrap w:val="0"/>
            <w:vAlign w:val="top"/>
          </w:tcPr>
          <w:p w14:paraId="3B75489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2766" w:type="dxa"/>
            <w:noWrap w:val="0"/>
            <w:vAlign w:val="top"/>
          </w:tcPr>
          <w:p w14:paraId="0BE15DF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11.11%</w:t>
            </w:r>
          </w:p>
        </w:tc>
      </w:tr>
      <w:tr w14:paraId="4465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1E21043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50–59 years </w:t>
            </w:r>
          </w:p>
        </w:tc>
        <w:tc>
          <w:tcPr>
            <w:tcW w:w="2765" w:type="dxa"/>
            <w:noWrap w:val="0"/>
            <w:vAlign w:val="top"/>
          </w:tcPr>
          <w:p w14:paraId="1404F83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17</w:t>
            </w:r>
          </w:p>
        </w:tc>
        <w:tc>
          <w:tcPr>
            <w:tcW w:w="2766" w:type="dxa"/>
            <w:noWrap w:val="0"/>
            <w:vAlign w:val="top"/>
          </w:tcPr>
          <w:p w14:paraId="17244F2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r>
      <w:tr w14:paraId="67A37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838522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60–69 years</w:t>
            </w:r>
          </w:p>
        </w:tc>
        <w:tc>
          <w:tcPr>
            <w:tcW w:w="2765" w:type="dxa"/>
            <w:noWrap w:val="0"/>
            <w:vAlign w:val="top"/>
          </w:tcPr>
          <w:p w14:paraId="4906265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2766" w:type="dxa"/>
            <w:noWrap w:val="0"/>
            <w:vAlign w:val="top"/>
          </w:tcPr>
          <w:p w14:paraId="1DB18D6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18.51%</w:t>
            </w:r>
          </w:p>
        </w:tc>
      </w:tr>
      <w:tr w14:paraId="59420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44F0A1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70 years and older</w:t>
            </w:r>
          </w:p>
        </w:tc>
        <w:tc>
          <w:tcPr>
            <w:tcW w:w="2765" w:type="dxa"/>
            <w:noWrap w:val="0"/>
            <w:vAlign w:val="top"/>
          </w:tcPr>
          <w:p w14:paraId="5F157EA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c>
          <w:tcPr>
            <w:tcW w:w="2766" w:type="dxa"/>
            <w:noWrap w:val="0"/>
            <w:vAlign w:val="top"/>
          </w:tcPr>
          <w:p w14:paraId="256837D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7.4%</w:t>
            </w:r>
          </w:p>
        </w:tc>
      </w:tr>
      <w:tr w14:paraId="29BE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CB94C5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Age range</w:t>
            </w:r>
          </w:p>
        </w:tc>
        <w:tc>
          <w:tcPr>
            <w:tcW w:w="2765" w:type="dxa"/>
            <w:noWrap w:val="0"/>
            <w:vAlign w:val="top"/>
          </w:tcPr>
          <w:p w14:paraId="1AB5804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44–80 years</w:t>
            </w:r>
          </w:p>
        </w:tc>
        <w:tc>
          <w:tcPr>
            <w:tcW w:w="2766" w:type="dxa"/>
            <w:noWrap w:val="0"/>
            <w:vAlign w:val="top"/>
          </w:tcPr>
          <w:p w14:paraId="481C1B1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Average age: 57.29 years</w:t>
            </w:r>
          </w:p>
        </w:tc>
      </w:tr>
    </w:tbl>
    <w:p w14:paraId="613E228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center"/>
        <w:textAlignment w:val="auto"/>
        <w:rPr>
          <w:rFonts w:hint="default" w:ascii="Cambria" w:hAnsi="Cambria" w:cs="Cambria"/>
          <w:sz w:val="24"/>
          <w:szCs w:val="24"/>
        </w:rPr>
      </w:pPr>
      <w:r>
        <w:rPr>
          <w:rFonts w:hint="default" w:ascii="Cambria" w:hAnsi="Cambria" w:cs="Cambria"/>
          <w:sz w:val="24"/>
          <w:szCs w:val="24"/>
        </w:rPr>
        <w:t>Table 3 Distribution of Experts’ Educational Background and Degrees</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1409D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664CD1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Degrees</w:t>
            </w:r>
          </w:p>
        </w:tc>
        <w:tc>
          <w:tcPr>
            <w:tcW w:w="2765" w:type="dxa"/>
            <w:noWrap w:val="0"/>
            <w:vAlign w:val="top"/>
          </w:tcPr>
          <w:p w14:paraId="63EE984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Number</w:t>
            </w:r>
          </w:p>
        </w:tc>
        <w:tc>
          <w:tcPr>
            <w:tcW w:w="2766" w:type="dxa"/>
            <w:noWrap w:val="0"/>
            <w:vAlign w:val="top"/>
          </w:tcPr>
          <w:p w14:paraId="475E46E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4E8B4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2765" w:type="dxa"/>
            <w:noWrap w:val="0"/>
            <w:vAlign w:val="top"/>
          </w:tcPr>
          <w:p w14:paraId="7D98670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Bachelor’s degree</w:t>
            </w:r>
          </w:p>
        </w:tc>
        <w:tc>
          <w:tcPr>
            <w:tcW w:w="2765" w:type="dxa"/>
            <w:noWrap w:val="0"/>
            <w:vAlign w:val="top"/>
          </w:tcPr>
          <w:p w14:paraId="419C643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2766" w:type="dxa"/>
            <w:noWrap w:val="0"/>
            <w:vAlign w:val="top"/>
          </w:tcPr>
          <w:p w14:paraId="10CB99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18.51%</w:t>
            </w:r>
          </w:p>
        </w:tc>
      </w:tr>
      <w:tr w14:paraId="5FDE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9CCA2E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Master’s degree</w:t>
            </w:r>
          </w:p>
        </w:tc>
        <w:tc>
          <w:tcPr>
            <w:tcW w:w="2765" w:type="dxa"/>
            <w:noWrap w:val="0"/>
            <w:vAlign w:val="top"/>
          </w:tcPr>
          <w:p w14:paraId="7F80F5E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2766" w:type="dxa"/>
            <w:noWrap w:val="0"/>
            <w:vAlign w:val="top"/>
          </w:tcPr>
          <w:p w14:paraId="20223A4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231D1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52360B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Doctoral degree</w:t>
            </w:r>
          </w:p>
        </w:tc>
        <w:tc>
          <w:tcPr>
            <w:tcW w:w="2765" w:type="dxa"/>
            <w:noWrap w:val="0"/>
            <w:vAlign w:val="top"/>
          </w:tcPr>
          <w:p w14:paraId="7D0CDC7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16</w:t>
            </w:r>
          </w:p>
        </w:tc>
        <w:tc>
          <w:tcPr>
            <w:tcW w:w="2766" w:type="dxa"/>
            <w:noWrap w:val="0"/>
            <w:vAlign w:val="top"/>
          </w:tcPr>
          <w:p w14:paraId="739DA80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59.25%</w:t>
            </w:r>
          </w:p>
        </w:tc>
      </w:tr>
    </w:tbl>
    <w:p w14:paraId="0BF943F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center"/>
        <w:textAlignment w:val="auto"/>
        <w:rPr>
          <w:rFonts w:hint="default" w:ascii="Cambria" w:hAnsi="Cambria" w:cs="Cambria"/>
          <w:sz w:val="24"/>
          <w:szCs w:val="24"/>
        </w:rPr>
      </w:pPr>
      <w:r>
        <w:rPr>
          <w:rFonts w:hint="default" w:ascii="Cambria" w:hAnsi="Cambria" w:cs="Cambria"/>
          <w:sz w:val="24"/>
          <w:szCs w:val="24"/>
        </w:rPr>
        <w:t>Table 4 Distribution of Experts by Professional Technical Titles</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38"/>
        <w:gridCol w:w="1692"/>
        <w:gridCol w:w="2766"/>
      </w:tblGrid>
      <w:tr w14:paraId="2D54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838" w:type="dxa"/>
            <w:noWrap w:val="0"/>
            <w:vAlign w:val="top"/>
          </w:tcPr>
          <w:p w14:paraId="2DC1D12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Professional Title</w:t>
            </w:r>
          </w:p>
        </w:tc>
        <w:tc>
          <w:tcPr>
            <w:tcW w:w="1692" w:type="dxa"/>
            <w:noWrap w:val="0"/>
            <w:vAlign w:val="top"/>
          </w:tcPr>
          <w:p w14:paraId="198DA80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Number</w:t>
            </w:r>
          </w:p>
        </w:tc>
        <w:tc>
          <w:tcPr>
            <w:tcW w:w="2766" w:type="dxa"/>
            <w:noWrap w:val="0"/>
            <w:vAlign w:val="top"/>
          </w:tcPr>
          <w:p w14:paraId="2283A96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44585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8" w:type="dxa"/>
            <w:noWrap w:val="0"/>
            <w:vAlign w:val="top"/>
          </w:tcPr>
          <w:p w14:paraId="41D2742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Senior title, including Professor, Chief Physician and Researcher</w:t>
            </w:r>
          </w:p>
        </w:tc>
        <w:tc>
          <w:tcPr>
            <w:tcW w:w="1692" w:type="dxa"/>
            <w:noWrap w:val="0"/>
            <w:vAlign w:val="top"/>
          </w:tcPr>
          <w:p w14:paraId="7039027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23</w:t>
            </w:r>
          </w:p>
        </w:tc>
        <w:tc>
          <w:tcPr>
            <w:tcW w:w="2766" w:type="dxa"/>
            <w:noWrap w:val="0"/>
            <w:vAlign w:val="top"/>
          </w:tcPr>
          <w:p w14:paraId="3A9A2AA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85.19%</w:t>
            </w:r>
          </w:p>
        </w:tc>
      </w:tr>
      <w:tr w14:paraId="4E6BD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38" w:type="dxa"/>
            <w:noWrap w:val="0"/>
            <w:vAlign w:val="top"/>
          </w:tcPr>
          <w:p w14:paraId="67180A4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Associate senior title, including Associate Professor, Associate Chief Physician and Senior Lecturer</w:t>
            </w:r>
          </w:p>
        </w:tc>
        <w:tc>
          <w:tcPr>
            <w:tcW w:w="1692" w:type="dxa"/>
            <w:noWrap w:val="0"/>
            <w:vAlign w:val="top"/>
          </w:tcPr>
          <w:p w14:paraId="2560C42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2766" w:type="dxa"/>
            <w:noWrap w:val="0"/>
            <w:vAlign w:val="top"/>
          </w:tcPr>
          <w:p w14:paraId="4D6682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14.81%</w:t>
            </w:r>
          </w:p>
        </w:tc>
      </w:tr>
    </w:tbl>
    <w:p w14:paraId="08BE60B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center"/>
        <w:textAlignment w:val="auto"/>
        <w:rPr>
          <w:rFonts w:hint="default" w:ascii="Cambria" w:hAnsi="Cambria" w:cs="Cambria"/>
          <w:sz w:val="24"/>
          <w:szCs w:val="24"/>
        </w:rPr>
      </w:pPr>
      <w:r>
        <w:rPr>
          <w:rFonts w:hint="default" w:ascii="Cambria" w:hAnsi="Cambria" w:cs="Cambria"/>
          <w:sz w:val="24"/>
          <w:szCs w:val="24"/>
        </w:rPr>
        <w:t xml:space="preserve"> Table 5</w:t>
      </w:r>
      <w:r>
        <w:rPr>
          <w:rFonts w:hint="default" w:ascii="Cambria" w:hAnsi="Cambria" w:cs="Cambria"/>
          <w:sz w:val="24"/>
          <w:szCs w:val="24"/>
          <w:lang w:val="en-US"/>
        </w:rPr>
        <w:t xml:space="preserve"> </w:t>
      </w:r>
      <w:r>
        <w:rPr>
          <w:rFonts w:hint="default" w:ascii="Cambria" w:hAnsi="Cambria" w:cs="Cambria"/>
          <w:sz w:val="24"/>
          <w:szCs w:val="24"/>
        </w:rPr>
        <w:t>Graduate Student Advisors</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5"/>
        <w:gridCol w:w="2765"/>
        <w:gridCol w:w="2766"/>
      </w:tblGrid>
      <w:tr w14:paraId="4C11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B0D917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Advisor Type</w:t>
            </w:r>
          </w:p>
        </w:tc>
        <w:tc>
          <w:tcPr>
            <w:tcW w:w="2765" w:type="dxa"/>
            <w:noWrap w:val="0"/>
            <w:vAlign w:val="top"/>
          </w:tcPr>
          <w:p w14:paraId="7990FDF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Number</w:t>
            </w:r>
          </w:p>
        </w:tc>
        <w:tc>
          <w:tcPr>
            <w:tcW w:w="2766" w:type="dxa"/>
            <w:noWrap w:val="0"/>
            <w:vAlign w:val="top"/>
          </w:tcPr>
          <w:p w14:paraId="4145E6F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660C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041DAD5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Doctoral Advisors</w:t>
            </w:r>
          </w:p>
        </w:tc>
        <w:tc>
          <w:tcPr>
            <w:tcW w:w="2765" w:type="dxa"/>
            <w:noWrap w:val="0"/>
            <w:vAlign w:val="top"/>
          </w:tcPr>
          <w:p w14:paraId="59F7A23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2766" w:type="dxa"/>
            <w:noWrap w:val="0"/>
            <w:vAlign w:val="top"/>
          </w:tcPr>
          <w:p w14:paraId="7B46C08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37.03%</w:t>
            </w:r>
          </w:p>
        </w:tc>
      </w:tr>
      <w:tr w14:paraId="5AA6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740EF5F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Master's Advisors</w:t>
            </w:r>
          </w:p>
        </w:tc>
        <w:tc>
          <w:tcPr>
            <w:tcW w:w="2765" w:type="dxa"/>
            <w:noWrap w:val="0"/>
            <w:vAlign w:val="top"/>
          </w:tcPr>
          <w:p w14:paraId="1E4C527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2766" w:type="dxa"/>
            <w:noWrap w:val="0"/>
            <w:vAlign w:val="top"/>
          </w:tcPr>
          <w:p w14:paraId="305753D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7E029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65" w:type="dxa"/>
            <w:noWrap w:val="0"/>
            <w:vAlign w:val="top"/>
          </w:tcPr>
          <w:p w14:paraId="3973DC9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Non-Graduate Advisor</w:t>
            </w:r>
          </w:p>
        </w:tc>
        <w:tc>
          <w:tcPr>
            <w:tcW w:w="2765" w:type="dxa"/>
            <w:noWrap w:val="0"/>
            <w:vAlign w:val="top"/>
          </w:tcPr>
          <w:p w14:paraId="16BE83D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2766" w:type="dxa"/>
            <w:noWrap w:val="0"/>
            <w:vAlign w:val="top"/>
          </w:tcPr>
          <w:p w14:paraId="5425757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bl>
    <w:p w14:paraId="67734E8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center"/>
        <w:textAlignment w:val="auto"/>
        <w:rPr>
          <w:rFonts w:hint="default" w:ascii="Cambria" w:hAnsi="Cambria" w:cs="Cambria"/>
          <w:sz w:val="24"/>
          <w:szCs w:val="24"/>
        </w:rPr>
      </w:pPr>
      <w:r>
        <w:rPr>
          <w:rFonts w:hint="default" w:ascii="Cambria" w:hAnsi="Cambria" w:cs="Cambria"/>
          <w:sz w:val="24"/>
          <w:szCs w:val="24"/>
        </w:rPr>
        <w:t xml:space="preserve"> Table 6 Distribution of Experts by Discipline</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76"/>
        <w:gridCol w:w="2154"/>
        <w:gridCol w:w="2766"/>
      </w:tblGrid>
      <w:tr w14:paraId="7827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6" w:type="dxa"/>
            <w:noWrap w:val="0"/>
            <w:vAlign w:val="top"/>
          </w:tcPr>
          <w:p w14:paraId="27FCAB8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Specialization</w:t>
            </w:r>
          </w:p>
        </w:tc>
        <w:tc>
          <w:tcPr>
            <w:tcW w:w="2154" w:type="dxa"/>
            <w:noWrap w:val="0"/>
            <w:vAlign w:val="top"/>
          </w:tcPr>
          <w:p w14:paraId="77018E2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Number</w:t>
            </w:r>
          </w:p>
        </w:tc>
        <w:tc>
          <w:tcPr>
            <w:tcW w:w="2766" w:type="dxa"/>
            <w:noWrap w:val="0"/>
            <w:vAlign w:val="top"/>
          </w:tcPr>
          <w:p w14:paraId="014E700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39F61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6" w:type="dxa"/>
            <w:noWrap w:val="0"/>
            <w:vAlign w:val="top"/>
          </w:tcPr>
          <w:p w14:paraId="02336F5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TCM Pediatrics</w:t>
            </w:r>
          </w:p>
        </w:tc>
        <w:tc>
          <w:tcPr>
            <w:tcW w:w="2154" w:type="dxa"/>
            <w:noWrap w:val="0"/>
            <w:vAlign w:val="top"/>
          </w:tcPr>
          <w:p w14:paraId="70BE52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c>
          <w:tcPr>
            <w:tcW w:w="2766" w:type="dxa"/>
            <w:noWrap w:val="0"/>
            <w:vAlign w:val="top"/>
          </w:tcPr>
          <w:p w14:paraId="3F856F8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44.44%</w:t>
            </w:r>
          </w:p>
        </w:tc>
      </w:tr>
      <w:tr w14:paraId="3CDE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6" w:type="dxa"/>
            <w:noWrap w:val="0"/>
            <w:vAlign w:val="top"/>
          </w:tcPr>
          <w:p w14:paraId="3E24AC9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Integrated Chinese and Western Medicine Pediatrics</w:t>
            </w:r>
          </w:p>
        </w:tc>
        <w:tc>
          <w:tcPr>
            <w:tcW w:w="2154" w:type="dxa"/>
            <w:noWrap w:val="0"/>
            <w:vAlign w:val="top"/>
          </w:tcPr>
          <w:p w14:paraId="53226E0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2766" w:type="dxa"/>
            <w:noWrap w:val="0"/>
            <w:vAlign w:val="top"/>
          </w:tcPr>
          <w:p w14:paraId="3194C50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11.11%</w:t>
            </w:r>
          </w:p>
        </w:tc>
      </w:tr>
      <w:tr w14:paraId="6C5F9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6" w:type="dxa"/>
            <w:noWrap w:val="0"/>
            <w:vAlign w:val="top"/>
          </w:tcPr>
          <w:p w14:paraId="34274C1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TCM (general)</w:t>
            </w:r>
          </w:p>
        </w:tc>
        <w:tc>
          <w:tcPr>
            <w:tcW w:w="2154" w:type="dxa"/>
            <w:noWrap w:val="0"/>
            <w:vAlign w:val="top"/>
          </w:tcPr>
          <w:p w14:paraId="5819BF9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top"/>
          </w:tcPr>
          <w:p w14:paraId="290C05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3C28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6" w:type="dxa"/>
            <w:noWrap w:val="0"/>
            <w:vAlign w:val="top"/>
          </w:tcPr>
          <w:p w14:paraId="15771BB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Clinical Fundamentals of TCM</w:t>
            </w:r>
          </w:p>
        </w:tc>
        <w:tc>
          <w:tcPr>
            <w:tcW w:w="2154" w:type="dxa"/>
            <w:noWrap w:val="0"/>
            <w:vAlign w:val="top"/>
          </w:tcPr>
          <w:p w14:paraId="170C1D0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top"/>
          </w:tcPr>
          <w:p w14:paraId="4286823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23534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6" w:type="dxa"/>
            <w:noWrap w:val="0"/>
            <w:vAlign w:val="top"/>
          </w:tcPr>
          <w:p w14:paraId="016C322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Pediatric Tuina</w:t>
            </w:r>
          </w:p>
        </w:tc>
        <w:tc>
          <w:tcPr>
            <w:tcW w:w="2154" w:type="dxa"/>
            <w:noWrap w:val="0"/>
            <w:vAlign w:val="top"/>
          </w:tcPr>
          <w:p w14:paraId="56EE60F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2766" w:type="dxa"/>
            <w:noWrap w:val="0"/>
            <w:vAlign w:val="top"/>
          </w:tcPr>
          <w:p w14:paraId="514D67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29.62%</w:t>
            </w:r>
          </w:p>
        </w:tc>
      </w:tr>
      <w:tr w14:paraId="54B2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6" w:type="dxa"/>
            <w:noWrap w:val="0"/>
            <w:vAlign w:val="top"/>
          </w:tcPr>
          <w:p w14:paraId="6463F85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Tuina</w:t>
            </w:r>
            <w:r>
              <w:rPr>
                <w:rFonts w:hint="default" w:ascii="Cambria" w:hAnsi="Cambria" w:cs="Cambria"/>
                <w:sz w:val="24"/>
                <w:szCs w:val="24"/>
              </w:rPr>
              <w:t xml:space="preserve"> (general)</w:t>
            </w:r>
          </w:p>
        </w:tc>
        <w:tc>
          <w:tcPr>
            <w:tcW w:w="2154" w:type="dxa"/>
            <w:noWrap w:val="0"/>
            <w:vAlign w:val="top"/>
          </w:tcPr>
          <w:p w14:paraId="45CDAB4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top"/>
          </w:tcPr>
          <w:p w14:paraId="0D558A0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2A20F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76" w:type="dxa"/>
            <w:noWrap w:val="0"/>
            <w:vAlign w:val="top"/>
          </w:tcPr>
          <w:p w14:paraId="19CC119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Acupuncture and Tuina</w:t>
            </w:r>
          </w:p>
        </w:tc>
        <w:tc>
          <w:tcPr>
            <w:tcW w:w="2154" w:type="dxa"/>
            <w:noWrap w:val="0"/>
            <w:vAlign w:val="top"/>
          </w:tcPr>
          <w:p w14:paraId="508420C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top"/>
          </w:tcPr>
          <w:p w14:paraId="4B23475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bl>
    <w:p w14:paraId="41B322C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center"/>
        <w:textAlignment w:val="auto"/>
        <w:rPr>
          <w:rFonts w:hint="default" w:ascii="Cambria" w:hAnsi="Cambria" w:cs="Cambria"/>
          <w:sz w:val="24"/>
          <w:szCs w:val="24"/>
        </w:rPr>
      </w:pPr>
      <w:r>
        <w:rPr>
          <w:rFonts w:hint="default" w:ascii="Cambria" w:hAnsi="Cambria" w:cs="Cambria"/>
          <w:sz w:val="24"/>
          <w:szCs w:val="24"/>
        </w:rPr>
        <w:t xml:space="preserve"> Table 7 Distribution of Experts by Years of Working Experience in the Specialty</w:t>
      </w:r>
    </w:p>
    <w:tbl>
      <w:tblPr>
        <w:tblStyle w:val="8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2436"/>
        <w:gridCol w:w="2766"/>
      </w:tblGrid>
      <w:tr w14:paraId="498E9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4" w:type="dxa"/>
            <w:noWrap w:val="0"/>
            <w:vAlign w:val="top"/>
          </w:tcPr>
          <w:p w14:paraId="27E7D97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Years of Experience Range</w:t>
            </w:r>
          </w:p>
        </w:tc>
        <w:tc>
          <w:tcPr>
            <w:tcW w:w="2436" w:type="dxa"/>
            <w:noWrap w:val="0"/>
            <w:vAlign w:val="top"/>
          </w:tcPr>
          <w:p w14:paraId="2E5A184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Number of Experts</w:t>
            </w:r>
          </w:p>
        </w:tc>
        <w:tc>
          <w:tcPr>
            <w:tcW w:w="2766" w:type="dxa"/>
            <w:noWrap w:val="0"/>
            <w:vAlign w:val="top"/>
          </w:tcPr>
          <w:p w14:paraId="5039BDB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35CC3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4" w:type="dxa"/>
            <w:noWrap w:val="0"/>
            <w:vAlign w:val="top"/>
          </w:tcPr>
          <w:p w14:paraId="47B6A90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0–9 years</w:t>
            </w:r>
          </w:p>
        </w:tc>
        <w:tc>
          <w:tcPr>
            <w:tcW w:w="2436" w:type="dxa"/>
            <w:noWrap w:val="0"/>
            <w:vAlign w:val="top"/>
          </w:tcPr>
          <w:p w14:paraId="1358231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top"/>
          </w:tcPr>
          <w:p w14:paraId="013210D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48F9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4" w:type="dxa"/>
            <w:noWrap w:val="0"/>
            <w:vAlign w:val="top"/>
          </w:tcPr>
          <w:p w14:paraId="1DA5078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10–19 years</w:t>
            </w:r>
          </w:p>
        </w:tc>
        <w:tc>
          <w:tcPr>
            <w:tcW w:w="2436" w:type="dxa"/>
            <w:noWrap w:val="0"/>
            <w:vAlign w:val="top"/>
          </w:tcPr>
          <w:p w14:paraId="668E6B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2766" w:type="dxa"/>
            <w:noWrap w:val="0"/>
            <w:vAlign w:val="top"/>
          </w:tcPr>
          <w:p w14:paraId="6F42F03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11.11%</w:t>
            </w:r>
          </w:p>
        </w:tc>
      </w:tr>
      <w:tr w14:paraId="14733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4" w:type="dxa"/>
            <w:noWrap w:val="0"/>
            <w:vAlign w:val="top"/>
          </w:tcPr>
          <w:p w14:paraId="6665EEF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20–29 years</w:t>
            </w:r>
          </w:p>
        </w:tc>
        <w:tc>
          <w:tcPr>
            <w:tcW w:w="2436" w:type="dxa"/>
            <w:noWrap w:val="0"/>
            <w:vAlign w:val="top"/>
          </w:tcPr>
          <w:p w14:paraId="51E49BB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2766" w:type="dxa"/>
            <w:noWrap w:val="0"/>
            <w:vAlign w:val="top"/>
          </w:tcPr>
          <w:p w14:paraId="6D926F0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18.51%</w:t>
            </w:r>
          </w:p>
        </w:tc>
      </w:tr>
      <w:tr w14:paraId="1F6DD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3094" w:type="dxa"/>
            <w:noWrap w:val="0"/>
            <w:vAlign w:val="top"/>
          </w:tcPr>
          <w:p w14:paraId="21BF71E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30–39 years</w:t>
            </w:r>
          </w:p>
        </w:tc>
        <w:tc>
          <w:tcPr>
            <w:tcW w:w="2436" w:type="dxa"/>
            <w:noWrap w:val="0"/>
            <w:vAlign w:val="top"/>
          </w:tcPr>
          <w:p w14:paraId="1FB16FA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13</w:t>
            </w:r>
          </w:p>
        </w:tc>
        <w:tc>
          <w:tcPr>
            <w:tcW w:w="2766" w:type="dxa"/>
            <w:noWrap w:val="0"/>
            <w:vAlign w:val="top"/>
          </w:tcPr>
          <w:p w14:paraId="79DB4C7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48.14%</w:t>
            </w:r>
          </w:p>
        </w:tc>
      </w:tr>
      <w:tr w14:paraId="1B957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4" w:type="dxa"/>
            <w:noWrap w:val="0"/>
            <w:vAlign w:val="top"/>
          </w:tcPr>
          <w:p w14:paraId="2437A81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40–49 years</w:t>
            </w:r>
          </w:p>
        </w:tc>
        <w:tc>
          <w:tcPr>
            <w:tcW w:w="2436" w:type="dxa"/>
            <w:noWrap w:val="0"/>
            <w:vAlign w:val="top"/>
          </w:tcPr>
          <w:p w14:paraId="7A29C20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2766" w:type="dxa"/>
            <w:noWrap w:val="0"/>
            <w:vAlign w:val="top"/>
          </w:tcPr>
          <w:p w14:paraId="1BEC853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14.81%</w:t>
            </w:r>
          </w:p>
        </w:tc>
      </w:tr>
      <w:tr w14:paraId="70E1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4" w:type="dxa"/>
            <w:noWrap w:val="0"/>
            <w:vAlign w:val="top"/>
          </w:tcPr>
          <w:p w14:paraId="65C464F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50 years and older</w:t>
            </w:r>
          </w:p>
        </w:tc>
        <w:tc>
          <w:tcPr>
            <w:tcW w:w="2436" w:type="dxa"/>
            <w:noWrap w:val="0"/>
            <w:vAlign w:val="top"/>
          </w:tcPr>
          <w:p w14:paraId="0724C3D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2766" w:type="dxa"/>
            <w:noWrap w:val="0"/>
            <w:vAlign w:val="top"/>
          </w:tcPr>
          <w:p w14:paraId="69B232E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w:t>
            </w:r>
          </w:p>
        </w:tc>
      </w:tr>
      <w:tr w14:paraId="73BB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94" w:type="dxa"/>
            <w:noWrap w:val="0"/>
            <w:vAlign w:val="top"/>
          </w:tcPr>
          <w:p w14:paraId="227850D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Years of service range</w:t>
            </w:r>
          </w:p>
        </w:tc>
        <w:tc>
          <w:tcPr>
            <w:tcW w:w="2436" w:type="dxa"/>
            <w:noWrap w:val="0"/>
            <w:vAlign w:val="top"/>
          </w:tcPr>
          <w:p w14:paraId="731491C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9–55 years</w:t>
            </w:r>
          </w:p>
        </w:tc>
        <w:tc>
          <w:tcPr>
            <w:tcW w:w="2766" w:type="dxa"/>
            <w:noWrap w:val="0"/>
            <w:vAlign w:val="top"/>
          </w:tcPr>
          <w:p w14:paraId="2F46F9D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Average years of service: 30.37 years</w:t>
            </w:r>
          </w:p>
        </w:tc>
      </w:tr>
    </w:tbl>
    <w:p w14:paraId="48AB5AD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kern w:val="0"/>
          <w:szCs w:val="21"/>
        </w:rPr>
      </w:pPr>
      <w:r>
        <w:rPr>
          <w:rFonts w:hint="default" w:ascii="Cambria" w:hAnsi="Cambria" w:cs="Cambria"/>
          <w:sz w:val="24"/>
          <w:szCs w:val="24"/>
        </w:rPr>
        <w:t>In summary, the consulting experts in this survey have high authority, strong geographical representativeness, and a high level of engagement, rendering the survey results highly credible.</w:t>
      </w:r>
    </w:p>
    <w:p w14:paraId="686BDECA">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III. Statistical results of the expert questionnaire survey</w:t>
      </w:r>
    </w:p>
    <w:p w14:paraId="57AE48B4">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 Scoring method</w:t>
      </w:r>
    </w:p>
    <w:p w14:paraId="300D98A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questionnaire data for each item were organized and statistically processed using Excel spreadsheets. The degree of concentration and coordination of expert opinions was calculated. Relevant statistical analyses were conducted using indicators such as mean value（</w:t>
      </w:r>
      <w:r>
        <w:rPr>
          <w:rFonts w:hint="default" w:ascii="Cambria" w:hAnsi="Cambria" w:cs="Cambria"/>
          <w:sz w:val="24"/>
          <w:szCs w:val="24"/>
        </w:rPr>
        <w:drawing>
          <wp:inline distT="0" distB="0" distL="114300" distR="114300">
            <wp:extent cx="152400" cy="228600"/>
            <wp:effectExtent l="0" t="0" r="0" b="0"/>
            <wp:docPr id="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0"/>
                    <pic:cNvPicPr>
                      <a:picLocks noChangeAspect="1"/>
                    </pic:cNvPicPr>
                  </pic:nvPicPr>
                  <pic:blipFill>
                    <a:blip r:embed="rId10"/>
                    <a:stretch>
                      <a:fillRect/>
                    </a:stretch>
                  </pic:blipFill>
                  <pic:spPr>
                    <a:xfrm>
                      <a:off x="0" y="0"/>
                      <a:ext cx="152400" cy="228600"/>
                    </a:xfrm>
                    <a:prstGeom prst="rect">
                      <a:avLst/>
                    </a:prstGeom>
                    <a:noFill/>
                    <a:ln>
                      <a:noFill/>
                    </a:ln>
                  </pic:spPr>
                </pic:pic>
              </a:graphicData>
            </a:graphic>
          </wp:inline>
        </w:drawing>
      </w:r>
      <w:r>
        <w:rPr>
          <w:rFonts w:hint="default" w:ascii="Cambria" w:hAnsi="Cambria" w:cs="Cambria"/>
          <w:sz w:val="24"/>
          <w:szCs w:val="24"/>
        </w:rPr>
        <w:t>）, percentage rated as unimportant (R), rank sum (S), and coefficient of variation (CV).</w:t>
      </w:r>
    </w:p>
    <w:p w14:paraId="2021142B">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1.1 Meaning and calculation methods of indicators</w:t>
      </w:r>
    </w:p>
    <w:p w14:paraId="5D3E278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Frequency of occurrence of assigned values for each indicator (f): this refers to the number of times that experts assigned values of 0 or 1 to each item of information. In this study, information checked with “√” in the returned questionnaires was counted as 1 point, and information not checked was counted as 0 points.</w:t>
      </w:r>
    </w:p>
    <w:p w14:paraId="12DF422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(2) Calculation method of the mean value（</w:t>
      </w:r>
      <w:r>
        <w:rPr>
          <w:rFonts w:hint="default" w:ascii="Cambria" w:hAnsi="Cambria" w:cs="Cambria"/>
          <w:sz w:val="24"/>
          <w:szCs w:val="24"/>
        </w:rPr>
        <w:drawing>
          <wp:inline distT="0" distB="0" distL="114300" distR="114300">
            <wp:extent cx="152400" cy="228600"/>
            <wp:effectExtent l="0" t="0" r="0" b="0"/>
            <wp:docPr id="4"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1"/>
                    <pic:cNvPicPr>
                      <a:picLocks noChangeAspect="1"/>
                    </pic:cNvPicPr>
                  </pic:nvPicPr>
                  <pic:blipFill>
                    <a:blip r:embed="rId10"/>
                    <a:stretch>
                      <a:fillRect/>
                    </a:stretch>
                  </pic:blipFill>
                  <pic:spPr>
                    <a:xfrm>
                      <a:off x="0" y="0"/>
                      <a:ext cx="152400" cy="228600"/>
                    </a:xfrm>
                    <a:prstGeom prst="rect">
                      <a:avLst/>
                    </a:prstGeom>
                    <a:noFill/>
                    <a:ln>
                      <a:noFill/>
                    </a:ln>
                  </pic:spPr>
                </pic:pic>
              </a:graphicData>
            </a:graphic>
          </wp:inline>
        </w:drawing>
      </w:r>
      <w:r>
        <w:rPr>
          <w:rFonts w:hint="default" w:ascii="Cambria" w:hAnsi="Cambria" w:cs="Cambria"/>
          <w:sz w:val="24"/>
          <w:szCs w:val="24"/>
        </w:rPr>
        <w:t>）: this refers to the average score of the counted object.</w:t>
      </w:r>
      <w:r>
        <w:rPr>
          <w:rFonts w:hint="default" w:ascii="Cambria" w:hAnsi="Cambria" w:cs="Cambria"/>
          <w:sz w:val="24"/>
          <w:szCs w:val="24"/>
        </w:rPr>
        <w:drawing>
          <wp:inline distT="0" distB="0" distL="114300" distR="114300">
            <wp:extent cx="152400" cy="228600"/>
            <wp:effectExtent l="0" t="0" r="0" b="0"/>
            <wp:docPr id="5"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2"/>
                    <pic:cNvPicPr>
                      <a:picLocks noChangeAspect="1"/>
                    </pic:cNvPicPr>
                  </pic:nvPicPr>
                  <pic:blipFill>
                    <a:blip r:embed="rId14"/>
                    <a:stretch>
                      <a:fillRect/>
                    </a:stretch>
                  </pic:blipFill>
                  <pic:spPr>
                    <a:xfrm>
                      <a:off x="0" y="0"/>
                      <a:ext cx="152400" cy="228600"/>
                    </a:xfrm>
                    <a:prstGeom prst="rect">
                      <a:avLst/>
                    </a:prstGeom>
                    <a:noFill/>
                    <a:ln>
                      <a:noFill/>
                    </a:ln>
                  </pic:spPr>
                </pic:pic>
              </a:graphicData>
            </a:graphic>
          </wp:inline>
        </w:drawing>
      </w:r>
    </w:p>
    <w:p w14:paraId="393B60C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(3) Percentage rated as unimportant (R): this refers to the ratio of the frequency with which experts assigned a value of 0 to each item of information to the total number of experts participating in the evaluation.</w:t>
      </w:r>
    </w:p>
    <w:p w14:paraId="588E95A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R=frequency of 0 / total frequency of the item of information × 100%  </w:t>
      </w:r>
    </w:p>
    <w:p w14:paraId="5141325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(4) Rank sum (S): this refers to the algebraic sum of the values assigned by experts to each item of information.</w:t>
      </w:r>
    </w:p>
    <w:p w14:paraId="4D16812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(5) Coefficient of variation (CV): this is often used when the units of observation indicators differ or when the means differ greatly. It is essentially a relative indicator of variation. The calculation formula is:CV=</w:t>
      </w:r>
      <w:r>
        <w:rPr>
          <w:rFonts w:hint="default" w:ascii="Cambria" w:hAnsi="Cambria" w:cs="Cambria"/>
          <w:sz w:val="24"/>
          <w:szCs w:val="24"/>
        </w:rPr>
        <w:drawing>
          <wp:inline distT="0" distB="0" distL="114300" distR="114300">
            <wp:extent cx="152400" cy="381000"/>
            <wp:effectExtent l="0" t="0" r="0" b="0"/>
            <wp:docPr id="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3"/>
                    <pic:cNvPicPr>
                      <a:picLocks noChangeAspect="1"/>
                    </pic:cNvPicPr>
                  </pic:nvPicPr>
                  <pic:blipFill>
                    <a:blip r:embed="rId18"/>
                    <a:stretch>
                      <a:fillRect/>
                    </a:stretch>
                  </pic:blipFill>
                  <pic:spPr>
                    <a:xfrm>
                      <a:off x="0" y="0"/>
                      <a:ext cx="152400" cy="381000"/>
                    </a:xfrm>
                    <a:prstGeom prst="rect">
                      <a:avLst/>
                    </a:prstGeom>
                    <a:noFill/>
                    <a:ln>
                      <a:noFill/>
                    </a:ln>
                  </pic:spPr>
                </pic:pic>
              </a:graphicData>
            </a:graphic>
          </wp:inline>
        </w:drawing>
      </w:r>
      <w:r>
        <w:rPr>
          <w:rFonts w:hint="default" w:ascii="Cambria" w:hAnsi="Cambria" w:cs="Cambria"/>
          <w:sz w:val="24"/>
          <w:szCs w:val="24"/>
        </w:rPr>
        <w:t>×100﹪, where S represents the standard deviation, and represents the mean.</w:t>
      </w:r>
    </w:p>
    <w:p w14:paraId="6FC2FD8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(6) Standard deviation (S): this is the positive square root of the variance, and its dimension is the same as that of the original variable values. Variance, also known as mean square deviation, reflects the average dispersion level of a set of data. The calculation formula is as follows:</w:t>
      </w:r>
    </w:p>
    <w:p w14:paraId="63FA2E2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    </w:t>
      </w:r>
      <w:r>
        <w:rPr>
          <w:rFonts w:hint="default" w:ascii="Cambria" w:hAnsi="Cambria" w:cs="Cambria"/>
        </w:rPr>
        <w:drawing>
          <wp:inline distT="0" distB="0" distL="114300" distR="114300">
            <wp:extent cx="1610995" cy="566420"/>
            <wp:effectExtent l="0" t="0" r="1905" b="5080"/>
            <wp:docPr id="7" name="图片 4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5" descr="IMG_256"/>
                    <pic:cNvPicPr>
                      <a:picLocks noChangeAspect="1"/>
                    </pic:cNvPicPr>
                  </pic:nvPicPr>
                  <pic:blipFill>
                    <a:blip r:embed="rId55"/>
                    <a:stretch>
                      <a:fillRect/>
                    </a:stretch>
                  </pic:blipFill>
                  <pic:spPr>
                    <a:xfrm>
                      <a:off x="0" y="0"/>
                      <a:ext cx="1610995" cy="566420"/>
                    </a:xfrm>
                    <a:prstGeom prst="rect">
                      <a:avLst/>
                    </a:prstGeom>
                    <a:noFill/>
                    <a:ln>
                      <a:noFill/>
                    </a:ln>
                  </pic:spPr>
                </pic:pic>
              </a:graphicData>
            </a:graphic>
          </wp:inline>
        </w:drawing>
      </w:r>
    </w:p>
    <w:p w14:paraId="3C4E2212">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1.2 Plan for handling statistical results</w:t>
      </w:r>
    </w:p>
    <w:p w14:paraId="26F3250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In principle, for the statistical results, option content recognized by more than 50% of the experts was retained. That is, an option with a rank sum greater than half of the total number of returned questionnaires was treated as an item option for which the revision comment was directly accepted.</w:t>
      </w:r>
    </w:p>
    <w:p w14:paraId="45C24C2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For items whose rank sum was not greater than half of the total number of returned questionnaires, especially items with multiple options where this situation was more likely to occur, the mean score of each option for each item was recorded truthfully. These items were prepared for submission to the expert consultation meeting as issues requiring focused discussion.</w:t>
      </w:r>
    </w:p>
    <w:p w14:paraId="6BC37487">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 Results of the questionnaire survey</w:t>
      </w:r>
    </w:p>
    <w:p w14:paraId="5A5075C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 xml:space="preserve"> 2.1 Survey Results on the Definition of “Pediatric Tuina”</w:t>
      </w:r>
    </w:p>
    <w:p w14:paraId="24A205E8">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8 Survey Results on the Definition of “Pediatric Tuina”</w:t>
      </w:r>
    </w:p>
    <w:tbl>
      <w:tblPr>
        <w:tblStyle w:val="81"/>
        <w:tblW w:w="88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6"/>
        <w:gridCol w:w="664"/>
        <w:gridCol w:w="1011"/>
        <w:gridCol w:w="773"/>
      </w:tblGrid>
      <w:tr w14:paraId="05D10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0FDA15C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0" w:type="auto"/>
            <w:noWrap w:val="0"/>
            <w:vAlign w:val="top"/>
          </w:tcPr>
          <w:p w14:paraId="0CACD14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53"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53" DrawAspect="Content" ObjectID="_1468075765" r:id="rId56">
                  <o:LockedField>false</o:LockedField>
                </o:OLEObject>
              </w:object>
            </w:r>
          </w:p>
        </w:tc>
        <w:tc>
          <w:tcPr>
            <w:tcW w:w="1011" w:type="dxa"/>
            <w:noWrap w:val="0"/>
            <w:vAlign w:val="top"/>
          </w:tcPr>
          <w:p w14:paraId="7A7FA5E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773" w:type="dxa"/>
            <w:noWrap w:val="0"/>
            <w:vAlign w:val="top"/>
          </w:tcPr>
          <w:p w14:paraId="135044F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354E2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6773277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A TCM technique in which, after four diagnostic examinations and syndrome differentiation, the physician or </w:t>
            </w:r>
            <w:r>
              <w:rPr>
                <w:rFonts w:hint="default" w:ascii="Cambria" w:hAnsi="Cambria" w:cs="Cambria"/>
                <w:sz w:val="24"/>
                <w:szCs w:val="24"/>
                <w:lang w:val="en-US"/>
              </w:rPr>
              <w:t>practitioner</w:t>
            </w:r>
            <w:r>
              <w:rPr>
                <w:rFonts w:hint="default" w:ascii="Cambria" w:hAnsi="Cambria" w:cs="Cambria"/>
                <w:sz w:val="24"/>
                <w:szCs w:val="24"/>
              </w:rPr>
              <w:t xml:space="preserve">, following a tuina prescription, uses hand manipulation on certain parts and acupoints of the child's limbs, with different manipulations according to the condition, to achieve effects such as dredging meridians, harmonizing qi and blood, balancing yin and yang, and enhancing the body's natural disease resistance. </w:t>
            </w:r>
          </w:p>
        </w:tc>
        <w:tc>
          <w:tcPr>
            <w:tcW w:w="0" w:type="auto"/>
            <w:noWrap w:val="0"/>
            <w:vAlign w:val="top"/>
          </w:tcPr>
          <w:p w14:paraId="211C05F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0.37</w:t>
            </w:r>
          </w:p>
        </w:tc>
        <w:tc>
          <w:tcPr>
            <w:tcW w:w="1011" w:type="dxa"/>
            <w:noWrap w:val="0"/>
            <w:vAlign w:val="top"/>
          </w:tcPr>
          <w:p w14:paraId="04906C0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c>
          <w:tcPr>
            <w:tcW w:w="773" w:type="dxa"/>
            <w:noWrap w:val="0"/>
            <w:vAlign w:val="top"/>
          </w:tcPr>
          <w:p w14:paraId="1E59562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r>
      <w:tr w14:paraId="1EA9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622239D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0" w:type="auto"/>
            <w:noWrap w:val="0"/>
            <w:vAlign w:val="top"/>
          </w:tcPr>
          <w:p w14:paraId="16525EC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11" w:type="dxa"/>
            <w:noWrap w:val="0"/>
            <w:vAlign w:val="top"/>
          </w:tcPr>
          <w:p w14:paraId="5DF4D2E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773" w:type="dxa"/>
            <w:noWrap w:val="0"/>
            <w:vAlign w:val="top"/>
          </w:tcPr>
          <w:p w14:paraId="3F2299C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1D8F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6D45DBB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lang w:val="en-US" w:eastAsia="en-US"/>
              </w:rPr>
              <w:t xml:space="preserve"> </w:t>
            </w:r>
            <w:r>
              <w:rPr>
                <w:rFonts w:hint="default" w:ascii="Cambria" w:hAnsi="Cambria" w:cs="Cambria"/>
                <w:sz w:val="24"/>
                <w:szCs w:val="24"/>
              </w:rPr>
              <w:t>contents</w:t>
            </w:r>
            <w:r>
              <w:rPr>
                <w:rFonts w:hint="default" w:ascii="Cambria" w:hAnsi="Cambria" w:cs="Cambria"/>
                <w:sz w:val="24"/>
                <w:szCs w:val="24"/>
                <w:lang w:eastAsia="en-US"/>
              </w:rPr>
              <w:t>.</w:t>
            </w:r>
          </w:p>
        </w:tc>
        <w:tc>
          <w:tcPr>
            <w:tcW w:w="0" w:type="auto"/>
            <w:noWrap w:val="0"/>
            <w:vAlign w:val="top"/>
          </w:tcPr>
          <w:p w14:paraId="589E379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0.37</w:t>
            </w:r>
          </w:p>
        </w:tc>
        <w:tc>
          <w:tcPr>
            <w:tcW w:w="1011" w:type="dxa"/>
            <w:noWrap w:val="0"/>
            <w:vAlign w:val="top"/>
          </w:tcPr>
          <w:p w14:paraId="5320A00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c>
          <w:tcPr>
            <w:tcW w:w="773" w:type="dxa"/>
            <w:noWrap w:val="0"/>
            <w:vAlign w:val="top"/>
          </w:tcPr>
          <w:p w14:paraId="13CBE8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r>
    </w:tbl>
    <w:p w14:paraId="0259CD7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 xml:space="preserve">2.2 Survey Results on Environment </w:t>
      </w:r>
    </w:p>
    <w:p w14:paraId="37434A5A">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9</w:t>
      </w:r>
      <w:r>
        <w:rPr>
          <w:rFonts w:hint="default" w:ascii="Cambria" w:hAnsi="Cambria" w:cs="Cambria"/>
          <w:sz w:val="24"/>
          <w:szCs w:val="24"/>
          <w:lang w:val="en-US"/>
        </w:rPr>
        <w:t xml:space="preserve"> </w:t>
      </w:r>
      <w:r>
        <w:rPr>
          <w:rFonts w:hint="default" w:ascii="Cambria" w:hAnsi="Cambria" w:cs="Cambria"/>
          <w:sz w:val="24"/>
          <w:szCs w:val="24"/>
        </w:rPr>
        <w:t>Survey Results on Environment</w:t>
      </w:r>
    </w:p>
    <w:tbl>
      <w:tblPr>
        <w:tblStyle w:val="81"/>
        <w:tblW w:w="92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4"/>
        <w:gridCol w:w="828"/>
        <w:gridCol w:w="1077"/>
        <w:gridCol w:w="971"/>
      </w:tblGrid>
      <w:tr w14:paraId="4D964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334" w:type="dxa"/>
            <w:noWrap w:val="0"/>
            <w:vAlign w:val="top"/>
          </w:tcPr>
          <w:p w14:paraId="1DF6EF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828" w:type="dxa"/>
            <w:noWrap w:val="0"/>
            <w:vAlign w:val="top"/>
          </w:tcPr>
          <w:p w14:paraId="631EAB4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54"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54" DrawAspect="Content" ObjectID="_1468075766" r:id="rId57">
                  <o:LockedField>false</o:LockedField>
                </o:OLEObject>
              </w:object>
            </w:r>
          </w:p>
        </w:tc>
        <w:tc>
          <w:tcPr>
            <w:tcW w:w="1077" w:type="dxa"/>
            <w:noWrap w:val="0"/>
            <w:vAlign w:val="top"/>
          </w:tcPr>
          <w:p w14:paraId="3319897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971" w:type="dxa"/>
            <w:noWrap w:val="0"/>
            <w:vAlign w:val="top"/>
          </w:tcPr>
          <w:p w14:paraId="1582DFD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02E6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49BBFEA6">
            <w:pPr>
              <w:keepNext w:val="0"/>
              <w:keepLines w:val="0"/>
              <w:pageBreakBefore w:val="0"/>
              <w:widowControl w:val="0"/>
              <w:numPr>
                <w:ilvl w:val="0"/>
                <w:numId w:val="3"/>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 xml:space="preserve">The environment is clean and hygienic, regularly disinfected, quiet, draft-free, with protection from strong light, suitable temperature, and maintained air circulation. </w:t>
            </w:r>
          </w:p>
        </w:tc>
        <w:tc>
          <w:tcPr>
            <w:tcW w:w="828" w:type="dxa"/>
            <w:noWrap w:val="0"/>
            <w:vAlign w:val="top"/>
          </w:tcPr>
          <w:p w14:paraId="5F6BE91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0.15</w:t>
            </w:r>
          </w:p>
        </w:tc>
        <w:tc>
          <w:tcPr>
            <w:tcW w:w="1077" w:type="dxa"/>
            <w:noWrap w:val="0"/>
            <w:vAlign w:val="top"/>
          </w:tcPr>
          <w:p w14:paraId="109E9BF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85.19%</w:t>
            </w:r>
          </w:p>
        </w:tc>
        <w:tc>
          <w:tcPr>
            <w:tcW w:w="971" w:type="dxa"/>
            <w:noWrap w:val="0"/>
            <w:vAlign w:val="top"/>
          </w:tcPr>
          <w:p w14:paraId="66FF06C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w:t>
            </w:r>
          </w:p>
        </w:tc>
      </w:tr>
      <w:tr w14:paraId="797CB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2D76D9A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Appendix 1. </w:t>
            </w:r>
            <w:r>
              <w:rPr>
                <w:rFonts w:hint="default" w:ascii="Cambria" w:hAnsi="Cambria" w:cs="Cambria"/>
                <w:sz w:val="24"/>
                <w:szCs w:val="24"/>
              </w:rPr>
              <w:t>Disinfection requirements during tuina treatment: Disinfection during tuina treatment should follow local infection control guidelines and consider the following principles: hand hygiene of the practitioner – hands and fingers should be cleaned and disinfected before and after treatment; treatment site hygiene – acupoints, meridians, and surrounding areas should be clean and intact before treatment; material disinfection – materials in direct contact with the patient, including but not limited to sheets and towels, should be disinfected or single-use; non-direct contact materials, including but not limited to mattresses and pillows, should be hygienically maintained after each use; treatment area disinfection – treatment rooms, equipment, and devices should be kept clean and tidy.</w:t>
            </w:r>
            <w:r>
              <w:rPr>
                <w:rFonts w:hint="default" w:ascii="Cambria" w:hAnsi="Cambria" w:cs="Cambria"/>
                <w:sz w:val="24"/>
                <w:szCs w:val="24"/>
                <w:lang w:eastAsia="en-US"/>
              </w:rPr>
              <w:t xml:space="preserve"> </w:t>
            </w:r>
          </w:p>
        </w:tc>
        <w:tc>
          <w:tcPr>
            <w:tcW w:w="828" w:type="dxa"/>
            <w:noWrap w:val="0"/>
            <w:vAlign w:val="top"/>
          </w:tcPr>
          <w:p w14:paraId="31A3627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77" w:type="dxa"/>
            <w:noWrap w:val="0"/>
            <w:vAlign w:val="top"/>
          </w:tcPr>
          <w:p w14:paraId="40003E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971" w:type="dxa"/>
            <w:noWrap w:val="0"/>
            <w:vAlign w:val="top"/>
          </w:tcPr>
          <w:p w14:paraId="5B2A036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06418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37D5D55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The environment is clean and hygienic, regularly disinfected, quiet, draft-free, protected from strong light, with suitable temperature and maintained air circulation.</w:t>
            </w:r>
          </w:p>
        </w:tc>
        <w:tc>
          <w:tcPr>
            <w:tcW w:w="828" w:type="dxa"/>
            <w:noWrap w:val="0"/>
            <w:vAlign w:val="top"/>
          </w:tcPr>
          <w:p w14:paraId="56F79E2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77" w:type="dxa"/>
            <w:noWrap w:val="0"/>
            <w:vAlign w:val="top"/>
          </w:tcPr>
          <w:p w14:paraId="5B4FDF1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971" w:type="dxa"/>
            <w:noWrap w:val="0"/>
            <w:vAlign w:val="top"/>
          </w:tcPr>
          <w:p w14:paraId="7A7E017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656E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249CA35C">
            <w:pPr>
              <w:keepNext w:val="0"/>
              <w:keepLines w:val="0"/>
              <w:pageBreakBefore w:val="0"/>
              <w:widowControl w:val="0"/>
              <w:numPr>
                <w:ilvl w:val="0"/>
                <w:numId w:val="4"/>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Retain the original text of the national standard.  </w:t>
            </w:r>
          </w:p>
        </w:tc>
        <w:tc>
          <w:tcPr>
            <w:tcW w:w="828" w:type="dxa"/>
            <w:noWrap w:val="0"/>
            <w:vAlign w:val="top"/>
          </w:tcPr>
          <w:p w14:paraId="6AA3EEE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077" w:type="dxa"/>
            <w:noWrap w:val="0"/>
            <w:vAlign w:val="top"/>
          </w:tcPr>
          <w:p w14:paraId="796352C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971" w:type="dxa"/>
            <w:noWrap w:val="0"/>
            <w:vAlign w:val="top"/>
          </w:tcPr>
          <w:p w14:paraId="24FC3E6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12B49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334" w:type="dxa"/>
            <w:noWrap w:val="0"/>
            <w:vAlign w:val="top"/>
          </w:tcPr>
          <w:p w14:paraId="19FCDC1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Combine the above: retain the original national standard text with the addition of </w:t>
            </w:r>
            <w:r>
              <w:rPr>
                <w:rFonts w:hint="default" w:ascii="Cambria" w:hAnsi="Cambria" w:cs="Cambria"/>
                <w:sz w:val="24"/>
                <w:szCs w:val="24"/>
                <w:lang w:val="en-US"/>
              </w:rPr>
              <w:t>“</w:t>
            </w:r>
            <w:r>
              <w:rPr>
                <w:rFonts w:hint="default" w:ascii="Cambria" w:hAnsi="Cambria" w:cs="Cambria"/>
                <w:sz w:val="24"/>
                <w:szCs w:val="24"/>
              </w:rPr>
              <w:t>regular disinfection.</w:t>
            </w:r>
            <w:r>
              <w:rPr>
                <w:rFonts w:hint="default" w:ascii="Cambria" w:hAnsi="Cambria" w:cs="Cambria"/>
                <w:sz w:val="24"/>
                <w:szCs w:val="24"/>
                <w:lang w:val="en-US"/>
              </w:rPr>
              <w:t>”</w:t>
            </w:r>
          </w:p>
        </w:tc>
        <w:tc>
          <w:tcPr>
            <w:tcW w:w="828" w:type="dxa"/>
            <w:noWrap w:val="0"/>
            <w:vAlign w:val="top"/>
          </w:tcPr>
          <w:p w14:paraId="2FA5AC4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0.33</w:t>
            </w:r>
          </w:p>
        </w:tc>
        <w:tc>
          <w:tcPr>
            <w:tcW w:w="1077" w:type="dxa"/>
            <w:noWrap w:val="0"/>
            <w:vAlign w:val="top"/>
          </w:tcPr>
          <w:p w14:paraId="258DA66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66.67%</w:t>
            </w:r>
          </w:p>
        </w:tc>
        <w:tc>
          <w:tcPr>
            <w:tcW w:w="971" w:type="dxa"/>
            <w:noWrap w:val="0"/>
            <w:vAlign w:val="top"/>
          </w:tcPr>
          <w:p w14:paraId="30D37CB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w:t>
            </w:r>
          </w:p>
        </w:tc>
      </w:tr>
    </w:tbl>
    <w:p w14:paraId="1FB6EEC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 xml:space="preserve">2.3 Survey Results on Positioning </w:t>
      </w:r>
    </w:p>
    <w:p w14:paraId="0CC5D9C6">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10</w:t>
      </w:r>
      <w:r>
        <w:rPr>
          <w:rFonts w:hint="default" w:ascii="Cambria" w:hAnsi="Cambria" w:cs="Cambria"/>
          <w:sz w:val="24"/>
          <w:szCs w:val="24"/>
          <w:lang w:val="en-US"/>
        </w:rPr>
        <w:t xml:space="preserve"> </w:t>
      </w:r>
      <w:r>
        <w:rPr>
          <w:rFonts w:hint="default" w:ascii="Cambria" w:hAnsi="Cambria" w:cs="Cambria"/>
          <w:sz w:val="24"/>
          <w:szCs w:val="24"/>
        </w:rPr>
        <w:t>Survey Results on Positioning</w:t>
      </w:r>
    </w:p>
    <w:tbl>
      <w:tblPr>
        <w:tblStyle w:val="20"/>
        <w:tblpPr w:leftFromText="180" w:rightFromText="180" w:vertAnchor="text" w:horzAnchor="page" w:tblpX="1517" w:tblpY="232"/>
        <w:tblOverlap w:val="never"/>
        <w:tblW w:w="53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69"/>
        <w:gridCol w:w="681"/>
        <w:gridCol w:w="1079"/>
        <w:gridCol w:w="907"/>
      </w:tblGrid>
      <w:tr w14:paraId="1334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540" w:type="pct"/>
            <w:noWrap w:val="0"/>
            <w:vAlign w:val="top"/>
          </w:tcPr>
          <w:p w14:paraId="2E5F579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372" w:type="pct"/>
            <w:noWrap w:val="0"/>
            <w:vAlign w:val="top"/>
          </w:tcPr>
          <w:p w14:paraId="05989A0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object>
                <v:shape id="_x0000_i1155" o:spt="75" type="#_x0000_t75" style="height:18pt;width:15.4pt;" o:ole="t" filled="f" o:preferrelative="t" stroked="f" coordsize="21600,21600">
                  <v:path/>
                  <v:fill on="f" focussize="0,0"/>
                  <v:stroke on="f"/>
                  <v:imagedata r:id="rId10" o:title=""/>
                  <o:lock v:ext="edit" aspectratio="t"/>
                  <w10:wrap type="none"/>
                  <w10:anchorlock/>
                </v:shape>
                <o:OLEObject Type="Embed" ProgID="Equation.3" ShapeID="_x0000_i1155" DrawAspect="Content" ObjectID="_1468075767" r:id="rId58">
                  <o:LockedField>false</o:LockedField>
                </o:OLEObject>
              </w:object>
            </w:r>
          </w:p>
        </w:tc>
        <w:tc>
          <w:tcPr>
            <w:tcW w:w="590" w:type="pct"/>
            <w:noWrap w:val="0"/>
            <w:vAlign w:val="top"/>
          </w:tcPr>
          <w:p w14:paraId="709E054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496" w:type="pct"/>
            <w:noWrap w:val="0"/>
            <w:vAlign w:val="top"/>
          </w:tcPr>
          <w:p w14:paraId="24C4A7C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5AB6E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40" w:type="pct"/>
            <w:noWrap w:val="0"/>
            <w:vAlign w:val="top"/>
          </w:tcPr>
          <w:p w14:paraId="53A1BFF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Positioning: Supine position is recommended for tuina of the face, abdomen, and limbs; prone position for back, lumbar, pelvic, and limb treatments; side-lying position for tuina. Sitting posture: forward-leaning sitting for neck and shoulder treatments; rear-sitting for shoulder and upper limb treatments.</w:t>
            </w:r>
            <w:r>
              <w:rPr>
                <w:rFonts w:hint="default" w:ascii="Cambria" w:hAnsi="Cambria" w:cs="Cambria"/>
                <w:sz w:val="24"/>
                <w:szCs w:val="24"/>
                <w:lang w:eastAsia="en-US"/>
              </w:rPr>
              <w:t xml:space="preserve"> </w:t>
            </w:r>
          </w:p>
        </w:tc>
        <w:tc>
          <w:tcPr>
            <w:tcW w:w="372" w:type="pct"/>
            <w:noWrap w:val="0"/>
            <w:vAlign w:val="top"/>
          </w:tcPr>
          <w:p w14:paraId="39B2D6D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0.11</w:t>
            </w:r>
          </w:p>
        </w:tc>
        <w:tc>
          <w:tcPr>
            <w:tcW w:w="590" w:type="pct"/>
            <w:noWrap w:val="0"/>
            <w:vAlign w:val="top"/>
          </w:tcPr>
          <w:p w14:paraId="7727138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88.89%</w:t>
            </w:r>
          </w:p>
        </w:tc>
        <w:tc>
          <w:tcPr>
            <w:tcW w:w="496" w:type="pct"/>
            <w:noWrap w:val="0"/>
            <w:vAlign w:val="top"/>
          </w:tcPr>
          <w:p w14:paraId="04AFEFE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r>
      <w:tr w14:paraId="4C41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40" w:type="pct"/>
            <w:noWrap w:val="0"/>
            <w:vAlign w:val="top"/>
          </w:tcPr>
          <w:p w14:paraId="744923A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Positioning: According to treatment needs, sitting (side-sitting, upright sitting), lying (supine, prone, semi-recumbent), and holding positions (front-hold, back-hold, side-hold) can be used.</w:t>
            </w:r>
          </w:p>
        </w:tc>
        <w:tc>
          <w:tcPr>
            <w:tcW w:w="372" w:type="pct"/>
            <w:noWrap w:val="0"/>
            <w:vAlign w:val="top"/>
          </w:tcPr>
          <w:p w14:paraId="4B2785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0.07</w:t>
            </w:r>
          </w:p>
        </w:tc>
        <w:tc>
          <w:tcPr>
            <w:tcW w:w="590" w:type="pct"/>
            <w:noWrap w:val="0"/>
            <w:vAlign w:val="top"/>
          </w:tcPr>
          <w:p w14:paraId="0472E23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92.59%</w:t>
            </w:r>
          </w:p>
        </w:tc>
        <w:tc>
          <w:tcPr>
            <w:tcW w:w="496" w:type="pct"/>
            <w:noWrap w:val="0"/>
            <w:vAlign w:val="top"/>
          </w:tcPr>
          <w:p w14:paraId="6A1C8D2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r>
      <w:tr w14:paraId="5026F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40" w:type="pct"/>
            <w:noWrap w:val="0"/>
            <w:vAlign w:val="top"/>
          </w:tcPr>
          <w:p w14:paraId="4725732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Children: A comfortable, relaxed treatment position that exposes the operating area and facilitates cooperation should be chosen according to the child's age, such as sitting, supine, side-lying, prone, or sitting-hold.</w:t>
            </w:r>
          </w:p>
        </w:tc>
        <w:tc>
          <w:tcPr>
            <w:tcW w:w="372" w:type="pct"/>
            <w:noWrap w:val="0"/>
            <w:vAlign w:val="top"/>
          </w:tcPr>
          <w:p w14:paraId="6102700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0.30</w:t>
            </w:r>
          </w:p>
        </w:tc>
        <w:tc>
          <w:tcPr>
            <w:tcW w:w="590" w:type="pct"/>
            <w:noWrap w:val="0"/>
            <w:vAlign w:val="top"/>
          </w:tcPr>
          <w:p w14:paraId="2BA06FD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c>
          <w:tcPr>
            <w:tcW w:w="496" w:type="pct"/>
            <w:noWrap w:val="0"/>
            <w:vAlign w:val="top"/>
          </w:tcPr>
          <w:p w14:paraId="782C54D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w:t>
            </w:r>
          </w:p>
        </w:tc>
      </w:tr>
      <w:tr w14:paraId="5A4C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40" w:type="pct"/>
            <w:noWrap w:val="0"/>
            <w:vAlign w:val="top"/>
          </w:tcPr>
          <w:p w14:paraId="3A85724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Retain the original text of the national standard.</w:t>
            </w:r>
          </w:p>
        </w:tc>
        <w:tc>
          <w:tcPr>
            <w:tcW w:w="372" w:type="pct"/>
            <w:noWrap w:val="0"/>
            <w:vAlign w:val="top"/>
          </w:tcPr>
          <w:p w14:paraId="1F11F5E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0.11</w:t>
            </w:r>
          </w:p>
        </w:tc>
        <w:tc>
          <w:tcPr>
            <w:tcW w:w="590" w:type="pct"/>
            <w:noWrap w:val="0"/>
            <w:vAlign w:val="top"/>
          </w:tcPr>
          <w:p w14:paraId="74BC544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88.89%</w:t>
            </w:r>
          </w:p>
        </w:tc>
        <w:tc>
          <w:tcPr>
            <w:tcW w:w="496" w:type="pct"/>
            <w:noWrap w:val="0"/>
            <w:vAlign w:val="top"/>
          </w:tcPr>
          <w:p w14:paraId="2328E5F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r>
      <w:tr w14:paraId="51B6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540" w:type="pct"/>
            <w:noWrap w:val="0"/>
            <w:vAlign w:val="top"/>
          </w:tcPr>
          <w:p w14:paraId="34F2E17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Combine the above: retain the original national standard text with the addition of </w:t>
            </w:r>
            <w:r>
              <w:rPr>
                <w:rFonts w:hint="default" w:ascii="Cambria" w:hAnsi="Cambria" w:cs="Cambria"/>
                <w:sz w:val="24"/>
                <w:szCs w:val="24"/>
                <w:lang w:val="en-US"/>
              </w:rPr>
              <w:t>“</w:t>
            </w:r>
            <w:r>
              <w:rPr>
                <w:rFonts w:hint="default" w:ascii="Cambria" w:hAnsi="Cambria" w:cs="Cambria"/>
                <w:sz w:val="24"/>
                <w:szCs w:val="24"/>
              </w:rPr>
              <w:t>holding positions (front-hold, back-hold, side-hold).</w:t>
            </w:r>
            <w:r>
              <w:rPr>
                <w:rFonts w:hint="default" w:ascii="Cambria" w:hAnsi="Cambria" w:cs="Cambria"/>
                <w:sz w:val="24"/>
                <w:szCs w:val="24"/>
                <w:lang w:val="en-US"/>
              </w:rPr>
              <w:t>”</w:t>
            </w:r>
          </w:p>
        </w:tc>
        <w:tc>
          <w:tcPr>
            <w:tcW w:w="372" w:type="pct"/>
            <w:noWrap w:val="0"/>
            <w:vAlign w:val="top"/>
          </w:tcPr>
          <w:p w14:paraId="585A646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0.37</w:t>
            </w:r>
          </w:p>
        </w:tc>
        <w:tc>
          <w:tcPr>
            <w:tcW w:w="590" w:type="pct"/>
            <w:noWrap w:val="0"/>
            <w:vAlign w:val="top"/>
          </w:tcPr>
          <w:p w14:paraId="31777A4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c>
          <w:tcPr>
            <w:tcW w:w="496" w:type="pct"/>
            <w:noWrap w:val="0"/>
            <w:vAlign w:val="top"/>
          </w:tcPr>
          <w:p w14:paraId="0D9990C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r>
    </w:tbl>
    <w:p w14:paraId="4EF3C10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2.4 Survey Results on the Practitioner</w:t>
      </w:r>
    </w:p>
    <w:p w14:paraId="41B9A02C">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11</w:t>
      </w:r>
      <w:r>
        <w:rPr>
          <w:rFonts w:hint="default" w:ascii="Cambria" w:hAnsi="Cambria" w:cs="Cambria"/>
          <w:sz w:val="24"/>
          <w:szCs w:val="24"/>
          <w:lang w:val="en-US"/>
        </w:rPr>
        <w:t xml:space="preserve"> </w:t>
      </w:r>
      <w:r>
        <w:rPr>
          <w:rFonts w:hint="default" w:ascii="Cambria" w:hAnsi="Cambria" w:cs="Cambria"/>
          <w:sz w:val="24"/>
          <w:szCs w:val="24"/>
        </w:rPr>
        <w:t>Survey Results on the Practitioner</w:t>
      </w:r>
    </w:p>
    <w:tbl>
      <w:tblPr>
        <w:tblStyle w:val="20"/>
        <w:tblW w:w="9183" w:type="dxa"/>
        <w:tblInd w:w="-31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6490"/>
        <w:gridCol w:w="693"/>
        <w:gridCol w:w="1041"/>
        <w:gridCol w:w="959"/>
      </w:tblGrid>
      <w:tr w14:paraId="013EB12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490" w:type="dxa"/>
            <w:tcBorders>
              <w:tl2br w:val="nil"/>
              <w:tr2bl w:val="nil"/>
            </w:tcBorders>
            <w:noWrap w:val="0"/>
            <w:vAlign w:val="top"/>
          </w:tcPr>
          <w:p w14:paraId="7D4C58C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93" w:type="dxa"/>
            <w:tcBorders>
              <w:tl2br w:val="nil"/>
              <w:tr2bl w:val="nil"/>
            </w:tcBorders>
            <w:noWrap w:val="0"/>
            <w:vAlign w:val="top"/>
          </w:tcPr>
          <w:p w14:paraId="0FAAB6D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56"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56" DrawAspect="Content" ObjectID="_1468075768" r:id="rId59">
                  <o:LockedField>false</o:LockedField>
                </o:OLEObject>
              </w:object>
            </w:r>
          </w:p>
        </w:tc>
        <w:tc>
          <w:tcPr>
            <w:tcW w:w="1041" w:type="dxa"/>
            <w:tcBorders>
              <w:tl2br w:val="nil"/>
              <w:tr2bl w:val="nil"/>
            </w:tcBorders>
            <w:noWrap w:val="0"/>
            <w:vAlign w:val="top"/>
          </w:tcPr>
          <w:p w14:paraId="10EB778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959" w:type="dxa"/>
            <w:tcBorders>
              <w:tl2br w:val="nil"/>
              <w:tr2bl w:val="nil"/>
            </w:tcBorders>
            <w:noWrap w:val="0"/>
            <w:vAlign w:val="top"/>
          </w:tcPr>
          <w:p w14:paraId="603B862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4AEA141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490" w:type="dxa"/>
            <w:tcBorders>
              <w:tl2br w:val="nil"/>
              <w:tr2bl w:val="nil"/>
            </w:tcBorders>
            <w:noWrap w:val="0"/>
            <w:vAlign w:val="top"/>
          </w:tcPr>
          <w:p w14:paraId="2267E63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The practitioner should be a physician or a person qualified to perform pediatric tuina techniques. Before operation, the practitioner should remove hand and wrist ornaments that may affect tuina, trim and file nails. Before starting, the practitioner should inquire whether the child has any relevant conditions that require caution in tuina. Disinfection: wash hands thoroughly and disinfect with a medical antiseptic. </w:t>
            </w:r>
          </w:p>
        </w:tc>
        <w:tc>
          <w:tcPr>
            <w:tcW w:w="693" w:type="dxa"/>
            <w:tcBorders>
              <w:tl2br w:val="nil"/>
              <w:tr2bl w:val="nil"/>
            </w:tcBorders>
            <w:noWrap w:val="0"/>
            <w:vAlign w:val="top"/>
          </w:tcPr>
          <w:p w14:paraId="6088D82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0.41</w:t>
            </w:r>
          </w:p>
        </w:tc>
        <w:tc>
          <w:tcPr>
            <w:tcW w:w="1041" w:type="dxa"/>
            <w:tcBorders>
              <w:tl2br w:val="nil"/>
              <w:tr2bl w:val="nil"/>
            </w:tcBorders>
            <w:noWrap w:val="0"/>
            <w:vAlign w:val="top"/>
          </w:tcPr>
          <w:p w14:paraId="2D3A3DE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59.26%</w:t>
            </w:r>
          </w:p>
        </w:tc>
        <w:tc>
          <w:tcPr>
            <w:tcW w:w="959" w:type="dxa"/>
            <w:tcBorders>
              <w:tl2br w:val="nil"/>
              <w:tr2bl w:val="nil"/>
            </w:tcBorders>
            <w:noWrap w:val="0"/>
            <w:vAlign w:val="top"/>
          </w:tcPr>
          <w:p w14:paraId="1977B25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r>
      <w:tr w14:paraId="4AC9CE3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490" w:type="dxa"/>
            <w:tcBorders>
              <w:tl2br w:val="nil"/>
              <w:tr2bl w:val="nil"/>
            </w:tcBorders>
            <w:noWrap w:val="0"/>
            <w:vAlign w:val="top"/>
          </w:tcPr>
          <w:p w14:paraId="3D342EB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693" w:type="dxa"/>
            <w:tcBorders>
              <w:tl2br w:val="nil"/>
              <w:tr2bl w:val="nil"/>
            </w:tcBorders>
            <w:noWrap w:val="0"/>
            <w:vAlign w:val="top"/>
          </w:tcPr>
          <w:p w14:paraId="05BE1C3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41" w:type="dxa"/>
            <w:tcBorders>
              <w:tl2br w:val="nil"/>
              <w:tr2bl w:val="nil"/>
            </w:tcBorders>
            <w:noWrap w:val="0"/>
            <w:vAlign w:val="top"/>
          </w:tcPr>
          <w:p w14:paraId="377C2B6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959" w:type="dxa"/>
            <w:tcBorders>
              <w:tl2br w:val="nil"/>
              <w:tr2bl w:val="nil"/>
            </w:tcBorders>
            <w:noWrap w:val="0"/>
            <w:vAlign w:val="top"/>
          </w:tcPr>
          <w:p w14:paraId="7ED326E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49DD1AC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490" w:type="dxa"/>
            <w:tcBorders>
              <w:tl2br w:val="nil"/>
              <w:tr2bl w:val="nil"/>
            </w:tcBorders>
            <w:noWrap w:val="0"/>
            <w:vAlign w:val="top"/>
          </w:tcPr>
          <w:p w14:paraId="5A0975C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lang w:val="en-US" w:eastAsia="en-US"/>
              </w:rPr>
              <w:t xml:space="preserve"> </w:t>
            </w:r>
            <w:r>
              <w:rPr>
                <w:rFonts w:hint="default" w:ascii="Cambria" w:hAnsi="Cambria" w:cs="Cambria"/>
                <w:sz w:val="24"/>
                <w:szCs w:val="24"/>
                <w:lang w:eastAsia="en-US"/>
              </w:rPr>
              <w:t>contents.</w:t>
            </w:r>
          </w:p>
        </w:tc>
        <w:tc>
          <w:tcPr>
            <w:tcW w:w="693" w:type="dxa"/>
            <w:tcBorders>
              <w:tl2br w:val="nil"/>
              <w:tr2bl w:val="nil"/>
            </w:tcBorders>
            <w:noWrap w:val="0"/>
            <w:vAlign w:val="top"/>
          </w:tcPr>
          <w:p w14:paraId="360378F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0.33</w:t>
            </w:r>
          </w:p>
        </w:tc>
        <w:tc>
          <w:tcPr>
            <w:tcW w:w="1041" w:type="dxa"/>
            <w:tcBorders>
              <w:tl2br w:val="nil"/>
              <w:tr2bl w:val="nil"/>
            </w:tcBorders>
            <w:noWrap w:val="0"/>
            <w:vAlign w:val="top"/>
          </w:tcPr>
          <w:p w14:paraId="7DA098E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66.67%</w:t>
            </w:r>
          </w:p>
        </w:tc>
        <w:tc>
          <w:tcPr>
            <w:tcW w:w="959" w:type="dxa"/>
            <w:tcBorders>
              <w:tl2br w:val="nil"/>
              <w:tr2bl w:val="nil"/>
            </w:tcBorders>
            <w:noWrap w:val="0"/>
            <w:vAlign w:val="top"/>
          </w:tcPr>
          <w:p w14:paraId="05BA62B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w:t>
            </w:r>
          </w:p>
        </w:tc>
      </w:tr>
    </w:tbl>
    <w:p w14:paraId="5A04A3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 xml:space="preserve"> 2.5 Survey Results on Rotating Pushing</w:t>
      </w:r>
    </w:p>
    <w:p w14:paraId="29875027">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eastAsia="仿宋" w:cs="Cambria"/>
          <w:bCs/>
          <w:kern w:val="0"/>
          <w:sz w:val="24"/>
        </w:rPr>
      </w:pPr>
      <w:r>
        <w:rPr>
          <w:rFonts w:hint="default" w:ascii="Cambria" w:hAnsi="Cambria" w:cs="Cambria"/>
          <w:sz w:val="24"/>
          <w:szCs w:val="24"/>
        </w:rPr>
        <w:t>Table 12</w:t>
      </w:r>
      <w:r>
        <w:rPr>
          <w:rFonts w:hint="default" w:ascii="Cambria" w:hAnsi="Cambria" w:cs="Cambria"/>
          <w:sz w:val="24"/>
          <w:szCs w:val="24"/>
          <w:lang w:val="en-US"/>
        </w:rPr>
        <w:t xml:space="preserve"> </w:t>
      </w:r>
      <w:r>
        <w:rPr>
          <w:rFonts w:hint="default" w:ascii="Cambria" w:hAnsi="Cambria" w:cs="Cambria"/>
          <w:sz w:val="24"/>
          <w:szCs w:val="24"/>
        </w:rPr>
        <w:t>Survey Results on Rotating Pushing</w:t>
      </w:r>
    </w:p>
    <w:tbl>
      <w:tblPr>
        <w:tblStyle w:val="20"/>
        <w:tblW w:w="9122" w:type="dxa"/>
        <w:tblInd w:w="-269"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6673"/>
        <w:gridCol w:w="714"/>
        <w:gridCol w:w="1041"/>
        <w:gridCol w:w="694"/>
      </w:tblGrid>
      <w:tr w14:paraId="00BD59F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15" w:hRule="atLeast"/>
        </w:trPr>
        <w:tc>
          <w:tcPr>
            <w:tcW w:w="6673" w:type="dxa"/>
            <w:tcBorders>
              <w:tl2br w:val="nil"/>
              <w:tr2bl w:val="nil"/>
            </w:tcBorders>
            <w:noWrap w:val="0"/>
            <w:vAlign w:val="top"/>
          </w:tcPr>
          <w:p w14:paraId="741590D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14" w:type="dxa"/>
            <w:tcBorders>
              <w:tl2br w:val="nil"/>
              <w:tr2bl w:val="nil"/>
            </w:tcBorders>
            <w:noWrap w:val="0"/>
            <w:vAlign w:val="top"/>
          </w:tcPr>
          <w:p w14:paraId="45FD246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57"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57" DrawAspect="Content" ObjectID="_1468075769" r:id="rId60">
                  <o:LockedField>false</o:LockedField>
                </o:OLEObject>
              </w:object>
            </w:r>
          </w:p>
        </w:tc>
        <w:tc>
          <w:tcPr>
            <w:tcW w:w="1041" w:type="dxa"/>
            <w:tcBorders>
              <w:tl2br w:val="nil"/>
              <w:tr2bl w:val="nil"/>
            </w:tcBorders>
            <w:noWrap w:val="0"/>
            <w:vAlign w:val="top"/>
          </w:tcPr>
          <w:p w14:paraId="725F4C9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94" w:type="dxa"/>
            <w:tcBorders>
              <w:tl2br w:val="nil"/>
              <w:tr2bl w:val="nil"/>
            </w:tcBorders>
            <w:noWrap w:val="0"/>
            <w:vAlign w:val="top"/>
          </w:tcPr>
          <w:p w14:paraId="20C3B63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6263B2B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673" w:type="dxa"/>
            <w:tcBorders>
              <w:tl2br w:val="nil"/>
              <w:tr2bl w:val="nil"/>
            </w:tcBorders>
            <w:noWrap w:val="0"/>
            <w:vAlign w:val="top"/>
          </w:tcPr>
          <w:p w14:paraId="4083B5C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Use the volar surface of the thumb to perform clockwise or counterclockwise rotational pushing and rubbing on the acupoint. </w:t>
            </w:r>
          </w:p>
        </w:tc>
        <w:tc>
          <w:tcPr>
            <w:tcW w:w="714" w:type="dxa"/>
            <w:tcBorders>
              <w:tl2br w:val="nil"/>
              <w:tr2bl w:val="nil"/>
            </w:tcBorders>
            <w:noWrap w:val="0"/>
            <w:vAlign w:val="top"/>
          </w:tcPr>
          <w:p w14:paraId="57673F5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0.30</w:t>
            </w:r>
          </w:p>
        </w:tc>
        <w:tc>
          <w:tcPr>
            <w:tcW w:w="1041" w:type="dxa"/>
            <w:tcBorders>
              <w:tl2br w:val="nil"/>
              <w:tr2bl w:val="nil"/>
            </w:tcBorders>
            <w:noWrap w:val="0"/>
            <w:vAlign w:val="top"/>
          </w:tcPr>
          <w:p w14:paraId="267A9C0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c>
          <w:tcPr>
            <w:tcW w:w="694" w:type="dxa"/>
            <w:tcBorders>
              <w:tl2br w:val="nil"/>
              <w:tr2bl w:val="nil"/>
            </w:tcBorders>
            <w:noWrap w:val="0"/>
            <w:vAlign w:val="top"/>
          </w:tcPr>
          <w:p w14:paraId="3F34BC3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w:t>
            </w:r>
          </w:p>
        </w:tc>
      </w:tr>
      <w:tr w14:paraId="3BB548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673" w:type="dxa"/>
            <w:tcBorders>
              <w:tl2br w:val="nil"/>
              <w:tr2bl w:val="nil"/>
            </w:tcBorders>
            <w:noWrap w:val="0"/>
            <w:vAlign w:val="top"/>
          </w:tcPr>
          <w:p w14:paraId="0D3D25D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A technique in which the thumb's whorled surface is used to perform circular rotational pushing on the acupoint is called the rotational pushing method.                   </w:t>
            </w:r>
          </w:p>
        </w:tc>
        <w:tc>
          <w:tcPr>
            <w:tcW w:w="714" w:type="dxa"/>
            <w:tcBorders>
              <w:tl2br w:val="nil"/>
              <w:tr2bl w:val="nil"/>
            </w:tcBorders>
            <w:noWrap w:val="0"/>
            <w:vAlign w:val="top"/>
          </w:tcPr>
          <w:p w14:paraId="0F07727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0.41</w:t>
            </w:r>
          </w:p>
        </w:tc>
        <w:tc>
          <w:tcPr>
            <w:tcW w:w="1041" w:type="dxa"/>
            <w:tcBorders>
              <w:tl2br w:val="nil"/>
              <w:tr2bl w:val="nil"/>
            </w:tcBorders>
            <w:noWrap w:val="0"/>
            <w:vAlign w:val="top"/>
          </w:tcPr>
          <w:p w14:paraId="152B2F8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59.26%</w:t>
            </w:r>
          </w:p>
        </w:tc>
        <w:tc>
          <w:tcPr>
            <w:tcW w:w="694" w:type="dxa"/>
            <w:tcBorders>
              <w:tl2br w:val="nil"/>
              <w:tr2bl w:val="nil"/>
            </w:tcBorders>
            <w:noWrap w:val="0"/>
            <w:vAlign w:val="top"/>
          </w:tcPr>
          <w:p w14:paraId="170880A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r>
      <w:tr w14:paraId="5FD7D39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673" w:type="dxa"/>
            <w:tcBorders>
              <w:tl2br w:val="nil"/>
              <w:tr2bl w:val="nil"/>
            </w:tcBorders>
            <w:noWrap w:val="0"/>
            <w:vAlign w:val="top"/>
          </w:tcPr>
          <w:p w14:paraId="2DBBF0A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Use the thumb's finger surface to perform clockwise rotational pushing on the acupoint, with a frequency typically around 160–260 times per minute.</w:t>
            </w:r>
          </w:p>
        </w:tc>
        <w:tc>
          <w:tcPr>
            <w:tcW w:w="714" w:type="dxa"/>
            <w:tcBorders>
              <w:tl2br w:val="nil"/>
              <w:tr2bl w:val="nil"/>
            </w:tcBorders>
            <w:noWrap w:val="0"/>
            <w:vAlign w:val="top"/>
          </w:tcPr>
          <w:p w14:paraId="4672816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0.11</w:t>
            </w:r>
          </w:p>
        </w:tc>
        <w:tc>
          <w:tcPr>
            <w:tcW w:w="1041" w:type="dxa"/>
            <w:tcBorders>
              <w:tl2br w:val="nil"/>
              <w:tr2bl w:val="nil"/>
            </w:tcBorders>
            <w:noWrap w:val="0"/>
            <w:vAlign w:val="top"/>
          </w:tcPr>
          <w:p w14:paraId="33201B7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88.89%</w:t>
            </w:r>
          </w:p>
        </w:tc>
        <w:tc>
          <w:tcPr>
            <w:tcW w:w="694" w:type="dxa"/>
            <w:tcBorders>
              <w:tl2br w:val="nil"/>
              <w:tr2bl w:val="nil"/>
            </w:tcBorders>
            <w:noWrap w:val="0"/>
            <w:vAlign w:val="top"/>
          </w:tcPr>
          <w:p w14:paraId="137AAD3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r>
      <w:tr w14:paraId="1004F36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6673" w:type="dxa"/>
            <w:tcBorders>
              <w:tl2br w:val="nil"/>
              <w:tr2bl w:val="nil"/>
            </w:tcBorders>
            <w:noWrap w:val="0"/>
            <w:vAlign w:val="top"/>
          </w:tcPr>
          <w:p w14:paraId="410E148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Retain the original text of the national standard. </w:t>
            </w:r>
          </w:p>
        </w:tc>
        <w:tc>
          <w:tcPr>
            <w:tcW w:w="714" w:type="dxa"/>
            <w:tcBorders>
              <w:tl2br w:val="nil"/>
              <w:tr2bl w:val="nil"/>
            </w:tcBorders>
            <w:noWrap w:val="0"/>
            <w:vAlign w:val="top"/>
          </w:tcPr>
          <w:p w14:paraId="5F251F0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1041" w:type="dxa"/>
            <w:tcBorders>
              <w:tl2br w:val="nil"/>
              <w:tr2bl w:val="nil"/>
            </w:tcBorders>
            <w:noWrap w:val="0"/>
            <w:vAlign w:val="top"/>
          </w:tcPr>
          <w:p w14:paraId="7B58331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694" w:type="dxa"/>
            <w:tcBorders>
              <w:tl2br w:val="nil"/>
              <w:tr2bl w:val="nil"/>
            </w:tcBorders>
            <w:noWrap w:val="0"/>
            <w:vAlign w:val="top"/>
          </w:tcPr>
          <w:p w14:paraId="1BBE89D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bl>
    <w:p w14:paraId="071A4FD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2.6 Survey Results on Pressing Manipulation</w:t>
      </w:r>
    </w:p>
    <w:p w14:paraId="4851A82D">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13</w:t>
      </w:r>
      <w:r>
        <w:rPr>
          <w:rFonts w:hint="default" w:ascii="Cambria" w:hAnsi="Cambria" w:cs="Cambria"/>
          <w:sz w:val="24"/>
          <w:szCs w:val="24"/>
          <w:lang w:val="en-US"/>
        </w:rPr>
        <w:t xml:space="preserve"> </w:t>
      </w:r>
      <w:r>
        <w:rPr>
          <w:rFonts w:hint="default" w:ascii="Cambria" w:hAnsi="Cambria" w:cs="Cambria"/>
          <w:sz w:val="24"/>
          <w:szCs w:val="24"/>
        </w:rPr>
        <w:t>Survey Results on Pressing Manipulation</w:t>
      </w:r>
    </w:p>
    <w:tbl>
      <w:tblPr>
        <w:tblStyle w:val="81"/>
        <w:tblW w:w="9062" w:type="dxa"/>
        <w:tblInd w:w="-2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1"/>
        <w:gridCol w:w="707"/>
        <w:gridCol w:w="1011"/>
        <w:gridCol w:w="673"/>
      </w:tblGrid>
      <w:tr w14:paraId="7528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02" w:type="dxa"/>
            <w:noWrap w:val="0"/>
            <w:vAlign w:val="top"/>
          </w:tcPr>
          <w:p w14:paraId="1152DFE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07" w:type="dxa"/>
            <w:noWrap w:val="0"/>
            <w:vAlign w:val="top"/>
          </w:tcPr>
          <w:p w14:paraId="4534428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58" o:spt="75" type="#_x0000_t75" style="height:18pt;width:12pt;" o:ole="t" filled="f" o:preferrelative="t" stroked="f" coordsize="21600,21600">
                  <v:path/>
                  <v:fill on="f" focussize="0,0"/>
                  <v:stroke on="f" joinstyle="miter"/>
                  <v:imagedata r:id="rId10" o:title=""/>
                  <o:lock v:ext="edit" aspectratio="t"/>
                  <w10:wrap type="none"/>
                  <w10:anchorlock/>
                </v:shape>
                <o:OLEObject Type="Embed" ProgID="Equation.3" ShapeID="_x0000_i1158" DrawAspect="Content" ObjectID="_1468075770" r:id="rId61">
                  <o:LockedField>false</o:LockedField>
                </o:OLEObject>
              </w:object>
            </w:r>
          </w:p>
        </w:tc>
        <w:tc>
          <w:tcPr>
            <w:tcW w:w="979" w:type="dxa"/>
            <w:noWrap w:val="0"/>
            <w:vAlign w:val="top"/>
          </w:tcPr>
          <w:p w14:paraId="224F18B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74" w:type="dxa"/>
            <w:noWrap w:val="0"/>
            <w:vAlign w:val="top"/>
          </w:tcPr>
          <w:p w14:paraId="7C29696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5E09F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02" w:type="dxa"/>
            <w:noWrap w:val="0"/>
            <w:vAlign w:val="top"/>
          </w:tcPr>
          <w:p w14:paraId="61DD2EB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Use the thumb tip, middle finger tip, or palm center to press gradually downward on a specific acupoint. The manipulation should be gentle, with uniform and coordinated speed, and pressure applied from light to heavy.</w:t>
            </w:r>
            <w:r>
              <w:rPr>
                <w:rFonts w:hint="default" w:ascii="Cambria" w:hAnsi="Cambria" w:cs="Cambria"/>
                <w:sz w:val="24"/>
                <w:szCs w:val="24"/>
                <w:lang w:eastAsia="en-US"/>
              </w:rPr>
              <w:t xml:space="preserve">                                      </w:t>
            </w:r>
          </w:p>
        </w:tc>
        <w:tc>
          <w:tcPr>
            <w:tcW w:w="707" w:type="dxa"/>
            <w:noWrap w:val="0"/>
            <w:vAlign w:val="top"/>
          </w:tcPr>
          <w:p w14:paraId="3657EBE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979" w:type="dxa"/>
            <w:noWrap w:val="0"/>
            <w:vAlign w:val="top"/>
          </w:tcPr>
          <w:p w14:paraId="5984DC6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674" w:type="dxa"/>
            <w:noWrap w:val="0"/>
            <w:vAlign w:val="top"/>
          </w:tcPr>
          <w:p w14:paraId="3876BF8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44388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02" w:type="dxa"/>
            <w:noWrap w:val="0"/>
            <w:vAlign w:val="top"/>
          </w:tcPr>
          <w:p w14:paraId="53AC6C52">
            <w:pPr>
              <w:keepNext w:val="0"/>
              <w:keepLines w:val="0"/>
              <w:pageBreakBefore w:val="0"/>
              <w:widowControl w:val="0"/>
              <w:numPr>
                <w:ilvl w:val="0"/>
                <w:numId w:val="3"/>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rPr>
            </w:pPr>
            <w:r>
              <w:rPr>
                <w:rFonts w:hint="default" w:ascii="Cambria" w:hAnsi="Cambria" w:cs="Cambria"/>
                <w:sz w:val="24"/>
                <w:szCs w:val="24"/>
              </w:rPr>
              <w:t xml:space="preserve">Pressing Manipulation: </w:t>
            </w:r>
          </w:p>
          <w:p w14:paraId="3D4C9E7C">
            <w:pPr>
              <w:keepNext w:val="0"/>
              <w:keepLines w:val="0"/>
              <w:pageBreakBefore w:val="0"/>
              <w:widowControl w:val="0"/>
              <w:numPr>
                <w:ilvl w:val="0"/>
                <w:numId w:val="5"/>
              </w:numPr>
              <w:kinsoku/>
              <w:wordWrap/>
              <w:overflowPunct/>
              <w:topLinePunct w:val="0"/>
              <w:autoSpaceDE/>
              <w:autoSpaceDN/>
              <w:bidi w:val="0"/>
              <w:adjustRightInd/>
              <w:snapToGrid/>
              <w:spacing w:after="0" w:line="276" w:lineRule="auto"/>
              <w:ind w:leftChars="0"/>
              <w:jc w:val="both"/>
              <w:textAlignment w:val="auto"/>
              <w:rPr>
                <w:rFonts w:hint="default" w:ascii="Cambria" w:hAnsi="Cambria" w:cs="Cambria"/>
                <w:sz w:val="24"/>
                <w:szCs w:val="24"/>
              </w:rPr>
            </w:pPr>
            <w:r>
              <w:rPr>
                <w:rFonts w:hint="default" w:ascii="Cambria" w:hAnsi="Cambria" w:cs="Cambria"/>
                <w:sz w:val="24"/>
                <w:szCs w:val="24"/>
              </w:rPr>
              <w:t xml:space="preserve">Operation: A technique in which fingers, palm root, or thenar eminence is used to press gradually downward on a specific acupoint or area is called pressing method, which can be divided into finger pressing and palm pressing. </w:t>
            </w:r>
          </w:p>
          <w:p w14:paraId="53DE3562">
            <w:pPr>
              <w:keepNext w:val="0"/>
              <w:keepLines w:val="0"/>
              <w:pageBreakBefore w:val="0"/>
              <w:widowControl w:val="0"/>
              <w:numPr>
                <w:ilvl w:val="0"/>
                <w:numId w:val="5"/>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rPr>
            </w:pPr>
            <w:r>
              <w:rPr>
                <w:rFonts w:hint="default" w:ascii="Cambria" w:hAnsi="Cambria" w:cs="Cambria"/>
                <w:sz w:val="24"/>
                <w:szCs w:val="24"/>
              </w:rPr>
              <w:t xml:space="preserve">Essentials: The practitioner uses fingers, palm root, or thenar to press vertically downward from light to heavy, hold for a moment, then gradually release from heavy to light. </w:t>
            </w:r>
          </w:p>
          <w:p w14:paraId="375A3E10">
            <w:pPr>
              <w:keepNext w:val="0"/>
              <w:keepLines w:val="0"/>
              <w:pageBreakBefore w:val="0"/>
              <w:widowControl w:val="0"/>
              <w:numPr>
                <w:ilvl w:val="0"/>
                <w:numId w:val="5"/>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rPr>
            </w:pPr>
            <w:r>
              <w:rPr>
                <w:rFonts w:hint="default" w:ascii="Cambria" w:hAnsi="Cambria" w:cs="Cambria"/>
                <w:sz w:val="24"/>
                <w:szCs w:val="24"/>
              </w:rPr>
              <w:t xml:space="preserve">Requirements: Avoid rough or sudden force. This method is often combined with the kneading method. </w:t>
            </w:r>
          </w:p>
          <w:p w14:paraId="39DBDDCE">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Chars="0"/>
              <w:jc w:val="both"/>
              <w:textAlignment w:val="auto"/>
              <w:rPr>
                <w:rFonts w:hint="default" w:ascii="Cambria" w:hAnsi="Cambria" w:cs="Cambria"/>
                <w:sz w:val="24"/>
                <w:szCs w:val="24"/>
                <w:lang w:eastAsia="en-US"/>
              </w:rPr>
            </w:pPr>
            <w:r>
              <w:rPr>
                <w:rFonts w:hint="default" w:ascii="Cambria" w:hAnsi="Cambria" w:cs="Cambria"/>
                <w:sz w:val="24"/>
                <w:szCs w:val="24"/>
              </w:rPr>
              <w:t>d) Clinical application: Mostly used on point-like and surface-like acupoints, with effects of dredging meridians, activating collaterals, and relieving pain.</w:t>
            </w:r>
          </w:p>
        </w:tc>
        <w:tc>
          <w:tcPr>
            <w:tcW w:w="707" w:type="dxa"/>
            <w:noWrap w:val="0"/>
            <w:vAlign w:val="top"/>
          </w:tcPr>
          <w:p w14:paraId="37D09AF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0.44</w:t>
            </w:r>
          </w:p>
        </w:tc>
        <w:tc>
          <w:tcPr>
            <w:tcW w:w="979" w:type="dxa"/>
            <w:noWrap w:val="0"/>
            <w:vAlign w:val="top"/>
          </w:tcPr>
          <w:p w14:paraId="0826279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55.56%</w:t>
            </w:r>
          </w:p>
        </w:tc>
        <w:tc>
          <w:tcPr>
            <w:tcW w:w="674" w:type="dxa"/>
            <w:noWrap w:val="0"/>
            <w:vAlign w:val="top"/>
          </w:tcPr>
          <w:p w14:paraId="6669EB4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r>
      <w:tr w14:paraId="5FC58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02" w:type="dxa"/>
            <w:noWrap w:val="0"/>
            <w:vAlign w:val="top"/>
          </w:tcPr>
          <w:p w14:paraId="1764C14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Pressing Manipulation: Use the thumb or palm root to press vertically downward on a specific area or acupoint. It is often combined with kneading. </w:t>
            </w:r>
            <w:r>
              <w:rPr>
                <w:rFonts w:hint="default" w:ascii="Cambria" w:hAnsi="Cambria" w:cs="Cambria"/>
                <w:sz w:val="24"/>
                <w:szCs w:val="24"/>
                <w:lang w:val="en-US"/>
              </w:rPr>
              <w:t>“</w:t>
            </w:r>
            <w:r>
              <w:rPr>
                <w:rFonts w:hint="default" w:ascii="Cambria" w:hAnsi="Cambria" w:cs="Cambria"/>
                <w:sz w:val="24"/>
                <w:szCs w:val="24"/>
              </w:rPr>
              <w:t>Press and hold</w:t>
            </w:r>
            <w:r>
              <w:rPr>
                <w:rFonts w:hint="default" w:ascii="Cambria" w:hAnsi="Cambria" w:cs="Cambria"/>
                <w:sz w:val="24"/>
                <w:szCs w:val="24"/>
                <w:lang w:val="en-US"/>
              </w:rPr>
              <w:t>”</w:t>
            </w:r>
            <w:r>
              <w:rPr>
                <w:rFonts w:hint="default" w:ascii="Cambria" w:hAnsi="Cambria" w:cs="Cambria"/>
                <w:sz w:val="24"/>
                <w:szCs w:val="24"/>
              </w:rPr>
              <w:t xml:space="preserve"> means using the right thumb's palmar surface to press directly, or the thumb's dorsum to bend and press, or using two fingers to press together; for the chest and abdomen, the palm center is used. The pressure should be light or heavy as appropriate. It has effects of dredging meridians, activating collaterals, dispelling cold, relieving pain, and promoting digestion.</w:t>
            </w:r>
          </w:p>
        </w:tc>
        <w:tc>
          <w:tcPr>
            <w:tcW w:w="707" w:type="dxa"/>
            <w:noWrap w:val="0"/>
            <w:vAlign w:val="top"/>
          </w:tcPr>
          <w:p w14:paraId="5756138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0.11</w:t>
            </w:r>
          </w:p>
        </w:tc>
        <w:tc>
          <w:tcPr>
            <w:tcW w:w="979" w:type="dxa"/>
            <w:noWrap w:val="0"/>
            <w:vAlign w:val="top"/>
          </w:tcPr>
          <w:p w14:paraId="39FEB91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88.89%</w:t>
            </w:r>
          </w:p>
        </w:tc>
        <w:tc>
          <w:tcPr>
            <w:tcW w:w="674" w:type="dxa"/>
            <w:noWrap w:val="0"/>
            <w:vAlign w:val="top"/>
          </w:tcPr>
          <w:p w14:paraId="64FB352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r>
      <w:tr w14:paraId="5A0D7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02" w:type="dxa"/>
            <w:noWrap w:val="0"/>
            <w:vAlign w:val="top"/>
          </w:tcPr>
          <w:p w14:paraId="7A6243F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Retain the original text of the national standard.</w:t>
            </w:r>
          </w:p>
        </w:tc>
        <w:tc>
          <w:tcPr>
            <w:tcW w:w="707" w:type="dxa"/>
            <w:noWrap w:val="0"/>
            <w:vAlign w:val="top"/>
          </w:tcPr>
          <w:p w14:paraId="516533F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979" w:type="dxa"/>
            <w:noWrap w:val="0"/>
            <w:vAlign w:val="top"/>
          </w:tcPr>
          <w:p w14:paraId="433DEB1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674" w:type="dxa"/>
            <w:noWrap w:val="0"/>
            <w:vAlign w:val="top"/>
          </w:tcPr>
          <w:p w14:paraId="29D2F4E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bl>
    <w:p w14:paraId="6592C7A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2.7 Survey Results on Rubbing Manipulation</w:t>
      </w:r>
    </w:p>
    <w:p w14:paraId="77EA4EA9">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14</w:t>
      </w:r>
      <w:r>
        <w:rPr>
          <w:rFonts w:hint="default" w:ascii="Cambria" w:hAnsi="Cambria" w:cs="Cambria"/>
          <w:sz w:val="24"/>
          <w:szCs w:val="24"/>
          <w:lang w:val="en-US"/>
        </w:rPr>
        <w:t xml:space="preserve"> </w:t>
      </w:r>
      <w:r>
        <w:rPr>
          <w:rFonts w:hint="default" w:ascii="Cambria" w:hAnsi="Cambria" w:cs="Cambria"/>
          <w:sz w:val="24"/>
          <w:szCs w:val="24"/>
        </w:rPr>
        <w:t>Survey Results on Rubbing Manipulation</w:t>
      </w:r>
    </w:p>
    <w:tbl>
      <w:tblPr>
        <w:tblStyle w:val="81"/>
        <w:tblW w:w="908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3"/>
        <w:gridCol w:w="668"/>
        <w:gridCol w:w="995"/>
        <w:gridCol w:w="647"/>
      </w:tblGrid>
      <w:tr w14:paraId="75BB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73" w:type="dxa"/>
            <w:noWrap w:val="0"/>
            <w:vAlign w:val="top"/>
          </w:tcPr>
          <w:p w14:paraId="0C9C0F4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68" w:type="dxa"/>
            <w:noWrap w:val="0"/>
            <w:vAlign w:val="top"/>
          </w:tcPr>
          <w:p w14:paraId="26C9853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59"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59" DrawAspect="Content" ObjectID="_1468075771" r:id="rId62">
                  <o:LockedField>false</o:LockedField>
                </o:OLEObject>
              </w:object>
            </w:r>
          </w:p>
        </w:tc>
        <w:tc>
          <w:tcPr>
            <w:tcW w:w="995" w:type="dxa"/>
            <w:noWrap w:val="0"/>
            <w:vAlign w:val="top"/>
          </w:tcPr>
          <w:p w14:paraId="521E311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47" w:type="dxa"/>
            <w:noWrap w:val="0"/>
            <w:vAlign w:val="top"/>
          </w:tcPr>
          <w:p w14:paraId="7EA7870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496B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73" w:type="dxa"/>
            <w:noWrap w:val="0"/>
            <w:vAlign w:val="top"/>
          </w:tcPr>
          <w:p w14:paraId="15FBE017">
            <w:pPr>
              <w:keepNext w:val="0"/>
              <w:keepLines w:val="0"/>
              <w:pageBreakBefore w:val="0"/>
              <w:widowControl w:val="0"/>
              <w:numPr>
                <w:ilvl w:val="0"/>
                <w:numId w:val="6"/>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Rubbing Manipulation includes finger rubbing, palm rubbing, and rotational rubbing. Clockwise rubbing is supplementation, counterclockwise is draining; palm rubbing is supplementation, finger rubbing is draining; slow rubbing is supplementation, fast rubbing is draining. Rubbing means gentle kneading and rubbing. It can disperse accumulations and resolve swelling. </w:t>
            </w:r>
          </w:p>
          <w:p w14:paraId="4D6884DA">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lang w:val="en-US" w:eastAsia="zh-CN"/>
              </w:rPr>
              <w:t>-</w:t>
            </w:r>
            <w:r>
              <w:rPr>
                <w:rFonts w:hint="default" w:ascii="Cambria" w:hAnsi="Cambria" w:cs="Cambria"/>
                <w:sz w:val="24"/>
                <w:szCs w:val="24"/>
              </w:rPr>
              <w:t xml:space="preserve">Finger rubbing: Use the palmar surfaces of the index, middle, and ring fingers to perform continuous rotary rubbing on acupoints. </w:t>
            </w:r>
          </w:p>
          <w:p w14:paraId="3CD95CB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 Palm rubbing: Use the right palm center to perform rotary rubbing on acupoints, mostly used on the abdomen. </w:t>
            </w:r>
          </w:p>
          <w:p w14:paraId="5A3D87E3">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 xml:space="preserve">- Rotational rubbing: Use both palms' entire palmar surfaces, starting from the lower abdomen along the ascending colon, transverse colon, and descending colon, alternately rotating and rubbing forward and backward. This can promote digestion, move qi, and is used for abdominal distension, borborygmus, and abdominal pain. </w:t>
            </w:r>
            <w:r>
              <w:rPr>
                <w:rFonts w:hint="default" w:ascii="Cambria" w:hAnsi="Cambria" w:cs="Cambria"/>
                <w:sz w:val="24"/>
                <w:szCs w:val="24"/>
                <w:lang w:eastAsia="en-US"/>
              </w:rPr>
              <w:t xml:space="preserve">                                           </w:t>
            </w:r>
          </w:p>
        </w:tc>
        <w:tc>
          <w:tcPr>
            <w:tcW w:w="668" w:type="dxa"/>
            <w:noWrap w:val="0"/>
            <w:vAlign w:val="top"/>
          </w:tcPr>
          <w:p w14:paraId="271C4E7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0.33</w:t>
            </w:r>
          </w:p>
        </w:tc>
        <w:tc>
          <w:tcPr>
            <w:tcW w:w="995" w:type="dxa"/>
            <w:noWrap w:val="0"/>
            <w:vAlign w:val="top"/>
          </w:tcPr>
          <w:p w14:paraId="3650E76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66.67%</w:t>
            </w:r>
          </w:p>
        </w:tc>
        <w:tc>
          <w:tcPr>
            <w:tcW w:w="647" w:type="dxa"/>
            <w:noWrap w:val="0"/>
            <w:vAlign w:val="top"/>
          </w:tcPr>
          <w:p w14:paraId="5655C35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w:t>
            </w:r>
          </w:p>
        </w:tc>
      </w:tr>
      <w:tr w14:paraId="2008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73" w:type="dxa"/>
            <w:noWrap w:val="0"/>
            <w:vAlign w:val="top"/>
          </w:tcPr>
          <w:p w14:paraId="1F4247D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B. Retain the original text of the national standard.</w:t>
            </w:r>
          </w:p>
        </w:tc>
        <w:tc>
          <w:tcPr>
            <w:tcW w:w="668" w:type="dxa"/>
            <w:noWrap w:val="0"/>
            <w:vAlign w:val="top"/>
          </w:tcPr>
          <w:p w14:paraId="238A1B2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0.59</w:t>
            </w:r>
          </w:p>
        </w:tc>
        <w:tc>
          <w:tcPr>
            <w:tcW w:w="995" w:type="dxa"/>
            <w:noWrap w:val="0"/>
            <w:vAlign w:val="top"/>
          </w:tcPr>
          <w:p w14:paraId="378228F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c>
          <w:tcPr>
            <w:tcW w:w="647" w:type="dxa"/>
            <w:noWrap w:val="0"/>
            <w:vAlign w:val="top"/>
          </w:tcPr>
          <w:p w14:paraId="57E217F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16</w:t>
            </w:r>
          </w:p>
        </w:tc>
      </w:tr>
    </w:tbl>
    <w:p w14:paraId="1014EEB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2.8 Survey Results on Tapping-Patting Method</w:t>
      </w:r>
    </w:p>
    <w:p w14:paraId="556873BF">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15 Survey Results on Tapping-Patting Method</w:t>
      </w:r>
    </w:p>
    <w:tbl>
      <w:tblPr>
        <w:tblStyle w:val="81"/>
        <w:tblW w:w="9099" w:type="dxa"/>
        <w:tblInd w:w="-2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2"/>
        <w:gridCol w:w="695"/>
        <w:gridCol w:w="989"/>
        <w:gridCol w:w="653"/>
      </w:tblGrid>
      <w:tr w14:paraId="638B3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62" w:type="dxa"/>
            <w:noWrap w:val="0"/>
            <w:vAlign w:val="top"/>
          </w:tcPr>
          <w:p w14:paraId="3B09D48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95" w:type="dxa"/>
            <w:noWrap w:val="0"/>
            <w:vAlign w:val="top"/>
          </w:tcPr>
          <w:p w14:paraId="69F01AB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0"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0" DrawAspect="Content" ObjectID="_1468075772" r:id="rId63">
                  <o:LockedField>false</o:LockedField>
                </o:OLEObject>
              </w:object>
            </w:r>
          </w:p>
        </w:tc>
        <w:tc>
          <w:tcPr>
            <w:tcW w:w="989" w:type="dxa"/>
            <w:noWrap w:val="0"/>
            <w:vAlign w:val="top"/>
          </w:tcPr>
          <w:p w14:paraId="706E641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53" w:type="dxa"/>
            <w:noWrap w:val="0"/>
            <w:vAlign w:val="top"/>
          </w:tcPr>
          <w:p w14:paraId="712E26B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685CD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62" w:type="dxa"/>
            <w:noWrap w:val="0"/>
            <w:vAlign w:val="top"/>
          </w:tcPr>
          <w:p w14:paraId="24F1DD7E">
            <w:pPr>
              <w:keepNext w:val="0"/>
              <w:keepLines w:val="0"/>
              <w:pageBreakBefore w:val="0"/>
              <w:widowControl w:val="0"/>
              <w:numPr>
                <w:ilvl w:val="0"/>
                <w:numId w:val="7"/>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Tapping-Patting Method: </w:t>
            </w:r>
          </w:p>
          <w:p w14:paraId="11B99486">
            <w:pPr>
              <w:keepNext w:val="0"/>
              <w:keepLines w:val="0"/>
              <w:pageBreakBefore w:val="0"/>
              <w:widowControl w:val="0"/>
              <w:numPr>
                <w:ilvl w:val="0"/>
                <w:numId w:val="8"/>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Operation: A technique in which five fingers are held together, and the flexed palmar surface is used to rhythmically pat the body surface. </w:t>
            </w:r>
          </w:p>
          <w:p w14:paraId="2C29AD64">
            <w:pPr>
              <w:keepNext w:val="0"/>
              <w:keepLines w:val="0"/>
              <w:pageBreakBefore w:val="0"/>
              <w:widowControl w:val="0"/>
              <w:numPr>
                <w:ilvl w:val="0"/>
                <w:numId w:val="8"/>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rPr>
            </w:pPr>
            <w:r>
              <w:rPr>
                <w:rFonts w:hint="default" w:ascii="Cambria" w:hAnsi="Cambria" w:cs="Cambria"/>
                <w:sz w:val="24"/>
                <w:szCs w:val="24"/>
              </w:rPr>
              <w:t xml:space="preserve">Essentials: Five fingers together, metacarpophalangeal joints slightly flexed to hollow the palm; the elbow joint's flexion and extension drive coordinated movements of the wrist, using the hollow palm to pat the body surface. </w:t>
            </w:r>
          </w:p>
          <w:p w14:paraId="25AF1F79">
            <w:pPr>
              <w:keepNext w:val="0"/>
              <w:keepLines w:val="0"/>
              <w:pageBreakBefore w:val="0"/>
              <w:widowControl w:val="0"/>
              <w:numPr>
                <w:ilvl w:val="0"/>
                <w:numId w:val="8"/>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rPr>
            </w:pPr>
            <w:r>
              <w:rPr>
                <w:rFonts w:hint="default" w:ascii="Cambria" w:hAnsi="Cambria" w:cs="Cambria"/>
                <w:sz w:val="24"/>
                <w:szCs w:val="24"/>
              </w:rPr>
              <w:t xml:space="preserve">Requirements: 1) The wrist should be fully relaxed, moving coordinately driven by the forearm. </w:t>
            </w:r>
          </w:p>
          <w:p w14:paraId="62150E12">
            <w:pPr>
              <w:keepNext w:val="0"/>
              <w:keepLines w:val="0"/>
              <w:pageBreakBefore w:val="0"/>
              <w:widowControl w:val="0"/>
              <w:numPr>
                <w:ilvl w:val="0"/>
                <w:numId w:val="9"/>
              </w:numPr>
              <w:kinsoku/>
              <w:wordWrap/>
              <w:overflowPunct/>
              <w:topLinePunct w:val="0"/>
              <w:autoSpaceDE/>
              <w:autoSpaceDN/>
              <w:bidi w:val="0"/>
              <w:adjustRightInd/>
              <w:snapToGrid/>
              <w:spacing w:after="0" w:line="276" w:lineRule="auto"/>
              <w:ind w:leftChars="0" w:firstLine="1800" w:firstLineChars="750"/>
              <w:jc w:val="both"/>
              <w:textAlignment w:val="auto"/>
              <w:rPr>
                <w:rFonts w:hint="default" w:ascii="Cambria" w:hAnsi="Cambria" w:cs="Cambria"/>
                <w:sz w:val="24"/>
                <w:szCs w:val="24"/>
              </w:rPr>
            </w:pPr>
            <w:r>
              <w:rPr>
                <w:rFonts w:hint="default" w:ascii="Cambria" w:hAnsi="Cambria" w:cs="Cambria"/>
                <w:sz w:val="24"/>
                <w:szCs w:val="24"/>
              </w:rPr>
              <w:t>Maintain the hollow palm shape, pat flatly on the body surface, producing a clear snapping sound; avoid dragging or pulling.</w:t>
            </w:r>
          </w:p>
          <w:p w14:paraId="54E3B8F2">
            <w:pPr>
              <w:keepNext w:val="0"/>
              <w:keepLines w:val="0"/>
              <w:pageBreakBefore w:val="0"/>
              <w:widowControl w:val="0"/>
              <w:numPr>
                <w:ilvl w:val="0"/>
                <w:numId w:val="9"/>
              </w:numPr>
              <w:kinsoku/>
              <w:wordWrap/>
              <w:overflowPunct/>
              <w:topLinePunct w:val="0"/>
              <w:autoSpaceDE/>
              <w:autoSpaceDN/>
              <w:bidi w:val="0"/>
              <w:adjustRightInd/>
              <w:snapToGrid/>
              <w:spacing w:after="0" w:line="276" w:lineRule="auto"/>
              <w:ind w:left="0" w:leftChars="0" w:firstLine="1800" w:firstLineChars="750"/>
              <w:jc w:val="both"/>
              <w:textAlignment w:val="auto"/>
              <w:rPr>
                <w:rFonts w:hint="default" w:ascii="Cambria" w:hAnsi="Cambria" w:cs="Cambria"/>
                <w:sz w:val="24"/>
                <w:szCs w:val="24"/>
              </w:rPr>
            </w:pPr>
            <w:r>
              <w:rPr>
                <w:rFonts w:hint="default" w:ascii="Cambria" w:hAnsi="Cambria" w:cs="Cambria"/>
                <w:sz w:val="24"/>
                <w:szCs w:val="24"/>
              </w:rPr>
              <w:t xml:space="preserve">Patting should be uniform, flexible, continuous, with quick rising and falling, without pausing on the treated area to avoid reducing the vibrating effect. </w:t>
            </w:r>
          </w:p>
          <w:p w14:paraId="1FC22ACE">
            <w:pPr>
              <w:keepNext w:val="0"/>
              <w:keepLines w:val="0"/>
              <w:pageBreakBefore w:val="0"/>
              <w:widowControl w:val="0"/>
              <w:numPr>
                <w:ilvl w:val="0"/>
                <w:numId w:val="9"/>
              </w:numPr>
              <w:kinsoku/>
              <w:wordWrap/>
              <w:overflowPunct/>
              <w:topLinePunct w:val="0"/>
              <w:autoSpaceDE/>
              <w:autoSpaceDN/>
              <w:bidi w:val="0"/>
              <w:adjustRightInd/>
              <w:snapToGrid/>
              <w:spacing w:after="0" w:line="276" w:lineRule="auto"/>
              <w:ind w:left="0" w:leftChars="0" w:firstLine="1800" w:firstLineChars="750"/>
              <w:jc w:val="both"/>
              <w:textAlignment w:val="auto"/>
              <w:rPr>
                <w:rFonts w:hint="default" w:ascii="Cambria" w:hAnsi="Cambria" w:cs="Cambria"/>
                <w:sz w:val="24"/>
                <w:szCs w:val="24"/>
                <w:lang w:val="en-US"/>
              </w:rPr>
            </w:pPr>
            <w:r>
              <w:rPr>
                <w:rFonts w:hint="default" w:ascii="Cambria" w:hAnsi="Cambria" w:cs="Cambria"/>
                <w:sz w:val="24"/>
                <w:szCs w:val="24"/>
              </w:rPr>
              <w:t>The stimulation intensity should be flexibly adjusted according to the patient's constitution, condition, and tolerance.</w:t>
            </w:r>
            <w:r>
              <w:rPr>
                <w:rFonts w:hint="default" w:ascii="Cambria" w:hAnsi="Cambria" w:cs="Cambria"/>
                <w:sz w:val="24"/>
                <w:szCs w:val="24"/>
                <w:lang w:val="en-US"/>
              </w:rPr>
              <w:t xml:space="preserve"> </w:t>
            </w:r>
          </w:p>
          <w:p w14:paraId="237B6E8E">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d) Clinical application: The Tapping-Patting Method is light, gentle, and is a commonly used auxiliary technique, with effects of dredging meridians, promoting qi and blood circulation, invigorating yang, relieving spasm, and eliminating fatigue. It is suitable for the shoulders, back, buttocks, and lower limbs, often used in the final stage of treatment. For irritable, crying children, it harmonizes qi and blood; for shoulder sensory dullness or muscle spasm, it promotes blood circulation, relieves muscle fatigue, and alleviates spasm.</w:t>
            </w:r>
            <w:r>
              <w:rPr>
                <w:rFonts w:hint="default" w:ascii="Cambria" w:hAnsi="Cambria" w:cs="Cambria"/>
                <w:sz w:val="24"/>
                <w:szCs w:val="24"/>
                <w:lang w:eastAsia="en-US"/>
              </w:rPr>
              <w:t xml:space="preserve">   </w:t>
            </w:r>
          </w:p>
        </w:tc>
        <w:tc>
          <w:tcPr>
            <w:tcW w:w="695" w:type="dxa"/>
            <w:noWrap w:val="0"/>
            <w:vAlign w:val="top"/>
          </w:tcPr>
          <w:p w14:paraId="7869E73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0.70</w:t>
            </w:r>
          </w:p>
        </w:tc>
        <w:tc>
          <w:tcPr>
            <w:tcW w:w="989" w:type="dxa"/>
            <w:noWrap w:val="0"/>
            <w:vAlign w:val="top"/>
          </w:tcPr>
          <w:p w14:paraId="2996D22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c>
          <w:tcPr>
            <w:tcW w:w="653" w:type="dxa"/>
            <w:noWrap w:val="0"/>
            <w:vAlign w:val="top"/>
          </w:tcPr>
          <w:p w14:paraId="51E7A05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r>
      <w:tr w14:paraId="42B02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62" w:type="dxa"/>
            <w:noWrap w:val="0"/>
            <w:vAlign w:val="top"/>
          </w:tcPr>
          <w:p w14:paraId="160419A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B. Retain the original text of the national standard.</w:t>
            </w:r>
          </w:p>
        </w:tc>
        <w:tc>
          <w:tcPr>
            <w:tcW w:w="695" w:type="dxa"/>
            <w:noWrap w:val="0"/>
            <w:vAlign w:val="top"/>
          </w:tcPr>
          <w:p w14:paraId="396E3D2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989" w:type="dxa"/>
            <w:noWrap w:val="0"/>
            <w:vAlign w:val="top"/>
          </w:tcPr>
          <w:p w14:paraId="55F4219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653" w:type="dxa"/>
            <w:noWrap w:val="0"/>
            <w:vAlign w:val="top"/>
          </w:tcPr>
          <w:p w14:paraId="6741197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bl>
    <w:p w14:paraId="2029421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2.9 Survey Results on Fei Jing Zou Qi (Flying along the Meridian to Move Qi)</w:t>
      </w:r>
    </w:p>
    <w:p w14:paraId="75BDD2C3">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16 Survey Results on Fei Jing Zou Qi (Flying along the Meridian to Move Qi)</w:t>
      </w:r>
    </w:p>
    <w:tbl>
      <w:tblPr>
        <w:tblStyle w:val="81"/>
        <w:tblW w:w="91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26"/>
        <w:gridCol w:w="675"/>
        <w:gridCol w:w="1107"/>
        <w:gridCol w:w="622"/>
      </w:tblGrid>
      <w:tr w14:paraId="59ACF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26" w:type="dxa"/>
            <w:noWrap w:val="0"/>
            <w:vAlign w:val="top"/>
          </w:tcPr>
          <w:p w14:paraId="4699E01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75" w:type="dxa"/>
            <w:noWrap w:val="0"/>
            <w:vAlign w:val="top"/>
          </w:tcPr>
          <w:p w14:paraId="6049E81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1"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1" DrawAspect="Content" ObjectID="_1468075773" r:id="rId64">
                  <o:LockedField>false</o:LockedField>
                </o:OLEObject>
              </w:object>
            </w:r>
          </w:p>
        </w:tc>
        <w:tc>
          <w:tcPr>
            <w:tcW w:w="1107" w:type="dxa"/>
            <w:noWrap w:val="0"/>
            <w:vAlign w:val="top"/>
          </w:tcPr>
          <w:p w14:paraId="5107C9E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22" w:type="dxa"/>
            <w:noWrap w:val="0"/>
            <w:vAlign w:val="top"/>
          </w:tcPr>
          <w:p w14:paraId="6CA3D35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6900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6" w:type="dxa"/>
            <w:noWrap w:val="0"/>
            <w:vAlign w:val="top"/>
          </w:tcPr>
          <w:p w14:paraId="24F24C5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First manipulate the Five Meridian acupoints, then spread five fingers and pat at Neiguan, then push the Heart Meridian and knead Qiguan.</w:t>
            </w:r>
            <w:r>
              <w:rPr>
                <w:rFonts w:hint="default" w:ascii="Cambria" w:hAnsi="Cambria" w:cs="Cambria"/>
                <w:sz w:val="24"/>
                <w:szCs w:val="24"/>
                <w:lang w:eastAsia="en-US"/>
              </w:rPr>
              <w:t xml:space="preserve">                               </w:t>
            </w:r>
          </w:p>
        </w:tc>
        <w:tc>
          <w:tcPr>
            <w:tcW w:w="675" w:type="dxa"/>
            <w:noWrap w:val="0"/>
            <w:vAlign w:val="top"/>
          </w:tcPr>
          <w:p w14:paraId="5A6A65A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07" w:type="dxa"/>
            <w:noWrap w:val="0"/>
            <w:vAlign w:val="top"/>
          </w:tcPr>
          <w:p w14:paraId="1070E1B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2" w:type="dxa"/>
            <w:noWrap w:val="0"/>
            <w:vAlign w:val="top"/>
          </w:tcPr>
          <w:p w14:paraId="5B00921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45659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6" w:type="dxa"/>
            <w:noWrap w:val="0"/>
            <w:vAlign w:val="top"/>
          </w:tcPr>
          <w:p w14:paraId="0B54B3F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Use the thumb to press at the child's Zongjin, and use the index and middle fingers to push toward the wrist.</w:t>
            </w:r>
            <w:r>
              <w:rPr>
                <w:rFonts w:hint="default" w:ascii="Cambria" w:hAnsi="Cambria" w:cs="Cambria"/>
                <w:sz w:val="24"/>
                <w:szCs w:val="24"/>
                <w:lang w:eastAsia="en-US"/>
              </w:rPr>
              <w:t xml:space="preserve">                                       </w:t>
            </w:r>
          </w:p>
        </w:tc>
        <w:tc>
          <w:tcPr>
            <w:tcW w:w="675" w:type="dxa"/>
            <w:noWrap w:val="0"/>
            <w:vAlign w:val="top"/>
          </w:tcPr>
          <w:p w14:paraId="3311CA2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07" w:type="dxa"/>
            <w:noWrap w:val="0"/>
            <w:vAlign w:val="top"/>
          </w:tcPr>
          <w:p w14:paraId="1B07DF1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2" w:type="dxa"/>
            <w:noWrap w:val="0"/>
            <w:vAlign w:val="top"/>
          </w:tcPr>
          <w:p w14:paraId="7CF6588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2B598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6" w:type="dxa"/>
            <w:noWrap w:val="0"/>
            <w:vAlign w:val="top"/>
          </w:tcPr>
          <w:p w14:paraId="6A4B78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Drop cool water on the child's Neilaogong, use the right middle finger to guide the water to Tianhe, move forward 3 times and retreat once, and blow air with the mouth following the water. </w:t>
            </w:r>
          </w:p>
        </w:tc>
        <w:tc>
          <w:tcPr>
            <w:tcW w:w="675" w:type="dxa"/>
            <w:noWrap w:val="0"/>
            <w:vAlign w:val="top"/>
          </w:tcPr>
          <w:p w14:paraId="52BCF74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07" w:type="dxa"/>
            <w:noWrap w:val="0"/>
            <w:vAlign w:val="top"/>
          </w:tcPr>
          <w:p w14:paraId="385481D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2" w:type="dxa"/>
            <w:noWrap w:val="0"/>
            <w:vAlign w:val="top"/>
          </w:tcPr>
          <w:p w14:paraId="7CB000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7678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6" w:type="dxa"/>
            <w:noWrap w:val="0"/>
            <w:vAlign w:val="top"/>
          </w:tcPr>
          <w:p w14:paraId="5529F5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Hold the child's four fingers motionless with the right hand, use the left hand's four fingers to alternately flick from Quchi to Zongjin several times, then grasp Yin and Yang, and move the right hand upward and outward, extending and retracting, to transmit qi and slowly pass the barrier. Used for phlegm wheezing and qi counterflow.</w:t>
            </w:r>
          </w:p>
        </w:tc>
        <w:tc>
          <w:tcPr>
            <w:tcW w:w="675" w:type="dxa"/>
            <w:noWrap w:val="0"/>
            <w:vAlign w:val="top"/>
          </w:tcPr>
          <w:p w14:paraId="4EFC06A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07" w:type="dxa"/>
            <w:noWrap w:val="0"/>
            <w:vAlign w:val="top"/>
          </w:tcPr>
          <w:p w14:paraId="15FA95A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622" w:type="dxa"/>
            <w:noWrap w:val="0"/>
            <w:vAlign w:val="top"/>
          </w:tcPr>
          <w:p w14:paraId="6FDE6B4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4E70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6" w:type="dxa"/>
            <w:noWrap w:val="0"/>
            <w:vAlign w:val="top"/>
          </w:tcPr>
          <w:p w14:paraId="6301466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The child takes a sitting or supine position. The practitioner sits in front beside them, uses one hand to grasp the child's four fingers with the palm and forearm facing upward, uses the other hand's palmar surfaces of the index, middle, ring, and little fingers to exert force, flicking downward from Quchi to Zongjin repeatedly, then grasps Yinchí and Yangchi, and moves the child's four fingers in flexion and extension several times. </w:t>
            </w:r>
          </w:p>
        </w:tc>
        <w:tc>
          <w:tcPr>
            <w:tcW w:w="675" w:type="dxa"/>
            <w:noWrap w:val="0"/>
            <w:vAlign w:val="top"/>
          </w:tcPr>
          <w:p w14:paraId="6DF98F6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0.52</w:t>
            </w:r>
          </w:p>
        </w:tc>
        <w:tc>
          <w:tcPr>
            <w:tcW w:w="1107" w:type="dxa"/>
            <w:noWrap w:val="0"/>
            <w:vAlign w:val="top"/>
          </w:tcPr>
          <w:p w14:paraId="3A8E8AC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48.15%</w:t>
            </w:r>
          </w:p>
        </w:tc>
        <w:tc>
          <w:tcPr>
            <w:tcW w:w="622" w:type="dxa"/>
            <w:noWrap w:val="0"/>
            <w:vAlign w:val="top"/>
          </w:tcPr>
          <w:p w14:paraId="0053CFD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r>
      <w:tr w14:paraId="062EE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6" w:type="dxa"/>
            <w:noWrap w:val="0"/>
            <w:vAlign w:val="top"/>
          </w:tcPr>
          <w:p w14:paraId="53E2B9A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F. Retain the original text of the national standard.</w:t>
            </w:r>
          </w:p>
        </w:tc>
        <w:tc>
          <w:tcPr>
            <w:tcW w:w="675" w:type="dxa"/>
            <w:noWrap w:val="0"/>
            <w:vAlign w:val="top"/>
          </w:tcPr>
          <w:p w14:paraId="6236F58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0.44</w:t>
            </w:r>
          </w:p>
        </w:tc>
        <w:tc>
          <w:tcPr>
            <w:tcW w:w="1107" w:type="dxa"/>
            <w:noWrap w:val="0"/>
            <w:vAlign w:val="top"/>
          </w:tcPr>
          <w:p w14:paraId="0A3683A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55.56%</w:t>
            </w:r>
          </w:p>
        </w:tc>
        <w:tc>
          <w:tcPr>
            <w:tcW w:w="622" w:type="dxa"/>
            <w:noWrap w:val="0"/>
            <w:vAlign w:val="top"/>
          </w:tcPr>
          <w:p w14:paraId="50BD9E7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r>
      <w:tr w14:paraId="20820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26" w:type="dxa"/>
            <w:noWrap w:val="0"/>
            <w:vAlign w:val="top"/>
          </w:tcPr>
          <w:p w14:paraId="45A658C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G. Other</w:t>
            </w:r>
          </w:p>
        </w:tc>
        <w:tc>
          <w:tcPr>
            <w:tcW w:w="675" w:type="dxa"/>
            <w:noWrap w:val="0"/>
            <w:vAlign w:val="top"/>
          </w:tcPr>
          <w:p w14:paraId="265AEB6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07" w:type="dxa"/>
            <w:noWrap w:val="0"/>
            <w:vAlign w:val="top"/>
          </w:tcPr>
          <w:p w14:paraId="2D81618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2" w:type="dxa"/>
            <w:noWrap w:val="0"/>
            <w:vAlign w:val="top"/>
          </w:tcPr>
          <w:p w14:paraId="757B993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1DAC017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2.10 Survey Results on Shui Di Lao Yue (Scooping the Moon from the Water)</w:t>
      </w:r>
    </w:p>
    <w:p w14:paraId="08CA19EA">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17 Survey Results on Shui Di Lao Yue (Scooping the Moon from the Water)</w:t>
      </w:r>
    </w:p>
    <w:tbl>
      <w:tblPr>
        <w:tblStyle w:val="81"/>
        <w:tblW w:w="90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40"/>
        <w:gridCol w:w="664"/>
        <w:gridCol w:w="1144"/>
        <w:gridCol w:w="1033"/>
      </w:tblGrid>
      <w:tr w14:paraId="1A9C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6B027E2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0" w:type="auto"/>
            <w:noWrap w:val="0"/>
            <w:vAlign w:val="top"/>
          </w:tcPr>
          <w:p w14:paraId="7EDCB7F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2"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2" DrawAspect="Content" ObjectID="_1468075774" r:id="rId65">
                  <o:LockedField>false</o:LockedField>
                </o:OLEObject>
              </w:object>
            </w:r>
          </w:p>
        </w:tc>
        <w:tc>
          <w:tcPr>
            <w:tcW w:w="0" w:type="auto"/>
            <w:noWrap w:val="0"/>
            <w:vAlign w:val="top"/>
          </w:tcPr>
          <w:p w14:paraId="6EC351C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1033" w:type="dxa"/>
            <w:noWrap w:val="0"/>
            <w:vAlign w:val="top"/>
          </w:tcPr>
          <w:p w14:paraId="32F66C3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304DF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368FE9B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The practitioner uses the left hand to hold the child's four fingers with palm upward, first pinch Zongjin, clear Tianhe, then drop cool water on Neilaogong with the right hand, fan several times, then drop a little water on Zongjin, then use the bent middle finger joint to rotate rightward on Laogong while blowing air with the mouth. </w:t>
            </w:r>
            <w:r>
              <w:rPr>
                <w:rFonts w:hint="default" w:ascii="Cambria" w:hAnsi="Cambria" w:cs="Cambria"/>
                <w:sz w:val="24"/>
                <w:szCs w:val="24"/>
                <w:lang w:eastAsia="en-US"/>
              </w:rPr>
              <w:t xml:space="preserve">                                   </w:t>
            </w:r>
          </w:p>
        </w:tc>
        <w:tc>
          <w:tcPr>
            <w:tcW w:w="0" w:type="auto"/>
            <w:noWrap w:val="0"/>
            <w:vAlign w:val="top"/>
          </w:tcPr>
          <w:p w14:paraId="029BAD8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0" w:type="auto"/>
            <w:noWrap w:val="0"/>
            <w:vAlign w:val="top"/>
          </w:tcPr>
          <w:p w14:paraId="0C48554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1033" w:type="dxa"/>
            <w:noWrap w:val="0"/>
            <w:vAlign w:val="top"/>
          </w:tcPr>
          <w:p w14:paraId="680FFE3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7EF9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393858A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The practitioner uses the middle fingertip dipped in water, from the tip of the little finger through the palm's small transverse crease, pushing to the Kan Palace at the palm root, then rotating back to Neilaogong, while pushing and rotating and blowing cool air. Used for high fever, irritability, delirium, heat entering ying-blood, constipation, and other excess heat patterns.</w:t>
            </w:r>
            <w:r>
              <w:rPr>
                <w:rFonts w:hint="default" w:ascii="Cambria" w:hAnsi="Cambria" w:cs="Cambria"/>
                <w:sz w:val="24"/>
                <w:szCs w:val="24"/>
                <w:lang w:eastAsia="en-US"/>
              </w:rPr>
              <w:t xml:space="preserve">                                   </w:t>
            </w:r>
          </w:p>
        </w:tc>
        <w:tc>
          <w:tcPr>
            <w:tcW w:w="0" w:type="auto"/>
            <w:noWrap w:val="0"/>
            <w:vAlign w:val="top"/>
          </w:tcPr>
          <w:p w14:paraId="74DCA8D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0.15</w:t>
            </w:r>
          </w:p>
        </w:tc>
        <w:tc>
          <w:tcPr>
            <w:tcW w:w="0" w:type="auto"/>
            <w:noWrap w:val="0"/>
            <w:vAlign w:val="top"/>
          </w:tcPr>
          <w:p w14:paraId="1EBCFE0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85.19%</w:t>
            </w:r>
          </w:p>
        </w:tc>
        <w:tc>
          <w:tcPr>
            <w:tcW w:w="1033" w:type="dxa"/>
            <w:noWrap w:val="0"/>
            <w:vAlign w:val="top"/>
          </w:tcPr>
          <w:p w14:paraId="3D6143F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w:t>
            </w:r>
          </w:p>
        </w:tc>
      </w:tr>
      <w:tr w14:paraId="69ED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7C2E2AB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Use the right hand's four fingers to fan seven times, then drop water on Zongjin (which is the Xin Jing), then drop water on Tianhe (which is </w:t>
            </w:r>
            <w:r>
              <w:rPr>
                <w:rFonts w:hint="default" w:ascii="Cambria" w:hAnsi="Cambria" w:cs="Cambria"/>
                <w:sz w:val="24"/>
                <w:szCs w:val="24"/>
                <w:lang w:val="en-US"/>
              </w:rPr>
              <w:t>the G</w:t>
            </w:r>
            <w:r>
              <w:rPr>
                <w:rFonts w:hint="default" w:ascii="Cambria" w:hAnsi="Cambria" w:cs="Cambria"/>
                <w:sz w:val="24"/>
                <w:szCs w:val="24"/>
                <w:lang w:val="en-US" w:eastAsia="zh-CN"/>
              </w:rPr>
              <w:t xml:space="preserve">uan </w:t>
            </w:r>
            <w:r>
              <w:rPr>
                <w:rFonts w:hint="default" w:ascii="Cambria" w:hAnsi="Cambria" w:cs="Cambria"/>
                <w:sz w:val="24"/>
                <w:szCs w:val="24"/>
                <w:lang w:val="en-US"/>
              </w:rPr>
              <w:t>Fu)</w:t>
            </w:r>
            <w:r>
              <w:rPr>
                <w:rFonts w:hint="default" w:ascii="Cambria" w:hAnsi="Cambria" w:cs="Cambria"/>
                <w:sz w:val="24"/>
                <w:szCs w:val="24"/>
              </w:rPr>
              <w:t xml:space="preserve">, the practitioner blows air 4–5 times, bends the child's middle finger, the left thumb pinches it, the right hand twists and rolls, using the middle finger joint to rub from Zongjin to Quchi. </w:t>
            </w:r>
          </w:p>
        </w:tc>
        <w:tc>
          <w:tcPr>
            <w:tcW w:w="0" w:type="auto"/>
            <w:noWrap w:val="0"/>
            <w:vAlign w:val="top"/>
          </w:tcPr>
          <w:p w14:paraId="7ABDBC3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0" w:type="auto"/>
            <w:noWrap w:val="0"/>
            <w:vAlign w:val="top"/>
          </w:tcPr>
          <w:p w14:paraId="4769253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1033" w:type="dxa"/>
            <w:noWrap w:val="0"/>
            <w:vAlign w:val="top"/>
          </w:tcPr>
          <w:p w14:paraId="61D736A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0835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3F5AD71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 xml:space="preserve">The child takes a sitting or supine position. The practitioner sits in front beside them, uses one hand to grasp the child's four fingers with palm facing upward, drops cold water into the child's palm, uses the other thumb's whorled surface to exert force, closely adhering to the palm and performing rotational pushing, or pushing from the root of the little finger through the Zhang Xiaohengwen and Kan </w:t>
            </w:r>
            <w:r>
              <w:rPr>
                <w:rFonts w:hint="default" w:ascii="Cambria" w:hAnsi="Cambria" w:cs="Cambria"/>
                <w:sz w:val="24"/>
                <w:szCs w:val="24"/>
                <w:lang w:val="en-US"/>
              </w:rPr>
              <w:t>Gong</w:t>
            </w:r>
            <w:r>
              <w:rPr>
                <w:rFonts w:hint="default" w:ascii="Cambria" w:hAnsi="Cambria" w:cs="Cambria"/>
                <w:sz w:val="24"/>
                <w:szCs w:val="24"/>
              </w:rPr>
              <w:t xml:space="preserve"> to the center of the palm, while blowing cool air toward the palm, repeated for 3–5 minutes.</w:t>
            </w:r>
          </w:p>
        </w:tc>
        <w:tc>
          <w:tcPr>
            <w:tcW w:w="0" w:type="auto"/>
            <w:noWrap w:val="0"/>
            <w:vAlign w:val="top"/>
          </w:tcPr>
          <w:p w14:paraId="126CF0E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0.52</w:t>
            </w:r>
          </w:p>
        </w:tc>
        <w:tc>
          <w:tcPr>
            <w:tcW w:w="0" w:type="auto"/>
            <w:noWrap w:val="0"/>
            <w:vAlign w:val="top"/>
          </w:tcPr>
          <w:p w14:paraId="67DD40E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48.15%</w:t>
            </w:r>
          </w:p>
        </w:tc>
        <w:tc>
          <w:tcPr>
            <w:tcW w:w="1033" w:type="dxa"/>
            <w:noWrap w:val="0"/>
            <w:vAlign w:val="top"/>
          </w:tcPr>
          <w:p w14:paraId="4BFE2AD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r>
      <w:tr w14:paraId="0BEEB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0" w:type="auto"/>
            <w:noWrap w:val="0"/>
            <w:vAlign w:val="top"/>
          </w:tcPr>
          <w:p w14:paraId="1D49D9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Retain the original text of the national standard.</w:t>
            </w:r>
          </w:p>
        </w:tc>
        <w:tc>
          <w:tcPr>
            <w:tcW w:w="0" w:type="auto"/>
            <w:noWrap w:val="0"/>
            <w:vAlign w:val="top"/>
          </w:tcPr>
          <w:p w14:paraId="271EA40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0.33</w:t>
            </w:r>
          </w:p>
        </w:tc>
        <w:tc>
          <w:tcPr>
            <w:tcW w:w="0" w:type="auto"/>
            <w:noWrap w:val="0"/>
            <w:vAlign w:val="top"/>
          </w:tcPr>
          <w:p w14:paraId="2C0535E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66.67%</w:t>
            </w:r>
          </w:p>
        </w:tc>
        <w:tc>
          <w:tcPr>
            <w:tcW w:w="1033" w:type="dxa"/>
            <w:noWrap w:val="0"/>
            <w:vAlign w:val="top"/>
          </w:tcPr>
          <w:p w14:paraId="03F16F7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w:t>
            </w:r>
          </w:p>
        </w:tc>
      </w:tr>
      <w:tr w14:paraId="61D6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0" w:type="auto"/>
            <w:noWrap w:val="0"/>
            <w:vAlign w:val="top"/>
          </w:tcPr>
          <w:p w14:paraId="3F79864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F. Other</w:t>
            </w:r>
          </w:p>
        </w:tc>
        <w:tc>
          <w:tcPr>
            <w:tcW w:w="0" w:type="auto"/>
            <w:noWrap w:val="0"/>
            <w:vAlign w:val="top"/>
          </w:tcPr>
          <w:p w14:paraId="5304477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0" w:type="auto"/>
            <w:noWrap w:val="0"/>
            <w:vAlign w:val="top"/>
          </w:tcPr>
          <w:p w14:paraId="649FD0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1033" w:type="dxa"/>
            <w:noWrap w:val="0"/>
            <w:vAlign w:val="top"/>
          </w:tcPr>
          <w:p w14:paraId="4C453F2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723D8F8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2.11 Survey Results on Da Ma Guo Tian He (Flicking along the Tianhe)</w:t>
      </w:r>
    </w:p>
    <w:p w14:paraId="40466B60">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18 Survey Results on Da Ma Guo Tian He (Flicking along the Tianhe)</w:t>
      </w:r>
    </w:p>
    <w:tbl>
      <w:tblPr>
        <w:tblStyle w:val="81"/>
        <w:tblW w:w="9063" w:type="dxa"/>
        <w:tblInd w:w="-2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4"/>
        <w:gridCol w:w="719"/>
        <w:gridCol w:w="1124"/>
        <w:gridCol w:w="726"/>
      </w:tblGrid>
      <w:tr w14:paraId="02532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2B8E462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19" w:type="dxa"/>
            <w:noWrap w:val="0"/>
            <w:vAlign w:val="top"/>
          </w:tcPr>
          <w:p w14:paraId="7890498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3"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3" DrawAspect="Content" ObjectID="_1468075775" r:id="rId66">
                  <o:LockedField>false</o:LockedField>
                </o:OLEObject>
              </w:object>
            </w:r>
          </w:p>
        </w:tc>
        <w:tc>
          <w:tcPr>
            <w:tcW w:w="1124" w:type="dxa"/>
            <w:noWrap w:val="0"/>
            <w:vAlign w:val="top"/>
          </w:tcPr>
          <w:p w14:paraId="53BB5D5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726" w:type="dxa"/>
            <w:noWrap w:val="0"/>
            <w:vAlign w:val="top"/>
          </w:tcPr>
          <w:p w14:paraId="1171D79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1D9CE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6E42CBE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Use the right thumb's palmar surface to manipulate the child's Neilaogong, then bend the four limbs so the fingertips point upward, and use the right thumb to flick from Zongjin to Tianhe.</w:t>
            </w:r>
            <w:r>
              <w:rPr>
                <w:rFonts w:hint="default" w:ascii="Cambria" w:hAnsi="Cambria" w:cs="Cambria"/>
                <w:sz w:val="24"/>
                <w:szCs w:val="24"/>
                <w:lang w:eastAsia="en-US"/>
              </w:rPr>
              <w:t xml:space="preserve">                                       </w:t>
            </w:r>
          </w:p>
        </w:tc>
        <w:tc>
          <w:tcPr>
            <w:tcW w:w="719" w:type="dxa"/>
            <w:noWrap w:val="0"/>
            <w:vAlign w:val="top"/>
          </w:tcPr>
          <w:p w14:paraId="35B1F32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4" w:type="dxa"/>
            <w:noWrap w:val="0"/>
            <w:vAlign w:val="top"/>
          </w:tcPr>
          <w:p w14:paraId="4672CAC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726" w:type="dxa"/>
            <w:noWrap w:val="0"/>
            <w:vAlign w:val="top"/>
          </w:tcPr>
          <w:p w14:paraId="474CCBA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154A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1A8F89C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 xml:space="preserve">Use the index, middle, and ring fingers to push from the child's Shangma acupoint through the dorsum of the hand to Tianhe, similar to Lao Yue. </w:t>
            </w:r>
            <w:r>
              <w:rPr>
                <w:rFonts w:hint="default" w:ascii="Cambria" w:hAnsi="Cambria" w:cs="Cambria"/>
                <w:sz w:val="24"/>
                <w:szCs w:val="24"/>
                <w:lang w:eastAsia="en-US"/>
              </w:rPr>
              <w:t xml:space="preserve">                                            </w:t>
            </w:r>
          </w:p>
        </w:tc>
        <w:tc>
          <w:tcPr>
            <w:tcW w:w="719" w:type="dxa"/>
            <w:noWrap w:val="0"/>
            <w:vAlign w:val="top"/>
          </w:tcPr>
          <w:p w14:paraId="0FEC0AC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4" w:type="dxa"/>
            <w:noWrap w:val="0"/>
            <w:vAlign w:val="top"/>
          </w:tcPr>
          <w:p w14:paraId="11D7D44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726" w:type="dxa"/>
            <w:noWrap w:val="0"/>
            <w:vAlign w:val="top"/>
          </w:tcPr>
          <w:p w14:paraId="39383F7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56D47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484057C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Use the index and middle fingers to flick from the child's Shangma acupoint up to Tianhe, going four times and returning three, with one flick at Quchi.</w:t>
            </w:r>
          </w:p>
        </w:tc>
        <w:tc>
          <w:tcPr>
            <w:tcW w:w="719" w:type="dxa"/>
            <w:noWrap w:val="0"/>
            <w:vAlign w:val="top"/>
          </w:tcPr>
          <w:p w14:paraId="36693EA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4" w:type="dxa"/>
            <w:noWrap w:val="0"/>
            <w:vAlign w:val="top"/>
          </w:tcPr>
          <w:p w14:paraId="3EA0B23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726" w:type="dxa"/>
            <w:noWrap w:val="0"/>
            <w:vAlign w:val="top"/>
          </w:tcPr>
          <w:p w14:paraId="0D0AB02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0940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12AA3F3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The middle finger is at the Wu position, belonging to the Horse. Use the index and middle fingers to flick the child's middle fingernail over 10 times, then grasp Tianhe. Press and shake several times, then use the index and middle fingers to flick along Tianhe to the elbow bend several times. The above methods are warm-cool, can move qi and blood, and unblock joints and vessels.</w:t>
            </w:r>
          </w:p>
        </w:tc>
        <w:tc>
          <w:tcPr>
            <w:tcW w:w="719" w:type="dxa"/>
            <w:noWrap w:val="0"/>
            <w:vAlign w:val="top"/>
          </w:tcPr>
          <w:p w14:paraId="5A8A39E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24" w:type="dxa"/>
            <w:noWrap w:val="0"/>
            <w:vAlign w:val="top"/>
          </w:tcPr>
          <w:p w14:paraId="7F34A86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726" w:type="dxa"/>
            <w:noWrap w:val="0"/>
            <w:vAlign w:val="top"/>
          </w:tcPr>
          <w:p w14:paraId="63E98C7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05950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53AEA37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Hold the child's palm with one hand, use the thumb to push from the palm's Laogong upward to Jianshi (3 cun above the wrist), then rotate leftward back to Laogong. Pushing the left hand returns via the ulnar side of the wrist and arm; pushing the right hand returns via the radial side. Pushing Laogong can supplement heart qi; pushing the left hand via the ulnar side can unblock small intestine qi; pushing the right hand via the radial side can unblock large intestine qi. Used for alternating chills and fever, high fever with delirium. </w:t>
            </w:r>
          </w:p>
        </w:tc>
        <w:tc>
          <w:tcPr>
            <w:tcW w:w="719" w:type="dxa"/>
            <w:noWrap w:val="0"/>
            <w:vAlign w:val="top"/>
          </w:tcPr>
          <w:p w14:paraId="0481D24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4" w:type="dxa"/>
            <w:noWrap w:val="0"/>
            <w:vAlign w:val="top"/>
          </w:tcPr>
          <w:p w14:paraId="7649534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726" w:type="dxa"/>
            <w:noWrap w:val="0"/>
            <w:vAlign w:val="top"/>
          </w:tcPr>
          <w:p w14:paraId="31BA443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6B549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7D10FBC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F. </w:t>
            </w:r>
            <w:r>
              <w:rPr>
                <w:rFonts w:hint="default" w:ascii="Cambria" w:hAnsi="Cambria" w:cs="Cambria"/>
                <w:sz w:val="24"/>
                <w:szCs w:val="24"/>
              </w:rPr>
              <w:t>In this method, after manipulating the right Laogong, bend the finger upward and flick out from Neiguan to Jianshi and Tianhe.</w:t>
            </w:r>
          </w:p>
        </w:tc>
        <w:tc>
          <w:tcPr>
            <w:tcW w:w="719" w:type="dxa"/>
            <w:noWrap w:val="0"/>
            <w:vAlign w:val="top"/>
          </w:tcPr>
          <w:p w14:paraId="7D3C7F5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4" w:type="dxa"/>
            <w:noWrap w:val="0"/>
            <w:vAlign w:val="top"/>
          </w:tcPr>
          <w:p w14:paraId="2A35427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726" w:type="dxa"/>
            <w:noWrap w:val="0"/>
            <w:vAlign w:val="top"/>
          </w:tcPr>
          <w:p w14:paraId="1D14F9C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26B48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514049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G. </w:t>
            </w:r>
            <w:r>
              <w:rPr>
                <w:rFonts w:hint="default" w:ascii="Cambria" w:hAnsi="Cambria" w:cs="Cambria"/>
                <w:sz w:val="24"/>
                <w:szCs w:val="24"/>
              </w:rPr>
              <w:t xml:space="preserve">The practitioner uses the left thumb to pinch the child's Zongjin, and the right thumb and middle finger as if playing a zither, flicking over Tianhe to Quchi nine times, then uses the right thumb to pinch Jianjing, Pipa, and Zoma acupoints five times. </w:t>
            </w:r>
          </w:p>
        </w:tc>
        <w:tc>
          <w:tcPr>
            <w:tcW w:w="719" w:type="dxa"/>
            <w:noWrap w:val="0"/>
            <w:vAlign w:val="top"/>
          </w:tcPr>
          <w:p w14:paraId="7A1008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4" w:type="dxa"/>
            <w:noWrap w:val="0"/>
            <w:vAlign w:val="top"/>
          </w:tcPr>
          <w:p w14:paraId="6D3E189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726" w:type="dxa"/>
            <w:noWrap w:val="0"/>
            <w:vAlign w:val="top"/>
          </w:tcPr>
          <w:p w14:paraId="5C9D53F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57B96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07A6BF6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H. </w:t>
            </w:r>
            <w:r>
              <w:rPr>
                <w:rFonts w:hint="default" w:ascii="Cambria" w:hAnsi="Cambria" w:cs="Cambria"/>
                <w:sz w:val="24"/>
                <w:szCs w:val="24"/>
              </w:rPr>
              <w:t>The child takes a sitting or supine position. The practitioner sits beside in front, uses one hand to grasp the child's four fingers with palm upward, uses the other hand's middle finger to manipulate Neilaogong, then uses the index, middle, and ring fingers dipped in cool water, from Zongjin along Tianhe patting to Hongchi, or using the index and middle fingers to flick along Tianhe to the elbow bend, while flicking and blowing cool air, 20–30 times.</w:t>
            </w:r>
          </w:p>
        </w:tc>
        <w:tc>
          <w:tcPr>
            <w:tcW w:w="719" w:type="dxa"/>
            <w:noWrap w:val="0"/>
            <w:vAlign w:val="top"/>
          </w:tcPr>
          <w:p w14:paraId="13F8497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0.7</w:t>
            </w:r>
          </w:p>
        </w:tc>
        <w:tc>
          <w:tcPr>
            <w:tcW w:w="1124" w:type="dxa"/>
            <w:noWrap w:val="0"/>
            <w:vAlign w:val="top"/>
          </w:tcPr>
          <w:p w14:paraId="1FE8D2B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c>
          <w:tcPr>
            <w:tcW w:w="726" w:type="dxa"/>
            <w:noWrap w:val="0"/>
            <w:vAlign w:val="top"/>
          </w:tcPr>
          <w:p w14:paraId="67DB99F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r>
      <w:tr w14:paraId="1DD9F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6532EE6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I. Retain the original text of the national standard.</w:t>
            </w:r>
          </w:p>
        </w:tc>
        <w:tc>
          <w:tcPr>
            <w:tcW w:w="719" w:type="dxa"/>
            <w:noWrap w:val="0"/>
            <w:vAlign w:val="top"/>
          </w:tcPr>
          <w:p w14:paraId="2FDE876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1124" w:type="dxa"/>
            <w:noWrap w:val="0"/>
            <w:vAlign w:val="top"/>
          </w:tcPr>
          <w:p w14:paraId="0AD848A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726" w:type="dxa"/>
            <w:noWrap w:val="0"/>
            <w:vAlign w:val="top"/>
          </w:tcPr>
          <w:p w14:paraId="75DF232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r w14:paraId="4C4C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94" w:type="dxa"/>
            <w:noWrap w:val="0"/>
            <w:vAlign w:val="top"/>
          </w:tcPr>
          <w:p w14:paraId="600B328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J. Other</w:t>
            </w:r>
          </w:p>
        </w:tc>
        <w:tc>
          <w:tcPr>
            <w:tcW w:w="719" w:type="dxa"/>
            <w:noWrap w:val="0"/>
            <w:vAlign w:val="top"/>
          </w:tcPr>
          <w:p w14:paraId="0B3CCB2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0.07</w:t>
            </w:r>
          </w:p>
        </w:tc>
        <w:tc>
          <w:tcPr>
            <w:tcW w:w="1124" w:type="dxa"/>
            <w:noWrap w:val="0"/>
            <w:vAlign w:val="top"/>
          </w:tcPr>
          <w:p w14:paraId="5E1E9D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92.59%</w:t>
            </w:r>
          </w:p>
        </w:tc>
        <w:tc>
          <w:tcPr>
            <w:tcW w:w="726" w:type="dxa"/>
            <w:noWrap w:val="0"/>
            <w:vAlign w:val="top"/>
          </w:tcPr>
          <w:p w14:paraId="44292C7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r>
    </w:tbl>
    <w:p w14:paraId="4E54833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2.12 Survey Results on Huang Feng Ru Dong (Yellow Bee Entering the Cave)</w:t>
      </w:r>
    </w:p>
    <w:p w14:paraId="152508CD">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19 Survey Results on Huang Feng Ru Dong (Yellow Bee Entering the Cave)</w:t>
      </w:r>
    </w:p>
    <w:tbl>
      <w:tblPr>
        <w:tblStyle w:val="81"/>
        <w:tblW w:w="90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8"/>
        <w:gridCol w:w="1054"/>
        <w:gridCol w:w="1120"/>
        <w:gridCol w:w="844"/>
      </w:tblGrid>
      <w:tr w14:paraId="0D39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01587B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054" w:type="dxa"/>
            <w:noWrap w:val="0"/>
            <w:vAlign w:val="top"/>
          </w:tcPr>
          <w:p w14:paraId="0DC1020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4"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4" DrawAspect="Content" ObjectID="_1468075776" r:id="rId67">
                  <o:LockedField>false</o:LockedField>
                </o:OLEObject>
              </w:object>
            </w:r>
          </w:p>
        </w:tc>
        <w:tc>
          <w:tcPr>
            <w:tcW w:w="1120" w:type="dxa"/>
            <w:noWrap w:val="0"/>
            <w:vAlign w:val="top"/>
          </w:tcPr>
          <w:p w14:paraId="17DE39D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844" w:type="dxa"/>
            <w:noWrap w:val="0"/>
            <w:vAlign w:val="top"/>
          </w:tcPr>
          <w:p w14:paraId="2FBA688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39DC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1E92817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lang w:val="en-US"/>
              </w:rPr>
              <w:t>“</w:t>
            </w:r>
            <w:r>
              <w:rPr>
                <w:rFonts w:hint="default" w:ascii="Cambria" w:hAnsi="Cambria" w:cs="Cambria"/>
                <w:sz w:val="24"/>
                <w:szCs w:val="24"/>
              </w:rPr>
              <w:t>Huang Feng Ru Dong: bend the child's little finger, knead the child's Laogong, to dispel wind-cold.</w:t>
            </w:r>
            <w:r>
              <w:rPr>
                <w:rFonts w:hint="default" w:ascii="Cambria" w:hAnsi="Cambria" w:cs="Cambria"/>
                <w:sz w:val="24"/>
                <w:szCs w:val="24"/>
                <w:lang w:val="en-US"/>
              </w:rPr>
              <w:t>”</w:t>
            </w:r>
            <w:r>
              <w:rPr>
                <w:rFonts w:hint="default" w:ascii="Cambria" w:hAnsi="Cambria" w:cs="Cambria"/>
                <w:sz w:val="24"/>
                <w:szCs w:val="24"/>
              </w:rPr>
              <w:t xml:space="preserve"> The operating area is the palm center, mainly involving Neilaogong, with kneading as the main manipulation. </w:t>
            </w:r>
            <w:r>
              <w:rPr>
                <w:rFonts w:hint="default" w:ascii="Cambria" w:hAnsi="Cambria" w:cs="Cambria"/>
                <w:sz w:val="24"/>
                <w:szCs w:val="24"/>
                <w:lang w:eastAsia="en-US"/>
              </w:rPr>
              <w:t xml:space="preserve">                                   </w:t>
            </w:r>
          </w:p>
        </w:tc>
        <w:tc>
          <w:tcPr>
            <w:tcW w:w="1054" w:type="dxa"/>
            <w:noWrap w:val="0"/>
            <w:vAlign w:val="top"/>
          </w:tcPr>
          <w:p w14:paraId="46E083A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20" w:type="dxa"/>
            <w:noWrap w:val="0"/>
            <w:vAlign w:val="top"/>
          </w:tcPr>
          <w:p w14:paraId="14AAC5C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844" w:type="dxa"/>
            <w:noWrap w:val="0"/>
            <w:vAlign w:val="top"/>
          </w:tcPr>
          <w:p w14:paraId="5890AC3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0323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34A7C21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lang w:val="en-US"/>
              </w:rPr>
              <w:t>“</w:t>
            </w:r>
            <w:r>
              <w:rPr>
                <w:rFonts w:hint="default" w:ascii="Cambria" w:hAnsi="Cambria" w:cs="Cambria"/>
                <w:sz w:val="24"/>
                <w:szCs w:val="24"/>
              </w:rPr>
              <w:t xml:space="preserve">Huang Feng Ru Dong: great heat. First pinch the </w:t>
            </w:r>
            <w:r>
              <w:rPr>
                <w:rFonts w:hint="default" w:ascii="Cambria" w:hAnsi="Cambria" w:cs="Cambria"/>
                <w:sz w:val="24"/>
                <w:szCs w:val="24"/>
                <w:lang w:val="en-US"/>
              </w:rPr>
              <w:t>X</w:t>
            </w:r>
            <w:r>
              <w:rPr>
                <w:rFonts w:hint="default" w:ascii="Cambria" w:hAnsi="Cambria" w:cs="Cambria"/>
                <w:sz w:val="24"/>
                <w:szCs w:val="24"/>
                <w:lang w:val="en-US" w:eastAsia="zh-CN"/>
              </w:rPr>
              <w:t>in Jing</w:t>
            </w:r>
            <w:r>
              <w:rPr>
                <w:rFonts w:hint="default" w:ascii="Cambria" w:hAnsi="Cambria" w:cs="Cambria"/>
                <w:sz w:val="24"/>
                <w:szCs w:val="24"/>
              </w:rPr>
              <w:t xml:space="preserve">, second pinch Laogong, first open the </w:t>
            </w:r>
            <w:r>
              <w:rPr>
                <w:rFonts w:hint="default" w:ascii="Cambria" w:hAnsi="Cambria" w:cs="Cambria"/>
                <w:sz w:val="24"/>
                <w:szCs w:val="24"/>
                <w:lang w:val="en-US"/>
              </w:rPr>
              <w:t>Sanguan</w:t>
            </w:r>
            <w:r>
              <w:rPr>
                <w:rFonts w:hint="default" w:ascii="Cambria" w:hAnsi="Cambria" w:cs="Cambria"/>
                <w:sz w:val="24"/>
                <w:szCs w:val="24"/>
              </w:rPr>
              <w:t>, then perform this method. Use both thumbs to separate Yin and Yang, bring the two thumbs together forward, with the other fingers following, grip and move upward to induce sweating.</w:t>
            </w:r>
            <w:r>
              <w:rPr>
                <w:rFonts w:hint="default" w:ascii="Cambria" w:hAnsi="Cambria" w:cs="Cambria"/>
                <w:sz w:val="24"/>
                <w:szCs w:val="24"/>
                <w:lang w:val="en-US"/>
              </w:rPr>
              <w:t>”</w:t>
            </w:r>
            <w:r>
              <w:rPr>
                <w:rFonts w:hint="default" w:ascii="Cambria" w:hAnsi="Cambria" w:cs="Cambria"/>
                <w:sz w:val="24"/>
                <w:szCs w:val="24"/>
              </w:rPr>
              <w:t xml:space="preserve"> The operating area includes the middle finger, palm center, wrist, and forearm, involving </w:t>
            </w:r>
            <w:r>
              <w:rPr>
                <w:rFonts w:hint="default" w:ascii="Cambria" w:hAnsi="Cambria" w:cs="Cambria"/>
                <w:sz w:val="24"/>
                <w:szCs w:val="24"/>
                <w:lang w:val="en-US"/>
              </w:rPr>
              <w:t>X</w:t>
            </w:r>
            <w:r>
              <w:rPr>
                <w:rFonts w:hint="default" w:ascii="Cambria" w:hAnsi="Cambria" w:cs="Cambria"/>
                <w:sz w:val="24"/>
                <w:szCs w:val="24"/>
                <w:lang w:val="en-US" w:eastAsia="zh-CN"/>
              </w:rPr>
              <w:t>in Jing</w:t>
            </w:r>
            <w:r>
              <w:rPr>
                <w:rFonts w:hint="default" w:ascii="Cambria" w:hAnsi="Cambria" w:cs="Cambria"/>
                <w:sz w:val="24"/>
                <w:szCs w:val="24"/>
              </w:rPr>
              <w:t xml:space="preserve">, Neilaogong, </w:t>
            </w:r>
            <w:r>
              <w:rPr>
                <w:rFonts w:hint="default" w:ascii="Cambria" w:hAnsi="Cambria" w:cs="Cambria"/>
                <w:sz w:val="24"/>
                <w:szCs w:val="24"/>
                <w:lang w:val="en-US"/>
              </w:rPr>
              <w:t>Sanguan</w:t>
            </w:r>
            <w:r>
              <w:rPr>
                <w:rFonts w:hint="default" w:ascii="Cambria" w:hAnsi="Cambria" w:cs="Cambria"/>
                <w:sz w:val="24"/>
                <w:szCs w:val="24"/>
              </w:rPr>
              <w:t xml:space="preserve">, and Hand Yin-Yang. Manipulations include pinching, pushing, separating, and grasping. </w:t>
            </w:r>
            <w:r>
              <w:rPr>
                <w:rFonts w:hint="default" w:ascii="Cambria" w:hAnsi="Cambria" w:cs="Cambria"/>
                <w:sz w:val="24"/>
                <w:szCs w:val="24"/>
                <w:lang w:eastAsia="en-US"/>
              </w:rPr>
              <w:t xml:space="preserve">                                   </w:t>
            </w:r>
          </w:p>
        </w:tc>
        <w:tc>
          <w:tcPr>
            <w:tcW w:w="1054" w:type="dxa"/>
            <w:noWrap w:val="0"/>
            <w:vAlign w:val="top"/>
          </w:tcPr>
          <w:p w14:paraId="59D1C6F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0" w:type="dxa"/>
            <w:noWrap w:val="0"/>
            <w:vAlign w:val="top"/>
          </w:tcPr>
          <w:p w14:paraId="657446D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844" w:type="dxa"/>
            <w:noWrap w:val="0"/>
            <w:vAlign w:val="top"/>
          </w:tcPr>
          <w:p w14:paraId="50ED291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6D05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5787773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lang w:val="en-US"/>
              </w:rPr>
              <w:t>“</w:t>
            </w:r>
            <w:r>
              <w:rPr>
                <w:rFonts w:hint="default" w:ascii="Cambria" w:hAnsi="Cambria" w:cs="Cambria"/>
                <w:sz w:val="24"/>
                <w:szCs w:val="24"/>
              </w:rPr>
              <w:t>Huang Feng Ru Dong (belongs to Fire): The practitioner uses both thumbs to press into the ears dozens of times, to unblock qi. As previously described, pulling the ears and covering the ear gates are similar; the rest are not.</w:t>
            </w:r>
            <w:r>
              <w:rPr>
                <w:rFonts w:hint="default" w:ascii="Cambria" w:hAnsi="Cambria" w:cs="Cambria"/>
                <w:sz w:val="24"/>
                <w:szCs w:val="24"/>
                <w:lang w:val="en-US"/>
              </w:rPr>
              <w:t>”</w:t>
            </w:r>
            <w:r>
              <w:rPr>
                <w:rFonts w:hint="default" w:ascii="Cambria" w:hAnsi="Cambria" w:cs="Cambria"/>
                <w:sz w:val="24"/>
                <w:szCs w:val="24"/>
              </w:rPr>
              <w:t xml:space="preserve"> Operating area: ear, Fengmen (ear Fengmen). Manipulation: pressing. </w:t>
            </w:r>
            <w:r>
              <w:rPr>
                <w:rFonts w:hint="default" w:ascii="Cambria" w:hAnsi="Cambria" w:cs="Cambria"/>
                <w:sz w:val="24"/>
                <w:szCs w:val="24"/>
                <w:lang w:eastAsia="en-US"/>
              </w:rPr>
              <w:t xml:space="preserve">                                                               </w:t>
            </w:r>
          </w:p>
        </w:tc>
        <w:tc>
          <w:tcPr>
            <w:tcW w:w="1054" w:type="dxa"/>
            <w:noWrap w:val="0"/>
            <w:vAlign w:val="top"/>
          </w:tcPr>
          <w:p w14:paraId="5F9ECDC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0" w:type="dxa"/>
            <w:noWrap w:val="0"/>
            <w:vAlign w:val="top"/>
          </w:tcPr>
          <w:p w14:paraId="2568E62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844" w:type="dxa"/>
            <w:noWrap w:val="0"/>
            <w:vAlign w:val="top"/>
          </w:tcPr>
          <w:p w14:paraId="5DBD63D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70852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7428298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lang w:val="en-US"/>
              </w:rPr>
              <w:t>“</w:t>
            </w:r>
            <w:r>
              <w:rPr>
                <w:rFonts w:hint="default" w:ascii="Cambria" w:hAnsi="Cambria" w:cs="Cambria"/>
                <w:sz w:val="24"/>
                <w:szCs w:val="24"/>
              </w:rPr>
              <w:t>Huang Feng Ru Dong (three methods): Use both thumbs to press into the child's ears dozens of times to unblock qi. Also, bend the child's little finger and knead Laogong. Also, use the thumb and index finger to pinch both sides of the root of the child's middle finger.</w:t>
            </w:r>
            <w:r>
              <w:rPr>
                <w:rFonts w:hint="default" w:ascii="Cambria" w:hAnsi="Cambria" w:cs="Cambria"/>
                <w:sz w:val="24"/>
                <w:szCs w:val="24"/>
                <w:lang w:val="en-US"/>
              </w:rPr>
              <w:t>”</w:t>
            </w:r>
            <w:r>
              <w:rPr>
                <w:rFonts w:hint="default" w:ascii="Cambria" w:hAnsi="Cambria" w:cs="Cambria"/>
                <w:sz w:val="24"/>
                <w:szCs w:val="24"/>
              </w:rPr>
              <w:t xml:space="preserve"> First method: ear, Fengmen (ear Fengmen); second: palm center, Neilaogong; third: both sides of the middle finger root, Ershanmen. Manipulations: pressing, kneading, pinching.</w:t>
            </w:r>
            <w:r>
              <w:rPr>
                <w:rFonts w:hint="default" w:ascii="Cambria" w:hAnsi="Cambria" w:cs="Cambria"/>
                <w:sz w:val="24"/>
                <w:szCs w:val="24"/>
                <w:lang w:eastAsia="en-US"/>
              </w:rPr>
              <w:t xml:space="preserve">                                                                        </w:t>
            </w:r>
          </w:p>
        </w:tc>
        <w:tc>
          <w:tcPr>
            <w:tcW w:w="1054" w:type="dxa"/>
            <w:noWrap w:val="0"/>
            <w:vAlign w:val="top"/>
          </w:tcPr>
          <w:p w14:paraId="0DCE2D6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0" w:type="dxa"/>
            <w:noWrap w:val="0"/>
            <w:vAlign w:val="top"/>
          </w:tcPr>
          <w:p w14:paraId="1F38B8B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844" w:type="dxa"/>
            <w:noWrap w:val="0"/>
            <w:vAlign w:val="top"/>
          </w:tcPr>
          <w:p w14:paraId="2A90DB2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65F90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11F4DA2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lang w:val="en-US"/>
              </w:rPr>
              <w:t>“</w:t>
            </w:r>
            <w:r>
              <w:rPr>
                <w:rFonts w:hint="default" w:ascii="Cambria" w:hAnsi="Cambria" w:cs="Cambria"/>
                <w:sz w:val="24"/>
                <w:szCs w:val="24"/>
              </w:rPr>
              <w:t xml:space="preserve">Huang Feng Ru Dong: with the child's left palm facing upward, the practitioner uses both hands' middle, ring, and little fingers to support, places both thumbs between </w:t>
            </w:r>
            <w:r>
              <w:rPr>
                <w:rFonts w:hint="default" w:ascii="Cambria" w:hAnsi="Cambria" w:cs="Cambria"/>
                <w:sz w:val="24"/>
                <w:szCs w:val="24"/>
                <w:lang w:val="en-US"/>
              </w:rPr>
              <w:t>Sanguan</w:t>
            </w:r>
            <w:r>
              <w:rPr>
                <w:rFonts w:hint="default" w:ascii="Cambria" w:hAnsi="Cambria" w:cs="Cambria"/>
                <w:sz w:val="24"/>
                <w:szCs w:val="24"/>
              </w:rPr>
              <w:t xml:space="preserve"> and Liufu, the left index finger near the Fu, the right index finger near the Guan, pinching and rubbing in the middle, rotating from Zongjin to Quchi, then three fingers across, moving from bottom to top, repeated 3–4 times.</w:t>
            </w:r>
            <w:r>
              <w:rPr>
                <w:rFonts w:hint="default" w:ascii="Cambria" w:hAnsi="Cambria" w:cs="Cambria"/>
                <w:sz w:val="24"/>
                <w:szCs w:val="24"/>
                <w:lang w:val="en-US"/>
              </w:rPr>
              <w:t>”</w:t>
            </w:r>
            <w:r>
              <w:rPr>
                <w:rFonts w:hint="default" w:ascii="Cambria" w:hAnsi="Cambria" w:cs="Cambria"/>
                <w:sz w:val="24"/>
                <w:szCs w:val="24"/>
              </w:rPr>
              <w:t xml:space="preserve"> Operating area: anterior forearm and its sides, involving </w:t>
            </w:r>
            <w:r>
              <w:rPr>
                <w:rFonts w:hint="default" w:ascii="Cambria" w:hAnsi="Cambria" w:cs="Cambria"/>
                <w:sz w:val="24"/>
                <w:szCs w:val="24"/>
                <w:lang w:val="en-US"/>
              </w:rPr>
              <w:t>Sanguan</w:t>
            </w:r>
            <w:r>
              <w:rPr>
                <w:rFonts w:hint="default" w:ascii="Cambria" w:hAnsi="Cambria" w:cs="Cambria"/>
                <w:sz w:val="24"/>
                <w:szCs w:val="24"/>
              </w:rPr>
              <w:t>, Liufu, Zongjin (Zongjing), Quchi. Manipulations: pinching and kneading.</w:t>
            </w:r>
          </w:p>
        </w:tc>
        <w:tc>
          <w:tcPr>
            <w:tcW w:w="1054" w:type="dxa"/>
            <w:noWrap w:val="0"/>
            <w:vAlign w:val="top"/>
          </w:tcPr>
          <w:p w14:paraId="7C7A99F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0" w:type="dxa"/>
            <w:noWrap w:val="0"/>
            <w:vAlign w:val="top"/>
          </w:tcPr>
          <w:p w14:paraId="78B0545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844" w:type="dxa"/>
            <w:noWrap w:val="0"/>
            <w:vAlign w:val="top"/>
          </w:tcPr>
          <w:p w14:paraId="1C9CAE1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1135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325E0F8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F. </w:t>
            </w:r>
            <w:r>
              <w:rPr>
                <w:rFonts w:hint="default" w:ascii="Cambria" w:hAnsi="Cambria" w:cs="Cambria"/>
                <w:sz w:val="24"/>
                <w:szCs w:val="24"/>
                <w:lang w:val="en-US"/>
              </w:rPr>
              <w:t>“</w:t>
            </w:r>
            <w:r>
              <w:rPr>
                <w:rFonts w:hint="default" w:ascii="Cambria" w:hAnsi="Cambria" w:cs="Cambria"/>
                <w:sz w:val="24"/>
                <w:szCs w:val="24"/>
              </w:rPr>
              <w:t>Huang Feng Ru Dong: the cave is in the child's two nostrils; my index and middle fingers are like a pair of yellow bees. The method is to bend my thumb, extend my index and middle fingers, insert them into the child's two nostrils and knead, like yellow bees entering a cave.</w:t>
            </w:r>
            <w:r>
              <w:rPr>
                <w:rFonts w:hint="default" w:ascii="Cambria" w:hAnsi="Cambria" w:cs="Cambria"/>
                <w:sz w:val="24"/>
                <w:szCs w:val="24"/>
                <w:lang w:val="en-US"/>
              </w:rPr>
              <w:t>”</w:t>
            </w:r>
            <w:r>
              <w:rPr>
                <w:rFonts w:hint="default" w:ascii="Cambria" w:hAnsi="Cambria" w:cs="Cambria"/>
                <w:sz w:val="24"/>
                <w:szCs w:val="24"/>
              </w:rPr>
              <w:t xml:space="preserve"> Operating area: nostrils. Manipulation: kneading.</w:t>
            </w:r>
          </w:p>
        </w:tc>
        <w:tc>
          <w:tcPr>
            <w:tcW w:w="1054" w:type="dxa"/>
            <w:noWrap w:val="0"/>
            <w:vAlign w:val="top"/>
          </w:tcPr>
          <w:p w14:paraId="27445CD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0.07</w:t>
            </w:r>
          </w:p>
        </w:tc>
        <w:tc>
          <w:tcPr>
            <w:tcW w:w="1120" w:type="dxa"/>
            <w:noWrap w:val="0"/>
            <w:vAlign w:val="top"/>
          </w:tcPr>
          <w:p w14:paraId="7889A18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92.59%</w:t>
            </w:r>
          </w:p>
        </w:tc>
        <w:tc>
          <w:tcPr>
            <w:tcW w:w="844" w:type="dxa"/>
            <w:noWrap w:val="0"/>
            <w:vAlign w:val="top"/>
          </w:tcPr>
          <w:p w14:paraId="6F88862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r>
      <w:tr w14:paraId="47583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5EAD73B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G. </w:t>
            </w:r>
            <w:r>
              <w:rPr>
                <w:rFonts w:hint="default" w:ascii="Cambria" w:hAnsi="Cambria" w:cs="Cambria"/>
                <w:sz w:val="24"/>
                <w:szCs w:val="24"/>
                <w:lang w:val="en-US"/>
              </w:rPr>
              <w:t>“</w:t>
            </w:r>
            <w:r>
              <w:rPr>
                <w:rFonts w:hint="default" w:ascii="Cambria" w:hAnsi="Cambria" w:cs="Cambria"/>
                <w:sz w:val="24"/>
                <w:szCs w:val="24"/>
              </w:rPr>
              <w:t>Bend the child's left little finger, knead the outer Laogong heavily, called Huang Feng Ru Dong.</w:t>
            </w:r>
            <w:r>
              <w:rPr>
                <w:rFonts w:hint="default" w:ascii="Cambria" w:hAnsi="Cambria" w:cs="Cambria"/>
                <w:sz w:val="24"/>
                <w:szCs w:val="24"/>
                <w:lang w:val="en-US"/>
              </w:rPr>
              <w:t>”</w:t>
            </w:r>
            <w:r>
              <w:rPr>
                <w:rFonts w:hint="default" w:ascii="Cambria" w:hAnsi="Cambria" w:cs="Cambria"/>
                <w:sz w:val="24"/>
                <w:szCs w:val="24"/>
              </w:rPr>
              <w:t xml:space="preserve"> Operating area: outer Laogong on the dorsum of the hand. Manipulation: kneading.</w:t>
            </w:r>
          </w:p>
        </w:tc>
        <w:tc>
          <w:tcPr>
            <w:tcW w:w="1054" w:type="dxa"/>
            <w:noWrap w:val="0"/>
            <w:vAlign w:val="top"/>
          </w:tcPr>
          <w:p w14:paraId="3509E74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0" w:type="dxa"/>
            <w:noWrap w:val="0"/>
            <w:vAlign w:val="top"/>
          </w:tcPr>
          <w:p w14:paraId="734525E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844" w:type="dxa"/>
            <w:noWrap w:val="0"/>
            <w:vAlign w:val="top"/>
          </w:tcPr>
          <w:p w14:paraId="204779A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31BE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1A44CA0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H. </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Press Fengmen: Fengmen is the ear gate, located in the depression in front of the ear; use both thumbs' dorsal knuckles to press both ear gates, which is the Huang Feng Ru Dong.</w:t>
            </w:r>
            <w:r>
              <w:rPr>
                <w:rFonts w:hint="default" w:ascii="Cambria" w:hAnsi="Cambria" w:cs="Cambria"/>
                <w:sz w:val="24"/>
                <w:szCs w:val="24"/>
                <w:lang w:val="en-US"/>
              </w:rPr>
              <w:t>”</w:t>
            </w:r>
            <w:r>
              <w:rPr>
                <w:rFonts w:hint="default" w:ascii="Cambria" w:hAnsi="Cambria" w:cs="Cambria"/>
                <w:sz w:val="24"/>
                <w:szCs w:val="24"/>
              </w:rPr>
              <w:t xml:space="preserve"> Operating area: ear, Fengmen (ear gate). Manipulation: pressing. </w:t>
            </w:r>
          </w:p>
        </w:tc>
        <w:tc>
          <w:tcPr>
            <w:tcW w:w="1054" w:type="dxa"/>
            <w:noWrap w:val="0"/>
            <w:vAlign w:val="top"/>
          </w:tcPr>
          <w:p w14:paraId="298E1F4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0" w:type="dxa"/>
            <w:noWrap w:val="0"/>
            <w:vAlign w:val="top"/>
          </w:tcPr>
          <w:p w14:paraId="70DED08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844" w:type="dxa"/>
            <w:noWrap w:val="0"/>
            <w:vAlign w:val="top"/>
          </w:tcPr>
          <w:p w14:paraId="49D9FB6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0F352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4B53EE9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I. </w:t>
            </w:r>
            <w:r>
              <w:rPr>
                <w:rFonts w:hint="default" w:ascii="Cambria" w:hAnsi="Cambria" w:cs="Cambria"/>
                <w:sz w:val="24"/>
                <w:szCs w:val="24"/>
              </w:rPr>
              <w:t>The practitioner bends both thumbs and presses on the child's ear (called pulling and covering the ear gate), which can open the passes, clear heat, and unblock qi. (Another says) from Zongxin meridian upward, step by step, flick to Quchi, one pinch like a bee entering a cave. It can transform cold and take heat, both hands performed simultaneously. Operating area: child's ears and forearm.</w:t>
            </w:r>
          </w:p>
        </w:tc>
        <w:tc>
          <w:tcPr>
            <w:tcW w:w="1054" w:type="dxa"/>
            <w:noWrap w:val="0"/>
            <w:vAlign w:val="top"/>
          </w:tcPr>
          <w:p w14:paraId="0866A56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20" w:type="dxa"/>
            <w:noWrap w:val="0"/>
            <w:vAlign w:val="top"/>
          </w:tcPr>
          <w:p w14:paraId="15727CD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844" w:type="dxa"/>
            <w:noWrap w:val="0"/>
            <w:vAlign w:val="top"/>
          </w:tcPr>
          <w:p w14:paraId="32A9B94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05386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51D2A22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J. </w:t>
            </w:r>
            <w:r>
              <w:rPr>
                <w:rFonts w:hint="default" w:ascii="Cambria" w:hAnsi="Cambria" w:cs="Cambria"/>
                <w:sz w:val="24"/>
                <w:szCs w:val="24"/>
              </w:rPr>
              <w:t xml:space="preserve">Huang Feng Ru Dong is located on both sides of the nasal alae; the </w:t>
            </w:r>
            <w:r>
              <w:rPr>
                <w:rFonts w:hint="default" w:ascii="Cambria" w:hAnsi="Cambria" w:cs="Cambria"/>
                <w:sz w:val="24"/>
                <w:szCs w:val="24"/>
                <w:lang w:val="en-US"/>
              </w:rPr>
              <w:t>practitioner</w:t>
            </w:r>
            <w:r>
              <w:rPr>
                <w:rFonts w:hint="default" w:ascii="Cambria" w:hAnsi="Cambria" w:cs="Cambria"/>
                <w:sz w:val="24"/>
                <w:szCs w:val="24"/>
              </w:rPr>
              <w:t xml:space="preserve"> uses the index and middle fingers separated, at the edge of the nasal bone slightly above the nasal alae, kneading up and down repeatedly. This method operates on both sides of the nasal alae.</w:t>
            </w:r>
          </w:p>
        </w:tc>
        <w:tc>
          <w:tcPr>
            <w:tcW w:w="1054" w:type="dxa"/>
            <w:noWrap w:val="0"/>
            <w:vAlign w:val="top"/>
          </w:tcPr>
          <w:p w14:paraId="6DFA0A2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20" w:type="dxa"/>
            <w:noWrap w:val="0"/>
            <w:vAlign w:val="top"/>
          </w:tcPr>
          <w:p w14:paraId="6A4DB12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844" w:type="dxa"/>
            <w:noWrap w:val="0"/>
            <w:vAlign w:val="top"/>
          </w:tcPr>
          <w:p w14:paraId="04FF537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09209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429C76B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K. </w:t>
            </w:r>
            <w:r>
              <w:rPr>
                <w:rFonts w:hint="default" w:ascii="Cambria" w:hAnsi="Cambria" w:cs="Cambria"/>
                <w:sz w:val="24"/>
                <w:szCs w:val="24"/>
              </w:rPr>
              <w:t xml:space="preserve">The child takes a supine or sitting position. Use one hand to gently support the child's head to keep it relatively stable; use the tips of the index and middle fingers of the other hand to exert force, closely adhering to the lower margins of the child's two nostrils, with the wrist joint as the main mover, performing continuous, uninterrupted kneading 50–100 times. </w:t>
            </w:r>
          </w:p>
        </w:tc>
        <w:tc>
          <w:tcPr>
            <w:tcW w:w="1054" w:type="dxa"/>
            <w:noWrap w:val="0"/>
            <w:vAlign w:val="top"/>
          </w:tcPr>
          <w:p w14:paraId="4CD0E3F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0.56</w:t>
            </w:r>
          </w:p>
        </w:tc>
        <w:tc>
          <w:tcPr>
            <w:tcW w:w="1120" w:type="dxa"/>
            <w:noWrap w:val="0"/>
            <w:vAlign w:val="top"/>
          </w:tcPr>
          <w:p w14:paraId="418BDF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44.44%</w:t>
            </w:r>
          </w:p>
        </w:tc>
        <w:tc>
          <w:tcPr>
            <w:tcW w:w="844" w:type="dxa"/>
            <w:noWrap w:val="0"/>
            <w:vAlign w:val="top"/>
          </w:tcPr>
          <w:p w14:paraId="652DAE5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15</w:t>
            </w:r>
          </w:p>
        </w:tc>
      </w:tr>
      <w:tr w14:paraId="139B2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1B89107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L. Retain the original text of the national standard.</w:t>
            </w:r>
          </w:p>
        </w:tc>
        <w:tc>
          <w:tcPr>
            <w:tcW w:w="1054" w:type="dxa"/>
            <w:noWrap w:val="0"/>
            <w:vAlign w:val="top"/>
          </w:tcPr>
          <w:p w14:paraId="137814E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0.26</w:t>
            </w:r>
          </w:p>
        </w:tc>
        <w:tc>
          <w:tcPr>
            <w:tcW w:w="1120" w:type="dxa"/>
            <w:noWrap w:val="0"/>
            <w:vAlign w:val="top"/>
          </w:tcPr>
          <w:p w14:paraId="745B219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74.07%</w:t>
            </w:r>
          </w:p>
        </w:tc>
        <w:tc>
          <w:tcPr>
            <w:tcW w:w="844" w:type="dxa"/>
            <w:noWrap w:val="0"/>
            <w:vAlign w:val="top"/>
          </w:tcPr>
          <w:p w14:paraId="637E2A6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w:t>
            </w:r>
          </w:p>
        </w:tc>
      </w:tr>
      <w:tr w14:paraId="49D2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38" w:type="dxa"/>
            <w:noWrap w:val="0"/>
            <w:vAlign w:val="top"/>
          </w:tcPr>
          <w:p w14:paraId="0E1F71A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M. Other</w:t>
            </w:r>
          </w:p>
        </w:tc>
        <w:tc>
          <w:tcPr>
            <w:tcW w:w="1054" w:type="dxa"/>
            <w:noWrap w:val="0"/>
            <w:vAlign w:val="top"/>
          </w:tcPr>
          <w:p w14:paraId="7AB27FC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20" w:type="dxa"/>
            <w:noWrap w:val="0"/>
            <w:vAlign w:val="top"/>
          </w:tcPr>
          <w:p w14:paraId="795D01E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844" w:type="dxa"/>
            <w:noWrap w:val="0"/>
            <w:vAlign w:val="top"/>
          </w:tcPr>
          <w:p w14:paraId="587072E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bl>
    <w:p w14:paraId="0480E9F0">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2.13 Survey Results on An Xian Cuo Mo (Pressing the Hypochondrium and Rubbing-Kneading)</w:t>
      </w:r>
    </w:p>
    <w:p w14:paraId="1EFB1DA3">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20 Survey Results on An Xian Cuo Mo (Pressing the Hypochondrium and Rubbing-Kneading)</w:t>
      </w:r>
    </w:p>
    <w:tbl>
      <w:tblPr>
        <w:tblStyle w:val="81"/>
        <w:tblW w:w="88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3"/>
        <w:gridCol w:w="1051"/>
        <w:gridCol w:w="1144"/>
        <w:gridCol w:w="896"/>
      </w:tblGrid>
      <w:tr w14:paraId="2BCA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0904697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055" w:type="dxa"/>
            <w:noWrap w:val="0"/>
            <w:vAlign w:val="top"/>
          </w:tcPr>
          <w:p w14:paraId="35E9DF8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5"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5" DrawAspect="Content" ObjectID="_1468075777" r:id="rId68">
                  <o:LockedField>false</o:LockedField>
                </o:OLEObject>
              </w:object>
            </w:r>
          </w:p>
        </w:tc>
        <w:tc>
          <w:tcPr>
            <w:tcW w:w="1097" w:type="dxa"/>
            <w:noWrap w:val="0"/>
            <w:vAlign w:val="top"/>
          </w:tcPr>
          <w:p w14:paraId="6752284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R</w:t>
            </w:r>
          </w:p>
        </w:tc>
        <w:tc>
          <w:tcPr>
            <w:tcW w:w="900" w:type="dxa"/>
            <w:noWrap w:val="0"/>
            <w:vAlign w:val="top"/>
          </w:tcPr>
          <w:p w14:paraId="59E8864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S</w:t>
            </w:r>
          </w:p>
        </w:tc>
      </w:tr>
      <w:tr w14:paraId="14000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6EE7DC5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The manipulation is to first manipulate the </w:t>
            </w:r>
            <w:r>
              <w:rPr>
                <w:rFonts w:hint="default" w:ascii="Cambria" w:hAnsi="Cambria" w:cs="Cambria"/>
                <w:sz w:val="24"/>
                <w:szCs w:val="24"/>
                <w:lang w:val="en-US"/>
              </w:rPr>
              <w:t>B</w:t>
            </w:r>
            <w:r>
              <w:rPr>
                <w:rFonts w:hint="default" w:ascii="Cambria" w:hAnsi="Cambria" w:cs="Cambria"/>
                <w:sz w:val="24"/>
                <w:szCs w:val="24"/>
                <w:lang w:val="en-US" w:eastAsia="zh-CN"/>
              </w:rPr>
              <w:t xml:space="preserve">a </w:t>
            </w:r>
            <w:r>
              <w:rPr>
                <w:rFonts w:hint="default" w:ascii="Cambria" w:hAnsi="Cambria" w:cs="Cambria"/>
                <w:sz w:val="24"/>
                <w:szCs w:val="24"/>
                <w:lang w:val="en-US"/>
              </w:rPr>
              <w:t>Gua</w:t>
            </w:r>
            <w:r>
              <w:rPr>
                <w:rFonts w:hint="default" w:ascii="Cambria" w:hAnsi="Cambria" w:cs="Cambria"/>
                <w:sz w:val="24"/>
                <w:szCs w:val="24"/>
              </w:rPr>
              <w:t xml:space="preserve">, then use fingers to rub the child's hand, rub once above the pass, once in the middle, once below, then grasp the child's hand and shake gently and slowly. Operating area: palm. </w:t>
            </w:r>
            <w:r>
              <w:rPr>
                <w:rFonts w:hint="default" w:ascii="Cambria" w:hAnsi="Cambria" w:cs="Cambria"/>
                <w:sz w:val="24"/>
                <w:szCs w:val="24"/>
                <w:lang w:eastAsia="en-US"/>
              </w:rPr>
              <w:t xml:space="preserve">                                                     </w:t>
            </w:r>
          </w:p>
        </w:tc>
        <w:tc>
          <w:tcPr>
            <w:tcW w:w="1055" w:type="dxa"/>
            <w:noWrap w:val="0"/>
            <w:vAlign w:val="top"/>
          </w:tcPr>
          <w:p w14:paraId="52E993E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97" w:type="dxa"/>
            <w:noWrap w:val="0"/>
            <w:vAlign w:val="top"/>
          </w:tcPr>
          <w:p w14:paraId="6E88432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00" w:type="dxa"/>
            <w:noWrap w:val="0"/>
            <w:vAlign w:val="top"/>
          </w:tcPr>
          <w:p w14:paraId="46C7332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77C84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61E8C9E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The manipulation is for the practitioner to use both thumbs to rub the dorsum of the child's hand and arm several times, then grasp the palm and shake gently and slowly. Operating area: palm.</w:t>
            </w:r>
            <w:r>
              <w:rPr>
                <w:rFonts w:hint="default" w:ascii="Cambria" w:hAnsi="Cambria" w:cs="Cambria"/>
                <w:sz w:val="24"/>
                <w:szCs w:val="24"/>
                <w:lang w:eastAsia="en-US"/>
              </w:rPr>
              <w:t xml:space="preserve">                                             </w:t>
            </w:r>
          </w:p>
        </w:tc>
        <w:tc>
          <w:tcPr>
            <w:tcW w:w="1055" w:type="dxa"/>
            <w:noWrap w:val="0"/>
            <w:vAlign w:val="top"/>
          </w:tcPr>
          <w:p w14:paraId="12C872D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97" w:type="dxa"/>
            <w:noWrap w:val="0"/>
            <w:vAlign w:val="top"/>
          </w:tcPr>
          <w:p w14:paraId="333652B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00" w:type="dxa"/>
            <w:noWrap w:val="0"/>
            <w:vAlign w:val="top"/>
          </w:tcPr>
          <w:p w14:paraId="5AD95C1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1B768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6754612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The practitioner uses the left hand to hold the child's palm upward, uses the right thumb and index finger to gently rub from Yang acupoint to Quchi, then gently rub to Yin acupoint, repeating nine times. For yang patterns, the Guan is light and Fu heavy; for yin patterns, the Guan is heavy and Fu light. Then use both hands to push and rub from Quchi to Guan and Fu 3–4 times; the practitioner then uses the right thumb, index, and middle fingers to pinch the child's Spleen finger, and the left thumb, index, and middle fingers to pinch the child's elbow, shaking outward 24 times. Operating area: arm. </w:t>
            </w:r>
          </w:p>
        </w:tc>
        <w:tc>
          <w:tcPr>
            <w:tcW w:w="1055" w:type="dxa"/>
            <w:noWrap w:val="0"/>
            <w:vAlign w:val="top"/>
          </w:tcPr>
          <w:p w14:paraId="7408EE2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97" w:type="dxa"/>
            <w:noWrap w:val="0"/>
            <w:vAlign w:val="top"/>
          </w:tcPr>
          <w:p w14:paraId="4917A8E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00" w:type="dxa"/>
            <w:noWrap w:val="0"/>
            <w:vAlign w:val="top"/>
          </w:tcPr>
          <w:p w14:paraId="565CC71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59067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1A16E61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lang w:val="en-US"/>
              </w:rPr>
              <w:t>“</w:t>
            </w:r>
            <w:r>
              <w:rPr>
                <w:rFonts w:hint="default" w:ascii="Cambria" w:hAnsi="Cambria" w:cs="Cambria"/>
                <w:sz w:val="24"/>
                <w:szCs w:val="24"/>
              </w:rPr>
              <w:t>String</w:t>
            </w:r>
            <w:r>
              <w:rPr>
                <w:rFonts w:hint="default" w:ascii="Cambria" w:hAnsi="Cambria" w:cs="Cambria"/>
                <w:sz w:val="24"/>
                <w:szCs w:val="24"/>
                <w:lang w:val="en-US"/>
              </w:rPr>
              <w:t>”</w:t>
            </w:r>
            <w:r>
              <w:rPr>
                <w:rFonts w:hint="default" w:ascii="Cambria" w:hAnsi="Cambria" w:cs="Cambria"/>
                <w:sz w:val="24"/>
                <w:szCs w:val="24"/>
              </w:rPr>
              <w:t xml:space="preserve"> refers to the rib bones, located on both sides of the ribs. The method: have one person hold the child sitting in their arms, place the child's hands over the child's shoulders, and use both hands to rub from both sides of the ribs down to below the abdomen. Operating area: chest and hypochondrium.</w:t>
            </w:r>
          </w:p>
        </w:tc>
        <w:tc>
          <w:tcPr>
            <w:tcW w:w="1055" w:type="dxa"/>
            <w:noWrap w:val="0"/>
            <w:vAlign w:val="top"/>
          </w:tcPr>
          <w:p w14:paraId="091573F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0.11</w:t>
            </w:r>
          </w:p>
        </w:tc>
        <w:tc>
          <w:tcPr>
            <w:tcW w:w="1097" w:type="dxa"/>
            <w:noWrap w:val="0"/>
            <w:vAlign w:val="top"/>
          </w:tcPr>
          <w:p w14:paraId="25FE569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88.89%</w:t>
            </w:r>
          </w:p>
        </w:tc>
        <w:tc>
          <w:tcPr>
            <w:tcW w:w="900" w:type="dxa"/>
            <w:noWrap w:val="0"/>
            <w:vAlign w:val="top"/>
          </w:tcPr>
          <w:p w14:paraId="17644C6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r>
      <w:tr w14:paraId="23E6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7D932BE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The child takes a sitting position, or the parent holds the child sitting in their arms. The child's hands hang naturally. The practitioner stands behind the child, uses the palmar surfaces of both hands to exert force, lightly adhering to both sides of the child's hypochondrium, performing symmetrical rubbing and friction, from top to bottom to the region below the abdomen, 50–500 times.</w:t>
            </w:r>
          </w:p>
        </w:tc>
        <w:tc>
          <w:tcPr>
            <w:tcW w:w="1055" w:type="dxa"/>
            <w:noWrap w:val="0"/>
            <w:vAlign w:val="top"/>
          </w:tcPr>
          <w:p w14:paraId="0B92321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0.63</w:t>
            </w:r>
          </w:p>
        </w:tc>
        <w:tc>
          <w:tcPr>
            <w:tcW w:w="1097" w:type="dxa"/>
            <w:noWrap w:val="0"/>
            <w:vAlign w:val="top"/>
          </w:tcPr>
          <w:p w14:paraId="3C721AA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c>
          <w:tcPr>
            <w:tcW w:w="900" w:type="dxa"/>
            <w:noWrap w:val="0"/>
            <w:vAlign w:val="top"/>
          </w:tcPr>
          <w:p w14:paraId="405ACEC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17</w:t>
            </w:r>
          </w:p>
        </w:tc>
      </w:tr>
      <w:tr w14:paraId="17B38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44529CB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F. Retain the original text of the national standard.</w:t>
            </w:r>
          </w:p>
        </w:tc>
        <w:tc>
          <w:tcPr>
            <w:tcW w:w="1055" w:type="dxa"/>
            <w:noWrap w:val="0"/>
            <w:vAlign w:val="top"/>
          </w:tcPr>
          <w:p w14:paraId="08B18C2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97" w:type="dxa"/>
            <w:noWrap w:val="0"/>
            <w:vAlign w:val="top"/>
          </w:tcPr>
          <w:p w14:paraId="0A5B731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900" w:type="dxa"/>
            <w:noWrap w:val="0"/>
            <w:vAlign w:val="top"/>
          </w:tcPr>
          <w:p w14:paraId="1514720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56D9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32" w:type="dxa"/>
            <w:noWrap w:val="0"/>
            <w:vAlign w:val="top"/>
          </w:tcPr>
          <w:p w14:paraId="4F9BA33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G. Other</w:t>
            </w:r>
          </w:p>
        </w:tc>
        <w:tc>
          <w:tcPr>
            <w:tcW w:w="1055" w:type="dxa"/>
            <w:noWrap w:val="0"/>
            <w:vAlign w:val="top"/>
          </w:tcPr>
          <w:p w14:paraId="0C8CB2B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97" w:type="dxa"/>
            <w:noWrap w:val="0"/>
            <w:vAlign w:val="top"/>
          </w:tcPr>
          <w:p w14:paraId="1A6FCAB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00" w:type="dxa"/>
            <w:noWrap w:val="0"/>
            <w:vAlign w:val="top"/>
          </w:tcPr>
          <w:p w14:paraId="48A36CD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6A3AD3A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2.14 Survey Results on Er Long Xi Zhu (Two Dragons Playing with a Pearl)</w:t>
      </w:r>
    </w:p>
    <w:p w14:paraId="11C76154">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21 Survey Results on Er Long Xi Zhu (Two Dragons Playing with a Pearl)</w:t>
      </w:r>
    </w:p>
    <w:tbl>
      <w:tblPr>
        <w:tblStyle w:val="81"/>
        <w:tblW w:w="8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4"/>
        <w:gridCol w:w="935"/>
        <w:gridCol w:w="1130"/>
        <w:gridCol w:w="971"/>
      </w:tblGrid>
      <w:tr w14:paraId="769E0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28B7130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935" w:type="dxa"/>
            <w:noWrap w:val="0"/>
            <w:vAlign w:val="top"/>
          </w:tcPr>
          <w:p w14:paraId="54B9E35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6"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6" DrawAspect="Content" ObjectID="_1468075778" r:id="rId69">
                  <o:LockedField>false</o:LockedField>
                </o:OLEObject>
              </w:object>
            </w:r>
          </w:p>
        </w:tc>
        <w:tc>
          <w:tcPr>
            <w:tcW w:w="1130" w:type="dxa"/>
            <w:noWrap w:val="0"/>
            <w:vAlign w:val="top"/>
          </w:tcPr>
          <w:p w14:paraId="051F1EA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R</w:t>
            </w:r>
          </w:p>
        </w:tc>
        <w:tc>
          <w:tcPr>
            <w:tcW w:w="971" w:type="dxa"/>
            <w:noWrap w:val="0"/>
            <w:vAlign w:val="top"/>
          </w:tcPr>
          <w:p w14:paraId="6B60F09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S</w:t>
            </w:r>
          </w:p>
        </w:tc>
      </w:tr>
      <w:tr w14:paraId="4BC05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372ADD4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Use the right hand to hold the child's index and ring fingertips, use the left hand to pinch and press the Yin and Yang acupoints, press and pinch upward to Quchi; for cold patterns, press heavily on Yang acupoint; for heat patterns, press heavily on Yin acupoint; finally, pinch and press the Yin and Yang acupoints with the left hand, and shake the child's index and ring fingers with the right hand.</w:t>
            </w:r>
            <w:r>
              <w:rPr>
                <w:rFonts w:hint="default" w:ascii="Cambria" w:hAnsi="Cambria" w:cs="Cambria"/>
                <w:sz w:val="24"/>
                <w:szCs w:val="24"/>
                <w:lang w:eastAsia="en-US"/>
              </w:rPr>
              <w:t xml:space="preserve">                                                                                    </w:t>
            </w:r>
          </w:p>
        </w:tc>
        <w:tc>
          <w:tcPr>
            <w:tcW w:w="935" w:type="dxa"/>
            <w:noWrap w:val="0"/>
            <w:vAlign w:val="top"/>
          </w:tcPr>
          <w:p w14:paraId="60043C2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30" w:type="dxa"/>
            <w:noWrap w:val="0"/>
            <w:vAlign w:val="top"/>
          </w:tcPr>
          <w:p w14:paraId="742D149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w:t>
            </w:r>
          </w:p>
        </w:tc>
        <w:tc>
          <w:tcPr>
            <w:tcW w:w="971" w:type="dxa"/>
            <w:noWrap w:val="0"/>
            <w:vAlign w:val="top"/>
          </w:tcPr>
          <w:p w14:paraId="38B090C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60431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1F13D7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Knead, pinch, or pull the child's ear helices.</w:t>
            </w:r>
            <w:r>
              <w:rPr>
                <w:rFonts w:hint="default" w:ascii="Cambria" w:hAnsi="Cambria" w:cs="Cambria"/>
                <w:sz w:val="24"/>
                <w:szCs w:val="24"/>
                <w:lang w:eastAsia="en-US"/>
              </w:rPr>
              <w:t xml:space="preserve">                                            </w:t>
            </w:r>
          </w:p>
        </w:tc>
        <w:tc>
          <w:tcPr>
            <w:tcW w:w="935" w:type="dxa"/>
            <w:noWrap w:val="0"/>
            <w:vAlign w:val="top"/>
          </w:tcPr>
          <w:p w14:paraId="41A1267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30" w:type="dxa"/>
            <w:noWrap w:val="0"/>
            <w:vAlign w:val="top"/>
          </w:tcPr>
          <w:p w14:paraId="549CF5C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71" w:type="dxa"/>
            <w:noWrap w:val="0"/>
            <w:vAlign w:val="top"/>
          </w:tcPr>
          <w:p w14:paraId="0A07138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4513F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56D0564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Use both little fingers to pinch both sides of the treatment area, while the index and middle fingers of both hands are held together, pushing back and forth on the treatment area. </w:t>
            </w:r>
          </w:p>
        </w:tc>
        <w:tc>
          <w:tcPr>
            <w:tcW w:w="935" w:type="dxa"/>
            <w:noWrap w:val="0"/>
            <w:vAlign w:val="top"/>
          </w:tcPr>
          <w:p w14:paraId="1DE614A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30" w:type="dxa"/>
            <w:noWrap w:val="0"/>
            <w:vAlign w:val="top"/>
          </w:tcPr>
          <w:p w14:paraId="2A6E713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71" w:type="dxa"/>
            <w:noWrap w:val="0"/>
            <w:vAlign w:val="top"/>
          </w:tcPr>
          <w:p w14:paraId="602835B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66C0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0608D32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Use the index and middle fingers together to alternately press forward on the midline of the anterior forearm from Zongjin to the elbow crease. Used for cold-heat disharmony, limb twitching, convulsions.</w:t>
            </w:r>
          </w:p>
        </w:tc>
        <w:tc>
          <w:tcPr>
            <w:tcW w:w="935" w:type="dxa"/>
            <w:noWrap w:val="0"/>
            <w:vAlign w:val="top"/>
          </w:tcPr>
          <w:p w14:paraId="6BC1656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0.11</w:t>
            </w:r>
          </w:p>
        </w:tc>
        <w:tc>
          <w:tcPr>
            <w:tcW w:w="1130" w:type="dxa"/>
            <w:noWrap w:val="0"/>
            <w:vAlign w:val="top"/>
          </w:tcPr>
          <w:p w14:paraId="1710DD5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88.89%</w:t>
            </w:r>
          </w:p>
        </w:tc>
        <w:tc>
          <w:tcPr>
            <w:tcW w:w="971" w:type="dxa"/>
            <w:noWrap w:val="0"/>
            <w:vAlign w:val="top"/>
          </w:tcPr>
          <w:p w14:paraId="08C810A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r>
      <w:tr w14:paraId="1470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12A1050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The practitioner uses both hands to grasp the child's ear helices and play with them, and also uses both fingers to knead in the two nostrils. Operating area: ear helix. </w:t>
            </w:r>
          </w:p>
        </w:tc>
        <w:tc>
          <w:tcPr>
            <w:tcW w:w="935" w:type="dxa"/>
            <w:noWrap w:val="0"/>
            <w:vAlign w:val="top"/>
          </w:tcPr>
          <w:p w14:paraId="71D71B9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30" w:type="dxa"/>
            <w:noWrap w:val="0"/>
            <w:vAlign w:val="top"/>
          </w:tcPr>
          <w:p w14:paraId="451A64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71" w:type="dxa"/>
            <w:noWrap w:val="0"/>
            <w:vAlign w:val="top"/>
          </w:tcPr>
          <w:p w14:paraId="2196AA7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644FA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4A24099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F. </w:t>
            </w:r>
            <w:r>
              <w:rPr>
                <w:rFonts w:hint="default" w:ascii="Cambria" w:hAnsi="Cambria" w:cs="Cambria"/>
                <w:sz w:val="24"/>
                <w:szCs w:val="24"/>
              </w:rPr>
              <w:t xml:space="preserve">This method is warm. The practitioner uses the right thumb, index, and middle fingers to pinch the child's Liver and Lung fingers, and the left thumb, index, and middle fingers to pinch the child's Yin and Yang acupoints, pinching upward to Quchi five times. For heat patterns, press heavily on Yin and lightly on Yang; for cold patterns, press heavily on Yang and lightly on Yin. Then pinch Yin and Yang, and shake the Liver and Lung fingers 2×9 or 3×9 times. Operating area: forearm, elbow joint, Liver and Lung fingers (index and ring fingers). </w:t>
            </w:r>
          </w:p>
        </w:tc>
        <w:tc>
          <w:tcPr>
            <w:tcW w:w="935" w:type="dxa"/>
            <w:noWrap w:val="0"/>
            <w:vAlign w:val="top"/>
          </w:tcPr>
          <w:p w14:paraId="1D0D63B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0</w:t>
            </w:r>
          </w:p>
        </w:tc>
        <w:tc>
          <w:tcPr>
            <w:tcW w:w="1130" w:type="dxa"/>
            <w:noWrap w:val="0"/>
            <w:vAlign w:val="top"/>
          </w:tcPr>
          <w:p w14:paraId="5A544CB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71" w:type="dxa"/>
            <w:noWrap w:val="0"/>
            <w:vAlign w:val="top"/>
          </w:tcPr>
          <w:p w14:paraId="55C2C8F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53E1E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1F0230D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G. </w:t>
            </w:r>
            <w:r>
              <w:rPr>
                <w:rFonts w:hint="default" w:ascii="Cambria" w:hAnsi="Cambria" w:cs="Cambria"/>
                <w:sz w:val="24"/>
                <w:szCs w:val="24"/>
              </w:rPr>
              <w:t>Use both hands to grasp the child's earlobes and knead. If the child's eyes deviate left, knead the right earlobe; if right, knead the left; if upward, knead the lower; if downward, knead the upper. If there is no deviation in early fright, knead all evenly. Operating area: earlobes.</w:t>
            </w:r>
          </w:p>
        </w:tc>
        <w:tc>
          <w:tcPr>
            <w:tcW w:w="935" w:type="dxa"/>
            <w:noWrap w:val="0"/>
            <w:vAlign w:val="top"/>
          </w:tcPr>
          <w:p w14:paraId="1CD13A7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30" w:type="dxa"/>
            <w:noWrap w:val="0"/>
            <w:vAlign w:val="top"/>
          </w:tcPr>
          <w:p w14:paraId="007890F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971" w:type="dxa"/>
            <w:noWrap w:val="0"/>
            <w:vAlign w:val="top"/>
          </w:tcPr>
          <w:p w14:paraId="09AB66F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2C12E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3989D2B1">
            <w:pPr>
              <w:keepNext w:val="0"/>
              <w:keepLines w:val="0"/>
              <w:pageBreakBefore w:val="0"/>
              <w:widowControl w:val="0"/>
              <w:numPr>
                <w:ilvl w:val="0"/>
                <w:numId w:val="1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The child takes a sitting or supine position, or is held sitting in the parent's arms. The practitioner sits beside, uses one hand to grasp the tips of the child's index and ring fingers, uses the other hand to pinch and press the Yinch</w:t>
            </w:r>
            <w:r>
              <w:rPr>
                <w:rFonts w:hint="default" w:ascii="Cambria" w:hAnsi="Cambria" w:cs="Cambria"/>
                <w:sz w:val="24"/>
                <w:szCs w:val="24"/>
                <w:lang w:val="en-US"/>
              </w:rPr>
              <w:t>i</w:t>
            </w:r>
            <w:r>
              <w:rPr>
                <w:rFonts w:hint="default" w:ascii="Cambria" w:hAnsi="Cambria" w:cs="Cambria"/>
                <w:sz w:val="24"/>
                <w:szCs w:val="24"/>
              </w:rPr>
              <w:t xml:space="preserve"> and Yangchi acupoints, and gradually moves upward while pinching to Quchi, repeating about 5 times. For cold patterns, press heavily on Yang; for heat, press heavily on Yin. Finally, pinch and press Yin and Yang 5–6 times, and shake the child's index and ring fingertips 20–40 times each.</w:t>
            </w:r>
          </w:p>
        </w:tc>
        <w:tc>
          <w:tcPr>
            <w:tcW w:w="935" w:type="dxa"/>
            <w:noWrap w:val="0"/>
            <w:vAlign w:val="top"/>
          </w:tcPr>
          <w:p w14:paraId="3F6896D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0.52</w:t>
            </w:r>
          </w:p>
        </w:tc>
        <w:tc>
          <w:tcPr>
            <w:tcW w:w="1130" w:type="dxa"/>
            <w:noWrap w:val="0"/>
            <w:vAlign w:val="top"/>
          </w:tcPr>
          <w:p w14:paraId="447DC3E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48.15%</w:t>
            </w:r>
          </w:p>
        </w:tc>
        <w:tc>
          <w:tcPr>
            <w:tcW w:w="971" w:type="dxa"/>
            <w:noWrap w:val="0"/>
            <w:vAlign w:val="top"/>
          </w:tcPr>
          <w:p w14:paraId="1F88EBE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r>
      <w:tr w14:paraId="2EB2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7D28DCE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I. Retain the original text of the national standard.</w:t>
            </w:r>
          </w:p>
        </w:tc>
        <w:tc>
          <w:tcPr>
            <w:tcW w:w="935" w:type="dxa"/>
            <w:noWrap w:val="0"/>
            <w:vAlign w:val="top"/>
          </w:tcPr>
          <w:p w14:paraId="2964874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0.26</w:t>
            </w:r>
          </w:p>
        </w:tc>
        <w:tc>
          <w:tcPr>
            <w:tcW w:w="1130" w:type="dxa"/>
            <w:noWrap w:val="0"/>
            <w:vAlign w:val="top"/>
          </w:tcPr>
          <w:p w14:paraId="5F4E582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74.07%</w:t>
            </w:r>
          </w:p>
        </w:tc>
        <w:tc>
          <w:tcPr>
            <w:tcW w:w="971" w:type="dxa"/>
            <w:noWrap w:val="0"/>
            <w:vAlign w:val="top"/>
          </w:tcPr>
          <w:p w14:paraId="1C2D262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w:t>
            </w:r>
          </w:p>
        </w:tc>
      </w:tr>
      <w:tr w14:paraId="683F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824" w:type="dxa"/>
            <w:noWrap w:val="0"/>
            <w:vAlign w:val="top"/>
          </w:tcPr>
          <w:p w14:paraId="65B3321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J. Other</w:t>
            </w:r>
          </w:p>
        </w:tc>
        <w:tc>
          <w:tcPr>
            <w:tcW w:w="935" w:type="dxa"/>
            <w:noWrap w:val="0"/>
            <w:vAlign w:val="top"/>
          </w:tcPr>
          <w:p w14:paraId="3719962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30" w:type="dxa"/>
            <w:noWrap w:val="0"/>
            <w:vAlign w:val="top"/>
          </w:tcPr>
          <w:p w14:paraId="54BB86C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971" w:type="dxa"/>
            <w:noWrap w:val="0"/>
            <w:vAlign w:val="top"/>
          </w:tcPr>
          <w:p w14:paraId="437FA7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bl>
    <w:p w14:paraId="21649A2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2.15 Survey Results on Operating Sequence</w:t>
      </w:r>
    </w:p>
    <w:p w14:paraId="767F91E5">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22 Survey Results on Operating Sequence</w:t>
      </w:r>
    </w:p>
    <w:tbl>
      <w:tblPr>
        <w:tblStyle w:val="81"/>
        <w:tblW w:w="8871" w:type="dxa"/>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9"/>
        <w:gridCol w:w="733"/>
        <w:gridCol w:w="981"/>
        <w:gridCol w:w="668"/>
      </w:tblGrid>
      <w:tr w14:paraId="6CAE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9" w:type="dxa"/>
            <w:noWrap w:val="0"/>
            <w:vAlign w:val="top"/>
          </w:tcPr>
          <w:p w14:paraId="6521B80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33" w:type="dxa"/>
            <w:noWrap w:val="0"/>
            <w:vAlign w:val="top"/>
          </w:tcPr>
          <w:p w14:paraId="6182F29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7"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7" DrawAspect="Content" ObjectID="_1468075779" r:id="rId70">
                  <o:LockedField>false</o:LockedField>
                </o:OLEObject>
              </w:object>
            </w:r>
          </w:p>
        </w:tc>
        <w:tc>
          <w:tcPr>
            <w:tcW w:w="981" w:type="dxa"/>
            <w:noWrap w:val="0"/>
            <w:vAlign w:val="top"/>
          </w:tcPr>
          <w:p w14:paraId="59E5B9C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68" w:type="dxa"/>
            <w:noWrap w:val="0"/>
            <w:vAlign w:val="top"/>
          </w:tcPr>
          <w:p w14:paraId="7E02824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25698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9" w:type="dxa"/>
            <w:noWrap w:val="0"/>
            <w:vAlign w:val="top"/>
          </w:tcPr>
          <w:p w14:paraId="370FA6D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Operation sequence: generally three methods, chosen according to actual conditions: (a) first manipulate head and face acupoints, then chest, abdomen, limbs, waist, and back; (b) first manipulate main acupoints, then auxiliary acupoints; first use light manipulations, then heavy manipulations; (c) decide the sequence according to the severity and urgency of the condition. Site selection: for upper limb acupoints, either the left or right hand may be used according to the </w:t>
            </w:r>
            <w:r>
              <w:rPr>
                <w:rFonts w:hint="default" w:ascii="Cambria" w:hAnsi="Cambria" w:cs="Cambria"/>
                <w:sz w:val="24"/>
                <w:szCs w:val="24"/>
                <w:lang w:val="en-US"/>
              </w:rPr>
              <w:t>practitioner</w:t>
            </w:r>
            <w:r>
              <w:rPr>
                <w:rFonts w:hint="default" w:ascii="Cambria" w:hAnsi="Cambria" w:cs="Cambria"/>
                <w:sz w:val="24"/>
                <w:szCs w:val="24"/>
              </w:rPr>
              <w:t xml:space="preserve">'s habit; for bilateral non-upper limb acupoints, either side may be chosen. </w:t>
            </w:r>
            <w:r>
              <w:rPr>
                <w:rFonts w:hint="default" w:ascii="Cambria" w:hAnsi="Cambria" w:cs="Cambria"/>
                <w:sz w:val="24"/>
                <w:szCs w:val="24"/>
                <w:lang w:eastAsia="en-US"/>
              </w:rPr>
              <w:t xml:space="preserve">                                                               </w:t>
            </w:r>
          </w:p>
        </w:tc>
        <w:tc>
          <w:tcPr>
            <w:tcW w:w="733" w:type="dxa"/>
            <w:noWrap w:val="0"/>
            <w:vAlign w:val="top"/>
          </w:tcPr>
          <w:p w14:paraId="681DB12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0.30</w:t>
            </w:r>
          </w:p>
        </w:tc>
        <w:tc>
          <w:tcPr>
            <w:tcW w:w="981" w:type="dxa"/>
            <w:noWrap w:val="0"/>
            <w:vAlign w:val="top"/>
          </w:tcPr>
          <w:p w14:paraId="0614659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c>
          <w:tcPr>
            <w:tcW w:w="668" w:type="dxa"/>
            <w:noWrap w:val="0"/>
            <w:vAlign w:val="top"/>
          </w:tcPr>
          <w:p w14:paraId="7D0760B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w:t>
            </w:r>
          </w:p>
        </w:tc>
      </w:tr>
      <w:tr w14:paraId="41260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9" w:type="dxa"/>
            <w:noWrap w:val="0"/>
            <w:vAlign w:val="top"/>
          </w:tcPr>
          <w:p w14:paraId="7E07FD3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Pediatric tuina generally has three sequences: (a) first hand acupoints, then head/face, chest/abdomen, lower limbs, waist/back; (b) first main acupoints, then auxiliary; first light, then heavy manipulations; (c) decide based on the severity of signs/symptoms.</w:t>
            </w:r>
            <w:r>
              <w:rPr>
                <w:rFonts w:hint="default" w:ascii="Cambria" w:hAnsi="Cambria" w:cs="Cambria"/>
                <w:sz w:val="24"/>
                <w:szCs w:val="24"/>
                <w:lang w:eastAsia="en-US"/>
              </w:rPr>
              <w:t xml:space="preserve">                                             </w:t>
            </w:r>
          </w:p>
        </w:tc>
        <w:tc>
          <w:tcPr>
            <w:tcW w:w="733" w:type="dxa"/>
            <w:noWrap w:val="0"/>
            <w:vAlign w:val="top"/>
          </w:tcPr>
          <w:p w14:paraId="37CE299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0.15</w:t>
            </w:r>
          </w:p>
        </w:tc>
        <w:tc>
          <w:tcPr>
            <w:tcW w:w="981" w:type="dxa"/>
            <w:noWrap w:val="0"/>
            <w:vAlign w:val="top"/>
          </w:tcPr>
          <w:p w14:paraId="375B669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85.19%</w:t>
            </w:r>
          </w:p>
        </w:tc>
        <w:tc>
          <w:tcPr>
            <w:tcW w:w="668" w:type="dxa"/>
            <w:noWrap w:val="0"/>
            <w:vAlign w:val="top"/>
          </w:tcPr>
          <w:p w14:paraId="1992E32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w:t>
            </w:r>
          </w:p>
        </w:tc>
      </w:tr>
      <w:tr w14:paraId="3175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9" w:type="dxa"/>
            <w:noWrap w:val="0"/>
            <w:vAlign w:val="top"/>
          </w:tcPr>
          <w:p w14:paraId="12FD004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Retain the original text of the national standard.                                                                 </w:t>
            </w:r>
          </w:p>
        </w:tc>
        <w:tc>
          <w:tcPr>
            <w:tcW w:w="733" w:type="dxa"/>
            <w:noWrap w:val="0"/>
            <w:vAlign w:val="top"/>
          </w:tcPr>
          <w:p w14:paraId="7543CB5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0.41</w:t>
            </w:r>
          </w:p>
        </w:tc>
        <w:tc>
          <w:tcPr>
            <w:tcW w:w="981" w:type="dxa"/>
            <w:noWrap w:val="0"/>
            <w:vAlign w:val="top"/>
          </w:tcPr>
          <w:p w14:paraId="7CCC188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59.26%</w:t>
            </w:r>
          </w:p>
        </w:tc>
        <w:tc>
          <w:tcPr>
            <w:tcW w:w="668" w:type="dxa"/>
            <w:noWrap w:val="0"/>
            <w:vAlign w:val="top"/>
          </w:tcPr>
          <w:p w14:paraId="1DAFF42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r>
      <w:tr w14:paraId="52CE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9" w:type="dxa"/>
            <w:noWrap w:val="0"/>
            <w:vAlign w:val="top"/>
          </w:tcPr>
          <w:p w14:paraId="6F7E78D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Combine the above</w:t>
            </w:r>
            <w:r>
              <w:rPr>
                <w:rFonts w:hint="default" w:ascii="Cambria" w:hAnsi="Cambria" w:cs="Cambria"/>
                <w:sz w:val="24"/>
                <w:szCs w:val="24"/>
              </w:rPr>
              <w:t xml:space="preserve"> contents</w:t>
            </w:r>
            <w:r>
              <w:rPr>
                <w:rFonts w:hint="default" w:ascii="Cambria" w:hAnsi="Cambria" w:cs="Cambria"/>
                <w:sz w:val="24"/>
                <w:szCs w:val="24"/>
                <w:lang w:eastAsia="en-US"/>
              </w:rPr>
              <w:t xml:space="preserve">.                                                                           </w:t>
            </w:r>
          </w:p>
        </w:tc>
        <w:tc>
          <w:tcPr>
            <w:tcW w:w="733" w:type="dxa"/>
            <w:noWrap w:val="0"/>
            <w:vAlign w:val="top"/>
          </w:tcPr>
          <w:p w14:paraId="7E9B864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0.15</w:t>
            </w:r>
          </w:p>
        </w:tc>
        <w:tc>
          <w:tcPr>
            <w:tcW w:w="981" w:type="dxa"/>
            <w:noWrap w:val="0"/>
            <w:vAlign w:val="top"/>
          </w:tcPr>
          <w:p w14:paraId="12E142F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85.19%</w:t>
            </w:r>
          </w:p>
        </w:tc>
        <w:tc>
          <w:tcPr>
            <w:tcW w:w="668" w:type="dxa"/>
            <w:noWrap w:val="0"/>
            <w:vAlign w:val="top"/>
          </w:tcPr>
          <w:p w14:paraId="52C1C02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w:t>
            </w:r>
          </w:p>
        </w:tc>
      </w:tr>
    </w:tbl>
    <w:p w14:paraId="7FE2D15F">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2.16 Survey Results on Reinforcement and Reduction Methods</w:t>
      </w:r>
    </w:p>
    <w:p w14:paraId="239F9B07">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23 Survey Results on Reinforcement and Reduction Methods</w:t>
      </w:r>
    </w:p>
    <w:tbl>
      <w:tblPr>
        <w:tblStyle w:val="81"/>
        <w:tblW w:w="87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4"/>
        <w:gridCol w:w="664"/>
        <w:gridCol w:w="1011"/>
        <w:gridCol w:w="658"/>
      </w:tblGrid>
      <w:tr w14:paraId="4B1B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47F6C94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53" w:type="dxa"/>
            <w:noWrap w:val="0"/>
            <w:vAlign w:val="top"/>
          </w:tcPr>
          <w:p w14:paraId="5A67A3B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8"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8" DrawAspect="Content" ObjectID="_1468075780" r:id="rId71">
                  <o:LockedField>false</o:LockedField>
                </o:OLEObject>
              </w:object>
            </w:r>
          </w:p>
        </w:tc>
        <w:tc>
          <w:tcPr>
            <w:tcW w:w="956" w:type="dxa"/>
            <w:noWrap w:val="0"/>
            <w:vAlign w:val="top"/>
          </w:tcPr>
          <w:p w14:paraId="1C966D8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58" w:type="dxa"/>
            <w:noWrap w:val="0"/>
            <w:vAlign w:val="top"/>
          </w:tcPr>
          <w:p w14:paraId="668EEA4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136D4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1F09641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General reinforcing-reducing principles in pediatric tuina: Direction-based: mainly used for hand and abdominal acupoints. Generally, centripetal straight pushing is reinforcing, centrifugal is reducing; counterclockwise circular rubbing on the abdomen is reinforcing, clockwise is reducing. Light-Heavy: refers to force applied. Light manipulation is reinforcing, heavy is reducing. Fast-Slow: refers to speed. Low frequency is reinforcing, high is reducing. Following-Opposing: following the meridian direction is reinforcing, opposing is reducing (also called with/against method). Even reinforcing-reducing: used when deficiency/excess is unclear or for health maintenance, combining fast/slow and with/against. </w:t>
            </w:r>
            <w:r>
              <w:rPr>
                <w:rFonts w:hint="default" w:ascii="Cambria" w:hAnsi="Cambria" w:cs="Cambria"/>
                <w:sz w:val="24"/>
                <w:szCs w:val="24"/>
                <w:lang w:eastAsia="en-US"/>
              </w:rPr>
              <w:t xml:space="preserve">                                                             </w:t>
            </w:r>
          </w:p>
        </w:tc>
        <w:tc>
          <w:tcPr>
            <w:tcW w:w="653" w:type="dxa"/>
            <w:noWrap w:val="0"/>
            <w:vAlign w:val="top"/>
          </w:tcPr>
          <w:p w14:paraId="2BA8A5E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0.44</w:t>
            </w:r>
          </w:p>
        </w:tc>
        <w:tc>
          <w:tcPr>
            <w:tcW w:w="956" w:type="dxa"/>
            <w:noWrap w:val="0"/>
            <w:vAlign w:val="top"/>
          </w:tcPr>
          <w:p w14:paraId="051DABC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55.56%</w:t>
            </w:r>
          </w:p>
        </w:tc>
        <w:tc>
          <w:tcPr>
            <w:tcW w:w="658" w:type="dxa"/>
            <w:noWrap w:val="0"/>
            <w:vAlign w:val="top"/>
          </w:tcPr>
          <w:p w14:paraId="6790350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r>
      <w:tr w14:paraId="0EF3A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579C47B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653" w:type="dxa"/>
            <w:noWrap w:val="0"/>
            <w:vAlign w:val="top"/>
          </w:tcPr>
          <w:p w14:paraId="70DB2E2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0.33</w:t>
            </w:r>
          </w:p>
        </w:tc>
        <w:tc>
          <w:tcPr>
            <w:tcW w:w="956" w:type="dxa"/>
            <w:noWrap w:val="0"/>
            <w:vAlign w:val="top"/>
          </w:tcPr>
          <w:p w14:paraId="523307C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66.67%</w:t>
            </w:r>
          </w:p>
        </w:tc>
        <w:tc>
          <w:tcPr>
            <w:tcW w:w="658" w:type="dxa"/>
            <w:noWrap w:val="0"/>
            <w:vAlign w:val="top"/>
          </w:tcPr>
          <w:p w14:paraId="73FBA19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w:t>
            </w:r>
          </w:p>
        </w:tc>
      </w:tr>
      <w:tr w14:paraId="3714B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07EA46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rPr>
              <w:t xml:space="preserve"> contents</w:t>
            </w:r>
            <w:r>
              <w:rPr>
                <w:rFonts w:hint="default" w:ascii="Cambria" w:hAnsi="Cambria" w:cs="Cambria"/>
                <w:sz w:val="24"/>
                <w:szCs w:val="24"/>
                <w:lang w:eastAsia="en-US"/>
              </w:rPr>
              <w:t xml:space="preserve">.                                                                           </w:t>
            </w:r>
          </w:p>
        </w:tc>
        <w:tc>
          <w:tcPr>
            <w:tcW w:w="653" w:type="dxa"/>
            <w:noWrap w:val="0"/>
            <w:vAlign w:val="top"/>
          </w:tcPr>
          <w:p w14:paraId="6D0A2B7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0.15</w:t>
            </w:r>
          </w:p>
        </w:tc>
        <w:tc>
          <w:tcPr>
            <w:tcW w:w="956" w:type="dxa"/>
            <w:noWrap w:val="0"/>
            <w:vAlign w:val="top"/>
          </w:tcPr>
          <w:p w14:paraId="423F081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85.19%</w:t>
            </w:r>
          </w:p>
        </w:tc>
        <w:tc>
          <w:tcPr>
            <w:tcW w:w="658" w:type="dxa"/>
            <w:noWrap w:val="0"/>
            <w:vAlign w:val="top"/>
          </w:tcPr>
          <w:p w14:paraId="607505A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w:t>
            </w:r>
          </w:p>
        </w:tc>
      </w:tr>
    </w:tbl>
    <w:p w14:paraId="6ED3F5BC">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2.17 Survey Results on Pediatric Tuina Treatment Duration</w:t>
      </w:r>
    </w:p>
    <w:p w14:paraId="03435303">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24 Survey Results on Pediatric Tuina Treatment Duration</w:t>
      </w:r>
    </w:p>
    <w:tbl>
      <w:tblPr>
        <w:tblStyle w:val="81"/>
        <w:tblW w:w="8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5"/>
        <w:gridCol w:w="662"/>
        <w:gridCol w:w="1002"/>
        <w:gridCol w:w="656"/>
      </w:tblGrid>
      <w:tr w14:paraId="55AB9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15A9A72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62" w:type="dxa"/>
            <w:noWrap w:val="0"/>
            <w:vAlign w:val="top"/>
          </w:tcPr>
          <w:p w14:paraId="364D4A4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69"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69" DrawAspect="Content" ObjectID="_1468075781" r:id="rId72">
                  <o:LockedField>false</o:LockedField>
                </o:OLEObject>
              </w:object>
            </w:r>
          </w:p>
        </w:tc>
        <w:tc>
          <w:tcPr>
            <w:tcW w:w="1002" w:type="dxa"/>
            <w:noWrap w:val="0"/>
            <w:vAlign w:val="top"/>
          </w:tcPr>
          <w:p w14:paraId="701BB9B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56" w:type="dxa"/>
            <w:noWrap w:val="0"/>
            <w:vAlign w:val="top"/>
          </w:tcPr>
          <w:p w14:paraId="766BEF3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1151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198D5C63">
            <w:pPr>
              <w:keepNext w:val="0"/>
              <w:keepLines w:val="0"/>
              <w:pageBreakBefore w:val="0"/>
              <w:widowControl w:val="0"/>
              <w:numPr>
                <w:ilvl w:val="0"/>
                <w:numId w:val="11"/>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 xml:space="preserve">Treatment duration: determined by age, condition, constitution, and manipulation characteristics. Generally, each acupoint is manipulated for 1–2 minutes, total duration 10–40 minutes. For younger, weaker, or deficient patients, or with strong stimulation techniques, shorten appropriately; for older, stronger, excess patients, extend appropriately. </w:t>
            </w:r>
          </w:p>
        </w:tc>
        <w:tc>
          <w:tcPr>
            <w:tcW w:w="662" w:type="dxa"/>
            <w:noWrap w:val="0"/>
            <w:vAlign w:val="top"/>
          </w:tcPr>
          <w:p w14:paraId="4F2E824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0.15</w:t>
            </w:r>
          </w:p>
        </w:tc>
        <w:tc>
          <w:tcPr>
            <w:tcW w:w="1002" w:type="dxa"/>
            <w:noWrap w:val="0"/>
            <w:vAlign w:val="top"/>
          </w:tcPr>
          <w:p w14:paraId="0CE85C2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85.19%</w:t>
            </w:r>
          </w:p>
        </w:tc>
        <w:tc>
          <w:tcPr>
            <w:tcW w:w="656" w:type="dxa"/>
            <w:noWrap w:val="0"/>
            <w:vAlign w:val="top"/>
          </w:tcPr>
          <w:p w14:paraId="03579F1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w:t>
            </w:r>
          </w:p>
        </w:tc>
      </w:tr>
      <w:tr w14:paraId="75799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4D0446D9">
            <w:pPr>
              <w:keepNext w:val="0"/>
              <w:keepLines w:val="0"/>
              <w:pageBreakBefore w:val="0"/>
              <w:widowControl w:val="0"/>
              <w:numPr>
                <w:ilvl w:val="0"/>
                <w:numId w:val="11"/>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lang w:eastAsia="en-US"/>
              </w:rPr>
            </w:pPr>
            <w:r>
              <w:rPr>
                <w:rFonts w:hint="default" w:ascii="Cambria" w:hAnsi="Cambria" w:cs="Cambria"/>
                <w:sz w:val="24"/>
                <w:szCs w:val="24"/>
              </w:rPr>
              <w:t xml:space="preserve">Pediatric tuina </w:t>
            </w:r>
            <w:r>
              <w:rPr>
                <w:rFonts w:hint="default" w:ascii="Cambria" w:hAnsi="Cambria" w:cs="Cambria"/>
                <w:sz w:val="24"/>
                <w:szCs w:val="24"/>
                <w:lang w:val="en-US"/>
              </w:rPr>
              <w:t>t</w:t>
            </w:r>
            <w:r>
              <w:rPr>
                <w:rFonts w:hint="default" w:ascii="Cambria" w:hAnsi="Cambria" w:cs="Cambria"/>
                <w:sz w:val="24"/>
                <w:szCs w:val="24"/>
              </w:rPr>
              <w:t>reatment</w:t>
            </w:r>
            <w:r>
              <w:rPr>
                <w:rFonts w:hint="default" w:ascii="Cambria" w:hAnsi="Cambria" w:cs="Cambria"/>
                <w:sz w:val="24"/>
                <w:szCs w:val="24"/>
                <w:lang w:val="en-US"/>
              </w:rPr>
              <w:t xml:space="preserve"> </w:t>
            </w:r>
            <w:r>
              <w:rPr>
                <w:rFonts w:hint="default" w:ascii="Cambria" w:hAnsi="Cambria" w:cs="Cambria"/>
                <w:sz w:val="24"/>
                <w:szCs w:val="24"/>
              </w:rPr>
              <w:t>duration: determined by age, constitution, and manipulation characteristics. Generally, each acupoint 1–2 min, total 20–30 min; for younger, weaker, or strong stimulation, shorten. Taking 1-year-old as standard, push each acupoint about 2 min (except strong stimulation), about 300 pushes per main acupoint; under 1 year or weaker: shorten time and reduce counts; over 1 year or stronger: extend time and increase counts.</w:t>
            </w:r>
          </w:p>
        </w:tc>
        <w:tc>
          <w:tcPr>
            <w:tcW w:w="662" w:type="dxa"/>
            <w:noWrap w:val="0"/>
            <w:vAlign w:val="top"/>
          </w:tcPr>
          <w:p w14:paraId="1BE21F6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0.07</w:t>
            </w:r>
          </w:p>
        </w:tc>
        <w:tc>
          <w:tcPr>
            <w:tcW w:w="1002" w:type="dxa"/>
            <w:noWrap w:val="0"/>
            <w:vAlign w:val="top"/>
          </w:tcPr>
          <w:p w14:paraId="4D155A8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92.59%</w:t>
            </w:r>
          </w:p>
        </w:tc>
        <w:tc>
          <w:tcPr>
            <w:tcW w:w="656" w:type="dxa"/>
            <w:noWrap w:val="0"/>
            <w:vAlign w:val="top"/>
          </w:tcPr>
          <w:p w14:paraId="3C557A0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r>
      <w:tr w14:paraId="56568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566FF6E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Treatment duration: determined by age, condition, constitution, and manipulation characteristics. Generally, each acupoint 1–2 min, total 20–40 min. For younger, weaker, deficient, or strong stimulation, shorten; for older, stronger, excess, extend. </w:t>
            </w:r>
            <w:r>
              <w:rPr>
                <w:rFonts w:hint="default" w:ascii="Cambria" w:hAnsi="Cambria" w:cs="Cambria"/>
                <w:sz w:val="24"/>
                <w:szCs w:val="24"/>
                <w:lang w:eastAsia="en-US"/>
              </w:rPr>
              <w:t xml:space="preserve">                                                              </w:t>
            </w:r>
          </w:p>
        </w:tc>
        <w:tc>
          <w:tcPr>
            <w:tcW w:w="662" w:type="dxa"/>
            <w:noWrap w:val="0"/>
            <w:vAlign w:val="top"/>
          </w:tcPr>
          <w:p w14:paraId="442C874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02" w:type="dxa"/>
            <w:noWrap w:val="0"/>
            <w:vAlign w:val="top"/>
          </w:tcPr>
          <w:p w14:paraId="6B243AF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656" w:type="dxa"/>
            <w:noWrap w:val="0"/>
            <w:vAlign w:val="top"/>
          </w:tcPr>
          <w:p w14:paraId="5FAFB48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4C8B2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1399223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Retain the original text of the national standard.                                                                           </w:t>
            </w:r>
          </w:p>
        </w:tc>
        <w:tc>
          <w:tcPr>
            <w:tcW w:w="662" w:type="dxa"/>
            <w:noWrap w:val="0"/>
            <w:vAlign w:val="top"/>
          </w:tcPr>
          <w:p w14:paraId="54E7939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0.26</w:t>
            </w:r>
          </w:p>
        </w:tc>
        <w:tc>
          <w:tcPr>
            <w:tcW w:w="1002" w:type="dxa"/>
            <w:noWrap w:val="0"/>
            <w:vAlign w:val="top"/>
          </w:tcPr>
          <w:p w14:paraId="17C92CA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74.07%</w:t>
            </w:r>
          </w:p>
        </w:tc>
        <w:tc>
          <w:tcPr>
            <w:tcW w:w="656" w:type="dxa"/>
            <w:noWrap w:val="0"/>
            <w:vAlign w:val="top"/>
          </w:tcPr>
          <w:p w14:paraId="7ABE6CD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w:t>
            </w:r>
          </w:p>
        </w:tc>
      </w:tr>
      <w:tr w14:paraId="66617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05D5AA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Combine the above content</w:t>
            </w:r>
            <w:r>
              <w:rPr>
                <w:rFonts w:hint="default" w:ascii="Cambria" w:hAnsi="Cambria" w:cs="Cambria"/>
                <w:sz w:val="24"/>
                <w:szCs w:val="24"/>
              </w:rPr>
              <w:t xml:space="preserve"> contents</w:t>
            </w:r>
            <w:r>
              <w:rPr>
                <w:rFonts w:hint="default" w:ascii="Cambria" w:hAnsi="Cambria" w:cs="Cambria"/>
                <w:sz w:val="24"/>
                <w:szCs w:val="24"/>
                <w:lang w:eastAsia="en-US"/>
              </w:rPr>
              <w:t>.</w:t>
            </w:r>
          </w:p>
        </w:tc>
        <w:tc>
          <w:tcPr>
            <w:tcW w:w="662" w:type="dxa"/>
            <w:noWrap w:val="0"/>
            <w:vAlign w:val="top"/>
          </w:tcPr>
          <w:p w14:paraId="2262A66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02" w:type="dxa"/>
            <w:noWrap w:val="0"/>
            <w:vAlign w:val="top"/>
          </w:tcPr>
          <w:p w14:paraId="18AFD26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656" w:type="dxa"/>
            <w:noWrap w:val="0"/>
            <w:vAlign w:val="top"/>
          </w:tcPr>
          <w:p w14:paraId="126820A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bl>
    <w:p w14:paraId="6E047FF2">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2.18 Survey Results on Treatment Intervals and Courses</w:t>
      </w:r>
    </w:p>
    <w:p w14:paraId="1433E352">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25 Survey Results on Treatment Intervals and Courses</w:t>
      </w:r>
    </w:p>
    <w:tbl>
      <w:tblPr>
        <w:tblStyle w:val="81"/>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6"/>
        <w:gridCol w:w="664"/>
        <w:gridCol w:w="1037"/>
        <w:gridCol w:w="592"/>
      </w:tblGrid>
      <w:tr w14:paraId="7377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434" w:type="dxa"/>
            <w:noWrap w:val="0"/>
            <w:vAlign w:val="top"/>
          </w:tcPr>
          <w:p w14:paraId="44716B9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56" w:type="dxa"/>
            <w:noWrap w:val="0"/>
            <w:vAlign w:val="top"/>
          </w:tcPr>
          <w:p w14:paraId="7BB05E2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0"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0" DrawAspect="Content" ObjectID="_1468075782" r:id="rId73">
                  <o:LockedField>false</o:LockedField>
                </o:OLEObject>
              </w:object>
            </w:r>
          </w:p>
        </w:tc>
        <w:tc>
          <w:tcPr>
            <w:tcW w:w="1037" w:type="dxa"/>
            <w:noWrap w:val="0"/>
            <w:vAlign w:val="top"/>
          </w:tcPr>
          <w:p w14:paraId="4B2A21C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R</w:t>
            </w:r>
          </w:p>
        </w:tc>
        <w:tc>
          <w:tcPr>
            <w:tcW w:w="592" w:type="dxa"/>
            <w:noWrap w:val="0"/>
            <w:vAlign w:val="top"/>
          </w:tcPr>
          <w:p w14:paraId="6A0011C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S</w:t>
            </w:r>
          </w:p>
        </w:tc>
      </w:tr>
      <w:tr w14:paraId="5D4B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34" w:type="dxa"/>
            <w:noWrap w:val="0"/>
            <w:vAlign w:val="top"/>
          </w:tcPr>
          <w:p w14:paraId="669CBFC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Treatment frequency: generally once daily or every other day; for some conditions, if permitted, twice daily; for health maintenance and stable phases, 1–2 times per week. </w:t>
            </w:r>
          </w:p>
        </w:tc>
        <w:tc>
          <w:tcPr>
            <w:tcW w:w="656" w:type="dxa"/>
            <w:noWrap w:val="0"/>
            <w:vAlign w:val="top"/>
          </w:tcPr>
          <w:p w14:paraId="42E5EA3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0.37</w:t>
            </w:r>
          </w:p>
        </w:tc>
        <w:tc>
          <w:tcPr>
            <w:tcW w:w="1037" w:type="dxa"/>
            <w:noWrap w:val="0"/>
            <w:vAlign w:val="top"/>
          </w:tcPr>
          <w:p w14:paraId="4D836AB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c>
          <w:tcPr>
            <w:tcW w:w="592" w:type="dxa"/>
            <w:noWrap w:val="0"/>
            <w:vAlign w:val="top"/>
          </w:tcPr>
          <w:p w14:paraId="096E83B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r>
      <w:tr w14:paraId="35412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34" w:type="dxa"/>
            <w:noWrap w:val="0"/>
            <w:vAlign w:val="top"/>
          </w:tcPr>
          <w:p w14:paraId="1106C02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656" w:type="dxa"/>
            <w:noWrap w:val="0"/>
            <w:vAlign w:val="top"/>
          </w:tcPr>
          <w:p w14:paraId="4043D9C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37" w:type="dxa"/>
            <w:noWrap w:val="0"/>
            <w:vAlign w:val="top"/>
          </w:tcPr>
          <w:p w14:paraId="54BD641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592" w:type="dxa"/>
            <w:noWrap w:val="0"/>
            <w:vAlign w:val="top"/>
          </w:tcPr>
          <w:p w14:paraId="0D44F8E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525E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34" w:type="dxa"/>
            <w:noWrap w:val="0"/>
            <w:vAlign w:val="top"/>
          </w:tcPr>
          <w:p w14:paraId="7BFF2A2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rPr>
              <w:t xml:space="preserve"> contents</w:t>
            </w:r>
            <w:r>
              <w:rPr>
                <w:rFonts w:hint="default" w:ascii="Cambria" w:hAnsi="Cambria" w:cs="Cambria"/>
                <w:sz w:val="24"/>
                <w:szCs w:val="24"/>
                <w:lang w:eastAsia="en-US"/>
              </w:rPr>
              <w:t xml:space="preserve">.                                                                           </w:t>
            </w:r>
          </w:p>
        </w:tc>
        <w:tc>
          <w:tcPr>
            <w:tcW w:w="656" w:type="dxa"/>
            <w:noWrap w:val="0"/>
            <w:vAlign w:val="top"/>
          </w:tcPr>
          <w:p w14:paraId="5057769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0.37</w:t>
            </w:r>
          </w:p>
        </w:tc>
        <w:tc>
          <w:tcPr>
            <w:tcW w:w="1037" w:type="dxa"/>
            <w:noWrap w:val="0"/>
            <w:vAlign w:val="top"/>
          </w:tcPr>
          <w:p w14:paraId="3F90948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c>
          <w:tcPr>
            <w:tcW w:w="592" w:type="dxa"/>
            <w:noWrap w:val="0"/>
            <w:vAlign w:val="top"/>
          </w:tcPr>
          <w:p w14:paraId="02E518C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r>
    </w:tbl>
    <w:p w14:paraId="670D55DD">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left"/>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2.19 Survey Results on Commonly Used Media in Pediatric Tuina: A.1 Oils</w:t>
      </w:r>
    </w:p>
    <w:p w14:paraId="5227D4D6">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lang w:eastAsia="en-US"/>
        </w:rPr>
      </w:pPr>
      <w:r>
        <w:rPr>
          <w:rFonts w:hint="default" w:ascii="Cambria" w:hAnsi="Cambria" w:cs="Cambria"/>
          <w:sz w:val="24"/>
          <w:szCs w:val="24"/>
        </w:rPr>
        <w:t xml:space="preserve"> Table 26 Survey Results on Commonly Used Media in Pediatric Tuina: A.1 Oils</w:t>
      </w:r>
    </w:p>
    <w:tbl>
      <w:tblPr>
        <w:tblStyle w:val="81"/>
        <w:tblW w:w="87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05"/>
        <w:gridCol w:w="664"/>
        <w:gridCol w:w="1011"/>
        <w:gridCol w:w="639"/>
      </w:tblGrid>
      <w:tr w14:paraId="79B45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2" w:type="dxa"/>
            <w:noWrap w:val="0"/>
            <w:vAlign w:val="top"/>
          </w:tcPr>
          <w:p w14:paraId="3754EA9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55" w:type="dxa"/>
            <w:noWrap w:val="0"/>
            <w:vAlign w:val="top"/>
          </w:tcPr>
          <w:p w14:paraId="3B6C730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1"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1" DrawAspect="Content" ObjectID="_1468075783" r:id="rId74">
                  <o:LockedField>false</o:LockedField>
                </o:OLEObject>
              </w:object>
            </w:r>
          </w:p>
        </w:tc>
        <w:tc>
          <w:tcPr>
            <w:tcW w:w="1002" w:type="dxa"/>
            <w:noWrap w:val="0"/>
            <w:vAlign w:val="top"/>
          </w:tcPr>
          <w:p w14:paraId="006912C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R</w:t>
            </w:r>
          </w:p>
        </w:tc>
        <w:tc>
          <w:tcPr>
            <w:tcW w:w="640" w:type="dxa"/>
            <w:noWrap w:val="0"/>
            <w:vAlign w:val="top"/>
          </w:tcPr>
          <w:p w14:paraId="5EB567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 S</w:t>
            </w:r>
          </w:p>
        </w:tc>
      </w:tr>
      <w:tr w14:paraId="219A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2" w:type="dxa"/>
            <w:noWrap w:val="0"/>
            <w:vAlign w:val="top"/>
          </w:tcPr>
          <w:p w14:paraId="1D3309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Oil massage: oils provide warmth and nutrition for infants, helping weight gain. Studies show coconut oil, sunflower seed oil, synthetic oil, and mineral oil can be used for infant massage. Compared to massage without oil, infants receiving oil massage showed less stress behavior and lower cortisol levels. Thus, oil massage has multiple benefits and is recommended.</w:t>
            </w:r>
          </w:p>
        </w:tc>
        <w:tc>
          <w:tcPr>
            <w:tcW w:w="655" w:type="dxa"/>
            <w:noWrap w:val="0"/>
            <w:vAlign w:val="top"/>
          </w:tcPr>
          <w:p w14:paraId="220DAE0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002" w:type="dxa"/>
            <w:noWrap w:val="0"/>
            <w:vAlign w:val="top"/>
          </w:tcPr>
          <w:p w14:paraId="05FF05B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640" w:type="dxa"/>
            <w:noWrap w:val="0"/>
            <w:vAlign w:val="top"/>
          </w:tcPr>
          <w:p w14:paraId="55C92C8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27DC9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2" w:type="dxa"/>
            <w:noWrap w:val="0"/>
            <w:vAlign w:val="top"/>
          </w:tcPr>
          <w:p w14:paraId="31417FC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Oils: edible sesame oil, edible coconut oil, edible olive oil, infant topical oil, etc. They provide lubrication and moisture, suitable for tuina on all body parts, and can also be used for scraping.</w:t>
            </w:r>
            <w:r>
              <w:rPr>
                <w:rFonts w:hint="default" w:ascii="Cambria" w:hAnsi="Cambria" w:cs="Cambria"/>
                <w:sz w:val="24"/>
                <w:szCs w:val="24"/>
                <w:lang w:eastAsia="en-US"/>
              </w:rPr>
              <w:t xml:space="preserve">                                                                 </w:t>
            </w:r>
          </w:p>
        </w:tc>
        <w:tc>
          <w:tcPr>
            <w:tcW w:w="655" w:type="dxa"/>
            <w:noWrap w:val="0"/>
            <w:vAlign w:val="top"/>
          </w:tcPr>
          <w:p w14:paraId="6AABDA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02" w:type="dxa"/>
            <w:noWrap w:val="0"/>
            <w:vAlign w:val="top"/>
          </w:tcPr>
          <w:p w14:paraId="511F087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640" w:type="dxa"/>
            <w:noWrap w:val="0"/>
            <w:vAlign w:val="top"/>
          </w:tcPr>
          <w:p w14:paraId="77F524F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36A3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2" w:type="dxa"/>
            <w:noWrap w:val="0"/>
            <w:vAlign w:val="top"/>
          </w:tcPr>
          <w:p w14:paraId="66828D2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Oils: media mainly composed of safe animal/plant oils. Commonly used: sesame oil (edible sesame oil, lubricating and moisturizing, suitable for all body parts, also for scraping); coconut oil (edible coconut oil, same); olive oil (edible olive oil, same).</w:t>
            </w:r>
          </w:p>
        </w:tc>
        <w:tc>
          <w:tcPr>
            <w:tcW w:w="655" w:type="dxa"/>
            <w:noWrap w:val="0"/>
            <w:vAlign w:val="top"/>
          </w:tcPr>
          <w:p w14:paraId="188C0C8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02" w:type="dxa"/>
            <w:noWrap w:val="0"/>
            <w:vAlign w:val="top"/>
          </w:tcPr>
          <w:p w14:paraId="7B83443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640" w:type="dxa"/>
            <w:noWrap w:val="0"/>
            <w:vAlign w:val="top"/>
          </w:tcPr>
          <w:p w14:paraId="2C83648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1BA6A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2" w:type="dxa"/>
            <w:noWrap w:val="0"/>
            <w:vAlign w:val="top"/>
          </w:tcPr>
          <w:p w14:paraId="6C9C629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Retain the original text of the national standard.</w:t>
            </w:r>
          </w:p>
        </w:tc>
        <w:tc>
          <w:tcPr>
            <w:tcW w:w="655" w:type="dxa"/>
            <w:noWrap w:val="0"/>
            <w:vAlign w:val="top"/>
          </w:tcPr>
          <w:p w14:paraId="55A1912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1002" w:type="dxa"/>
            <w:noWrap w:val="0"/>
            <w:vAlign w:val="top"/>
          </w:tcPr>
          <w:p w14:paraId="155AC77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640" w:type="dxa"/>
            <w:noWrap w:val="0"/>
            <w:vAlign w:val="top"/>
          </w:tcPr>
          <w:p w14:paraId="329B9A8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r w14:paraId="53CF0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22" w:type="dxa"/>
            <w:noWrap w:val="0"/>
            <w:vAlign w:val="top"/>
          </w:tcPr>
          <w:p w14:paraId="1650325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Combine the above content</w:t>
            </w:r>
            <w:r>
              <w:rPr>
                <w:rFonts w:hint="default" w:ascii="Cambria" w:hAnsi="Cambria" w:cs="Cambria"/>
                <w:sz w:val="24"/>
                <w:szCs w:val="24"/>
                <w:lang w:val="en-US" w:eastAsia="en-US"/>
              </w:rPr>
              <w:t>s</w:t>
            </w:r>
            <w:r>
              <w:rPr>
                <w:rFonts w:hint="default" w:ascii="Cambria" w:hAnsi="Cambria" w:cs="Cambria"/>
                <w:sz w:val="24"/>
                <w:szCs w:val="24"/>
                <w:lang w:eastAsia="en-US"/>
              </w:rPr>
              <w:t>.</w:t>
            </w:r>
          </w:p>
        </w:tc>
        <w:tc>
          <w:tcPr>
            <w:tcW w:w="655" w:type="dxa"/>
            <w:noWrap w:val="0"/>
            <w:vAlign w:val="top"/>
          </w:tcPr>
          <w:p w14:paraId="0ECD812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0.30</w:t>
            </w:r>
          </w:p>
        </w:tc>
        <w:tc>
          <w:tcPr>
            <w:tcW w:w="1002" w:type="dxa"/>
            <w:noWrap w:val="0"/>
            <w:vAlign w:val="top"/>
          </w:tcPr>
          <w:p w14:paraId="24FBC38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c>
          <w:tcPr>
            <w:tcW w:w="640" w:type="dxa"/>
            <w:noWrap w:val="0"/>
            <w:vAlign w:val="top"/>
          </w:tcPr>
          <w:p w14:paraId="024708F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w:t>
            </w:r>
          </w:p>
        </w:tc>
      </w:tr>
    </w:tbl>
    <w:p w14:paraId="0C60643C">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2.20 Survey Results on Commonly Used Media in Pediatric Tuina: A.3 Clean Water</w:t>
      </w:r>
    </w:p>
    <w:p w14:paraId="066BB710">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27 Survey Results on Commonly Used Media in Pediatric Tuina: A.3 Clean Water</w:t>
      </w:r>
    </w:p>
    <w:tbl>
      <w:tblPr>
        <w:tblStyle w:val="81"/>
        <w:tblW w:w="8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15"/>
        <w:gridCol w:w="688"/>
        <w:gridCol w:w="992"/>
        <w:gridCol w:w="672"/>
      </w:tblGrid>
      <w:tr w14:paraId="78F39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1BCD539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88" w:type="dxa"/>
            <w:noWrap w:val="0"/>
            <w:vAlign w:val="top"/>
          </w:tcPr>
          <w:p w14:paraId="572F9F8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2"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2" DrawAspect="Content" ObjectID="_1468075784" r:id="rId75">
                  <o:LockedField>false</o:LockedField>
                </o:OLEObject>
              </w:object>
            </w:r>
          </w:p>
        </w:tc>
        <w:tc>
          <w:tcPr>
            <w:tcW w:w="992" w:type="dxa"/>
            <w:noWrap w:val="0"/>
            <w:vAlign w:val="top"/>
          </w:tcPr>
          <w:p w14:paraId="57D9352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72" w:type="dxa"/>
            <w:noWrap w:val="0"/>
            <w:vAlign w:val="top"/>
          </w:tcPr>
          <w:p w14:paraId="472DED7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0780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049B042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Change </w:t>
            </w:r>
            <w:r>
              <w:rPr>
                <w:rFonts w:hint="default" w:ascii="Cambria" w:hAnsi="Cambria" w:cs="Cambria"/>
                <w:sz w:val="24"/>
                <w:szCs w:val="24"/>
                <w:lang w:val="en-US"/>
              </w:rPr>
              <w:t>“</w:t>
            </w:r>
            <w:r>
              <w:rPr>
                <w:rFonts w:hint="default" w:ascii="Cambria" w:hAnsi="Cambria" w:cs="Cambria"/>
                <w:sz w:val="24"/>
                <w:szCs w:val="24"/>
              </w:rPr>
              <w:t>clean water, tap water, distilled water, and other clean water</w:t>
            </w:r>
            <w:r>
              <w:rPr>
                <w:rFonts w:hint="default" w:ascii="Cambria" w:hAnsi="Cambria" w:cs="Cambria"/>
                <w:sz w:val="24"/>
                <w:szCs w:val="24"/>
                <w:lang w:val="en-US"/>
              </w:rPr>
              <w:t>”</w:t>
            </w:r>
            <w:r>
              <w:rPr>
                <w:rFonts w:hint="default" w:ascii="Cambria" w:hAnsi="Cambria" w:cs="Cambria"/>
                <w:sz w:val="24"/>
                <w:szCs w:val="24"/>
              </w:rPr>
              <w:t xml:space="preserve"> to </w:t>
            </w:r>
            <w:r>
              <w:rPr>
                <w:rFonts w:hint="default" w:ascii="Cambria" w:hAnsi="Cambria" w:cs="Cambria"/>
                <w:sz w:val="24"/>
                <w:szCs w:val="24"/>
                <w:lang w:val="en-US"/>
              </w:rPr>
              <w:t>“</w:t>
            </w:r>
            <w:r>
              <w:rPr>
                <w:rFonts w:hint="default" w:ascii="Cambria" w:hAnsi="Cambria" w:cs="Cambria"/>
                <w:sz w:val="24"/>
                <w:szCs w:val="24"/>
              </w:rPr>
              <w:t>drinking water that meets national hygiene standards.</w:t>
            </w:r>
            <w:r>
              <w:rPr>
                <w:rFonts w:hint="default" w:ascii="Cambria" w:hAnsi="Cambria" w:cs="Cambria"/>
                <w:sz w:val="24"/>
                <w:szCs w:val="24"/>
                <w:lang w:val="en-US"/>
              </w:rPr>
              <w:t>”</w:t>
            </w:r>
            <w:r>
              <w:rPr>
                <w:rFonts w:hint="default" w:ascii="Cambria" w:hAnsi="Cambria" w:cs="Cambria"/>
                <w:sz w:val="24"/>
                <w:szCs w:val="24"/>
              </w:rPr>
              <w:t xml:space="preserve"> </w:t>
            </w:r>
            <w:r>
              <w:rPr>
                <w:rFonts w:hint="default" w:ascii="Cambria" w:hAnsi="Cambria" w:cs="Cambria"/>
                <w:sz w:val="24"/>
                <w:szCs w:val="24"/>
                <w:lang w:eastAsia="en-US"/>
              </w:rPr>
              <w:t xml:space="preserve">                               </w:t>
            </w:r>
          </w:p>
        </w:tc>
        <w:tc>
          <w:tcPr>
            <w:tcW w:w="688" w:type="dxa"/>
            <w:noWrap w:val="0"/>
            <w:vAlign w:val="top"/>
          </w:tcPr>
          <w:p w14:paraId="2910FC5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0.44</w:t>
            </w:r>
          </w:p>
        </w:tc>
        <w:tc>
          <w:tcPr>
            <w:tcW w:w="992" w:type="dxa"/>
            <w:noWrap w:val="0"/>
            <w:vAlign w:val="top"/>
          </w:tcPr>
          <w:p w14:paraId="36E2BAD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55.56%</w:t>
            </w:r>
          </w:p>
        </w:tc>
        <w:tc>
          <w:tcPr>
            <w:tcW w:w="672" w:type="dxa"/>
            <w:noWrap w:val="0"/>
            <w:vAlign w:val="top"/>
          </w:tcPr>
          <w:p w14:paraId="0E44A37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r>
      <w:tr w14:paraId="06412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15" w:type="dxa"/>
            <w:noWrap w:val="0"/>
            <w:vAlign w:val="top"/>
          </w:tcPr>
          <w:p w14:paraId="6D76E51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688" w:type="dxa"/>
            <w:noWrap w:val="0"/>
            <w:vAlign w:val="top"/>
          </w:tcPr>
          <w:p w14:paraId="31D8FE2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0.52</w:t>
            </w:r>
          </w:p>
        </w:tc>
        <w:tc>
          <w:tcPr>
            <w:tcW w:w="992" w:type="dxa"/>
            <w:noWrap w:val="0"/>
            <w:vAlign w:val="top"/>
          </w:tcPr>
          <w:p w14:paraId="7ACCE60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48.15%</w:t>
            </w:r>
          </w:p>
        </w:tc>
        <w:tc>
          <w:tcPr>
            <w:tcW w:w="672" w:type="dxa"/>
            <w:noWrap w:val="0"/>
            <w:vAlign w:val="top"/>
          </w:tcPr>
          <w:p w14:paraId="59F8D5E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r>
    </w:tbl>
    <w:p w14:paraId="44D40AEC">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2.21 Survey Results on Commonly Used Media in Pediatric Tuina: Ointment</w:t>
      </w:r>
    </w:p>
    <w:p w14:paraId="6D97E137">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lang w:val="en-US"/>
        </w:rPr>
      </w:pPr>
      <w:r>
        <w:rPr>
          <w:rFonts w:hint="default" w:ascii="Cambria" w:hAnsi="Cambria" w:cs="Cambria"/>
          <w:sz w:val="24"/>
          <w:szCs w:val="24"/>
        </w:rPr>
        <w:t>Table 28 Survey Results on Commonly Used Media in Pediatric Tuina</w:t>
      </w:r>
      <w:r>
        <w:rPr>
          <w:rFonts w:hint="default" w:ascii="Cambria" w:hAnsi="Cambria" w:cs="Cambria"/>
          <w:sz w:val="24"/>
          <w:szCs w:val="24"/>
          <w:lang w:val="en-US"/>
        </w:rPr>
        <w:t>:Ointment</w:t>
      </w:r>
    </w:p>
    <w:tbl>
      <w:tblPr>
        <w:tblStyle w:val="81"/>
        <w:tblW w:w="87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9"/>
        <w:gridCol w:w="664"/>
        <w:gridCol w:w="1018"/>
        <w:gridCol w:w="656"/>
      </w:tblGrid>
      <w:tr w14:paraId="1E024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0" w:type="auto"/>
            <w:noWrap w:val="0"/>
            <w:vAlign w:val="top"/>
          </w:tcPr>
          <w:p w14:paraId="3170F4C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53" w:type="dxa"/>
            <w:noWrap w:val="0"/>
            <w:vAlign w:val="top"/>
          </w:tcPr>
          <w:p w14:paraId="2F0781A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3"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3" DrawAspect="Content" ObjectID="_1468075785" r:id="rId76">
                  <o:LockedField>false</o:LockedField>
                </o:OLEObject>
              </w:object>
            </w:r>
          </w:p>
        </w:tc>
        <w:tc>
          <w:tcPr>
            <w:tcW w:w="1018" w:type="dxa"/>
            <w:noWrap w:val="0"/>
            <w:vAlign w:val="top"/>
          </w:tcPr>
          <w:p w14:paraId="635DC4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56" w:type="dxa"/>
            <w:noWrap w:val="0"/>
            <w:vAlign w:val="top"/>
          </w:tcPr>
          <w:p w14:paraId="11D2612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656F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2112CCB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Add ointment descriptions: Dongqing ointment (wintergreen oil and petrolatum mixture, warms meridians and disperses cold, suitable for cold coagulation patterns); Jianpi ointment (extracts from spleen-strengthening herbs mixed with oils, strengthens spleen and appetizes, suitable for spleen-stomach weakness).</w:t>
            </w:r>
            <w:r>
              <w:rPr>
                <w:rFonts w:hint="default" w:ascii="Cambria" w:hAnsi="Cambria" w:cs="Cambria"/>
                <w:sz w:val="24"/>
                <w:szCs w:val="24"/>
                <w:lang w:eastAsia="en-US"/>
              </w:rPr>
              <w:t xml:space="preserve">          </w:t>
            </w:r>
          </w:p>
        </w:tc>
        <w:tc>
          <w:tcPr>
            <w:tcW w:w="653" w:type="dxa"/>
            <w:noWrap w:val="0"/>
            <w:vAlign w:val="top"/>
          </w:tcPr>
          <w:p w14:paraId="0CBE1D5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0.11</w:t>
            </w:r>
          </w:p>
        </w:tc>
        <w:tc>
          <w:tcPr>
            <w:tcW w:w="1018" w:type="dxa"/>
            <w:noWrap w:val="0"/>
            <w:vAlign w:val="top"/>
          </w:tcPr>
          <w:p w14:paraId="10E37E4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88.89%</w:t>
            </w:r>
          </w:p>
        </w:tc>
        <w:tc>
          <w:tcPr>
            <w:tcW w:w="656" w:type="dxa"/>
            <w:noWrap w:val="0"/>
            <w:vAlign w:val="top"/>
          </w:tcPr>
          <w:p w14:paraId="52D2AB2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w:t>
            </w:r>
          </w:p>
        </w:tc>
      </w:tr>
      <w:tr w14:paraId="40C97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30560F6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 xml:space="preserve">Add ointment descriptions: using animal/plant oils, honey, lanolin, or petrolatum as base, mixed with powdered herbs or active extracts, with corresponding therapeutic effects. Commonly: Dongqing ointment (wintergreen oil + petrolatum, warms meridians and disperses cold); Jianpi ointment (spleen-strengthening herbal extracts + oils, strengthens spleen and appetizes). </w:t>
            </w:r>
            <w:r>
              <w:rPr>
                <w:rFonts w:hint="default" w:ascii="Cambria" w:hAnsi="Cambria" w:cs="Cambria"/>
                <w:sz w:val="24"/>
                <w:szCs w:val="24"/>
                <w:lang w:eastAsia="en-US"/>
              </w:rPr>
              <w:t xml:space="preserve">                                                               </w:t>
            </w:r>
          </w:p>
        </w:tc>
        <w:tc>
          <w:tcPr>
            <w:tcW w:w="653" w:type="dxa"/>
            <w:noWrap w:val="0"/>
            <w:vAlign w:val="top"/>
          </w:tcPr>
          <w:p w14:paraId="1AF5AF3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0.67</w:t>
            </w:r>
          </w:p>
        </w:tc>
        <w:tc>
          <w:tcPr>
            <w:tcW w:w="1018" w:type="dxa"/>
            <w:noWrap w:val="0"/>
            <w:vAlign w:val="top"/>
          </w:tcPr>
          <w:p w14:paraId="4560A83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33.33%</w:t>
            </w:r>
          </w:p>
        </w:tc>
        <w:tc>
          <w:tcPr>
            <w:tcW w:w="656" w:type="dxa"/>
            <w:noWrap w:val="0"/>
            <w:vAlign w:val="top"/>
          </w:tcPr>
          <w:p w14:paraId="5E5B2EC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18</w:t>
            </w:r>
          </w:p>
        </w:tc>
      </w:tr>
      <w:tr w14:paraId="1C895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0" w:type="auto"/>
            <w:noWrap w:val="0"/>
            <w:vAlign w:val="top"/>
          </w:tcPr>
          <w:p w14:paraId="558432B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Do not add ointment descriptions; retain the original national standard text. </w:t>
            </w:r>
            <w:r>
              <w:rPr>
                <w:rFonts w:hint="default" w:ascii="Cambria" w:hAnsi="Cambria" w:cs="Cambria"/>
                <w:sz w:val="24"/>
                <w:szCs w:val="24"/>
                <w:lang w:eastAsia="en-US"/>
              </w:rPr>
              <w:t xml:space="preserve">                                                                          </w:t>
            </w:r>
          </w:p>
        </w:tc>
        <w:tc>
          <w:tcPr>
            <w:tcW w:w="653" w:type="dxa"/>
            <w:noWrap w:val="0"/>
            <w:vAlign w:val="top"/>
          </w:tcPr>
          <w:p w14:paraId="29E7A94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18" w:type="dxa"/>
            <w:noWrap w:val="0"/>
            <w:vAlign w:val="top"/>
          </w:tcPr>
          <w:p w14:paraId="4A87D37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656" w:type="dxa"/>
            <w:noWrap w:val="0"/>
            <w:vAlign w:val="top"/>
          </w:tcPr>
          <w:p w14:paraId="78AD85F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bl>
    <w:p w14:paraId="617A9204">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2.22 Survey Results on Pitu (Location)</w:t>
      </w:r>
    </w:p>
    <w:p w14:paraId="6E6F31C5">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lang w:val="en-US"/>
        </w:rPr>
      </w:pPr>
      <w:r>
        <w:rPr>
          <w:rFonts w:hint="default" w:ascii="Cambria" w:hAnsi="Cambria" w:cs="Cambria"/>
          <w:sz w:val="24"/>
          <w:szCs w:val="24"/>
        </w:rPr>
        <w:t>Table 29 Survey Results on Pitu</w:t>
      </w:r>
      <w:r>
        <w:rPr>
          <w:rFonts w:hint="default" w:ascii="Cambria" w:hAnsi="Cambria" w:cs="Cambria"/>
          <w:sz w:val="24"/>
          <w:szCs w:val="24"/>
          <w:lang w:val="en-US"/>
        </w:rPr>
        <w:t xml:space="preserve"> </w:t>
      </w:r>
      <w:r>
        <w:rPr>
          <w:rFonts w:hint="default" w:ascii="Cambria" w:hAnsi="Cambria" w:cs="Cambria"/>
          <w:sz w:val="24"/>
          <w:szCs w:val="24"/>
        </w:rPr>
        <w:t>(Location)</w:t>
      </w:r>
    </w:p>
    <w:tbl>
      <w:tblPr>
        <w:tblStyle w:val="81"/>
        <w:tblW w:w="88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71"/>
        <w:gridCol w:w="683"/>
        <w:gridCol w:w="1111"/>
        <w:gridCol w:w="667"/>
      </w:tblGrid>
      <w:tr w14:paraId="07AD3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6371" w:type="dxa"/>
            <w:noWrap w:val="0"/>
            <w:vAlign w:val="top"/>
          </w:tcPr>
          <w:p w14:paraId="3919BFC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83" w:type="dxa"/>
            <w:noWrap w:val="0"/>
            <w:vAlign w:val="top"/>
          </w:tcPr>
          <w:p w14:paraId="16EB581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4"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4" DrawAspect="Content" ObjectID="_1468075786" r:id="rId77">
                  <o:LockedField>false</o:LockedField>
                </o:OLEObject>
              </w:object>
            </w:r>
          </w:p>
        </w:tc>
        <w:tc>
          <w:tcPr>
            <w:tcW w:w="1111" w:type="dxa"/>
            <w:noWrap w:val="0"/>
            <w:vAlign w:val="top"/>
          </w:tcPr>
          <w:p w14:paraId="1C3FF8C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67" w:type="dxa"/>
            <w:noWrap w:val="0"/>
            <w:vAlign w:val="top"/>
          </w:tcPr>
          <w:p w14:paraId="5C84F7E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61070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71" w:type="dxa"/>
            <w:noWrap w:val="0"/>
            <w:vAlign w:val="top"/>
          </w:tcPr>
          <w:p w14:paraId="54D0A25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Located on the thumb's whorled surface.</w:t>
            </w:r>
            <w:r>
              <w:rPr>
                <w:rFonts w:hint="default" w:ascii="Cambria" w:hAnsi="Cambria" w:cs="Cambria"/>
                <w:sz w:val="24"/>
                <w:szCs w:val="24"/>
                <w:lang w:eastAsia="en-US"/>
              </w:rPr>
              <w:t xml:space="preserve">             </w:t>
            </w:r>
          </w:p>
        </w:tc>
        <w:tc>
          <w:tcPr>
            <w:tcW w:w="683" w:type="dxa"/>
            <w:noWrap w:val="0"/>
            <w:vAlign w:val="top"/>
          </w:tcPr>
          <w:p w14:paraId="1094575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11" w:type="dxa"/>
            <w:noWrap w:val="0"/>
            <w:vAlign w:val="top"/>
          </w:tcPr>
          <w:p w14:paraId="3C289A7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667" w:type="dxa"/>
            <w:noWrap w:val="0"/>
            <w:vAlign w:val="top"/>
          </w:tcPr>
          <w:p w14:paraId="7135BEB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6576F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71" w:type="dxa"/>
            <w:noWrap w:val="0"/>
            <w:vAlign w:val="top"/>
          </w:tcPr>
          <w:p w14:paraId="6DE8CC3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Located on the lateral side of the thumb from fingertip to root.</w:t>
            </w:r>
            <w:r>
              <w:rPr>
                <w:rFonts w:hint="default" w:ascii="Cambria" w:hAnsi="Cambria" w:cs="Cambria"/>
                <w:sz w:val="24"/>
                <w:szCs w:val="24"/>
                <w:lang w:eastAsia="en-US"/>
              </w:rPr>
              <w:t xml:space="preserve">                                                                </w:t>
            </w:r>
          </w:p>
        </w:tc>
        <w:tc>
          <w:tcPr>
            <w:tcW w:w="683" w:type="dxa"/>
            <w:noWrap w:val="0"/>
            <w:vAlign w:val="top"/>
          </w:tcPr>
          <w:p w14:paraId="5D3CE21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111" w:type="dxa"/>
            <w:noWrap w:val="0"/>
            <w:vAlign w:val="top"/>
          </w:tcPr>
          <w:p w14:paraId="49F1178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87.00%</w:t>
            </w:r>
          </w:p>
        </w:tc>
        <w:tc>
          <w:tcPr>
            <w:tcW w:w="667" w:type="dxa"/>
            <w:noWrap w:val="0"/>
            <w:vAlign w:val="top"/>
          </w:tcPr>
          <w:p w14:paraId="36BF047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1D942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71" w:type="dxa"/>
            <w:noWrap w:val="0"/>
            <w:vAlign w:val="top"/>
          </w:tcPr>
          <w:p w14:paraId="3DBE00A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Located on the thumb's whorled surface.</w:t>
            </w:r>
            <w:r>
              <w:rPr>
                <w:rFonts w:hint="default" w:ascii="Cambria" w:hAnsi="Cambria" w:cs="Cambria"/>
                <w:sz w:val="24"/>
                <w:szCs w:val="24"/>
                <w:lang w:eastAsia="en-US"/>
              </w:rPr>
              <w:t xml:space="preserve">                                                                          </w:t>
            </w:r>
          </w:p>
        </w:tc>
        <w:tc>
          <w:tcPr>
            <w:tcW w:w="683" w:type="dxa"/>
            <w:noWrap w:val="0"/>
            <w:vAlign w:val="top"/>
          </w:tcPr>
          <w:p w14:paraId="6566B1F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11" w:type="dxa"/>
            <w:noWrap w:val="0"/>
            <w:vAlign w:val="top"/>
          </w:tcPr>
          <w:p w14:paraId="353BB30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67" w:type="dxa"/>
            <w:noWrap w:val="0"/>
            <w:vAlign w:val="top"/>
          </w:tcPr>
          <w:p w14:paraId="68C5044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10722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71" w:type="dxa"/>
            <w:noWrap w:val="0"/>
            <w:vAlign w:val="top"/>
          </w:tcPr>
          <w:p w14:paraId="1965D6F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 xml:space="preserve">The thumb's distal phalanx whorled surface or radial border, from fingertip to root in a straight line. </w:t>
            </w:r>
          </w:p>
        </w:tc>
        <w:tc>
          <w:tcPr>
            <w:tcW w:w="683" w:type="dxa"/>
            <w:noWrap w:val="0"/>
            <w:vAlign w:val="top"/>
          </w:tcPr>
          <w:p w14:paraId="06AFAA1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0.37</w:t>
            </w:r>
          </w:p>
        </w:tc>
        <w:tc>
          <w:tcPr>
            <w:tcW w:w="1111" w:type="dxa"/>
            <w:noWrap w:val="0"/>
            <w:vAlign w:val="top"/>
          </w:tcPr>
          <w:p w14:paraId="6EE5479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c>
          <w:tcPr>
            <w:tcW w:w="667" w:type="dxa"/>
            <w:noWrap w:val="0"/>
            <w:vAlign w:val="top"/>
          </w:tcPr>
          <w:p w14:paraId="6D688C3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r>
      <w:tr w14:paraId="17AC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71" w:type="dxa"/>
            <w:noWrap w:val="0"/>
            <w:vAlign w:val="top"/>
          </w:tcPr>
          <w:p w14:paraId="5538523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Retain the original text of the national standard.</w:t>
            </w:r>
          </w:p>
        </w:tc>
        <w:tc>
          <w:tcPr>
            <w:tcW w:w="683" w:type="dxa"/>
            <w:noWrap w:val="0"/>
            <w:vAlign w:val="top"/>
          </w:tcPr>
          <w:p w14:paraId="6AA94B8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0.56</w:t>
            </w:r>
          </w:p>
        </w:tc>
        <w:tc>
          <w:tcPr>
            <w:tcW w:w="1111" w:type="dxa"/>
            <w:noWrap w:val="0"/>
            <w:vAlign w:val="top"/>
          </w:tcPr>
          <w:p w14:paraId="4C99762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44.44%</w:t>
            </w:r>
          </w:p>
        </w:tc>
        <w:tc>
          <w:tcPr>
            <w:tcW w:w="667" w:type="dxa"/>
            <w:noWrap w:val="0"/>
            <w:vAlign w:val="top"/>
          </w:tcPr>
          <w:p w14:paraId="4AD2E6E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15</w:t>
            </w:r>
          </w:p>
        </w:tc>
      </w:tr>
      <w:tr w14:paraId="5DD80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71" w:type="dxa"/>
            <w:noWrap w:val="0"/>
            <w:vAlign w:val="top"/>
          </w:tcPr>
          <w:p w14:paraId="1DB546D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F. Other</w:t>
            </w:r>
          </w:p>
        </w:tc>
        <w:tc>
          <w:tcPr>
            <w:tcW w:w="683" w:type="dxa"/>
            <w:noWrap w:val="0"/>
            <w:vAlign w:val="top"/>
          </w:tcPr>
          <w:p w14:paraId="42A628A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11" w:type="dxa"/>
            <w:noWrap w:val="0"/>
            <w:vAlign w:val="top"/>
          </w:tcPr>
          <w:p w14:paraId="5F0F8FD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67" w:type="dxa"/>
            <w:noWrap w:val="0"/>
            <w:vAlign w:val="top"/>
          </w:tcPr>
          <w:p w14:paraId="11B3611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7DA09F93">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2.23 Survey Results on Siwenheng (Location)</w:t>
      </w:r>
    </w:p>
    <w:p w14:paraId="1AB94E1B">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lang w:val="en-US"/>
        </w:rPr>
      </w:pPr>
      <w:r>
        <w:rPr>
          <w:rFonts w:hint="default" w:ascii="Cambria" w:hAnsi="Cambria" w:cs="Cambria"/>
          <w:sz w:val="24"/>
          <w:szCs w:val="24"/>
        </w:rPr>
        <w:t>Table 30 Survey Results on Siwenheng</w:t>
      </w:r>
      <w:r>
        <w:rPr>
          <w:rFonts w:hint="default" w:ascii="Cambria" w:hAnsi="Cambria" w:cs="Cambria"/>
          <w:sz w:val="24"/>
          <w:szCs w:val="24"/>
          <w:lang w:val="en-US"/>
        </w:rPr>
        <w:t xml:space="preserve"> </w:t>
      </w:r>
      <w:r>
        <w:rPr>
          <w:rFonts w:hint="default" w:ascii="Cambria" w:hAnsi="Cambria" w:cs="Cambria"/>
          <w:sz w:val="24"/>
          <w:szCs w:val="24"/>
        </w:rPr>
        <w:t>(Location)</w:t>
      </w:r>
    </w:p>
    <w:tbl>
      <w:tblPr>
        <w:tblStyle w:val="81"/>
        <w:tblW w:w="88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0"/>
        <w:gridCol w:w="704"/>
        <w:gridCol w:w="1144"/>
        <w:gridCol w:w="734"/>
      </w:tblGrid>
      <w:tr w14:paraId="2885D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28" w:type="dxa"/>
            <w:noWrap w:val="0"/>
            <w:vAlign w:val="top"/>
          </w:tcPr>
          <w:p w14:paraId="613BCB0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04" w:type="dxa"/>
            <w:noWrap w:val="0"/>
            <w:vAlign w:val="top"/>
          </w:tcPr>
          <w:p w14:paraId="2006E7A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5"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5" DrawAspect="Content" ObjectID="_1468075787" r:id="rId78">
                  <o:LockedField>false</o:LockedField>
                </o:OLEObject>
              </w:object>
            </w:r>
          </w:p>
        </w:tc>
        <w:tc>
          <w:tcPr>
            <w:tcW w:w="1104" w:type="dxa"/>
            <w:noWrap w:val="0"/>
            <w:vAlign w:val="top"/>
          </w:tcPr>
          <w:p w14:paraId="7F26E72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736" w:type="dxa"/>
            <w:noWrap w:val="0"/>
            <w:vAlign w:val="top"/>
          </w:tcPr>
          <w:p w14:paraId="0E68DA9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2AD17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28" w:type="dxa"/>
            <w:noWrap w:val="0"/>
            <w:vAlign w:val="top"/>
          </w:tcPr>
          <w:p w14:paraId="06E2A18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Siwenheng, also known as Sifeng, located on the palmar side at the first interphalangeal joint creases of the index, middle, ring, and little fingers.</w:t>
            </w:r>
          </w:p>
        </w:tc>
        <w:tc>
          <w:tcPr>
            <w:tcW w:w="704" w:type="dxa"/>
            <w:noWrap w:val="0"/>
            <w:vAlign w:val="top"/>
          </w:tcPr>
          <w:p w14:paraId="65427D3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1104" w:type="dxa"/>
            <w:noWrap w:val="0"/>
            <w:vAlign w:val="top"/>
          </w:tcPr>
          <w:p w14:paraId="1B4F206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736" w:type="dxa"/>
            <w:noWrap w:val="0"/>
            <w:vAlign w:val="top"/>
          </w:tcPr>
          <w:p w14:paraId="56E8DA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r w14:paraId="76DB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28" w:type="dxa"/>
            <w:noWrap w:val="0"/>
            <w:vAlign w:val="top"/>
          </w:tcPr>
          <w:p w14:paraId="513CBBB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At the proximal interphalangeal joint creases of the index, middle, ring, and little fingers on the palmar side.</w:t>
            </w:r>
            <w:r>
              <w:rPr>
                <w:rFonts w:hint="default" w:ascii="Cambria" w:hAnsi="Cambria" w:cs="Cambria"/>
                <w:sz w:val="24"/>
                <w:szCs w:val="24"/>
                <w:lang w:eastAsia="en-US"/>
              </w:rPr>
              <w:t xml:space="preserve">                                                                </w:t>
            </w:r>
          </w:p>
        </w:tc>
        <w:tc>
          <w:tcPr>
            <w:tcW w:w="704" w:type="dxa"/>
            <w:noWrap w:val="0"/>
            <w:vAlign w:val="top"/>
          </w:tcPr>
          <w:p w14:paraId="342AAF3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1104" w:type="dxa"/>
            <w:noWrap w:val="0"/>
            <w:vAlign w:val="top"/>
          </w:tcPr>
          <w:p w14:paraId="598024C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736" w:type="dxa"/>
            <w:noWrap w:val="0"/>
            <w:vAlign w:val="top"/>
          </w:tcPr>
          <w:p w14:paraId="49F4E77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r w14:paraId="71D8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28" w:type="dxa"/>
            <w:noWrap w:val="0"/>
            <w:vAlign w:val="top"/>
          </w:tcPr>
          <w:p w14:paraId="7DB2976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Retain the original text of the national standard.                                                                           </w:t>
            </w:r>
          </w:p>
        </w:tc>
        <w:tc>
          <w:tcPr>
            <w:tcW w:w="704" w:type="dxa"/>
            <w:noWrap w:val="0"/>
            <w:vAlign w:val="top"/>
          </w:tcPr>
          <w:p w14:paraId="6C8CAB7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0.63</w:t>
            </w:r>
          </w:p>
        </w:tc>
        <w:tc>
          <w:tcPr>
            <w:tcW w:w="1104" w:type="dxa"/>
            <w:noWrap w:val="0"/>
            <w:vAlign w:val="top"/>
          </w:tcPr>
          <w:p w14:paraId="6AE9589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c>
          <w:tcPr>
            <w:tcW w:w="736" w:type="dxa"/>
            <w:noWrap w:val="0"/>
            <w:vAlign w:val="top"/>
          </w:tcPr>
          <w:p w14:paraId="622250C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17</w:t>
            </w:r>
          </w:p>
        </w:tc>
      </w:tr>
      <w:tr w14:paraId="7A84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328" w:type="dxa"/>
            <w:noWrap w:val="0"/>
            <w:vAlign w:val="top"/>
          </w:tcPr>
          <w:p w14:paraId="2C0ED5F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Other</w:t>
            </w:r>
          </w:p>
        </w:tc>
        <w:tc>
          <w:tcPr>
            <w:tcW w:w="704" w:type="dxa"/>
            <w:noWrap w:val="0"/>
            <w:vAlign w:val="top"/>
          </w:tcPr>
          <w:p w14:paraId="2D7903E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104" w:type="dxa"/>
            <w:noWrap w:val="0"/>
            <w:vAlign w:val="top"/>
          </w:tcPr>
          <w:p w14:paraId="6B31476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736" w:type="dxa"/>
            <w:noWrap w:val="0"/>
            <w:vAlign w:val="top"/>
          </w:tcPr>
          <w:p w14:paraId="6E63C25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34559A66">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2.24 Survey Results on Erren Shangma (Acupoint Names)</w:t>
      </w:r>
    </w:p>
    <w:p w14:paraId="08297A62">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31 Survey Results on Erren Shangma (Acupoint Names)</w:t>
      </w:r>
    </w:p>
    <w:tbl>
      <w:tblPr>
        <w:tblStyle w:val="81"/>
        <w:tblW w:w="894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7"/>
        <w:gridCol w:w="736"/>
        <w:gridCol w:w="1088"/>
        <w:gridCol w:w="613"/>
      </w:tblGrid>
      <w:tr w14:paraId="698A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07" w:type="dxa"/>
            <w:noWrap w:val="0"/>
            <w:vAlign w:val="top"/>
          </w:tcPr>
          <w:p w14:paraId="616072E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36" w:type="dxa"/>
            <w:noWrap w:val="0"/>
            <w:vAlign w:val="top"/>
          </w:tcPr>
          <w:p w14:paraId="3285D52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6"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6" DrawAspect="Content" ObjectID="_1468075788" r:id="rId79">
                  <o:LockedField>false</o:LockedField>
                </o:OLEObject>
              </w:object>
            </w:r>
          </w:p>
        </w:tc>
        <w:tc>
          <w:tcPr>
            <w:tcW w:w="1088" w:type="dxa"/>
            <w:noWrap w:val="0"/>
            <w:vAlign w:val="top"/>
          </w:tcPr>
          <w:p w14:paraId="578C4D1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13" w:type="dxa"/>
            <w:noWrap w:val="0"/>
            <w:vAlign w:val="top"/>
          </w:tcPr>
          <w:p w14:paraId="7A832AB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689C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07" w:type="dxa"/>
            <w:noWrap w:val="0"/>
            <w:vAlign w:val="top"/>
          </w:tcPr>
          <w:p w14:paraId="080E300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Erma</w:t>
            </w:r>
          </w:p>
        </w:tc>
        <w:tc>
          <w:tcPr>
            <w:tcW w:w="736" w:type="dxa"/>
            <w:noWrap w:val="0"/>
            <w:vAlign w:val="top"/>
          </w:tcPr>
          <w:p w14:paraId="1605D45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0.07</w:t>
            </w:r>
          </w:p>
        </w:tc>
        <w:tc>
          <w:tcPr>
            <w:tcW w:w="1088" w:type="dxa"/>
            <w:noWrap w:val="0"/>
            <w:vAlign w:val="top"/>
          </w:tcPr>
          <w:p w14:paraId="114A531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92.59%</w:t>
            </w:r>
          </w:p>
        </w:tc>
        <w:tc>
          <w:tcPr>
            <w:tcW w:w="613" w:type="dxa"/>
            <w:noWrap w:val="0"/>
            <w:vAlign w:val="top"/>
          </w:tcPr>
          <w:p w14:paraId="5C76540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r>
      <w:tr w14:paraId="24E20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07" w:type="dxa"/>
            <w:noWrap w:val="0"/>
            <w:vAlign w:val="top"/>
          </w:tcPr>
          <w:p w14:paraId="4A32826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Shangma                                                                  </w:t>
            </w:r>
          </w:p>
        </w:tc>
        <w:tc>
          <w:tcPr>
            <w:tcW w:w="736" w:type="dxa"/>
            <w:noWrap w:val="0"/>
            <w:vAlign w:val="top"/>
          </w:tcPr>
          <w:p w14:paraId="568EEE5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088" w:type="dxa"/>
            <w:noWrap w:val="0"/>
            <w:vAlign w:val="top"/>
          </w:tcPr>
          <w:p w14:paraId="4051D3D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613" w:type="dxa"/>
            <w:noWrap w:val="0"/>
            <w:vAlign w:val="top"/>
          </w:tcPr>
          <w:p w14:paraId="0BA1D6D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067AC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07" w:type="dxa"/>
            <w:noWrap w:val="0"/>
            <w:vAlign w:val="top"/>
          </w:tcPr>
          <w:p w14:paraId="1DFA00D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Retain the original text of the national standard</w:t>
            </w:r>
            <w:r>
              <w:rPr>
                <w:rFonts w:hint="default" w:ascii="Cambria" w:hAnsi="Cambria" w:cs="Cambria"/>
                <w:sz w:val="24"/>
                <w:szCs w:val="24"/>
                <w:lang w:val="en-US" w:eastAsia="en-US"/>
              </w:rPr>
              <w:t>.</w:t>
            </w:r>
            <w:r>
              <w:rPr>
                <w:rFonts w:hint="default" w:ascii="Cambria" w:hAnsi="Cambria" w:cs="Cambria"/>
                <w:sz w:val="24"/>
                <w:szCs w:val="24"/>
                <w:lang w:eastAsia="en-US"/>
              </w:rPr>
              <w:t xml:space="preserve">                                                                         </w:t>
            </w:r>
          </w:p>
        </w:tc>
        <w:tc>
          <w:tcPr>
            <w:tcW w:w="736" w:type="dxa"/>
            <w:noWrap w:val="0"/>
            <w:vAlign w:val="top"/>
          </w:tcPr>
          <w:p w14:paraId="53822AC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0.81</w:t>
            </w:r>
          </w:p>
        </w:tc>
        <w:tc>
          <w:tcPr>
            <w:tcW w:w="1088" w:type="dxa"/>
            <w:noWrap w:val="0"/>
            <w:vAlign w:val="top"/>
          </w:tcPr>
          <w:p w14:paraId="6C20B95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18.52%</w:t>
            </w:r>
          </w:p>
        </w:tc>
        <w:tc>
          <w:tcPr>
            <w:tcW w:w="613" w:type="dxa"/>
            <w:noWrap w:val="0"/>
            <w:vAlign w:val="top"/>
          </w:tcPr>
          <w:p w14:paraId="776AB86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22</w:t>
            </w:r>
          </w:p>
        </w:tc>
      </w:tr>
      <w:tr w14:paraId="5C3A8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507" w:type="dxa"/>
            <w:noWrap w:val="0"/>
            <w:vAlign w:val="top"/>
          </w:tcPr>
          <w:p w14:paraId="4DBA7B6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Other</w:t>
            </w:r>
          </w:p>
        </w:tc>
        <w:tc>
          <w:tcPr>
            <w:tcW w:w="736" w:type="dxa"/>
            <w:noWrap w:val="0"/>
            <w:vAlign w:val="top"/>
          </w:tcPr>
          <w:p w14:paraId="71BCE76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0.07</w:t>
            </w:r>
          </w:p>
        </w:tc>
        <w:tc>
          <w:tcPr>
            <w:tcW w:w="1088" w:type="dxa"/>
            <w:noWrap w:val="0"/>
            <w:vAlign w:val="top"/>
          </w:tcPr>
          <w:p w14:paraId="48088D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92.59%</w:t>
            </w:r>
          </w:p>
        </w:tc>
        <w:tc>
          <w:tcPr>
            <w:tcW w:w="613" w:type="dxa"/>
            <w:noWrap w:val="0"/>
            <w:vAlign w:val="top"/>
          </w:tcPr>
          <w:p w14:paraId="3016E90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r>
    </w:tbl>
    <w:p w14:paraId="7B9B5DAF">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 xml:space="preserve">2.25 Survey Results on Erren Shangma (Location) </w:t>
      </w:r>
    </w:p>
    <w:p w14:paraId="2BF7446B">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32</w:t>
      </w:r>
      <w:r>
        <w:rPr>
          <w:rFonts w:hint="default" w:ascii="Cambria" w:hAnsi="Cambria" w:cs="Cambria"/>
          <w:sz w:val="24"/>
          <w:szCs w:val="24"/>
          <w:lang w:val="en-US"/>
        </w:rPr>
        <w:t xml:space="preserve"> </w:t>
      </w:r>
      <w:r>
        <w:rPr>
          <w:rFonts w:hint="default" w:ascii="Cambria" w:hAnsi="Cambria" w:cs="Cambria"/>
          <w:sz w:val="24"/>
          <w:szCs w:val="24"/>
        </w:rPr>
        <w:t xml:space="preserve">Survey Results on Erren Shangma (Location) </w:t>
      </w:r>
    </w:p>
    <w:tbl>
      <w:tblPr>
        <w:tblStyle w:val="81"/>
        <w:tblW w:w="8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4"/>
        <w:gridCol w:w="767"/>
        <w:gridCol w:w="1144"/>
        <w:gridCol w:w="591"/>
      </w:tblGrid>
      <w:tr w14:paraId="5900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488" w:type="dxa"/>
            <w:noWrap w:val="0"/>
            <w:vAlign w:val="top"/>
          </w:tcPr>
          <w:p w14:paraId="45A8AD8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68" w:type="dxa"/>
            <w:noWrap w:val="0"/>
            <w:vAlign w:val="top"/>
          </w:tcPr>
          <w:p w14:paraId="0D9103A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7"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7" DrawAspect="Content" ObjectID="_1468075789" r:id="rId80">
                  <o:LockedField>false</o:LockedField>
                </o:OLEObject>
              </w:object>
            </w:r>
          </w:p>
        </w:tc>
        <w:tc>
          <w:tcPr>
            <w:tcW w:w="1088" w:type="dxa"/>
            <w:noWrap w:val="0"/>
            <w:vAlign w:val="top"/>
          </w:tcPr>
          <w:p w14:paraId="53A0EF0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592" w:type="dxa"/>
            <w:noWrap w:val="0"/>
            <w:vAlign w:val="top"/>
          </w:tcPr>
          <w:p w14:paraId="58C01E1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73613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26AE200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Located in the depression posterior to the metacarpophalangeal joints of the ring and little fingers on the dorsum of the hand, opposite to the Dui</w:t>
            </w:r>
            <w:r>
              <w:rPr>
                <w:rFonts w:hint="default" w:ascii="Cambria" w:hAnsi="Cambria" w:cs="Cambria"/>
                <w:sz w:val="24"/>
                <w:szCs w:val="24"/>
                <w:lang w:val="en-US"/>
              </w:rPr>
              <w:t>gong</w:t>
            </w:r>
            <w:r>
              <w:rPr>
                <w:rFonts w:hint="default" w:ascii="Cambria" w:hAnsi="Cambria" w:cs="Cambria"/>
                <w:sz w:val="24"/>
                <w:szCs w:val="24"/>
              </w:rPr>
              <w:t xml:space="preserve"> in the Inner Eight Trigrams.</w:t>
            </w:r>
          </w:p>
        </w:tc>
        <w:tc>
          <w:tcPr>
            <w:tcW w:w="768" w:type="dxa"/>
            <w:noWrap w:val="0"/>
            <w:vAlign w:val="top"/>
          </w:tcPr>
          <w:p w14:paraId="2B4436B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088" w:type="dxa"/>
            <w:noWrap w:val="0"/>
            <w:vAlign w:val="top"/>
          </w:tcPr>
          <w:p w14:paraId="474E9DC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592" w:type="dxa"/>
            <w:noWrap w:val="0"/>
            <w:vAlign w:val="top"/>
          </w:tcPr>
          <w:p w14:paraId="712BD47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0D0F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5709DB3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Located beside the little finger at the second transverse crease and beside the Qian</w:t>
            </w:r>
            <w:r>
              <w:rPr>
                <w:rFonts w:hint="default" w:ascii="Cambria" w:hAnsi="Cambria" w:cs="Cambria"/>
                <w:sz w:val="24"/>
                <w:szCs w:val="24"/>
                <w:lang w:val="en-US"/>
              </w:rPr>
              <w:t xml:space="preserve">gong </w:t>
            </w:r>
            <w:r>
              <w:rPr>
                <w:rFonts w:hint="default" w:ascii="Cambria" w:hAnsi="Cambria" w:cs="Cambria"/>
                <w:sz w:val="24"/>
                <w:szCs w:val="24"/>
              </w:rPr>
              <w:t>of the palm.</w:t>
            </w:r>
            <w:r>
              <w:rPr>
                <w:rFonts w:hint="default" w:ascii="Cambria" w:hAnsi="Cambria" w:cs="Cambria"/>
                <w:sz w:val="24"/>
                <w:szCs w:val="24"/>
                <w:lang w:eastAsia="en-US"/>
              </w:rPr>
              <w:t xml:space="preserve">                                                               </w:t>
            </w:r>
          </w:p>
        </w:tc>
        <w:tc>
          <w:tcPr>
            <w:tcW w:w="768" w:type="dxa"/>
            <w:noWrap w:val="0"/>
            <w:vAlign w:val="top"/>
          </w:tcPr>
          <w:p w14:paraId="0B02594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5A17F17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92" w:type="dxa"/>
            <w:noWrap w:val="0"/>
            <w:vAlign w:val="top"/>
          </w:tcPr>
          <w:p w14:paraId="64E0AE0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3674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6C3A639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Located beside the little finger at the third/fourth transverse creases and beside the Qian</w:t>
            </w:r>
            <w:r>
              <w:rPr>
                <w:rFonts w:hint="default" w:ascii="Cambria" w:hAnsi="Cambria" w:cs="Cambria"/>
                <w:sz w:val="24"/>
                <w:szCs w:val="24"/>
                <w:lang w:val="en-US"/>
              </w:rPr>
              <w:t>gong</w:t>
            </w:r>
            <w:r>
              <w:rPr>
                <w:rFonts w:hint="default" w:ascii="Cambria" w:hAnsi="Cambria" w:cs="Cambria"/>
                <w:sz w:val="24"/>
                <w:szCs w:val="24"/>
              </w:rPr>
              <w:t>.</w:t>
            </w:r>
            <w:r>
              <w:rPr>
                <w:rFonts w:hint="default" w:ascii="Cambria" w:hAnsi="Cambria" w:cs="Cambria"/>
                <w:sz w:val="24"/>
                <w:szCs w:val="24"/>
                <w:lang w:eastAsia="en-US"/>
              </w:rPr>
              <w:t xml:space="preserve">                                                                         </w:t>
            </w:r>
          </w:p>
        </w:tc>
        <w:tc>
          <w:tcPr>
            <w:tcW w:w="768" w:type="dxa"/>
            <w:noWrap w:val="0"/>
            <w:vAlign w:val="top"/>
          </w:tcPr>
          <w:p w14:paraId="19F0C5A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5638FC4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92" w:type="dxa"/>
            <w:noWrap w:val="0"/>
            <w:vAlign w:val="top"/>
          </w:tcPr>
          <w:p w14:paraId="2256026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05F78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78D1CB7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In the depression posterior to the metacarpophalangeal joints of the ring and little fingers on the dorsum of the hand.</w:t>
            </w:r>
          </w:p>
        </w:tc>
        <w:tc>
          <w:tcPr>
            <w:tcW w:w="768" w:type="dxa"/>
            <w:noWrap w:val="0"/>
            <w:vAlign w:val="top"/>
          </w:tcPr>
          <w:p w14:paraId="1674F2D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88" w:type="dxa"/>
            <w:noWrap w:val="0"/>
            <w:vAlign w:val="top"/>
          </w:tcPr>
          <w:p w14:paraId="2AAD0D8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592" w:type="dxa"/>
            <w:noWrap w:val="0"/>
            <w:vAlign w:val="top"/>
          </w:tcPr>
          <w:p w14:paraId="14718C6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4803C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6813A9F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Retain the original text of the national standard</w:t>
            </w:r>
            <w:r>
              <w:rPr>
                <w:rFonts w:hint="default" w:ascii="Cambria" w:hAnsi="Cambria" w:cs="Cambria"/>
                <w:sz w:val="24"/>
                <w:szCs w:val="24"/>
                <w:lang w:val="en-US" w:eastAsia="en-US"/>
              </w:rPr>
              <w:t>.</w:t>
            </w:r>
            <w:r>
              <w:rPr>
                <w:rFonts w:hint="default" w:ascii="Cambria" w:hAnsi="Cambria" w:cs="Cambria"/>
                <w:sz w:val="24"/>
                <w:szCs w:val="24"/>
                <w:lang w:eastAsia="en-US"/>
              </w:rPr>
              <w:t xml:space="preserve">  </w:t>
            </w:r>
          </w:p>
        </w:tc>
        <w:tc>
          <w:tcPr>
            <w:tcW w:w="768" w:type="dxa"/>
            <w:noWrap w:val="0"/>
            <w:vAlign w:val="top"/>
          </w:tcPr>
          <w:p w14:paraId="5245A7F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0.70</w:t>
            </w:r>
          </w:p>
        </w:tc>
        <w:tc>
          <w:tcPr>
            <w:tcW w:w="1088" w:type="dxa"/>
            <w:noWrap w:val="0"/>
            <w:vAlign w:val="top"/>
          </w:tcPr>
          <w:p w14:paraId="7D86412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c>
          <w:tcPr>
            <w:tcW w:w="592" w:type="dxa"/>
            <w:noWrap w:val="0"/>
            <w:vAlign w:val="top"/>
          </w:tcPr>
          <w:p w14:paraId="006CB84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r>
      <w:tr w14:paraId="183C4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6DFB71E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F. Other</w:t>
            </w:r>
          </w:p>
        </w:tc>
        <w:tc>
          <w:tcPr>
            <w:tcW w:w="768" w:type="dxa"/>
            <w:noWrap w:val="0"/>
            <w:vAlign w:val="top"/>
          </w:tcPr>
          <w:p w14:paraId="60CFCB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088" w:type="dxa"/>
            <w:noWrap w:val="0"/>
            <w:vAlign w:val="top"/>
          </w:tcPr>
          <w:p w14:paraId="19B2474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592" w:type="dxa"/>
            <w:noWrap w:val="0"/>
            <w:vAlign w:val="top"/>
          </w:tcPr>
          <w:p w14:paraId="74539F6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bl>
    <w:p w14:paraId="785CCC16">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2.26 Survey Results on Sanguan (Location)</w:t>
      </w:r>
    </w:p>
    <w:p w14:paraId="67429610">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33 Survey Results on Sanguan (Location)</w:t>
      </w:r>
    </w:p>
    <w:tbl>
      <w:tblPr>
        <w:tblStyle w:val="81"/>
        <w:tblW w:w="89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4"/>
        <w:gridCol w:w="767"/>
        <w:gridCol w:w="1144"/>
        <w:gridCol w:w="591"/>
      </w:tblGrid>
      <w:tr w14:paraId="79B25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78AB08F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68" w:type="dxa"/>
            <w:noWrap w:val="0"/>
            <w:vAlign w:val="top"/>
          </w:tcPr>
          <w:p w14:paraId="79C7663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8"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8" DrawAspect="Content" ObjectID="_1468075790" r:id="rId81">
                  <o:LockedField>false</o:LockedField>
                </o:OLEObject>
              </w:object>
            </w:r>
          </w:p>
        </w:tc>
        <w:tc>
          <w:tcPr>
            <w:tcW w:w="1088" w:type="dxa"/>
            <w:noWrap w:val="0"/>
            <w:vAlign w:val="top"/>
          </w:tcPr>
          <w:p w14:paraId="1C0CB16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592" w:type="dxa"/>
            <w:noWrap w:val="0"/>
            <w:vAlign w:val="top"/>
          </w:tcPr>
          <w:p w14:paraId="096676D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44B61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2207030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The frontal view of the left hand (male) and right hand (female) shows Sanguan roughly on the radial side of the forearm, between the wrist crease and elbow joint. </w:t>
            </w:r>
          </w:p>
        </w:tc>
        <w:tc>
          <w:tcPr>
            <w:tcW w:w="768" w:type="dxa"/>
            <w:noWrap w:val="0"/>
            <w:vAlign w:val="top"/>
          </w:tcPr>
          <w:p w14:paraId="1F995CB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088" w:type="dxa"/>
            <w:noWrap w:val="0"/>
            <w:vAlign w:val="top"/>
          </w:tcPr>
          <w:p w14:paraId="09095E4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592" w:type="dxa"/>
            <w:noWrap w:val="0"/>
            <w:vAlign w:val="top"/>
          </w:tcPr>
          <w:p w14:paraId="037B7C1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3D451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6BBBCF5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Sanguan is beside the arm, also called Da Sanguan... from Yuji, up the arm to Quchi, hence called lateral.</w:t>
            </w:r>
          </w:p>
        </w:tc>
        <w:tc>
          <w:tcPr>
            <w:tcW w:w="768" w:type="dxa"/>
            <w:noWrap w:val="0"/>
            <w:vAlign w:val="top"/>
          </w:tcPr>
          <w:p w14:paraId="52DB28A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32F7335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92" w:type="dxa"/>
            <w:noWrap w:val="0"/>
            <w:vAlign w:val="top"/>
          </w:tcPr>
          <w:p w14:paraId="548943B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74237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0BD1784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Located on the dorsal bone of the male left hand. Combined with ancient diagrams, Sanguan is on the dorsal forearm, between wrist and elbow. </w:t>
            </w:r>
            <w:r>
              <w:rPr>
                <w:rFonts w:hint="default" w:ascii="Cambria" w:hAnsi="Cambria" w:cs="Cambria"/>
                <w:sz w:val="24"/>
                <w:szCs w:val="24"/>
                <w:lang w:eastAsia="en-US"/>
              </w:rPr>
              <w:t xml:space="preserve">                                                                </w:t>
            </w:r>
          </w:p>
        </w:tc>
        <w:tc>
          <w:tcPr>
            <w:tcW w:w="768" w:type="dxa"/>
            <w:noWrap w:val="0"/>
            <w:vAlign w:val="top"/>
          </w:tcPr>
          <w:p w14:paraId="46AD1EF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7B20FC2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92" w:type="dxa"/>
            <w:noWrap w:val="0"/>
            <w:vAlign w:val="top"/>
          </w:tcPr>
          <w:p w14:paraId="29E7D81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4E5D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488" w:type="dxa"/>
            <w:noWrap w:val="0"/>
            <w:vAlign w:val="top"/>
          </w:tcPr>
          <w:p w14:paraId="5F6F867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Located on the dorsal aspect of the humerus</w:t>
            </w:r>
            <w:r>
              <w:rPr>
                <w:rFonts w:hint="default" w:ascii="Cambria" w:hAnsi="Cambria" w:cs="Cambria"/>
                <w:sz w:val="24"/>
                <w:szCs w:val="24"/>
                <w:lang w:eastAsia="en-US"/>
              </w:rPr>
              <w:t xml:space="preserve">.                                                                           </w:t>
            </w:r>
          </w:p>
        </w:tc>
        <w:tc>
          <w:tcPr>
            <w:tcW w:w="768" w:type="dxa"/>
            <w:noWrap w:val="0"/>
            <w:vAlign w:val="top"/>
          </w:tcPr>
          <w:p w14:paraId="7D31FFF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1436C85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92" w:type="dxa"/>
            <w:noWrap w:val="0"/>
            <w:vAlign w:val="top"/>
          </w:tcPr>
          <w:p w14:paraId="1CE8ECF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68B75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4" w:hRule="atLeast"/>
        </w:trPr>
        <w:tc>
          <w:tcPr>
            <w:tcW w:w="6488" w:type="dxa"/>
            <w:noWrap w:val="0"/>
            <w:vAlign w:val="top"/>
          </w:tcPr>
          <w:p w14:paraId="274AE15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Located beside the thumb side of the elbow.</w:t>
            </w:r>
          </w:p>
        </w:tc>
        <w:tc>
          <w:tcPr>
            <w:tcW w:w="768" w:type="dxa"/>
            <w:noWrap w:val="0"/>
            <w:vAlign w:val="top"/>
          </w:tcPr>
          <w:p w14:paraId="6836D99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525C06D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92" w:type="dxa"/>
            <w:noWrap w:val="0"/>
            <w:vAlign w:val="top"/>
          </w:tcPr>
          <w:p w14:paraId="1A26DE7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129C1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442F8C6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F. </w:t>
            </w:r>
            <w:r>
              <w:rPr>
                <w:rFonts w:hint="default" w:ascii="Cambria" w:hAnsi="Cambria" w:cs="Cambria"/>
                <w:sz w:val="24"/>
                <w:szCs w:val="24"/>
              </w:rPr>
              <w:t>Radial border of the forearm, from Yangchi to Quchi in a straight line.</w:t>
            </w:r>
          </w:p>
        </w:tc>
        <w:tc>
          <w:tcPr>
            <w:tcW w:w="768" w:type="dxa"/>
            <w:noWrap w:val="0"/>
            <w:vAlign w:val="top"/>
          </w:tcPr>
          <w:p w14:paraId="3AADBCB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0.26</w:t>
            </w:r>
          </w:p>
        </w:tc>
        <w:tc>
          <w:tcPr>
            <w:tcW w:w="1088" w:type="dxa"/>
            <w:noWrap w:val="0"/>
            <w:vAlign w:val="top"/>
          </w:tcPr>
          <w:p w14:paraId="6A29245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74.07%</w:t>
            </w:r>
          </w:p>
        </w:tc>
        <w:tc>
          <w:tcPr>
            <w:tcW w:w="592" w:type="dxa"/>
            <w:noWrap w:val="0"/>
            <w:vAlign w:val="top"/>
          </w:tcPr>
          <w:p w14:paraId="13ED228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w:t>
            </w:r>
          </w:p>
        </w:tc>
      </w:tr>
      <w:tr w14:paraId="6D2FC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54D04FD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G. Retain the original text of the national standard</w:t>
            </w:r>
            <w:r>
              <w:rPr>
                <w:rFonts w:hint="default" w:ascii="Cambria" w:hAnsi="Cambria" w:cs="Cambria"/>
                <w:sz w:val="24"/>
                <w:szCs w:val="24"/>
                <w:lang w:val="en-US" w:eastAsia="en-US"/>
              </w:rPr>
              <w:t>.</w:t>
            </w:r>
            <w:r>
              <w:rPr>
                <w:rFonts w:hint="default" w:ascii="Cambria" w:hAnsi="Cambria" w:cs="Cambria"/>
                <w:sz w:val="24"/>
                <w:szCs w:val="24"/>
                <w:lang w:eastAsia="en-US"/>
              </w:rPr>
              <w:t xml:space="preserve">  </w:t>
            </w:r>
          </w:p>
        </w:tc>
        <w:tc>
          <w:tcPr>
            <w:tcW w:w="768" w:type="dxa"/>
            <w:noWrap w:val="0"/>
            <w:vAlign w:val="top"/>
          </w:tcPr>
          <w:p w14:paraId="659DEE2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0.74</w:t>
            </w:r>
          </w:p>
        </w:tc>
        <w:tc>
          <w:tcPr>
            <w:tcW w:w="1088" w:type="dxa"/>
            <w:noWrap w:val="0"/>
            <w:vAlign w:val="top"/>
          </w:tcPr>
          <w:p w14:paraId="2A1EF07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25.93%</w:t>
            </w:r>
          </w:p>
        </w:tc>
        <w:tc>
          <w:tcPr>
            <w:tcW w:w="592" w:type="dxa"/>
            <w:noWrap w:val="0"/>
            <w:vAlign w:val="top"/>
          </w:tcPr>
          <w:p w14:paraId="5466176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20</w:t>
            </w:r>
          </w:p>
        </w:tc>
      </w:tr>
      <w:tr w14:paraId="266B9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64C571A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H. Other</w:t>
            </w:r>
          </w:p>
        </w:tc>
        <w:tc>
          <w:tcPr>
            <w:tcW w:w="768" w:type="dxa"/>
            <w:noWrap w:val="0"/>
            <w:vAlign w:val="top"/>
          </w:tcPr>
          <w:p w14:paraId="145F530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0BDD7DF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92" w:type="dxa"/>
            <w:noWrap w:val="0"/>
            <w:vAlign w:val="top"/>
          </w:tcPr>
          <w:p w14:paraId="5FDFFED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2568FD96">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2.27 Survey Results on Liufu (Location)</w:t>
      </w:r>
    </w:p>
    <w:p w14:paraId="12D723A0">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34 Survey Results on Liufu (Location)</w:t>
      </w:r>
    </w:p>
    <w:tbl>
      <w:tblPr>
        <w:tblStyle w:val="81"/>
        <w:tblW w:w="89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4"/>
        <w:gridCol w:w="751"/>
        <w:gridCol w:w="1144"/>
        <w:gridCol w:w="623"/>
      </w:tblGrid>
      <w:tr w14:paraId="63710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0F5108F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52" w:type="dxa"/>
            <w:noWrap w:val="0"/>
            <w:vAlign w:val="top"/>
          </w:tcPr>
          <w:p w14:paraId="183CF8A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79"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79" DrawAspect="Content" ObjectID="_1468075791" r:id="rId82">
                  <o:LockedField>false</o:LockedField>
                </o:OLEObject>
              </w:object>
            </w:r>
          </w:p>
        </w:tc>
        <w:tc>
          <w:tcPr>
            <w:tcW w:w="1088" w:type="dxa"/>
            <w:noWrap w:val="0"/>
            <w:vAlign w:val="top"/>
          </w:tcPr>
          <w:p w14:paraId="73F3CC2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24" w:type="dxa"/>
            <w:noWrap w:val="0"/>
            <w:vAlign w:val="top"/>
          </w:tcPr>
          <w:p w14:paraId="475AA3F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12B7F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7211B72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Liufu is below the arm, opposite to Sanguan.</w:t>
            </w:r>
          </w:p>
        </w:tc>
        <w:tc>
          <w:tcPr>
            <w:tcW w:w="752" w:type="dxa"/>
            <w:noWrap w:val="0"/>
            <w:vAlign w:val="top"/>
          </w:tcPr>
          <w:p w14:paraId="0F89590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088" w:type="dxa"/>
            <w:noWrap w:val="0"/>
            <w:vAlign w:val="top"/>
          </w:tcPr>
          <w:p w14:paraId="485C765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624" w:type="dxa"/>
            <w:noWrap w:val="0"/>
            <w:vAlign w:val="top"/>
          </w:tcPr>
          <w:p w14:paraId="0197EE8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1B02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3A06FE6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Liufu is on the anterior forearm, between wrist and elbow.</w:t>
            </w:r>
            <w:r>
              <w:rPr>
                <w:rFonts w:hint="default" w:ascii="Cambria" w:hAnsi="Cambria" w:cs="Cambria"/>
                <w:sz w:val="24"/>
                <w:szCs w:val="24"/>
                <w:lang w:eastAsia="en-US"/>
              </w:rPr>
              <w:t xml:space="preserve">                </w:t>
            </w:r>
          </w:p>
        </w:tc>
        <w:tc>
          <w:tcPr>
            <w:tcW w:w="752" w:type="dxa"/>
            <w:noWrap w:val="0"/>
            <w:vAlign w:val="top"/>
          </w:tcPr>
          <w:p w14:paraId="327147D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090BF2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4" w:type="dxa"/>
            <w:noWrap w:val="0"/>
            <w:vAlign w:val="top"/>
          </w:tcPr>
          <w:p w14:paraId="7B755FE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0C9A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2F7E56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Liufu is beside the little finger.</w:t>
            </w:r>
          </w:p>
        </w:tc>
        <w:tc>
          <w:tcPr>
            <w:tcW w:w="752" w:type="dxa"/>
            <w:noWrap w:val="0"/>
            <w:vAlign w:val="top"/>
          </w:tcPr>
          <w:p w14:paraId="6D5007A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22714B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4" w:type="dxa"/>
            <w:noWrap w:val="0"/>
            <w:vAlign w:val="top"/>
          </w:tcPr>
          <w:p w14:paraId="0F7E49B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791C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581308F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Ulnar border of the forearm, from Yinchi to the elbow in a straight line.</w:t>
            </w:r>
          </w:p>
        </w:tc>
        <w:tc>
          <w:tcPr>
            <w:tcW w:w="752" w:type="dxa"/>
            <w:noWrap w:val="0"/>
            <w:vAlign w:val="top"/>
          </w:tcPr>
          <w:p w14:paraId="2912B33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1088" w:type="dxa"/>
            <w:noWrap w:val="0"/>
            <w:vAlign w:val="top"/>
          </w:tcPr>
          <w:p w14:paraId="3560D07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624" w:type="dxa"/>
            <w:noWrap w:val="0"/>
            <w:vAlign w:val="top"/>
          </w:tcPr>
          <w:p w14:paraId="0C4CD5A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r w14:paraId="50800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2D27EB1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Retain the original text of the national standard.</w:t>
            </w:r>
          </w:p>
        </w:tc>
        <w:tc>
          <w:tcPr>
            <w:tcW w:w="752" w:type="dxa"/>
            <w:noWrap w:val="0"/>
            <w:vAlign w:val="top"/>
          </w:tcPr>
          <w:p w14:paraId="4805914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0.70</w:t>
            </w:r>
          </w:p>
        </w:tc>
        <w:tc>
          <w:tcPr>
            <w:tcW w:w="1088" w:type="dxa"/>
            <w:noWrap w:val="0"/>
            <w:vAlign w:val="top"/>
          </w:tcPr>
          <w:p w14:paraId="53755D1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c>
          <w:tcPr>
            <w:tcW w:w="624" w:type="dxa"/>
            <w:noWrap w:val="0"/>
            <w:vAlign w:val="top"/>
          </w:tcPr>
          <w:p w14:paraId="351DE81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r>
      <w:tr w14:paraId="303E5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5D45A74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F. Other</w:t>
            </w:r>
          </w:p>
        </w:tc>
        <w:tc>
          <w:tcPr>
            <w:tcW w:w="752" w:type="dxa"/>
            <w:noWrap w:val="0"/>
            <w:vAlign w:val="top"/>
          </w:tcPr>
          <w:p w14:paraId="4F47A39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0.07</w:t>
            </w:r>
          </w:p>
        </w:tc>
        <w:tc>
          <w:tcPr>
            <w:tcW w:w="1088" w:type="dxa"/>
            <w:noWrap w:val="0"/>
            <w:vAlign w:val="top"/>
          </w:tcPr>
          <w:p w14:paraId="33307B8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92.59%</w:t>
            </w:r>
          </w:p>
        </w:tc>
        <w:tc>
          <w:tcPr>
            <w:tcW w:w="624" w:type="dxa"/>
            <w:noWrap w:val="0"/>
            <w:vAlign w:val="top"/>
          </w:tcPr>
          <w:p w14:paraId="221C7D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w:t>
            </w:r>
          </w:p>
        </w:tc>
      </w:tr>
    </w:tbl>
    <w:p w14:paraId="56AC5ACA">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 xml:space="preserve">2.28 Survey Results on Tianhe (Location) </w:t>
      </w:r>
    </w:p>
    <w:p w14:paraId="2C55BA75">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35 Survey Results on Tianhe (Location)</w:t>
      </w:r>
    </w:p>
    <w:tbl>
      <w:tblPr>
        <w:tblStyle w:val="81"/>
        <w:tblW w:w="89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5"/>
        <w:gridCol w:w="751"/>
        <w:gridCol w:w="1144"/>
        <w:gridCol w:w="622"/>
      </w:tblGrid>
      <w:tr w14:paraId="4CE6A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0ACC331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752" w:type="dxa"/>
            <w:noWrap w:val="0"/>
            <w:vAlign w:val="top"/>
          </w:tcPr>
          <w:p w14:paraId="2E24D5B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80"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80" DrawAspect="Content" ObjectID="_1468075792" r:id="rId83">
                  <o:LockedField>false</o:LockedField>
                </o:OLEObject>
              </w:object>
            </w:r>
          </w:p>
        </w:tc>
        <w:tc>
          <w:tcPr>
            <w:tcW w:w="1088" w:type="dxa"/>
            <w:noWrap w:val="0"/>
            <w:vAlign w:val="top"/>
          </w:tcPr>
          <w:p w14:paraId="6B18AA8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624" w:type="dxa"/>
            <w:noWrap w:val="0"/>
            <w:vAlign w:val="top"/>
          </w:tcPr>
          <w:p w14:paraId="25CB8E6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69F15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78DB4F6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Located on the midline of the anterior forearm, three finger-breadths above the wrist crease.</w:t>
            </w:r>
          </w:p>
        </w:tc>
        <w:tc>
          <w:tcPr>
            <w:tcW w:w="752" w:type="dxa"/>
            <w:noWrap w:val="0"/>
            <w:vAlign w:val="top"/>
          </w:tcPr>
          <w:p w14:paraId="52F4774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0.04</w:t>
            </w:r>
          </w:p>
        </w:tc>
        <w:tc>
          <w:tcPr>
            <w:tcW w:w="1088" w:type="dxa"/>
            <w:noWrap w:val="0"/>
            <w:vAlign w:val="top"/>
          </w:tcPr>
          <w:p w14:paraId="4D8C377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96.30%</w:t>
            </w:r>
          </w:p>
        </w:tc>
        <w:tc>
          <w:tcPr>
            <w:tcW w:w="624" w:type="dxa"/>
            <w:noWrap w:val="0"/>
            <w:vAlign w:val="top"/>
          </w:tcPr>
          <w:p w14:paraId="02CDB6C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w:t>
            </w:r>
          </w:p>
        </w:tc>
      </w:tr>
      <w:tr w14:paraId="2561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53C2138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Located on the midline of the anterior forearm, from Xiaotianxin to Quchi.</w:t>
            </w:r>
            <w:r>
              <w:rPr>
                <w:rFonts w:hint="default" w:ascii="Cambria" w:hAnsi="Cambria" w:cs="Cambria"/>
                <w:sz w:val="24"/>
                <w:szCs w:val="24"/>
                <w:lang w:eastAsia="en-US"/>
              </w:rPr>
              <w:t xml:space="preserve">       </w:t>
            </w:r>
          </w:p>
        </w:tc>
        <w:tc>
          <w:tcPr>
            <w:tcW w:w="752" w:type="dxa"/>
            <w:noWrap w:val="0"/>
            <w:vAlign w:val="top"/>
          </w:tcPr>
          <w:p w14:paraId="32B9AAB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256AE29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4" w:type="dxa"/>
            <w:noWrap w:val="0"/>
            <w:vAlign w:val="top"/>
          </w:tcPr>
          <w:p w14:paraId="7A53347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01072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1D29519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Located on the midline of the anterior forearm, from Zongjin to Quchi.</w:t>
            </w:r>
          </w:p>
        </w:tc>
        <w:tc>
          <w:tcPr>
            <w:tcW w:w="752" w:type="dxa"/>
            <w:noWrap w:val="0"/>
            <w:vAlign w:val="top"/>
          </w:tcPr>
          <w:p w14:paraId="09D9D80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56C1DF4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4" w:type="dxa"/>
            <w:noWrap w:val="0"/>
            <w:vAlign w:val="top"/>
          </w:tcPr>
          <w:p w14:paraId="6DAF0C7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r w14:paraId="1C58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1E46476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Midline of the forearm, from Zongjin to Hongchi in a straight line.</w:t>
            </w:r>
          </w:p>
        </w:tc>
        <w:tc>
          <w:tcPr>
            <w:tcW w:w="752" w:type="dxa"/>
            <w:noWrap w:val="0"/>
            <w:vAlign w:val="top"/>
          </w:tcPr>
          <w:p w14:paraId="33D1405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0.30</w:t>
            </w:r>
          </w:p>
        </w:tc>
        <w:tc>
          <w:tcPr>
            <w:tcW w:w="1088" w:type="dxa"/>
            <w:noWrap w:val="0"/>
            <w:vAlign w:val="top"/>
          </w:tcPr>
          <w:p w14:paraId="74EA091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c>
          <w:tcPr>
            <w:tcW w:w="624" w:type="dxa"/>
            <w:noWrap w:val="0"/>
            <w:vAlign w:val="top"/>
          </w:tcPr>
          <w:p w14:paraId="7BE577F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w:t>
            </w:r>
          </w:p>
        </w:tc>
      </w:tr>
      <w:tr w14:paraId="28344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5DF9FB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Retain the original text of the national standard.</w:t>
            </w:r>
          </w:p>
        </w:tc>
        <w:tc>
          <w:tcPr>
            <w:tcW w:w="752" w:type="dxa"/>
            <w:noWrap w:val="0"/>
            <w:vAlign w:val="top"/>
          </w:tcPr>
          <w:p w14:paraId="5633C23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0.70</w:t>
            </w:r>
          </w:p>
        </w:tc>
        <w:tc>
          <w:tcPr>
            <w:tcW w:w="1088" w:type="dxa"/>
            <w:noWrap w:val="0"/>
            <w:vAlign w:val="top"/>
          </w:tcPr>
          <w:p w14:paraId="4A4B5D7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c>
          <w:tcPr>
            <w:tcW w:w="624" w:type="dxa"/>
            <w:noWrap w:val="0"/>
            <w:vAlign w:val="top"/>
          </w:tcPr>
          <w:p w14:paraId="7E0ADE4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r>
      <w:tr w14:paraId="4E1C0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488" w:type="dxa"/>
            <w:noWrap w:val="0"/>
            <w:vAlign w:val="top"/>
          </w:tcPr>
          <w:p w14:paraId="59B8397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F. Other</w:t>
            </w:r>
          </w:p>
        </w:tc>
        <w:tc>
          <w:tcPr>
            <w:tcW w:w="752" w:type="dxa"/>
            <w:noWrap w:val="0"/>
            <w:vAlign w:val="top"/>
          </w:tcPr>
          <w:p w14:paraId="34F40A5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c>
          <w:tcPr>
            <w:tcW w:w="1088" w:type="dxa"/>
            <w:noWrap w:val="0"/>
            <w:vAlign w:val="top"/>
          </w:tcPr>
          <w:p w14:paraId="1CE600C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624" w:type="dxa"/>
            <w:noWrap w:val="0"/>
            <w:vAlign w:val="top"/>
          </w:tcPr>
          <w:p w14:paraId="6D05EEB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1BC75D14">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2.29 Survey Results on Precautions for Safety Assurance in Pediatric Tuina</w:t>
      </w:r>
    </w:p>
    <w:p w14:paraId="69D4BC89">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36 Survey Results on Precautions for Safety Assurance in Pediatric Tuina</w:t>
      </w:r>
    </w:p>
    <w:tbl>
      <w:tblPr>
        <w:tblStyle w:val="81"/>
        <w:tblW w:w="88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99"/>
        <w:gridCol w:w="805"/>
        <w:gridCol w:w="1065"/>
        <w:gridCol w:w="1023"/>
      </w:tblGrid>
      <w:tr w14:paraId="7CF17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999" w:type="dxa"/>
            <w:noWrap w:val="0"/>
            <w:vAlign w:val="top"/>
          </w:tcPr>
          <w:p w14:paraId="5E0ED12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805" w:type="dxa"/>
            <w:noWrap w:val="0"/>
            <w:vAlign w:val="top"/>
          </w:tcPr>
          <w:p w14:paraId="588BEBA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81"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81" DrawAspect="Content" ObjectID="_1468075793" r:id="rId84">
                  <o:LockedField>false</o:LockedField>
                </o:OLEObject>
              </w:object>
            </w:r>
          </w:p>
        </w:tc>
        <w:tc>
          <w:tcPr>
            <w:tcW w:w="1065" w:type="dxa"/>
            <w:noWrap w:val="0"/>
            <w:vAlign w:val="top"/>
          </w:tcPr>
          <w:p w14:paraId="4D8725F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1023" w:type="dxa"/>
            <w:noWrap w:val="0"/>
            <w:vAlign w:val="top"/>
          </w:tcPr>
          <w:p w14:paraId="2E26D72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2B91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999" w:type="dxa"/>
            <w:noWrap w:val="0"/>
            <w:vAlign w:val="top"/>
          </w:tcPr>
          <w:p w14:paraId="37E7267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lang w:eastAsia="en-US"/>
              </w:rPr>
              <w:t xml:space="preserve">A. </w:t>
            </w:r>
            <w:r>
              <w:rPr>
                <w:rFonts w:hint="default" w:ascii="Cambria" w:hAnsi="Cambria" w:cs="Cambria"/>
                <w:sz w:val="24"/>
                <w:szCs w:val="24"/>
              </w:rPr>
              <w:t xml:space="preserve">Precautions: 7.1 The practitioner must be skilled, apply force evenly, with gentle, deep, and steady movements, and master the duration, frequency, and intensity. Generally determined by age, constitution, and condition. Taking 1-year-old as standard, push each acupoint about 2 min (except strong stimulation), about 300 pushes per main acupoint. Under 1 year or weaker: shorten time and reduce counts; over 1 year or stronger: extend time and increase counts. Younger, weaker, deficient patterns: use light force; older, stronger, excess: heavier force. </w:t>
            </w:r>
          </w:p>
          <w:p w14:paraId="2DB2E494">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7.2 During treatment, the practitioner and parents should protect the child's safety to prevent falls from the treatment table; avoid pulling limbs forcefully to prevent sprains. </w:t>
            </w:r>
          </w:p>
          <w:p w14:paraId="137891E8">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7.3 The child should not eat within 30 min before and after treatment. </w:t>
            </w:r>
          </w:p>
          <w:p w14:paraId="40DC2039">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7.4 Hungry children should not receive tuina. </w:t>
            </w:r>
          </w:p>
          <w:p w14:paraId="629AF812">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7.5 Those with excessive sweating should replenish fluids. </w:t>
            </w:r>
          </w:p>
          <w:p w14:paraId="6DA0FF06">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 xml:space="preserve">7.6 Avoid cold/raw foods and keep warm. </w:t>
            </w:r>
          </w:p>
        </w:tc>
        <w:tc>
          <w:tcPr>
            <w:tcW w:w="805" w:type="dxa"/>
            <w:noWrap w:val="0"/>
            <w:vAlign w:val="top"/>
          </w:tcPr>
          <w:p w14:paraId="5EDD6B8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1065" w:type="dxa"/>
            <w:noWrap w:val="0"/>
            <w:vAlign w:val="top"/>
          </w:tcPr>
          <w:p w14:paraId="08B9B3A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1023" w:type="dxa"/>
            <w:noWrap w:val="0"/>
            <w:vAlign w:val="top"/>
          </w:tcPr>
          <w:p w14:paraId="758D1C0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r w14:paraId="485B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999" w:type="dxa"/>
            <w:noWrap w:val="0"/>
            <w:vAlign w:val="top"/>
          </w:tcPr>
          <w:p w14:paraId="125E739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lang w:eastAsia="en-US"/>
              </w:rPr>
              <w:t>B.</w:t>
            </w:r>
            <w:r>
              <w:rPr>
                <w:rFonts w:hint="default" w:ascii="Cambria" w:hAnsi="Cambria" w:cs="Cambria"/>
                <w:sz w:val="24"/>
                <w:szCs w:val="24"/>
                <w:lang w:val="en-US" w:eastAsia="en-US"/>
              </w:rPr>
              <w:t xml:space="preserve"> </w:t>
            </w:r>
            <w:r>
              <w:rPr>
                <w:rFonts w:hint="default" w:ascii="Cambria" w:hAnsi="Cambria" w:cs="Cambria"/>
                <w:sz w:val="24"/>
                <w:szCs w:val="24"/>
              </w:rPr>
              <w:t xml:space="preserve">7.2.4 Post-treatment: </w:t>
            </w:r>
          </w:p>
          <w:p w14:paraId="3299BFE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7.2.4.1 Local skin may show redness, which resolves shortly; this is a normal reaction and generally requires no treatment. </w:t>
            </w:r>
          </w:p>
          <w:p w14:paraId="0F8A695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7.2.4.2 Wipe sweat off the child, keep warm and avoid wind/cold to prevent colds, and avoid cold/raw foods. </w:t>
            </w:r>
          </w:p>
          <w:p w14:paraId="5A35B47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7.2.4.3 The practitioner should thoroughly wash or use hand sanitizer to clean hands, maintain hand hygiene to prevent cross-infection.</w:t>
            </w:r>
            <w:r>
              <w:rPr>
                <w:rFonts w:hint="default" w:ascii="Cambria" w:hAnsi="Cambria" w:cs="Cambria"/>
                <w:sz w:val="24"/>
                <w:szCs w:val="24"/>
                <w:lang w:eastAsia="en-US"/>
              </w:rPr>
              <w:t xml:space="preserve">     </w:t>
            </w:r>
          </w:p>
        </w:tc>
        <w:tc>
          <w:tcPr>
            <w:tcW w:w="805" w:type="dxa"/>
            <w:noWrap w:val="0"/>
            <w:vAlign w:val="top"/>
          </w:tcPr>
          <w:p w14:paraId="6268DE7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0.19</w:t>
            </w:r>
          </w:p>
        </w:tc>
        <w:tc>
          <w:tcPr>
            <w:tcW w:w="1065" w:type="dxa"/>
            <w:noWrap w:val="0"/>
            <w:vAlign w:val="top"/>
          </w:tcPr>
          <w:p w14:paraId="6FA7A35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c>
          <w:tcPr>
            <w:tcW w:w="1023" w:type="dxa"/>
            <w:noWrap w:val="0"/>
            <w:vAlign w:val="top"/>
          </w:tcPr>
          <w:p w14:paraId="5B63CE0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w:t>
            </w:r>
          </w:p>
        </w:tc>
      </w:tr>
      <w:tr w14:paraId="2C05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999" w:type="dxa"/>
            <w:noWrap w:val="0"/>
            <w:vAlign w:val="top"/>
          </w:tcPr>
          <w:p w14:paraId="169D151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Retain the original text of the national standard.</w:t>
            </w:r>
          </w:p>
        </w:tc>
        <w:tc>
          <w:tcPr>
            <w:tcW w:w="805" w:type="dxa"/>
            <w:noWrap w:val="0"/>
            <w:vAlign w:val="top"/>
          </w:tcPr>
          <w:p w14:paraId="7C4742A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0.22</w:t>
            </w:r>
          </w:p>
        </w:tc>
        <w:tc>
          <w:tcPr>
            <w:tcW w:w="1065" w:type="dxa"/>
            <w:noWrap w:val="0"/>
            <w:vAlign w:val="top"/>
          </w:tcPr>
          <w:p w14:paraId="6F16C7D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77.78%</w:t>
            </w:r>
          </w:p>
        </w:tc>
        <w:tc>
          <w:tcPr>
            <w:tcW w:w="1023" w:type="dxa"/>
            <w:noWrap w:val="0"/>
            <w:vAlign w:val="top"/>
          </w:tcPr>
          <w:p w14:paraId="12ED8B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6</w:t>
            </w:r>
          </w:p>
        </w:tc>
      </w:tr>
      <w:tr w14:paraId="7D46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999" w:type="dxa"/>
            <w:noWrap w:val="0"/>
            <w:vAlign w:val="top"/>
          </w:tcPr>
          <w:p w14:paraId="07CA0E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Combine the above content</w:t>
            </w:r>
            <w:r>
              <w:rPr>
                <w:rFonts w:hint="default" w:ascii="Cambria" w:hAnsi="Cambria" w:cs="Cambria"/>
                <w:sz w:val="24"/>
                <w:szCs w:val="24"/>
                <w:lang w:val="en-US" w:eastAsia="en-US"/>
              </w:rPr>
              <w:t>s</w:t>
            </w:r>
            <w:r>
              <w:rPr>
                <w:rFonts w:hint="default" w:ascii="Cambria" w:hAnsi="Cambria" w:cs="Cambria"/>
                <w:sz w:val="24"/>
                <w:szCs w:val="24"/>
                <w:lang w:eastAsia="en-US"/>
              </w:rPr>
              <w:t>.</w:t>
            </w:r>
          </w:p>
        </w:tc>
        <w:tc>
          <w:tcPr>
            <w:tcW w:w="805" w:type="dxa"/>
            <w:noWrap w:val="0"/>
            <w:vAlign w:val="top"/>
          </w:tcPr>
          <w:p w14:paraId="1840FB6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0.41</w:t>
            </w:r>
          </w:p>
        </w:tc>
        <w:tc>
          <w:tcPr>
            <w:tcW w:w="1065" w:type="dxa"/>
            <w:noWrap w:val="0"/>
            <w:vAlign w:val="top"/>
          </w:tcPr>
          <w:p w14:paraId="1B0F95F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59.26%</w:t>
            </w:r>
          </w:p>
        </w:tc>
        <w:tc>
          <w:tcPr>
            <w:tcW w:w="1023" w:type="dxa"/>
            <w:noWrap w:val="0"/>
            <w:vAlign w:val="top"/>
          </w:tcPr>
          <w:p w14:paraId="62F7D5C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r>
    </w:tbl>
    <w:p w14:paraId="139D1B73">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2.30 Survey Results on Revising “Scope”</w:t>
      </w:r>
    </w:p>
    <w:p w14:paraId="416B3394">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 xml:space="preserve">Table 37 Survey Results on Revising </w:t>
      </w:r>
      <w:r>
        <w:rPr>
          <w:rFonts w:hint="default" w:ascii="Cambria" w:hAnsi="Cambria" w:cs="Cambria"/>
          <w:sz w:val="24"/>
          <w:szCs w:val="24"/>
          <w:lang w:val="en-US"/>
        </w:rPr>
        <w:t>“</w:t>
      </w:r>
      <w:r>
        <w:rPr>
          <w:rFonts w:hint="default" w:ascii="Cambria" w:hAnsi="Cambria" w:cs="Cambria"/>
          <w:sz w:val="24"/>
          <w:szCs w:val="24"/>
        </w:rPr>
        <w:t>Scope</w:t>
      </w:r>
      <w:r>
        <w:rPr>
          <w:rFonts w:hint="default" w:ascii="Cambria" w:hAnsi="Cambria" w:cs="Cambria"/>
          <w:sz w:val="24"/>
          <w:szCs w:val="24"/>
          <w:lang w:val="en-US"/>
        </w:rPr>
        <w:t>”</w:t>
      </w:r>
    </w:p>
    <w:tbl>
      <w:tblPr>
        <w:tblStyle w:val="81"/>
        <w:tblW w:w="52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1"/>
        <w:gridCol w:w="1119"/>
        <w:gridCol w:w="2155"/>
        <w:gridCol w:w="1039"/>
      </w:tblGrid>
      <w:tr w14:paraId="2D7AA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5993C55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29" w:type="pct"/>
            <w:noWrap w:val="0"/>
            <w:vAlign w:val="top"/>
          </w:tcPr>
          <w:p w14:paraId="4A2A6AA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82"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82" DrawAspect="Content" ObjectID="_1468075794" r:id="rId85">
                  <o:LockedField>false</o:LockedField>
                </o:OLEObject>
              </w:object>
            </w:r>
          </w:p>
        </w:tc>
        <w:tc>
          <w:tcPr>
            <w:tcW w:w="1211" w:type="pct"/>
            <w:noWrap w:val="0"/>
            <w:vAlign w:val="top"/>
          </w:tcPr>
          <w:p w14:paraId="643A97B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584" w:type="pct"/>
            <w:noWrap w:val="0"/>
            <w:vAlign w:val="top"/>
          </w:tcPr>
          <w:p w14:paraId="5CB2723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06F71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332E21F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 Agree</w:t>
            </w:r>
          </w:p>
        </w:tc>
        <w:tc>
          <w:tcPr>
            <w:tcW w:w="629" w:type="pct"/>
            <w:noWrap w:val="0"/>
            <w:vAlign w:val="top"/>
          </w:tcPr>
          <w:p w14:paraId="1B48EF8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211" w:type="pct"/>
            <w:noWrap w:val="0"/>
            <w:vAlign w:val="top"/>
          </w:tcPr>
          <w:p w14:paraId="6C4F215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0.00%</w:t>
            </w:r>
          </w:p>
        </w:tc>
        <w:tc>
          <w:tcPr>
            <w:tcW w:w="584" w:type="pct"/>
            <w:noWrap w:val="0"/>
            <w:vAlign w:val="top"/>
          </w:tcPr>
          <w:p w14:paraId="079BD77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27</w:t>
            </w:r>
          </w:p>
        </w:tc>
      </w:tr>
      <w:tr w14:paraId="5A92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5DF51A7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Disagree                    </w:t>
            </w:r>
          </w:p>
        </w:tc>
        <w:tc>
          <w:tcPr>
            <w:tcW w:w="629" w:type="pct"/>
            <w:noWrap w:val="0"/>
            <w:vAlign w:val="top"/>
          </w:tcPr>
          <w:p w14:paraId="7485A97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w:t>
            </w:r>
          </w:p>
        </w:tc>
        <w:tc>
          <w:tcPr>
            <w:tcW w:w="1211" w:type="pct"/>
            <w:noWrap w:val="0"/>
            <w:vAlign w:val="top"/>
          </w:tcPr>
          <w:p w14:paraId="20CCFDB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84" w:type="pct"/>
            <w:noWrap w:val="0"/>
            <w:vAlign w:val="top"/>
          </w:tcPr>
          <w:p w14:paraId="609F063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656E010C">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2.31 Survey Results on Revising “Normative References”</w:t>
      </w:r>
    </w:p>
    <w:p w14:paraId="16E4D298">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 xml:space="preserve">Table 38 Survey Results on Revising </w:t>
      </w:r>
      <w:r>
        <w:rPr>
          <w:rFonts w:hint="default" w:ascii="Cambria" w:hAnsi="Cambria" w:cs="Cambria"/>
          <w:sz w:val="24"/>
          <w:szCs w:val="24"/>
          <w:lang w:val="en-US"/>
        </w:rPr>
        <w:t>“</w:t>
      </w:r>
      <w:r>
        <w:rPr>
          <w:rFonts w:hint="default" w:ascii="Cambria" w:hAnsi="Cambria" w:cs="Cambria"/>
          <w:sz w:val="24"/>
          <w:szCs w:val="24"/>
        </w:rPr>
        <w:t>Normative References</w:t>
      </w:r>
      <w:r>
        <w:rPr>
          <w:rFonts w:hint="default" w:ascii="Cambria" w:hAnsi="Cambria" w:cs="Cambria"/>
          <w:sz w:val="24"/>
          <w:szCs w:val="24"/>
          <w:lang w:val="en-US"/>
        </w:rPr>
        <w:t>”</w:t>
      </w:r>
    </w:p>
    <w:tbl>
      <w:tblPr>
        <w:tblStyle w:val="81"/>
        <w:tblW w:w="52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1"/>
        <w:gridCol w:w="1119"/>
        <w:gridCol w:w="2155"/>
        <w:gridCol w:w="1039"/>
      </w:tblGrid>
      <w:tr w14:paraId="6BC67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10BD559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29" w:type="pct"/>
            <w:noWrap w:val="0"/>
            <w:vAlign w:val="top"/>
          </w:tcPr>
          <w:p w14:paraId="31B5761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83"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83" DrawAspect="Content" ObjectID="_1468075795" r:id="rId86">
                  <o:LockedField>false</o:LockedField>
                </o:OLEObject>
              </w:object>
            </w:r>
          </w:p>
        </w:tc>
        <w:tc>
          <w:tcPr>
            <w:tcW w:w="1211" w:type="pct"/>
            <w:noWrap w:val="0"/>
            <w:vAlign w:val="top"/>
          </w:tcPr>
          <w:p w14:paraId="0A6D45B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584" w:type="pct"/>
            <w:noWrap w:val="0"/>
            <w:vAlign w:val="top"/>
          </w:tcPr>
          <w:p w14:paraId="7EF6D9E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6445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75" w:type="pct"/>
            <w:noWrap w:val="0"/>
            <w:vAlign w:val="top"/>
          </w:tcPr>
          <w:p w14:paraId="380721D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 Agree</w:t>
            </w:r>
          </w:p>
        </w:tc>
        <w:tc>
          <w:tcPr>
            <w:tcW w:w="629" w:type="pct"/>
            <w:noWrap w:val="0"/>
            <w:vAlign w:val="top"/>
          </w:tcPr>
          <w:p w14:paraId="04859EA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211" w:type="pct"/>
            <w:noWrap w:val="0"/>
            <w:vAlign w:val="top"/>
          </w:tcPr>
          <w:p w14:paraId="2579C5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0.00%</w:t>
            </w:r>
          </w:p>
        </w:tc>
        <w:tc>
          <w:tcPr>
            <w:tcW w:w="584" w:type="pct"/>
            <w:noWrap w:val="0"/>
            <w:vAlign w:val="top"/>
          </w:tcPr>
          <w:p w14:paraId="53B0726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27</w:t>
            </w:r>
          </w:p>
        </w:tc>
      </w:tr>
      <w:tr w14:paraId="02F96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1ED01A1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Disagree                    </w:t>
            </w:r>
          </w:p>
        </w:tc>
        <w:tc>
          <w:tcPr>
            <w:tcW w:w="629" w:type="pct"/>
            <w:noWrap w:val="0"/>
            <w:vAlign w:val="top"/>
          </w:tcPr>
          <w:p w14:paraId="34E7B53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w:t>
            </w:r>
          </w:p>
        </w:tc>
        <w:tc>
          <w:tcPr>
            <w:tcW w:w="1211" w:type="pct"/>
            <w:noWrap w:val="0"/>
            <w:vAlign w:val="top"/>
          </w:tcPr>
          <w:p w14:paraId="17149E9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84" w:type="pct"/>
            <w:noWrap w:val="0"/>
            <w:vAlign w:val="top"/>
          </w:tcPr>
          <w:p w14:paraId="4F95A24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4E2D17A8">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2.32 Survey Results on Adding Contraindications for Pediatric Tuina</w:t>
      </w:r>
    </w:p>
    <w:p w14:paraId="690089AC">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lang w:eastAsia="zh-CN"/>
        </w:rPr>
      </w:pPr>
      <w:r>
        <w:rPr>
          <w:rFonts w:hint="default" w:ascii="Cambria" w:hAnsi="Cambria" w:cs="Cambria"/>
          <w:sz w:val="24"/>
          <w:szCs w:val="24"/>
        </w:rPr>
        <w:t>Table 39 Survey Results on Adding Contraindications for Pediatric Tuina</w:t>
      </w:r>
    </w:p>
    <w:tbl>
      <w:tblPr>
        <w:tblStyle w:val="81"/>
        <w:tblW w:w="52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1"/>
        <w:gridCol w:w="1119"/>
        <w:gridCol w:w="2155"/>
        <w:gridCol w:w="1039"/>
      </w:tblGrid>
      <w:tr w14:paraId="7F8AD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558670F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29" w:type="pct"/>
            <w:noWrap w:val="0"/>
            <w:vAlign w:val="top"/>
          </w:tcPr>
          <w:p w14:paraId="7D92DA9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84"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84" DrawAspect="Content" ObjectID="_1468075796" r:id="rId87">
                  <o:LockedField>false</o:LockedField>
                </o:OLEObject>
              </w:object>
            </w:r>
          </w:p>
        </w:tc>
        <w:tc>
          <w:tcPr>
            <w:tcW w:w="1211" w:type="pct"/>
            <w:noWrap w:val="0"/>
            <w:vAlign w:val="top"/>
          </w:tcPr>
          <w:p w14:paraId="4CAECEB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584" w:type="pct"/>
            <w:noWrap w:val="0"/>
            <w:vAlign w:val="top"/>
          </w:tcPr>
          <w:p w14:paraId="4D97A8B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1B4E5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7F307B6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 Agree</w:t>
            </w:r>
          </w:p>
        </w:tc>
        <w:tc>
          <w:tcPr>
            <w:tcW w:w="1119" w:type="dxa"/>
            <w:noWrap w:val="0"/>
            <w:vAlign w:val="top"/>
          </w:tcPr>
          <w:p w14:paraId="637C0B1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val="en-US" w:eastAsia="zh-CN"/>
              </w:rPr>
              <w:t>0.89</w:t>
            </w:r>
          </w:p>
        </w:tc>
        <w:tc>
          <w:tcPr>
            <w:tcW w:w="2155" w:type="dxa"/>
            <w:noWrap w:val="0"/>
            <w:vAlign w:val="top"/>
          </w:tcPr>
          <w:p w14:paraId="3C5BA0D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val="en-US" w:eastAsia="zh-CN"/>
              </w:rPr>
              <w:t>11.11%</w:t>
            </w:r>
          </w:p>
        </w:tc>
        <w:tc>
          <w:tcPr>
            <w:tcW w:w="584" w:type="pct"/>
            <w:noWrap w:val="0"/>
            <w:vAlign w:val="top"/>
          </w:tcPr>
          <w:p w14:paraId="63DD187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val="en-US" w:eastAsia="en-US"/>
              </w:rPr>
            </w:pPr>
            <w:r>
              <w:rPr>
                <w:rFonts w:hint="default" w:ascii="Cambria" w:hAnsi="Cambria" w:cs="Cambria"/>
                <w:sz w:val="24"/>
                <w:szCs w:val="24"/>
                <w:lang w:val="en-US" w:eastAsia="en-US"/>
              </w:rPr>
              <w:t>24</w:t>
            </w:r>
          </w:p>
        </w:tc>
      </w:tr>
      <w:tr w14:paraId="5BE0B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6D73230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Disagree                    </w:t>
            </w:r>
          </w:p>
        </w:tc>
        <w:tc>
          <w:tcPr>
            <w:tcW w:w="1119" w:type="dxa"/>
            <w:noWrap w:val="0"/>
            <w:vAlign w:val="top"/>
          </w:tcPr>
          <w:p w14:paraId="03FDE31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val="en-US" w:eastAsia="zh-CN"/>
              </w:rPr>
              <w:t>0.11</w:t>
            </w:r>
          </w:p>
        </w:tc>
        <w:tc>
          <w:tcPr>
            <w:tcW w:w="2155" w:type="dxa"/>
            <w:noWrap w:val="0"/>
            <w:vAlign w:val="top"/>
          </w:tcPr>
          <w:p w14:paraId="1D9C527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val="en-US" w:eastAsia="zh-CN"/>
              </w:rPr>
              <w:t>88.89%</w:t>
            </w:r>
          </w:p>
        </w:tc>
        <w:tc>
          <w:tcPr>
            <w:tcW w:w="584" w:type="pct"/>
            <w:noWrap w:val="0"/>
            <w:vAlign w:val="top"/>
          </w:tcPr>
          <w:p w14:paraId="575D358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val="en-US" w:eastAsia="en-US"/>
              </w:rPr>
              <w:t>3</w:t>
            </w:r>
          </w:p>
        </w:tc>
      </w:tr>
    </w:tbl>
    <w:p w14:paraId="369EF8F4">
      <w:pPr>
        <w:keepNext w:val="0"/>
        <w:keepLines w:val="0"/>
        <w:pageBreakBefore w:val="0"/>
        <w:widowControl w:val="0"/>
        <w:kinsoku/>
        <w:wordWrap/>
        <w:overflowPunct/>
        <w:topLinePunct w:val="0"/>
        <w:autoSpaceDE/>
        <w:autoSpaceDN/>
        <w:bidi w:val="0"/>
        <w:adjustRightInd/>
        <w:snapToGrid/>
        <w:spacing w:after="0" w:line="276" w:lineRule="auto"/>
        <w:ind w:firstLine="241" w:firstLineChars="100"/>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2.33 Survey results on adding “References”</w:t>
      </w:r>
    </w:p>
    <w:p w14:paraId="2F2CA97F">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 xml:space="preserve">Table 40 Survey Results on Adding </w:t>
      </w:r>
      <w:r>
        <w:rPr>
          <w:rFonts w:hint="default" w:ascii="Cambria" w:hAnsi="Cambria" w:cs="Cambria"/>
          <w:sz w:val="24"/>
          <w:szCs w:val="24"/>
          <w:lang w:val="en-US"/>
        </w:rPr>
        <w:t>“</w:t>
      </w:r>
      <w:r>
        <w:rPr>
          <w:rFonts w:hint="default" w:ascii="Cambria" w:hAnsi="Cambria" w:cs="Cambria"/>
          <w:sz w:val="24"/>
          <w:szCs w:val="24"/>
        </w:rPr>
        <w:t>References</w:t>
      </w:r>
      <w:r>
        <w:rPr>
          <w:rFonts w:hint="default" w:ascii="Cambria" w:hAnsi="Cambria" w:cs="Cambria"/>
          <w:sz w:val="24"/>
          <w:szCs w:val="24"/>
          <w:lang w:val="en-US"/>
        </w:rPr>
        <w:t>”</w:t>
      </w:r>
    </w:p>
    <w:tbl>
      <w:tblPr>
        <w:tblStyle w:val="81"/>
        <w:tblW w:w="52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81"/>
        <w:gridCol w:w="1119"/>
        <w:gridCol w:w="2155"/>
        <w:gridCol w:w="1039"/>
      </w:tblGrid>
      <w:tr w14:paraId="4554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25A9179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629" w:type="pct"/>
            <w:noWrap w:val="0"/>
            <w:vAlign w:val="top"/>
          </w:tcPr>
          <w:p w14:paraId="6312C6D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zh-CN"/>
              </w:rPr>
              <w:object>
                <v:shape id="_x0000_i1185" o:spt="75" type="#_x0000_t75" style="height:16.5pt;width:9pt;" o:ole="t" filled="f" o:preferrelative="t" stroked="f" coordsize="21600,21600">
                  <v:path/>
                  <v:fill on="f" focussize="0,0"/>
                  <v:stroke on="f" joinstyle="miter"/>
                  <v:imagedata r:id="rId10" o:title=""/>
                  <o:lock v:ext="edit" aspectratio="t"/>
                  <w10:wrap type="none"/>
                  <w10:anchorlock/>
                </v:shape>
                <o:OLEObject Type="Embed" ProgID="Equation.3" ShapeID="_x0000_i1185" DrawAspect="Content" ObjectID="_1468075797" r:id="rId88">
                  <o:LockedField>false</o:LockedField>
                </o:OLEObject>
              </w:object>
            </w:r>
          </w:p>
        </w:tc>
        <w:tc>
          <w:tcPr>
            <w:tcW w:w="1211" w:type="pct"/>
            <w:noWrap w:val="0"/>
            <w:vAlign w:val="top"/>
          </w:tcPr>
          <w:p w14:paraId="0677167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R</w:t>
            </w:r>
          </w:p>
        </w:tc>
        <w:tc>
          <w:tcPr>
            <w:tcW w:w="584" w:type="pct"/>
            <w:noWrap w:val="0"/>
            <w:vAlign w:val="top"/>
          </w:tcPr>
          <w:p w14:paraId="67E3D0E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S</w:t>
            </w:r>
          </w:p>
        </w:tc>
      </w:tr>
      <w:tr w14:paraId="40CD7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27A5067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A. Agree</w:t>
            </w:r>
          </w:p>
        </w:tc>
        <w:tc>
          <w:tcPr>
            <w:tcW w:w="629" w:type="pct"/>
            <w:noWrap w:val="0"/>
            <w:vAlign w:val="top"/>
          </w:tcPr>
          <w:p w14:paraId="29EF76F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211" w:type="pct"/>
            <w:noWrap w:val="0"/>
            <w:vAlign w:val="top"/>
          </w:tcPr>
          <w:p w14:paraId="78B93E2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0.00%</w:t>
            </w:r>
          </w:p>
        </w:tc>
        <w:tc>
          <w:tcPr>
            <w:tcW w:w="584" w:type="pct"/>
            <w:noWrap w:val="0"/>
            <w:vAlign w:val="top"/>
          </w:tcPr>
          <w:p w14:paraId="6199B1B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27</w:t>
            </w:r>
          </w:p>
        </w:tc>
      </w:tr>
      <w:tr w14:paraId="783CC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2575" w:type="pct"/>
            <w:noWrap w:val="0"/>
            <w:vAlign w:val="top"/>
          </w:tcPr>
          <w:p w14:paraId="490662A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Disagree                    </w:t>
            </w:r>
          </w:p>
        </w:tc>
        <w:tc>
          <w:tcPr>
            <w:tcW w:w="629" w:type="pct"/>
            <w:noWrap w:val="0"/>
            <w:vAlign w:val="top"/>
          </w:tcPr>
          <w:p w14:paraId="1B17D6A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0.0</w:t>
            </w:r>
          </w:p>
        </w:tc>
        <w:tc>
          <w:tcPr>
            <w:tcW w:w="1211" w:type="pct"/>
            <w:noWrap w:val="0"/>
            <w:vAlign w:val="top"/>
          </w:tcPr>
          <w:p w14:paraId="11EF7F7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c>
          <w:tcPr>
            <w:tcW w:w="584" w:type="pct"/>
            <w:noWrap w:val="0"/>
            <w:vAlign w:val="top"/>
          </w:tcPr>
          <w:p w14:paraId="08F16C7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0</w:t>
            </w:r>
          </w:p>
        </w:tc>
      </w:tr>
    </w:tbl>
    <w:p w14:paraId="17963972">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3. Handling and analysis of questionnaire results</w:t>
      </w:r>
    </w:p>
    <w:p w14:paraId="5C9E8B34">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3.1 Direct acceptance of revision comments</w:t>
      </w:r>
    </w:p>
    <w:p w14:paraId="1B4DF73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Options supported by more than 50% of experts were retained, that is, items with a rank sum greater than half of the total score of the returned questionnaires were treated as items for which revision comments were directly accepted. The item options for which revision comments were directly accepted are summarized as follows.</w:t>
      </w:r>
    </w:p>
    <w:p w14:paraId="374905AB">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41 Items Directly Accepting Suggestions</w:t>
      </w:r>
    </w:p>
    <w:tbl>
      <w:tblPr>
        <w:tblStyle w:val="81"/>
        <w:tblW w:w="91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884"/>
        <w:gridCol w:w="4040"/>
        <w:gridCol w:w="1253"/>
        <w:gridCol w:w="1317"/>
      </w:tblGrid>
      <w:tr w14:paraId="69F9E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661" w:type="dxa"/>
            <w:noWrap w:val="0"/>
            <w:vAlign w:val="top"/>
          </w:tcPr>
          <w:p w14:paraId="102D33F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No.</w:t>
            </w:r>
          </w:p>
        </w:tc>
        <w:tc>
          <w:tcPr>
            <w:tcW w:w="1884" w:type="dxa"/>
            <w:noWrap w:val="0"/>
            <w:vAlign w:val="top"/>
          </w:tcPr>
          <w:p w14:paraId="2D7E9C7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Item</w:t>
            </w:r>
          </w:p>
        </w:tc>
        <w:tc>
          <w:tcPr>
            <w:tcW w:w="4040" w:type="dxa"/>
            <w:noWrap w:val="0"/>
            <w:vAlign w:val="top"/>
          </w:tcPr>
          <w:p w14:paraId="76C15AD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 with the highest support</w:t>
            </w:r>
          </w:p>
        </w:tc>
        <w:tc>
          <w:tcPr>
            <w:tcW w:w="1253" w:type="dxa"/>
            <w:noWrap w:val="0"/>
            <w:vAlign w:val="top"/>
          </w:tcPr>
          <w:p w14:paraId="5F563AF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317" w:type="dxa"/>
            <w:noWrap w:val="0"/>
            <w:vAlign w:val="top"/>
          </w:tcPr>
          <w:p w14:paraId="6B80BB0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44AB8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41065F6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1884" w:type="dxa"/>
            <w:noWrap w:val="0"/>
            <w:vAlign w:val="top"/>
          </w:tcPr>
          <w:p w14:paraId="1D6D3B6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Rubbing Manipulation</w:t>
            </w:r>
          </w:p>
        </w:tc>
        <w:tc>
          <w:tcPr>
            <w:tcW w:w="4040" w:type="dxa"/>
            <w:noWrap w:val="0"/>
            <w:vAlign w:val="top"/>
          </w:tcPr>
          <w:p w14:paraId="1F25815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B. Retain the original text of the national standard.</w:t>
            </w:r>
          </w:p>
        </w:tc>
        <w:tc>
          <w:tcPr>
            <w:tcW w:w="1253" w:type="dxa"/>
            <w:noWrap w:val="0"/>
            <w:vAlign w:val="top"/>
          </w:tcPr>
          <w:p w14:paraId="0F724FC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16</w:t>
            </w:r>
          </w:p>
        </w:tc>
        <w:tc>
          <w:tcPr>
            <w:tcW w:w="1317" w:type="dxa"/>
            <w:noWrap w:val="0"/>
            <w:vAlign w:val="top"/>
          </w:tcPr>
          <w:p w14:paraId="3840513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59.26%</w:t>
            </w:r>
          </w:p>
        </w:tc>
      </w:tr>
      <w:tr w14:paraId="0C5E9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01AC8B6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w:t>
            </w:r>
          </w:p>
        </w:tc>
        <w:tc>
          <w:tcPr>
            <w:tcW w:w="1884" w:type="dxa"/>
            <w:noWrap w:val="0"/>
            <w:vAlign w:val="top"/>
          </w:tcPr>
          <w:p w14:paraId="583277F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Tapping-Patting Method</w:t>
            </w:r>
          </w:p>
        </w:tc>
        <w:tc>
          <w:tcPr>
            <w:tcW w:w="4040" w:type="dxa"/>
            <w:noWrap w:val="0"/>
            <w:vAlign w:val="top"/>
          </w:tcPr>
          <w:p w14:paraId="77E5220D">
            <w:pPr>
              <w:keepNext w:val="0"/>
              <w:keepLines w:val="0"/>
              <w:pageBreakBefore w:val="0"/>
              <w:widowControl w:val="0"/>
              <w:numPr>
                <w:ilvl w:val="0"/>
                <w:numId w:val="7"/>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lang w:eastAsia="en-US"/>
              </w:rPr>
              <w:t xml:space="preserve">A. </w:t>
            </w:r>
            <w:r>
              <w:rPr>
                <w:rFonts w:hint="default" w:ascii="Cambria" w:hAnsi="Cambria" w:cs="Cambria"/>
                <w:sz w:val="24"/>
                <w:szCs w:val="24"/>
              </w:rPr>
              <w:t xml:space="preserve">Tapping-Patting Method: </w:t>
            </w:r>
          </w:p>
          <w:p w14:paraId="1C6E9A6A">
            <w:pPr>
              <w:keepNext w:val="0"/>
              <w:keepLines w:val="0"/>
              <w:pageBreakBefore w:val="0"/>
              <w:widowControl w:val="0"/>
              <w:numPr>
                <w:ilvl w:val="0"/>
                <w:numId w:val="8"/>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Operation: A technique in which five fingers are held together, and the flexed palmar surface is used to rhythmically pat the body surface. </w:t>
            </w:r>
          </w:p>
          <w:p w14:paraId="09564D8C">
            <w:pPr>
              <w:keepNext w:val="0"/>
              <w:keepLines w:val="0"/>
              <w:pageBreakBefore w:val="0"/>
              <w:widowControl w:val="0"/>
              <w:numPr>
                <w:ilvl w:val="0"/>
                <w:numId w:val="8"/>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rPr>
            </w:pPr>
            <w:r>
              <w:rPr>
                <w:rFonts w:hint="default" w:ascii="Cambria" w:hAnsi="Cambria" w:cs="Cambria"/>
                <w:sz w:val="24"/>
                <w:szCs w:val="24"/>
              </w:rPr>
              <w:t xml:space="preserve">Essentials: Five fingers together, metacarpophalangeal joints slightly flexed to hollow the palm; the elbow joint's flexion and extension drive coordinated movements of the wrist, using the hollow palm to pat the body surface. </w:t>
            </w:r>
          </w:p>
          <w:p w14:paraId="489975C6">
            <w:pPr>
              <w:keepNext w:val="0"/>
              <w:keepLines w:val="0"/>
              <w:pageBreakBefore w:val="0"/>
              <w:widowControl w:val="0"/>
              <w:numPr>
                <w:ilvl w:val="0"/>
                <w:numId w:val="8"/>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rPr>
            </w:pPr>
            <w:r>
              <w:rPr>
                <w:rFonts w:hint="default" w:ascii="Cambria" w:hAnsi="Cambria" w:cs="Cambria"/>
                <w:sz w:val="24"/>
                <w:szCs w:val="24"/>
              </w:rPr>
              <w:t xml:space="preserve">Requirements: 1) The wrist should be fully relaxed, moving coordinately driven by the forearm. </w:t>
            </w:r>
          </w:p>
          <w:p w14:paraId="6989D285">
            <w:pPr>
              <w:keepNext w:val="0"/>
              <w:keepLines w:val="0"/>
              <w:pageBreakBefore w:val="0"/>
              <w:widowControl w:val="0"/>
              <w:numPr>
                <w:ilvl w:val="0"/>
                <w:numId w:val="9"/>
              </w:numPr>
              <w:kinsoku/>
              <w:wordWrap/>
              <w:overflowPunct/>
              <w:topLinePunct w:val="0"/>
              <w:autoSpaceDE/>
              <w:autoSpaceDN/>
              <w:bidi w:val="0"/>
              <w:adjustRightInd/>
              <w:snapToGrid/>
              <w:spacing w:after="0" w:line="276" w:lineRule="auto"/>
              <w:ind w:leftChars="0" w:firstLine="1800" w:firstLineChars="750"/>
              <w:jc w:val="both"/>
              <w:textAlignment w:val="auto"/>
              <w:rPr>
                <w:rFonts w:hint="default" w:ascii="Cambria" w:hAnsi="Cambria" w:cs="Cambria"/>
                <w:sz w:val="24"/>
                <w:szCs w:val="24"/>
              </w:rPr>
            </w:pPr>
            <w:r>
              <w:rPr>
                <w:rFonts w:hint="default" w:ascii="Cambria" w:hAnsi="Cambria" w:cs="Cambria"/>
                <w:sz w:val="24"/>
                <w:szCs w:val="24"/>
              </w:rPr>
              <w:t>Maintain the hollow palm shape, pat flatly on the body surface, producing a clear snapping sound; avoid dragging or pulling.</w:t>
            </w:r>
          </w:p>
          <w:p w14:paraId="42F81FEC">
            <w:pPr>
              <w:keepNext w:val="0"/>
              <w:keepLines w:val="0"/>
              <w:pageBreakBefore w:val="0"/>
              <w:widowControl w:val="0"/>
              <w:numPr>
                <w:ilvl w:val="0"/>
                <w:numId w:val="9"/>
              </w:numPr>
              <w:kinsoku/>
              <w:wordWrap/>
              <w:overflowPunct/>
              <w:topLinePunct w:val="0"/>
              <w:autoSpaceDE/>
              <w:autoSpaceDN/>
              <w:bidi w:val="0"/>
              <w:adjustRightInd/>
              <w:snapToGrid/>
              <w:spacing w:after="0" w:line="276" w:lineRule="auto"/>
              <w:ind w:left="0" w:leftChars="0" w:firstLine="1800" w:firstLineChars="750"/>
              <w:jc w:val="both"/>
              <w:textAlignment w:val="auto"/>
              <w:rPr>
                <w:rFonts w:hint="default" w:ascii="Cambria" w:hAnsi="Cambria" w:cs="Cambria"/>
                <w:sz w:val="24"/>
                <w:szCs w:val="24"/>
              </w:rPr>
            </w:pPr>
            <w:r>
              <w:rPr>
                <w:rFonts w:hint="default" w:ascii="Cambria" w:hAnsi="Cambria" w:cs="Cambria"/>
                <w:sz w:val="24"/>
                <w:szCs w:val="24"/>
              </w:rPr>
              <w:t xml:space="preserve">Patting should be uniform, flexible, continuous, with quick rising and falling, without pausing on the treated area to avoid reducing the vibrating effect. </w:t>
            </w:r>
          </w:p>
          <w:p w14:paraId="5108497D">
            <w:pPr>
              <w:keepNext w:val="0"/>
              <w:keepLines w:val="0"/>
              <w:pageBreakBefore w:val="0"/>
              <w:widowControl w:val="0"/>
              <w:numPr>
                <w:ilvl w:val="0"/>
                <w:numId w:val="9"/>
              </w:numPr>
              <w:kinsoku/>
              <w:wordWrap/>
              <w:overflowPunct/>
              <w:topLinePunct w:val="0"/>
              <w:autoSpaceDE/>
              <w:autoSpaceDN/>
              <w:bidi w:val="0"/>
              <w:adjustRightInd/>
              <w:snapToGrid/>
              <w:spacing w:after="0" w:line="276" w:lineRule="auto"/>
              <w:ind w:left="0" w:leftChars="0" w:firstLine="1800" w:firstLineChars="750"/>
              <w:jc w:val="both"/>
              <w:textAlignment w:val="auto"/>
              <w:rPr>
                <w:rFonts w:hint="default" w:ascii="Cambria" w:hAnsi="Cambria" w:cs="Cambria"/>
                <w:sz w:val="24"/>
                <w:szCs w:val="24"/>
                <w:lang w:val="en-US"/>
              </w:rPr>
            </w:pPr>
            <w:r>
              <w:rPr>
                <w:rFonts w:hint="default" w:ascii="Cambria" w:hAnsi="Cambria" w:cs="Cambria"/>
                <w:sz w:val="24"/>
                <w:szCs w:val="24"/>
              </w:rPr>
              <w:t>The stimulation intensity should be flexibly adjusted according to the patient's constitution, condition, and tolerance.</w:t>
            </w:r>
            <w:r>
              <w:rPr>
                <w:rFonts w:hint="default" w:ascii="Cambria" w:hAnsi="Cambria" w:cs="Cambria"/>
                <w:sz w:val="24"/>
                <w:szCs w:val="24"/>
                <w:lang w:val="en-US"/>
              </w:rPr>
              <w:t xml:space="preserve"> </w:t>
            </w:r>
          </w:p>
          <w:p w14:paraId="6933248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d) Clinical application: The Tapping-Patting Method is light, gentle, and is a commonly used auxiliary technique, with effects of dredging meridians, promoting qi and blood circulation, invigorating yang, relieving spasm, and eliminating fatigue. It is suitable for the shoulders, back, buttocks, and lower limbs, often used in the final stage of treatment. For irritable, crying children, it harmonizes qi and blood; for shoulder sensory dullness or muscle spasm, it promotes blood circulation, relieves muscle fatigue, and alleviates spasm.</w:t>
            </w:r>
            <w:r>
              <w:rPr>
                <w:rFonts w:hint="default" w:ascii="Cambria" w:hAnsi="Cambria" w:cs="Cambria"/>
                <w:sz w:val="24"/>
                <w:szCs w:val="24"/>
                <w:lang w:eastAsia="en-US"/>
              </w:rPr>
              <w:t xml:space="preserve"> </w:t>
            </w:r>
          </w:p>
        </w:tc>
        <w:tc>
          <w:tcPr>
            <w:tcW w:w="1253" w:type="dxa"/>
            <w:noWrap w:val="0"/>
            <w:vAlign w:val="top"/>
          </w:tcPr>
          <w:p w14:paraId="1AAE791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c>
          <w:tcPr>
            <w:tcW w:w="1317" w:type="dxa"/>
            <w:noWrap w:val="0"/>
            <w:vAlign w:val="top"/>
          </w:tcPr>
          <w:p w14:paraId="742B87A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r>
      <w:tr w14:paraId="6FAD4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536A698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1884" w:type="dxa"/>
            <w:noWrap w:val="0"/>
            <w:vAlign w:val="top"/>
          </w:tcPr>
          <w:p w14:paraId="092F95F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Fei Jing Zou Qi (Flying along the Meridian to Move Qi)</w:t>
            </w:r>
          </w:p>
        </w:tc>
        <w:tc>
          <w:tcPr>
            <w:tcW w:w="4040" w:type="dxa"/>
            <w:noWrap w:val="0"/>
            <w:vAlign w:val="top"/>
          </w:tcPr>
          <w:p w14:paraId="2738C5C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The child takes a sitting or supine position. The practitioner sits in front beside them, uses one hand to grasp the child's four fingers with the palm and forearm facing upward, uses the other hand's palmar surfaces of the index, middle, ring, and little fingers to exert force, flicking downward from Quchi to Zongjin repeatedly, then grasps Yinchí and Yangchi, and moves the child's four fingers in flexion and extension several times. </w:t>
            </w:r>
          </w:p>
        </w:tc>
        <w:tc>
          <w:tcPr>
            <w:tcW w:w="1253" w:type="dxa"/>
            <w:noWrap w:val="0"/>
            <w:vAlign w:val="top"/>
          </w:tcPr>
          <w:p w14:paraId="0582DAF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c>
          <w:tcPr>
            <w:tcW w:w="1317" w:type="dxa"/>
            <w:noWrap w:val="0"/>
            <w:vAlign w:val="top"/>
          </w:tcPr>
          <w:p w14:paraId="7F60771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51.85%</w:t>
            </w:r>
          </w:p>
        </w:tc>
      </w:tr>
      <w:tr w14:paraId="134A2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358C4EE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1884" w:type="dxa"/>
            <w:noWrap w:val="0"/>
            <w:vAlign w:val="top"/>
          </w:tcPr>
          <w:p w14:paraId="086AE48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Shui Di Lao Yue (Scooping the Moon from the Water)</w:t>
            </w:r>
          </w:p>
        </w:tc>
        <w:tc>
          <w:tcPr>
            <w:tcW w:w="4040" w:type="dxa"/>
            <w:noWrap w:val="0"/>
            <w:vAlign w:val="top"/>
          </w:tcPr>
          <w:p w14:paraId="4E187A5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w:t>
            </w:r>
            <w:r>
              <w:rPr>
                <w:rFonts w:hint="default" w:ascii="Cambria" w:hAnsi="Cambria" w:cs="Cambria"/>
                <w:sz w:val="24"/>
                <w:szCs w:val="24"/>
              </w:rPr>
              <w:t xml:space="preserve">The child takes a sitting or supine position. The practitioner sits in front beside them, uses one hand to grasp the child's four fingers with palm facing upward, drops cold water into the child's palm, uses the other thumb's whorled surface to exert force, closely adhering to the palm and performing rotational pushing, or pushing from the root of the little finger through the Zhang Xiaohengwen and Kan </w:t>
            </w:r>
            <w:r>
              <w:rPr>
                <w:rFonts w:hint="default" w:ascii="Cambria" w:hAnsi="Cambria" w:cs="Cambria"/>
                <w:sz w:val="24"/>
                <w:szCs w:val="24"/>
                <w:lang w:val="en-US"/>
              </w:rPr>
              <w:t>Gong</w:t>
            </w:r>
            <w:r>
              <w:rPr>
                <w:rFonts w:hint="default" w:ascii="Cambria" w:hAnsi="Cambria" w:cs="Cambria"/>
                <w:sz w:val="24"/>
                <w:szCs w:val="24"/>
              </w:rPr>
              <w:t xml:space="preserve"> to the center of the palm, while blowing cool air toward the palm, repeated for 3–5 minutes.</w:t>
            </w:r>
          </w:p>
        </w:tc>
        <w:tc>
          <w:tcPr>
            <w:tcW w:w="1253" w:type="dxa"/>
            <w:noWrap w:val="0"/>
            <w:vAlign w:val="top"/>
          </w:tcPr>
          <w:p w14:paraId="706A32E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c>
          <w:tcPr>
            <w:tcW w:w="1317" w:type="dxa"/>
            <w:noWrap w:val="0"/>
            <w:vAlign w:val="top"/>
          </w:tcPr>
          <w:p w14:paraId="257D849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51.85%</w:t>
            </w:r>
          </w:p>
        </w:tc>
      </w:tr>
      <w:tr w14:paraId="0B581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2E1FAC5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1884" w:type="dxa"/>
            <w:noWrap w:val="0"/>
            <w:vAlign w:val="top"/>
          </w:tcPr>
          <w:p w14:paraId="04184FD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Da Ma Guo Tian He (Flicking along the Tianhe)</w:t>
            </w:r>
          </w:p>
        </w:tc>
        <w:tc>
          <w:tcPr>
            <w:tcW w:w="4040" w:type="dxa"/>
            <w:noWrap w:val="0"/>
            <w:vAlign w:val="top"/>
          </w:tcPr>
          <w:p w14:paraId="120AE09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H. </w:t>
            </w:r>
            <w:r>
              <w:rPr>
                <w:rFonts w:hint="default" w:ascii="Cambria" w:hAnsi="Cambria" w:cs="Cambria"/>
                <w:sz w:val="24"/>
                <w:szCs w:val="24"/>
              </w:rPr>
              <w:t>The child takes a sitting or supine position. The practitioner sits beside in front, uses one hand to grasp the child's four fingers with palm upward, uses the other hand's middle finger to manipulate Neilaogong, then uses the index, middle, and ring fingers dipped in cool water, from Zongjin along Tianhe patting to Hongchi, or using the index and middle fingers to flick along Tianhe to the elbow bend, while flicking and blowing cool air, 20–30 times.</w:t>
            </w:r>
          </w:p>
        </w:tc>
        <w:tc>
          <w:tcPr>
            <w:tcW w:w="1253" w:type="dxa"/>
            <w:noWrap w:val="0"/>
            <w:vAlign w:val="top"/>
          </w:tcPr>
          <w:p w14:paraId="17A7A9A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c>
          <w:tcPr>
            <w:tcW w:w="1317" w:type="dxa"/>
            <w:noWrap w:val="0"/>
            <w:vAlign w:val="top"/>
          </w:tcPr>
          <w:p w14:paraId="132EEA8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r>
      <w:tr w14:paraId="716C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763EBF3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884" w:type="dxa"/>
            <w:noWrap w:val="0"/>
            <w:vAlign w:val="top"/>
          </w:tcPr>
          <w:p w14:paraId="6E0F83E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Huang Feng Ru Dong (Yellow Bee Entering the Cave)</w:t>
            </w:r>
          </w:p>
        </w:tc>
        <w:tc>
          <w:tcPr>
            <w:tcW w:w="4040" w:type="dxa"/>
            <w:noWrap w:val="0"/>
            <w:vAlign w:val="top"/>
          </w:tcPr>
          <w:p w14:paraId="61E7C99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K. </w:t>
            </w:r>
            <w:r>
              <w:rPr>
                <w:rFonts w:hint="default" w:ascii="Cambria" w:hAnsi="Cambria" w:cs="Cambria"/>
                <w:sz w:val="24"/>
                <w:szCs w:val="24"/>
              </w:rPr>
              <w:t xml:space="preserve">The child takes a supine or sitting position. Use one hand to gently support the child's head to keep it relatively stable; use the tips of the index and middle fingers of the other hand to exert force, closely adhering to the lower margins of the child's two nostrils, with the wrist joint as the main mover, performing continuous, uninterrupted kneading 50–100 times. </w:t>
            </w:r>
          </w:p>
        </w:tc>
        <w:tc>
          <w:tcPr>
            <w:tcW w:w="1253" w:type="dxa"/>
            <w:noWrap w:val="0"/>
            <w:vAlign w:val="top"/>
          </w:tcPr>
          <w:p w14:paraId="3C927AC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15</w:t>
            </w:r>
          </w:p>
        </w:tc>
        <w:tc>
          <w:tcPr>
            <w:tcW w:w="1317" w:type="dxa"/>
            <w:noWrap w:val="0"/>
            <w:vAlign w:val="top"/>
          </w:tcPr>
          <w:p w14:paraId="5AA0BC7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55.56%</w:t>
            </w:r>
          </w:p>
        </w:tc>
      </w:tr>
      <w:tr w14:paraId="465C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341CFA0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w:t>
            </w:r>
          </w:p>
        </w:tc>
        <w:tc>
          <w:tcPr>
            <w:tcW w:w="1884" w:type="dxa"/>
            <w:noWrap w:val="0"/>
            <w:vAlign w:val="top"/>
          </w:tcPr>
          <w:p w14:paraId="7228C3F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An Xian Cuo Mo (Pressing the Hypochondrium and Rubbing-Kneading)</w:t>
            </w:r>
          </w:p>
        </w:tc>
        <w:tc>
          <w:tcPr>
            <w:tcW w:w="4040" w:type="dxa"/>
            <w:noWrap w:val="0"/>
            <w:vAlign w:val="top"/>
          </w:tcPr>
          <w:p w14:paraId="566364B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The child takes a sitting position, or the parent holds the child sitting in their arms. The child's hands hang naturally. The practitioner stands behind the child, uses the palmar surfaces of both hands to exert force, lightly adhering to both sides of the child's hypochondrium, performing symmetrical rubbing and friction, from top to bottom to the region below the abdomen, 50–500 times.</w:t>
            </w:r>
            <w:r>
              <w:rPr>
                <w:rFonts w:hint="default" w:ascii="Cambria" w:hAnsi="Cambria" w:cs="Cambria"/>
                <w:sz w:val="24"/>
                <w:szCs w:val="24"/>
                <w:lang w:eastAsia="en-US"/>
              </w:rPr>
              <w:t xml:space="preserve">  </w:t>
            </w:r>
          </w:p>
        </w:tc>
        <w:tc>
          <w:tcPr>
            <w:tcW w:w="1253" w:type="dxa"/>
            <w:noWrap w:val="0"/>
            <w:vAlign w:val="top"/>
          </w:tcPr>
          <w:p w14:paraId="0F70066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17</w:t>
            </w:r>
          </w:p>
        </w:tc>
        <w:tc>
          <w:tcPr>
            <w:tcW w:w="1317" w:type="dxa"/>
            <w:noWrap w:val="0"/>
            <w:vAlign w:val="top"/>
          </w:tcPr>
          <w:p w14:paraId="592D25F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r>
      <w:tr w14:paraId="7A59B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765D308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1884" w:type="dxa"/>
            <w:noWrap w:val="0"/>
            <w:vAlign w:val="top"/>
          </w:tcPr>
          <w:p w14:paraId="665C950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Er Long Xi Zhu (Two Dragons Playing with a Pearl)</w:t>
            </w:r>
          </w:p>
        </w:tc>
        <w:tc>
          <w:tcPr>
            <w:tcW w:w="4040" w:type="dxa"/>
            <w:noWrap w:val="0"/>
            <w:vAlign w:val="top"/>
          </w:tcPr>
          <w:p w14:paraId="74F96B0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H. </w:t>
            </w:r>
            <w:r>
              <w:rPr>
                <w:rFonts w:hint="default" w:ascii="Cambria" w:hAnsi="Cambria" w:cs="Cambria"/>
                <w:sz w:val="24"/>
                <w:szCs w:val="24"/>
              </w:rPr>
              <w:t>The child takes a sitting or supine position, or is held sitting in the parent's arms. The practitioner sits beside, uses one hand to grasp the tips of the child's index and ring fingers, uses the other hand to pinch and press the Yinch</w:t>
            </w:r>
            <w:r>
              <w:rPr>
                <w:rFonts w:hint="default" w:ascii="Cambria" w:hAnsi="Cambria" w:cs="Cambria"/>
                <w:sz w:val="24"/>
                <w:szCs w:val="24"/>
                <w:lang w:val="en-US"/>
              </w:rPr>
              <w:t>i</w:t>
            </w:r>
            <w:r>
              <w:rPr>
                <w:rFonts w:hint="default" w:ascii="Cambria" w:hAnsi="Cambria" w:cs="Cambria"/>
                <w:sz w:val="24"/>
                <w:szCs w:val="24"/>
              </w:rPr>
              <w:t xml:space="preserve"> and Yangchi acupoints, and gradually moves upward while pinching to Quchi, repeating about 5 times. For cold patterns, press heavily on Yang; for heat, press heavily on Yin. Finally, pinch and press Yin and Yang 5–6 times, and shake the child's index and ring fingertips 20–40 times each.</w:t>
            </w:r>
          </w:p>
        </w:tc>
        <w:tc>
          <w:tcPr>
            <w:tcW w:w="1253" w:type="dxa"/>
            <w:noWrap w:val="0"/>
            <w:vAlign w:val="top"/>
          </w:tcPr>
          <w:p w14:paraId="687A13A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c>
          <w:tcPr>
            <w:tcW w:w="1317" w:type="dxa"/>
            <w:noWrap w:val="0"/>
            <w:vAlign w:val="top"/>
          </w:tcPr>
          <w:p w14:paraId="7330969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51.85%</w:t>
            </w:r>
          </w:p>
        </w:tc>
      </w:tr>
      <w:tr w14:paraId="3B666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762D140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9</w:t>
            </w:r>
          </w:p>
        </w:tc>
        <w:tc>
          <w:tcPr>
            <w:tcW w:w="1884" w:type="dxa"/>
            <w:noWrap w:val="0"/>
            <w:vAlign w:val="top"/>
          </w:tcPr>
          <w:p w14:paraId="6BA450E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Commonly Used Media in Pediatric Tuina: A.3 Clean Water</w:t>
            </w:r>
          </w:p>
        </w:tc>
        <w:tc>
          <w:tcPr>
            <w:tcW w:w="4040" w:type="dxa"/>
            <w:noWrap w:val="0"/>
            <w:vAlign w:val="top"/>
          </w:tcPr>
          <w:p w14:paraId="60438A2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1253" w:type="dxa"/>
            <w:noWrap w:val="0"/>
            <w:vAlign w:val="top"/>
          </w:tcPr>
          <w:p w14:paraId="070282E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c>
          <w:tcPr>
            <w:tcW w:w="1317" w:type="dxa"/>
            <w:noWrap w:val="0"/>
            <w:vAlign w:val="top"/>
          </w:tcPr>
          <w:p w14:paraId="2A147A9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51.85%</w:t>
            </w:r>
          </w:p>
        </w:tc>
      </w:tr>
      <w:tr w14:paraId="76BDB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24299E3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884" w:type="dxa"/>
            <w:noWrap w:val="0"/>
            <w:vAlign w:val="top"/>
          </w:tcPr>
          <w:p w14:paraId="44F195C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Commonly Used Media in Pediatric Tuina: Ointment</w:t>
            </w:r>
          </w:p>
        </w:tc>
        <w:tc>
          <w:tcPr>
            <w:tcW w:w="4040" w:type="dxa"/>
            <w:noWrap w:val="0"/>
            <w:vAlign w:val="top"/>
          </w:tcPr>
          <w:p w14:paraId="27C2D39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 xml:space="preserve">Add ointment descriptions: using animal/plant oils, honey, lanolin, or petrolatum as base, mixed with powdered herbs or active extracts, with corresponding therapeutic effects. Commonly: Dongqing ointment (wintergreen oil + petrolatum, warms meridians and disperses cold); Jianpi ointment (spleen-strengthening herbal extracts + oils, strengthens spleen and appetizes). </w:t>
            </w:r>
            <w:r>
              <w:rPr>
                <w:rFonts w:hint="default" w:ascii="Cambria" w:hAnsi="Cambria" w:cs="Cambria"/>
                <w:sz w:val="24"/>
                <w:szCs w:val="24"/>
                <w:lang w:eastAsia="en-US"/>
              </w:rPr>
              <w:t xml:space="preserve">                                   </w:t>
            </w:r>
          </w:p>
        </w:tc>
        <w:tc>
          <w:tcPr>
            <w:tcW w:w="1253" w:type="dxa"/>
            <w:noWrap w:val="0"/>
            <w:vAlign w:val="top"/>
          </w:tcPr>
          <w:p w14:paraId="685D70A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18</w:t>
            </w:r>
          </w:p>
        </w:tc>
        <w:tc>
          <w:tcPr>
            <w:tcW w:w="1317" w:type="dxa"/>
            <w:noWrap w:val="0"/>
            <w:vAlign w:val="top"/>
          </w:tcPr>
          <w:p w14:paraId="5E2608E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66.67%</w:t>
            </w:r>
          </w:p>
        </w:tc>
      </w:tr>
      <w:tr w14:paraId="60392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1CF3A0E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884" w:type="dxa"/>
            <w:noWrap w:val="0"/>
            <w:vAlign w:val="top"/>
          </w:tcPr>
          <w:p w14:paraId="483089E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Pitu</w:t>
            </w:r>
            <w:r>
              <w:rPr>
                <w:rFonts w:hint="default" w:ascii="Cambria" w:hAnsi="Cambria" w:cs="Cambria"/>
                <w:sz w:val="24"/>
                <w:szCs w:val="24"/>
                <w:lang w:val="en-US"/>
              </w:rPr>
              <w:t xml:space="preserve"> </w:t>
            </w:r>
            <w:r>
              <w:rPr>
                <w:rFonts w:hint="default" w:ascii="Cambria" w:hAnsi="Cambria" w:cs="Cambria"/>
                <w:sz w:val="24"/>
                <w:szCs w:val="24"/>
                <w:lang w:eastAsia="en-US"/>
              </w:rPr>
              <w:t>(Location)</w:t>
            </w:r>
          </w:p>
        </w:tc>
        <w:tc>
          <w:tcPr>
            <w:tcW w:w="4040" w:type="dxa"/>
            <w:noWrap w:val="0"/>
            <w:vAlign w:val="top"/>
          </w:tcPr>
          <w:p w14:paraId="640E03D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Retain the original text of the national standard.    </w:t>
            </w:r>
          </w:p>
        </w:tc>
        <w:tc>
          <w:tcPr>
            <w:tcW w:w="1253" w:type="dxa"/>
            <w:noWrap w:val="0"/>
            <w:vAlign w:val="top"/>
          </w:tcPr>
          <w:p w14:paraId="220146B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15</w:t>
            </w:r>
          </w:p>
        </w:tc>
        <w:tc>
          <w:tcPr>
            <w:tcW w:w="1317" w:type="dxa"/>
            <w:noWrap w:val="0"/>
            <w:vAlign w:val="top"/>
          </w:tcPr>
          <w:p w14:paraId="1045042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55.56%</w:t>
            </w:r>
          </w:p>
        </w:tc>
      </w:tr>
      <w:tr w14:paraId="697D6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15D9A02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c>
          <w:tcPr>
            <w:tcW w:w="1884" w:type="dxa"/>
            <w:noWrap w:val="0"/>
            <w:vAlign w:val="top"/>
          </w:tcPr>
          <w:p w14:paraId="0A770AA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Siwenheng</w:t>
            </w:r>
            <w:r>
              <w:rPr>
                <w:rFonts w:hint="default" w:ascii="Cambria" w:hAnsi="Cambria" w:cs="Cambria"/>
                <w:sz w:val="24"/>
                <w:szCs w:val="24"/>
                <w:lang w:val="en-US"/>
              </w:rPr>
              <w:t xml:space="preserve"> </w:t>
            </w:r>
            <w:r>
              <w:rPr>
                <w:rFonts w:hint="default" w:ascii="Cambria" w:hAnsi="Cambria" w:cs="Cambria"/>
                <w:sz w:val="24"/>
                <w:szCs w:val="24"/>
                <w:lang w:eastAsia="en-US"/>
              </w:rPr>
              <w:t>(Location)</w:t>
            </w:r>
          </w:p>
        </w:tc>
        <w:tc>
          <w:tcPr>
            <w:tcW w:w="4040" w:type="dxa"/>
            <w:noWrap w:val="0"/>
            <w:vAlign w:val="top"/>
          </w:tcPr>
          <w:p w14:paraId="4CB4187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Retain the original text of the national standard.                                                </w:t>
            </w:r>
          </w:p>
        </w:tc>
        <w:tc>
          <w:tcPr>
            <w:tcW w:w="1253" w:type="dxa"/>
            <w:noWrap w:val="0"/>
            <w:vAlign w:val="top"/>
          </w:tcPr>
          <w:p w14:paraId="61771CA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17</w:t>
            </w:r>
          </w:p>
        </w:tc>
        <w:tc>
          <w:tcPr>
            <w:tcW w:w="1317" w:type="dxa"/>
            <w:noWrap w:val="0"/>
            <w:vAlign w:val="top"/>
          </w:tcPr>
          <w:p w14:paraId="0AA41F6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62.96%</w:t>
            </w:r>
          </w:p>
        </w:tc>
      </w:tr>
      <w:tr w14:paraId="0F58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220F93A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13</w:t>
            </w:r>
          </w:p>
        </w:tc>
        <w:tc>
          <w:tcPr>
            <w:tcW w:w="1884" w:type="dxa"/>
            <w:noWrap w:val="0"/>
            <w:vAlign w:val="top"/>
          </w:tcPr>
          <w:p w14:paraId="1C560DC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Erren Shangma</w:t>
            </w:r>
            <w:r>
              <w:rPr>
                <w:rFonts w:hint="default" w:ascii="Cambria" w:hAnsi="Cambria" w:cs="Cambria"/>
                <w:sz w:val="24"/>
                <w:szCs w:val="24"/>
                <w:lang w:val="en-US"/>
              </w:rPr>
              <w:t xml:space="preserve"> </w:t>
            </w:r>
            <w:r>
              <w:rPr>
                <w:rFonts w:hint="default" w:ascii="Cambria" w:hAnsi="Cambria" w:cs="Cambria"/>
                <w:sz w:val="24"/>
                <w:szCs w:val="24"/>
              </w:rPr>
              <w:t>(Acupoint Names)</w:t>
            </w:r>
          </w:p>
        </w:tc>
        <w:tc>
          <w:tcPr>
            <w:tcW w:w="4040" w:type="dxa"/>
            <w:noWrap w:val="0"/>
            <w:vAlign w:val="top"/>
          </w:tcPr>
          <w:p w14:paraId="621A6FD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Retain the original text of the national standard </w:t>
            </w:r>
          </w:p>
        </w:tc>
        <w:tc>
          <w:tcPr>
            <w:tcW w:w="1253" w:type="dxa"/>
            <w:noWrap w:val="0"/>
            <w:vAlign w:val="top"/>
          </w:tcPr>
          <w:p w14:paraId="4EB656D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w:t>
            </w:r>
          </w:p>
        </w:tc>
        <w:tc>
          <w:tcPr>
            <w:tcW w:w="1317" w:type="dxa"/>
            <w:noWrap w:val="0"/>
            <w:vAlign w:val="top"/>
          </w:tcPr>
          <w:p w14:paraId="4A41E3B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81.48%</w:t>
            </w:r>
          </w:p>
        </w:tc>
      </w:tr>
      <w:tr w14:paraId="0792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4030CF0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w:t>
            </w:r>
          </w:p>
        </w:tc>
        <w:tc>
          <w:tcPr>
            <w:tcW w:w="1884" w:type="dxa"/>
            <w:noWrap w:val="0"/>
            <w:vAlign w:val="top"/>
          </w:tcPr>
          <w:p w14:paraId="09A6AD6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Erren Shangma</w:t>
            </w:r>
            <w:r>
              <w:rPr>
                <w:rFonts w:hint="default" w:ascii="Cambria" w:hAnsi="Cambria" w:cs="Cambria"/>
                <w:sz w:val="24"/>
                <w:szCs w:val="24"/>
                <w:lang w:eastAsia="en-US"/>
              </w:rPr>
              <w:t xml:space="preserve"> (Location)</w:t>
            </w:r>
          </w:p>
        </w:tc>
        <w:tc>
          <w:tcPr>
            <w:tcW w:w="4040" w:type="dxa"/>
            <w:noWrap w:val="0"/>
            <w:vAlign w:val="top"/>
          </w:tcPr>
          <w:p w14:paraId="54A9562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E. Retain the original text of the national standard</w:t>
            </w:r>
          </w:p>
        </w:tc>
        <w:tc>
          <w:tcPr>
            <w:tcW w:w="1253" w:type="dxa"/>
            <w:noWrap w:val="0"/>
            <w:vAlign w:val="top"/>
          </w:tcPr>
          <w:p w14:paraId="599C125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c>
          <w:tcPr>
            <w:tcW w:w="1317" w:type="dxa"/>
            <w:noWrap w:val="0"/>
            <w:vAlign w:val="top"/>
          </w:tcPr>
          <w:p w14:paraId="7100DF0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r>
      <w:tr w14:paraId="113B8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0B4A78C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15</w:t>
            </w:r>
          </w:p>
        </w:tc>
        <w:tc>
          <w:tcPr>
            <w:tcW w:w="1884" w:type="dxa"/>
            <w:noWrap w:val="0"/>
            <w:vAlign w:val="top"/>
          </w:tcPr>
          <w:p w14:paraId="39D7DC7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Sanguan</w:t>
            </w:r>
            <w:r>
              <w:rPr>
                <w:rFonts w:hint="default" w:ascii="Cambria" w:hAnsi="Cambria" w:cs="Cambria"/>
                <w:sz w:val="24"/>
                <w:szCs w:val="24"/>
                <w:lang w:val="en-US"/>
              </w:rPr>
              <w:t xml:space="preserve"> </w:t>
            </w:r>
            <w:r>
              <w:rPr>
                <w:rFonts w:hint="default" w:ascii="Cambria" w:hAnsi="Cambria" w:cs="Cambria"/>
                <w:sz w:val="24"/>
                <w:szCs w:val="24"/>
                <w:lang w:eastAsia="en-US"/>
              </w:rPr>
              <w:t>(Location)</w:t>
            </w:r>
          </w:p>
        </w:tc>
        <w:tc>
          <w:tcPr>
            <w:tcW w:w="4040" w:type="dxa"/>
            <w:noWrap w:val="0"/>
            <w:vAlign w:val="top"/>
          </w:tcPr>
          <w:p w14:paraId="393DD97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G. Retain the original text of the national standard.</w:t>
            </w:r>
          </w:p>
        </w:tc>
        <w:tc>
          <w:tcPr>
            <w:tcW w:w="1253" w:type="dxa"/>
            <w:noWrap w:val="0"/>
            <w:vAlign w:val="top"/>
          </w:tcPr>
          <w:p w14:paraId="3BF746A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20</w:t>
            </w:r>
          </w:p>
        </w:tc>
        <w:tc>
          <w:tcPr>
            <w:tcW w:w="1317" w:type="dxa"/>
            <w:noWrap w:val="0"/>
            <w:vAlign w:val="top"/>
          </w:tcPr>
          <w:p w14:paraId="0AC9326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74.07%</w:t>
            </w:r>
          </w:p>
        </w:tc>
      </w:tr>
      <w:tr w14:paraId="224BA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5C364F6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16</w:t>
            </w:r>
          </w:p>
        </w:tc>
        <w:tc>
          <w:tcPr>
            <w:tcW w:w="1884" w:type="dxa"/>
            <w:noWrap w:val="0"/>
            <w:vAlign w:val="top"/>
          </w:tcPr>
          <w:p w14:paraId="1BCB144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Liufu</w:t>
            </w:r>
            <w:r>
              <w:rPr>
                <w:rFonts w:hint="default" w:ascii="Cambria" w:hAnsi="Cambria" w:cs="Cambria"/>
                <w:sz w:val="24"/>
                <w:szCs w:val="24"/>
                <w:lang w:val="en-US"/>
              </w:rPr>
              <w:t xml:space="preserve"> </w:t>
            </w:r>
            <w:r>
              <w:rPr>
                <w:rFonts w:hint="default" w:ascii="Cambria" w:hAnsi="Cambria" w:cs="Cambria"/>
                <w:sz w:val="24"/>
                <w:szCs w:val="24"/>
                <w:lang w:eastAsia="en-US"/>
              </w:rPr>
              <w:t>(Location)</w:t>
            </w:r>
          </w:p>
        </w:tc>
        <w:tc>
          <w:tcPr>
            <w:tcW w:w="4040" w:type="dxa"/>
            <w:noWrap w:val="0"/>
            <w:vAlign w:val="top"/>
          </w:tcPr>
          <w:p w14:paraId="67E5E6B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E. Retain the original text of the national standard.</w:t>
            </w:r>
          </w:p>
        </w:tc>
        <w:tc>
          <w:tcPr>
            <w:tcW w:w="1253" w:type="dxa"/>
            <w:noWrap w:val="0"/>
            <w:vAlign w:val="top"/>
          </w:tcPr>
          <w:p w14:paraId="417D1CD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c>
          <w:tcPr>
            <w:tcW w:w="1317" w:type="dxa"/>
            <w:noWrap w:val="0"/>
            <w:vAlign w:val="top"/>
          </w:tcPr>
          <w:p w14:paraId="68BF84F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r>
      <w:tr w14:paraId="363A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2679DCA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17</w:t>
            </w:r>
          </w:p>
        </w:tc>
        <w:tc>
          <w:tcPr>
            <w:tcW w:w="1884" w:type="dxa"/>
            <w:noWrap w:val="0"/>
            <w:vAlign w:val="top"/>
          </w:tcPr>
          <w:p w14:paraId="78B38A4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Tianhe</w:t>
            </w:r>
            <w:r>
              <w:rPr>
                <w:rFonts w:hint="default" w:ascii="Cambria" w:hAnsi="Cambria" w:cs="Cambria"/>
                <w:sz w:val="24"/>
                <w:szCs w:val="24"/>
                <w:lang w:val="en-US" w:eastAsia="en-US"/>
              </w:rPr>
              <w:t xml:space="preserve"> </w:t>
            </w:r>
            <w:r>
              <w:rPr>
                <w:rFonts w:hint="default" w:ascii="Cambria" w:hAnsi="Cambria" w:cs="Cambria"/>
                <w:sz w:val="24"/>
                <w:szCs w:val="24"/>
                <w:lang w:eastAsia="en-US"/>
              </w:rPr>
              <w:t>(Location)</w:t>
            </w:r>
          </w:p>
        </w:tc>
        <w:tc>
          <w:tcPr>
            <w:tcW w:w="4040" w:type="dxa"/>
            <w:noWrap w:val="0"/>
            <w:vAlign w:val="top"/>
          </w:tcPr>
          <w:p w14:paraId="2AF99FF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Retain the original text of the national standard.      </w:t>
            </w:r>
          </w:p>
        </w:tc>
        <w:tc>
          <w:tcPr>
            <w:tcW w:w="1253" w:type="dxa"/>
            <w:noWrap w:val="0"/>
            <w:vAlign w:val="top"/>
          </w:tcPr>
          <w:p w14:paraId="37A9BC3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c>
          <w:tcPr>
            <w:tcW w:w="1317" w:type="dxa"/>
            <w:noWrap w:val="0"/>
            <w:vAlign w:val="top"/>
          </w:tcPr>
          <w:p w14:paraId="34AEE46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70.37%</w:t>
            </w:r>
          </w:p>
        </w:tc>
      </w:tr>
      <w:tr w14:paraId="7DFBC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011ECA9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18</w:t>
            </w:r>
          </w:p>
        </w:tc>
        <w:tc>
          <w:tcPr>
            <w:tcW w:w="1884" w:type="dxa"/>
            <w:noWrap w:val="0"/>
            <w:vAlign w:val="top"/>
          </w:tcPr>
          <w:p w14:paraId="45A1731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Revis</w:t>
            </w:r>
            <w:r>
              <w:rPr>
                <w:rFonts w:hint="default" w:ascii="Cambria" w:hAnsi="Cambria" w:cs="Cambria"/>
                <w:sz w:val="24"/>
                <w:szCs w:val="24"/>
                <w:lang w:val="en-US"/>
              </w:rPr>
              <w:t>e</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Scope</w:t>
            </w:r>
            <w:r>
              <w:rPr>
                <w:rFonts w:hint="default" w:ascii="Cambria" w:hAnsi="Cambria" w:cs="Cambria"/>
                <w:sz w:val="24"/>
                <w:szCs w:val="24"/>
                <w:lang w:val="en-US"/>
              </w:rPr>
              <w:t>”</w:t>
            </w:r>
          </w:p>
        </w:tc>
        <w:tc>
          <w:tcPr>
            <w:tcW w:w="4040" w:type="dxa"/>
            <w:noWrap w:val="0"/>
            <w:vAlign w:val="top"/>
          </w:tcPr>
          <w:p w14:paraId="4FCF293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Agree</w:t>
            </w:r>
          </w:p>
        </w:tc>
        <w:tc>
          <w:tcPr>
            <w:tcW w:w="1253" w:type="dxa"/>
            <w:noWrap w:val="0"/>
            <w:vAlign w:val="top"/>
          </w:tcPr>
          <w:p w14:paraId="380388A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27</w:t>
            </w:r>
          </w:p>
        </w:tc>
        <w:tc>
          <w:tcPr>
            <w:tcW w:w="1317" w:type="dxa"/>
            <w:noWrap w:val="0"/>
            <w:vAlign w:val="top"/>
          </w:tcPr>
          <w:p w14:paraId="2B97A89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r>
      <w:tr w14:paraId="23FDB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01DDE93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19</w:t>
            </w:r>
          </w:p>
        </w:tc>
        <w:tc>
          <w:tcPr>
            <w:tcW w:w="1884" w:type="dxa"/>
            <w:noWrap w:val="0"/>
            <w:vAlign w:val="top"/>
          </w:tcPr>
          <w:p w14:paraId="2F2804B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Revis</w:t>
            </w:r>
            <w:r>
              <w:rPr>
                <w:rFonts w:hint="default" w:ascii="Cambria" w:hAnsi="Cambria" w:cs="Cambria"/>
                <w:sz w:val="24"/>
                <w:szCs w:val="24"/>
                <w:lang w:val="en-US"/>
              </w:rPr>
              <w:t>e</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Normative References</w:t>
            </w:r>
            <w:r>
              <w:rPr>
                <w:rFonts w:hint="default" w:ascii="Cambria" w:hAnsi="Cambria" w:cs="Cambria"/>
                <w:sz w:val="24"/>
                <w:szCs w:val="24"/>
                <w:lang w:val="en-US"/>
              </w:rPr>
              <w:t>”</w:t>
            </w:r>
          </w:p>
        </w:tc>
        <w:tc>
          <w:tcPr>
            <w:tcW w:w="4040" w:type="dxa"/>
            <w:noWrap w:val="0"/>
            <w:vAlign w:val="top"/>
          </w:tcPr>
          <w:p w14:paraId="5BBA85C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Agree</w:t>
            </w:r>
          </w:p>
          <w:p w14:paraId="15A47D6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p>
        </w:tc>
        <w:tc>
          <w:tcPr>
            <w:tcW w:w="1253" w:type="dxa"/>
            <w:noWrap w:val="0"/>
            <w:vAlign w:val="top"/>
          </w:tcPr>
          <w:p w14:paraId="62DC821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27</w:t>
            </w:r>
          </w:p>
        </w:tc>
        <w:tc>
          <w:tcPr>
            <w:tcW w:w="1317" w:type="dxa"/>
            <w:noWrap w:val="0"/>
            <w:vAlign w:val="top"/>
          </w:tcPr>
          <w:p w14:paraId="6208A3C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r>
      <w:tr w14:paraId="72AB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31B44C7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20</w:t>
            </w:r>
          </w:p>
        </w:tc>
        <w:tc>
          <w:tcPr>
            <w:tcW w:w="1884" w:type="dxa"/>
            <w:noWrap w:val="0"/>
            <w:vAlign w:val="top"/>
          </w:tcPr>
          <w:p w14:paraId="772E06E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Add</w:t>
            </w:r>
            <w:r>
              <w:rPr>
                <w:rFonts w:hint="default" w:ascii="Cambria" w:hAnsi="Cambria" w:cs="Cambria"/>
                <w:sz w:val="24"/>
                <w:szCs w:val="24"/>
                <w:lang w:val="en-US"/>
              </w:rPr>
              <w:t xml:space="preserve"> </w:t>
            </w:r>
            <w:r>
              <w:rPr>
                <w:rFonts w:hint="default" w:ascii="Cambria" w:hAnsi="Cambria" w:cs="Cambria"/>
                <w:sz w:val="24"/>
                <w:szCs w:val="24"/>
              </w:rPr>
              <w:t>Contraindications for Pediatric Tuina</w:t>
            </w:r>
          </w:p>
        </w:tc>
        <w:tc>
          <w:tcPr>
            <w:tcW w:w="4040" w:type="dxa"/>
            <w:noWrap w:val="0"/>
            <w:vAlign w:val="top"/>
          </w:tcPr>
          <w:p w14:paraId="311160B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Agree</w:t>
            </w:r>
          </w:p>
        </w:tc>
        <w:tc>
          <w:tcPr>
            <w:tcW w:w="1253" w:type="dxa"/>
            <w:noWrap w:val="0"/>
            <w:vAlign w:val="top"/>
          </w:tcPr>
          <w:p w14:paraId="738D44E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24</w:t>
            </w:r>
          </w:p>
        </w:tc>
        <w:tc>
          <w:tcPr>
            <w:tcW w:w="1317" w:type="dxa"/>
            <w:noWrap w:val="0"/>
            <w:vAlign w:val="top"/>
          </w:tcPr>
          <w:p w14:paraId="78610BB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88.89%</w:t>
            </w:r>
          </w:p>
        </w:tc>
      </w:tr>
      <w:tr w14:paraId="25DA6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1" w:type="dxa"/>
            <w:noWrap w:val="0"/>
            <w:vAlign w:val="top"/>
          </w:tcPr>
          <w:p w14:paraId="6E5465F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21</w:t>
            </w:r>
          </w:p>
        </w:tc>
        <w:tc>
          <w:tcPr>
            <w:tcW w:w="1884" w:type="dxa"/>
            <w:noWrap w:val="0"/>
            <w:vAlign w:val="top"/>
          </w:tcPr>
          <w:p w14:paraId="1284CFF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Add </w:t>
            </w:r>
            <w:r>
              <w:rPr>
                <w:rFonts w:hint="default" w:ascii="Cambria" w:hAnsi="Cambria" w:cs="Cambria"/>
                <w:sz w:val="24"/>
                <w:szCs w:val="24"/>
                <w:lang w:val="en-US" w:eastAsia="en-US"/>
              </w:rPr>
              <w:t>“</w:t>
            </w:r>
            <w:r>
              <w:rPr>
                <w:rFonts w:hint="default" w:ascii="Cambria" w:hAnsi="Cambria" w:cs="Cambria"/>
                <w:sz w:val="24"/>
                <w:szCs w:val="24"/>
                <w:lang w:eastAsia="en-US"/>
              </w:rPr>
              <w:t>References</w:t>
            </w:r>
            <w:r>
              <w:rPr>
                <w:rFonts w:hint="default" w:ascii="Cambria" w:hAnsi="Cambria" w:cs="Cambria"/>
                <w:sz w:val="24"/>
                <w:szCs w:val="24"/>
                <w:lang w:val="en-US" w:eastAsia="en-US"/>
              </w:rPr>
              <w:t>”</w:t>
            </w:r>
          </w:p>
        </w:tc>
        <w:tc>
          <w:tcPr>
            <w:tcW w:w="4040" w:type="dxa"/>
            <w:noWrap w:val="0"/>
            <w:vAlign w:val="top"/>
          </w:tcPr>
          <w:p w14:paraId="5BF4089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Agree</w:t>
            </w:r>
          </w:p>
        </w:tc>
        <w:tc>
          <w:tcPr>
            <w:tcW w:w="1253" w:type="dxa"/>
            <w:noWrap w:val="0"/>
            <w:vAlign w:val="top"/>
          </w:tcPr>
          <w:p w14:paraId="601F6DF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27</w:t>
            </w:r>
          </w:p>
        </w:tc>
        <w:tc>
          <w:tcPr>
            <w:tcW w:w="1317" w:type="dxa"/>
            <w:noWrap w:val="0"/>
            <w:vAlign w:val="top"/>
          </w:tcPr>
          <w:p w14:paraId="39587F7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100.00%</w:t>
            </w:r>
          </w:p>
        </w:tc>
      </w:tr>
    </w:tbl>
    <w:p w14:paraId="484803C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According to the statistical results, a total of 2</w:t>
      </w:r>
      <w:r>
        <w:rPr>
          <w:rFonts w:hint="default" w:ascii="Cambria" w:hAnsi="Cambria" w:cs="Cambria"/>
          <w:sz w:val="24"/>
          <w:szCs w:val="24"/>
          <w:lang w:val="en-US"/>
        </w:rPr>
        <w:t>1</w:t>
      </w:r>
      <w:r>
        <w:rPr>
          <w:rFonts w:hint="default" w:ascii="Cambria" w:hAnsi="Cambria" w:cs="Cambria"/>
          <w:sz w:val="24"/>
          <w:szCs w:val="24"/>
        </w:rPr>
        <w:t xml:space="preserve"> items received support from more than 50% of the experts. In accordance with “1.2 Plan for handling statistical results”, the 2</w:t>
      </w:r>
      <w:r>
        <w:rPr>
          <w:rFonts w:hint="default" w:ascii="Cambria" w:hAnsi="Cambria" w:cs="Cambria"/>
          <w:sz w:val="24"/>
          <w:szCs w:val="24"/>
          <w:lang w:val="en-US"/>
        </w:rPr>
        <w:t>1</w:t>
      </w:r>
      <w:r>
        <w:rPr>
          <w:rFonts w:hint="default" w:ascii="Cambria" w:hAnsi="Cambria" w:cs="Cambria"/>
          <w:sz w:val="24"/>
          <w:szCs w:val="24"/>
        </w:rPr>
        <w:t xml:space="preserve"> items in the above table were classified as items for “directly accepted revision comments” (corresponding to Table </w:t>
      </w:r>
      <w:r>
        <w:rPr>
          <w:rFonts w:hint="default" w:ascii="Cambria" w:hAnsi="Cambria" w:cs="Cambria"/>
          <w:sz w:val="24"/>
          <w:szCs w:val="24"/>
          <w:lang w:val="en-US"/>
        </w:rPr>
        <w:t>41</w:t>
      </w:r>
      <w:r>
        <w:rPr>
          <w:rFonts w:hint="default" w:ascii="Cambria" w:hAnsi="Cambria" w:cs="Cambria"/>
          <w:sz w:val="24"/>
          <w:szCs w:val="24"/>
        </w:rPr>
        <w:t>). These items mostly relate to certain manipulation steps, acupoint locations, and new or revised items, indicating strong consensus. The original items were revised according to the options with the highest support. In addition, expert comments on some items were summarized.</w:t>
      </w:r>
    </w:p>
    <w:p w14:paraId="4A2CEF3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expert comments are summarized as follows</w:t>
      </w:r>
      <w:r>
        <w:rPr>
          <w:rFonts w:hint="default" w:ascii="Cambria" w:hAnsi="Cambria" w:cs="Cambria"/>
          <w:sz w:val="24"/>
          <w:szCs w:val="24"/>
          <w:lang w:val="en-US"/>
        </w:rPr>
        <w:t>.</w:t>
      </w:r>
    </w:p>
    <w:p w14:paraId="0FB41D1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(1) For circular Rubbing Manipulation, it was suggested to add: </w:t>
      </w:r>
      <w:r>
        <w:rPr>
          <w:rFonts w:hint="default" w:ascii="Cambria" w:hAnsi="Cambria" w:cs="Cambria"/>
          <w:sz w:val="24"/>
          <w:szCs w:val="24"/>
          <w:lang w:val="en-US"/>
        </w:rPr>
        <w:t>“</w:t>
      </w:r>
      <w:r>
        <w:rPr>
          <w:rFonts w:hint="default" w:ascii="Cambria" w:hAnsi="Cambria" w:cs="Cambria"/>
          <w:sz w:val="24"/>
          <w:szCs w:val="24"/>
        </w:rPr>
        <w:t>do not drive subcutaneous tissue.</w:t>
      </w:r>
      <w:r>
        <w:rPr>
          <w:rFonts w:hint="default" w:ascii="Cambria" w:hAnsi="Cambria" w:cs="Cambria"/>
          <w:sz w:val="24"/>
          <w:szCs w:val="24"/>
          <w:lang w:val="en-US"/>
        </w:rPr>
        <w:t>”</w:t>
      </w:r>
      <w:r>
        <w:rPr>
          <w:rFonts w:hint="default" w:ascii="Cambria" w:hAnsi="Cambria" w:cs="Cambria"/>
          <w:sz w:val="24"/>
          <w:szCs w:val="24"/>
        </w:rPr>
        <w:t xml:space="preserve"> Suggested wording: </w:t>
      </w:r>
      <w:r>
        <w:rPr>
          <w:rFonts w:hint="default" w:ascii="Cambria" w:hAnsi="Cambria" w:cs="Cambria"/>
          <w:sz w:val="24"/>
          <w:szCs w:val="24"/>
          <w:lang w:val="en-US"/>
        </w:rPr>
        <w:t>“</w:t>
      </w:r>
      <w:r>
        <w:rPr>
          <w:rFonts w:hint="default" w:ascii="Cambria" w:hAnsi="Cambria" w:cs="Cambria"/>
          <w:sz w:val="24"/>
          <w:szCs w:val="24"/>
        </w:rPr>
        <w:t>The practitioner uses the palm surface or the palmar surfaces of the index, middle, and ring fingers to attach to a certain area, and performs rhythmic, gentle circular rubbing with the wrist joint and forearm.</w:t>
      </w:r>
      <w:r>
        <w:rPr>
          <w:rFonts w:hint="default" w:ascii="Cambria" w:hAnsi="Cambria" w:cs="Cambria"/>
          <w:sz w:val="24"/>
          <w:szCs w:val="24"/>
          <w:lang w:val="en-US"/>
        </w:rPr>
        <w:t>”</w:t>
      </w:r>
    </w:p>
    <w:p w14:paraId="368468B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(2) For Tapping-Patting Method, it was suggested to combine contents. Suggested wording: </w:t>
      </w:r>
      <w:r>
        <w:rPr>
          <w:rFonts w:hint="default" w:ascii="Cambria" w:hAnsi="Cambria" w:cs="Cambria"/>
          <w:sz w:val="24"/>
          <w:szCs w:val="24"/>
          <w:lang w:val="en-US"/>
        </w:rPr>
        <w:t>“</w:t>
      </w:r>
      <w:r>
        <w:rPr>
          <w:rFonts w:hint="default" w:ascii="Cambria" w:hAnsi="Cambria" w:cs="Cambria"/>
          <w:sz w:val="24"/>
          <w:szCs w:val="24"/>
        </w:rPr>
        <w:t>The practitioner relaxes the wrist, holds five fingers together, slightly flexes metacarpophalangeal joints, hollows the palm, and uses the forearm to drive the hollow palm to pat the body surface quickly, flexibly, and evenly, with force from light to heavy.</w:t>
      </w:r>
      <w:r>
        <w:rPr>
          <w:rFonts w:hint="default" w:ascii="Cambria" w:hAnsi="Cambria" w:cs="Cambria"/>
          <w:sz w:val="24"/>
          <w:szCs w:val="24"/>
          <w:lang w:val="en-US"/>
        </w:rPr>
        <w:t>”</w:t>
      </w:r>
    </w:p>
    <w:p w14:paraId="55C620D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(3) For Shui Di Lao Yue (Scooping the Moon from the Water), it was noted that cold water is dropped into the child's Neilaogong; not suitable for deficient heat.</w:t>
      </w:r>
    </w:p>
    <w:p w14:paraId="191F8A7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(4) For Da Ma Guo Tian He (Flicking along the Tianhe), it was suggested to combine options I and H, or use the index and middle fingers for operation (more flexible). Location: midline of forearm, from Zongjin to Hongchi (Quze) in a straight line. Operation: use the index and middle fingers dipped in water, flicking from Zongjin to Hongchi like playing a zither, while blowing air. Or first knead Neilaogong, then flick as above. (Source: T/CACM 1476-2023</w:t>
      </w:r>
      <w:r>
        <w:rPr>
          <w:rFonts w:hint="default" w:ascii="Cambria" w:hAnsi="Cambria" w:cs="Cambria"/>
          <w:sz w:val="24"/>
          <w:szCs w:val="24"/>
          <w:lang w:val="en-US"/>
        </w:rPr>
        <w:t xml:space="preserve"> Specification for manipulation of pediatric tuina in medical institutions</w:t>
      </w:r>
      <w:r>
        <w:rPr>
          <w:rFonts w:hint="default" w:ascii="Cambria" w:hAnsi="Cambria" w:cs="Cambria"/>
          <w:sz w:val="24"/>
          <w:szCs w:val="24"/>
        </w:rPr>
        <w:t>)</w:t>
      </w:r>
    </w:p>
    <w:p w14:paraId="26CAFE4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(5) For Huang Feng Ru Dong (Yellow Bee Entering the Cave), it was suggested to combine L and K, and add </w:t>
      </w:r>
      <w:r>
        <w:rPr>
          <w:rFonts w:hint="default" w:ascii="Cambria" w:hAnsi="Cambria" w:cs="Cambria"/>
          <w:sz w:val="24"/>
          <w:szCs w:val="24"/>
          <w:lang w:val="en-US"/>
        </w:rPr>
        <w:t>“</w:t>
      </w:r>
      <w:r>
        <w:rPr>
          <w:rFonts w:hint="default" w:ascii="Cambria" w:hAnsi="Cambria" w:cs="Cambria"/>
          <w:sz w:val="24"/>
          <w:szCs w:val="24"/>
        </w:rPr>
        <w:t>or place at both sides of the nasal alae, kneading up and down at the nasal bone edge</w:t>
      </w:r>
      <w:r>
        <w:rPr>
          <w:rFonts w:hint="default" w:ascii="Cambria" w:hAnsi="Cambria" w:cs="Cambria"/>
          <w:sz w:val="24"/>
          <w:szCs w:val="24"/>
          <w:lang w:val="en-US"/>
        </w:rPr>
        <w:t>”</w:t>
      </w:r>
      <w:r>
        <w:rPr>
          <w:rFonts w:hint="default" w:ascii="Cambria" w:hAnsi="Cambria" w:cs="Cambria"/>
          <w:sz w:val="24"/>
          <w:szCs w:val="24"/>
        </w:rPr>
        <w:t xml:space="preserve"> (from A Summary of Pediatric Tui</w:t>
      </w:r>
      <w:r>
        <w:rPr>
          <w:rFonts w:hint="default" w:ascii="Cambria" w:hAnsi="Cambria" w:cs="Cambria"/>
          <w:sz w:val="24"/>
          <w:szCs w:val="24"/>
          <w:lang w:val="en-US"/>
        </w:rPr>
        <w:t>n</w:t>
      </w:r>
      <w:r>
        <w:rPr>
          <w:rFonts w:hint="default" w:ascii="Cambria" w:hAnsi="Cambria" w:cs="Cambria"/>
          <w:sz w:val="24"/>
          <w:szCs w:val="24"/>
        </w:rPr>
        <w:t>a).</w:t>
      </w:r>
    </w:p>
    <w:p w14:paraId="7D109BC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(6) For An Xian Cuo Mo (Pressing the Hypochondrium and Rubbing-Kneading), it was suggested to mainly use F with E.</w:t>
      </w:r>
    </w:p>
    <w:p w14:paraId="7388794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(7) For Er Long Xi Zhu (Two Dragons Playing with a Pearl), it was suggested to mainly use I with H and A (acupoint selection for cold/heat patterns). Location: midline of forearm, from Zongjin to Hongchi. Operation: hold the child's hand, use the index and middle fingers to alternately press forward from Zongjin to Hongchi. (Source: T/CACM 1476-2023</w:t>
      </w:r>
      <w:r>
        <w:rPr>
          <w:rFonts w:hint="default" w:ascii="Cambria" w:hAnsi="Cambria" w:cs="Cambria"/>
          <w:sz w:val="24"/>
          <w:szCs w:val="24"/>
          <w:lang w:val="en-US"/>
        </w:rPr>
        <w:t xml:space="preserve"> Specification for manipulation of pediatric tuina in medical institutions</w:t>
      </w:r>
      <w:r>
        <w:rPr>
          <w:rFonts w:hint="default" w:ascii="Cambria" w:hAnsi="Cambria" w:cs="Cambria"/>
          <w:sz w:val="24"/>
          <w:szCs w:val="24"/>
        </w:rPr>
        <w:t>)</w:t>
      </w:r>
    </w:p>
    <w:p w14:paraId="6B46D4C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(8) For Commonly Used Media in Pediatric Tuina: A.3 Clean Water, add water types: water, scallion water, ginger water, mint water. Modify to: </w:t>
      </w:r>
      <w:r>
        <w:rPr>
          <w:rFonts w:hint="default" w:ascii="Cambria" w:hAnsi="Cambria" w:cs="Cambria"/>
          <w:sz w:val="24"/>
          <w:szCs w:val="24"/>
          <w:lang w:val="en-US"/>
        </w:rPr>
        <w:t>“</w:t>
      </w:r>
      <w:r>
        <w:rPr>
          <w:rFonts w:hint="default" w:ascii="Cambria" w:hAnsi="Cambria" w:cs="Cambria"/>
          <w:sz w:val="24"/>
          <w:szCs w:val="24"/>
        </w:rPr>
        <w:t>tap water, distilled water, etc., that meet national hygiene standards; generally used for pediatric fever.</w:t>
      </w:r>
      <w:r>
        <w:rPr>
          <w:rFonts w:hint="default" w:ascii="Cambria" w:hAnsi="Cambria" w:cs="Cambria"/>
          <w:sz w:val="24"/>
          <w:szCs w:val="24"/>
          <w:lang w:val="en-US"/>
        </w:rPr>
        <w:t>”</w:t>
      </w:r>
    </w:p>
    <w:p w14:paraId="0503FDD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(9) For Commonly Used Media in Pediatric Tuina</w:t>
      </w:r>
      <w:r>
        <w:rPr>
          <w:rFonts w:hint="default" w:ascii="Cambria" w:hAnsi="Cambria" w:cs="Cambria"/>
          <w:sz w:val="24"/>
          <w:szCs w:val="24"/>
          <w:lang w:val="en-US"/>
        </w:rPr>
        <w:t>: Ointment</w:t>
      </w:r>
      <w:r>
        <w:rPr>
          <w:rFonts w:hint="default" w:ascii="Cambria" w:hAnsi="Cambria" w:cs="Cambria"/>
          <w:sz w:val="24"/>
          <w:szCs w:val="24"/>
        </w:rPr>
        <w:t>, suggest Jianpi and Dongqing ointments; avoid talc powder due to fragrance and allergy risk.</w:t>
      </w:r>
    </w:p>
    <w:p w14:paraId="0F8DCF9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(10) For Pitu location, suggest </w:t>
      </w:r>
      <w:r>
        <w:rPr>
          <w:rFonts w:hint="default" w:ascii="Cambria" w:hAnsi="Cambria" w:cs="Cambria"/>
          <w:sz w:val="24"/>
          <w:szCs w:val="24"/>
          <w:lang w:val="en-US"/>
        </w:rPr>
        <w:t>“</w:t>
      </w:r>
      <w:r>
        <w:rPr>
          <w:rFonts w:hint="default" w:ascii="Cambria" w:hAnsi="Cambria" w:cs="Cambria"/>
          <w:sz w:val="24"/>
          <w:szCs w:val="24"/>
        </w:rPr>
        <w:t>thumb distal phalanx whorled surface or radial border, from fingertip to root in a straight line</w:t>
      </w:r>
      <w:r>
        <w:rPr>
          <w:rFonts w:hint="default" w:ascii="Cambria" w:hAnsi="Cambria" w:cs="Cambria"/>
          <w:sz w:val="24"/>
          <w:szCs w:val="24"/>
          <w:lang w:val="en-US"/>
        </w:rPr>
        <w:t>”</w:t>
      </w:r>
      <w:r>
        <w:rPr>
          <w:rFonts w:hint="default" w:ascii="Cambria" w:hAnsi="Cambria" w:cs="Cambria"/>
          <w:sz w:val="24"/>
          <w:szCs w:val="24"/>
        </w:rPr>
        <w:t xml:space="preserve"> (textbook style, clear, reproducible); suggest illustration.</w:t>
      </w:r>
    </w:p>
    <w:p w14:paraId="508FCB1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(11) For Siwenheng</w:t>
      </w:r>
      <w:r>
        <w:rPr>
          <w:rFonts w:hint="default" w:ascii="Cambria" w:hAnsi="Cambria" w:cs="Cambria"/>
          <w:sz w:val="24"/>
          <w:szCs w:val="24"/>
          <w:lang w:val="en-US"/>
        </w:rPr>
        <w:t xml:space="preserve"> </w:t>
      </w:r>
      <w:r>
        <w:rPr>
          <w:rFonts w:hint="default" w:ascii="Cambria" w:hAnsi="Cambria" w:cs="Cambria"/>
          <w:sz w:val="24"/>
          <w:szCs w:val="24"/>
        </w:rPr>
        <w:t>location, it is recommended to perform pushing after pinching for a better therapeutic outcome. It is also suggested that the description “at the proximal interphalangeal joint creases” be adopted, as it aligns with current textbooks, employs more standardized language, and facilitates illustration and English-Chinese terminology cross-referencing (Four Creases / Sifeng).</w:t>
      </w:r>
    </w:p>
    <w:p w14:paraId="10B9F52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(12) For Erren Shangma </w:t>
      </w:r>
      <w:r>
        <w:rPr>
          <w:rFonts w:hint="default" w:ascii="Cambria" w:hAnsi="Cambria" w:cs="Cambria"/>
          <w:sz w:val="24"/>
          <w:szCs w:val="24"/>
          <w:lang w:val="en-US"/>
        </w:rPr>
        <w:t>a</w:t>
      </w:r>
      <w:r>
        <w:rPr>
          <w:rFonts w:hint="default" w:ascii="Cambria" w:hAnsi="Cambria" w:cs="Cambria"/>
          <w:sz w:val="24"/>
          <w:szCs w:val="24"/>
        </w:rPr>
        <w:t xml:space="preserve">cupoint </w:t>
      </w:r>
      <w:r>
        <w:rPr>
          <w:rFonts w:hint="default" w:ascii="Cambria" w:hAnsi="Cambria" w:cs="Cambria"/>
          <w:sz w:val="24"/>
          <w:szCs w:val="24"/>
          <w:lang w:val="en-US"/>
        </w:rPr>
        <w:t>n</w:t>
      </w:r>
      <w:r>
        <w:rPr>
          <w:rFonts w:hint="default" w:ascii="Cambria" w:hAnsi="Cambria" w:cs="Cambria"/>
          <w:sz w:val="24"/>
          <w:szCs w:val="24"/>
        </w:rPr>
        <w:t>ames, also known as Erma or Shangma.</w:t>
      </w:r>
    </w:p>
    <w:p w14:paraId="2EF62B2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(13) For Erren Shangma location, it is recommended to perform kneading after pinching. It is also suggested that the description “in the depression posterior to the metacarpophalangeal joints of the ring and little fingers on the dorsum of the hand” be adopted, as this location is precisely defined in modern textbooks, facilitating teaching and clinical reproducibility; it is also recommended to correlate this with a diagram of the dorsum of the hand.</w:t>
      </w:r>
    </w:p>
    <w:p w14:paraId="2AE9C8D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(14) For Liufu location, suggest </w:t>
      </w:r>
      <w:r>
        <w:rPr>
          <w:rFonts w:hint="default" w:ascii="Cambria" w:hAnsi="Cambria" w:cs="Cambria"/>
          <w:sz w:val="24"/>
          <w:szCs w:val="24"/>
          <w:lang w:val="en-US"/>
        </w:rPr>
        <w:t>“</w:t>
      </w:r>
      <w:r>
        <w:rPr>
          <w:rFonts w:hint="default" w:ascii="Cambria" w:hAnsi="Cambria" w:cs="Cambria"/>
          <w:sz w:val="24"/>
          <w:szCs w:val="24"/>
        </w:rPr>
        <w:t>ulnar border of forearm, from elbow to palm root in a straight line.</w:t>
      </w:r>
      <w:r>
        <w:rPr>
          <w:rFonts w:hint="default" w:ascii="Cambria" w:hAnsi="Cambria" w:cs="Cambria"/>
          <w:sz w:val="24"/>
          <w:szCs w:val="24"/>
          <w:lang w:val="en-US"/>
        </w:rPr>
        <w:t>”</w:t>
      </w:r>
      <w:r>
        <w:rPr>
          <w:rFonts w:hint="default" w:ascii="Cambria" w:hAnsi="Cambria" w:cs="Cambria"/>
          <w:sz w:val="24"/>
          <w:szCs w:val="24"/>
        </w:rPr>
        <w:t xml:space="preserve"> Also </w:t>
      </w:r>
      <w:r>
        <w:rPr>
          <w:rFonts w:hint="default" w:ascii="Cambria" w:hAnsi="Cambria" w:cs="Cambria"/>
          <w:sz w:val="24"/>
          <w:szCs w:val="24"/>
          <w:lang w:val="en-US"/>
        </w:rPr>
        <w:t>“</w:t>
      </w:r>
      <w:r>
        <w:rPr>
          <w:rFonts w:hint="default" w:ascii="Cambria" w:hAnsi="Cambria" w:cs="Cambria"/>
          <w:sz w:val="24"/>
          <w:szCs w:val="24"/>
        </w:rPr>
        <w:t>from Yinchi to elbow</w:t>
      </w:r>
      <w:r>
        <w:rPr>
          <w:rFonts w:hint="default" w:ascii="Cambria" w:hAnsi="Cambria" w:cs="Cambria"/>
          <w:sz w:val="24"/>
          <w:szCs w:val="24"/>
          <w:lang w:val="en-US"/>
        </w:rPr>
        <w:t>”</w:t>
      </w:r>
      <w:r>
        <w:rPr>
          <w:rFonts w:hint="default" w:ascii="Cambria" w:hAnsi="Cambria" w:cs="Cambria"/>
          <w:sz w:val="24"/>
          <w:szCs w:val="24"/>
        </w:rPr>
        <w:t>.(T/CACM 1476-2023</w:t>
      </w:r>
      <w:r>
        <w:rPr>
          <w:rFonts w:hint="default" w:ascii="Cambria" w:hAnsi="Cambria" w:cs="Cambria"/>
          <w:sz w:val="24"/>
          <w:szCs w:val="24"/>
          <w:lang w:val="en-US"/>
        </w:rPr>
        <w:t xml:space="preserve"> Specification for manipulation of pediatric tuina in medical institutions</w:t>
      </w:r>
      <w:r>
        <w:rPr>
          <w:rFonts w:hint="default" w:ascii="Cambria" w:hAnsi="Cambria" w:cs="Cambria"/>
          <w:sz w:val="24"/>
          <w:szCs w:val="24"/>
        </w:rPr>
        <w:t>)</w:t>
      </w:r>
    </w:p>
    <w:p w14:paraId="394E2D1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(15) For Tianhe location, it is suggested that centripetal pushing is characterized as a draining (reducing) method; the draining manipulation should be performed rapidly, while the yin-nourishing (tonifying) manipulation should be performed slowly.</w:t>
      </w:r>
    </w:p>
    <w:p w14:paraId="0E87659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(16) For Revis</w:t>
      </w:r>
      <w:r>
        <w:rPr>
          <w:rFonts w:hint="default" w:ascii="Cambria" w:hAnsi="Cambria" w:cs="Cambria"/>
          <w:sz w:val="24"/>
          <w:szCs w:val="24"/>
          <w:lang w:val="en-US"/>
        </w:rPr>
        <w:t>ing</w:t>
      </w:r>
      <w:r>
        <w:rPr>
          <w:rFonts w:hint="default" w:ascii="Cambria" w:hAnsi="Cambria" w:cs="Cambria"/>
          <w:sz w:val="24"/>
          <w:szCs w:val="24"/>
        </w:rPr>
        <w:t xml:space="preserve"> </w:t>
      </w:r>
      <w:r>
        <w:rPr>
          <w:rFonts w:hint="default" w:ascii="Cambria" w:hAnsi="Cambria" w:cs="Cambria"/>
          <w:sz w:val="24"/>
          <w:szCs w:val="24"/>
          <w:lang w:val="en-US"/>
        </w:rPr>
        <w:t>“</w:t>
      </w:r>
      <w:r>
        <w:rPr>
          <w:rFonts w:hint="default" w:ascii="Cambria" w:hAnsi="Cambria" w:cs="Cambria"/>
          <w:sz w:val="24"/>
          <w:szCs w:val="24"/>
        </w:rPr>
        <w:t>Normative References</w:t>
      </w:r>
      <w:r>
        <w:rPr>
          <w:rFonts w:hint="default" w:ascii="Cambria" w:hAnsi="Cambria" w:cs="Cambria"/>
          <w:sz w:val="24"/>
          <w:szCs w:val="24"/>
          <w:lang w:val="en-US"/>
        </w:rPr>
        <w:t>”,</w:t>
      </w:r>
      <w:r>
        <w:rPr>
          <w:rFonts w:hint="default" w:ascii="Cambria" w:hAnsi="Cambria" w:cs="Cambria"/>
          <w:sz w:val="24"/>
          <w:szCs w:val="24"/>
        </w:rPr>
        <w:t xml:space="preserve"> it is suggested that when the final list is compiled, only the documents actually cited should be listed. It is also suggested to supplement with the WHO benchmarks for the practice of tuina (latest edition) and SCM-C 0056-2023 Specification for Pediatric Tuina Manipulation Techniques, so as to facilitate alignment with international and group standards.</w:t>
      </w:r>
    </w:p>
    <w:p w14:paraId="613264E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(17) For adding Contraindications for Pediatric Tuina</w:t>
      </w:r>
      <w:r>
        <w:rPr>
          <w:rFonts w:hint="default" w:ascii="Cambria" w:hAnsi="Cambria" w:cs="Cambria"/>
          <w:sz w:val="24"/>
          <w:szCs w:val="24"/>
          <w:lang w:val="en-US"/>
        </w:rPr>
        <w:t xml:space="preserve">, </w:t>
      </w:r>
      <w:r>
        <w:rPr>
          <w:rFonts w:hint="default" w:ascii="Cambria" w:hAnsi="Cambria" w:cs="Cambria"/>
          <w:sz w:val="24"/>
          <w:szCs w:val="24"/>
        </w:rPr>
        <w:t>local edema is not a contraindication; maintain terminological consistency with precautions/safety requirements.</w:t>
      </w:r>
    </w:p>
    <w:p w14:paraId="4AA0E3F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(18) For </w:t>
      </w:r>
      <w:r>
        <w:rPr>
          <w:rFonts w:hint="default" w:ascii="Cambria" w:hAnsi="Cambria" w:cs="Cambria"/>
          <w:sz w:val="24"/>
          <w:szCs w:val="24"/>
          <w:lang w:val="en-US"/>
        </w:rPr>
        <w:t>adding “</w:t>
      </w:r>
      <w:r>
        <w:rPr>
          <w:rFonts w:hint="default" w:ascii="Cambria" w:hAnsi="Cambria" w:cs="Cambria"/>
          <w:sz w:val="24"/>
          <w:szCs w:val="24"/>
        </w:rPr>
        <w:t>References,</w:t>
      </w:r>
      <w:r>
        <w:rPr>
          <w:rFonts w:hint="default" w:ascii="Cambria" w:hAnsi="Cambria" w:cs="Cambria"/>
          <w:sz w:val="24"/>
          <w:szCs w:val="24"/>
          <w:lang w:val="en-US"/>
        </w:rPr>
        <w:t>”</w:t>
      </w:r>
      <w:r>
        <w:rPr>
          <w:rFonts w:hint="default" w:ascii="Cambria" w:hAnsi="Cambria" w:cs="Cambria"/>
          <w:sz w:val="24"/>
          <w:szCs w:val="24"/>
        </w:rPr>
        <w:t xml:space="preserve"> agree to update and expand; classify by type and chronology: international standards/guidelines → national standards → group/industry standards → textbooks/monographs → academic literature.</w:t>
      </w:r>
    </w:p>
    <w:p w14:paraId="571462E6">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 xml:space="preserve">3.2 Analysis of controversial items  </w:t>
      </w:r>
    </w:p>
    <w:p w14:paraId="0883AE2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According to “1.2 Divergent Opinions and Handling Principles”, there were still </w:t>
      </w:r>
      <w:r>
        <w:rPr>
          <w:rFonts w:hint="default" w:ascii="Cambria" w:hAnsi="Cambria" w:cs="Cambria"/>
          <w:sz w:val="24"/>
          <w:szCs w:val="24"/>
          <w:lang w:val="en-US"/>
        </w:rPr>
        <w:t>12</w:t>
      </w:r>
      <w:r>
        <w:rPr>
          <w:rFonts w:hint="default" w:ascii="Cambria" w:hAnsi="Cambria" w:cs="Cambria"/>
          <w:sz w:val="24"/>
          <w:szCs w:val="24"/>
        </w:rPr>
        <w:t xml:space="preserve"> items for which no option received support from more than 50% of experts. These were: </w:t>
      </w:r>
      <w:r>
        <w:rPr>
          <w:rFonts w:hint="default" w:ascii="Cambria" w:hAnsi="Cambria" w:cs="Cambria"/>
          <w:sz w:val="24"/>
          <w:szCs w:val="24"/>
          <w:lang w:val="en-US"/>
        </w:rPr>
        <w:t>d</w:t>
      </w:r>
      <w:r>
        <w:rPr>
          <w:rFonts w:hint="default" w:ascii="Cambria" w:hAnsi="Cambria" w:cs="Cambria"/>
          <w:sz w:val="24"/>
          <w:szCs w:val="24"/>
        </w:rPr>
        <w:t xml:space="preserve">efinition of </w:t>
      </w:r>
      <w:r>
        <w:rPr>
          <w:rFonts w:hint="default" w:ascii="Cambria" w:hAnsi="Cambria" w:cs="Cambria"/>
          <w:sz w:val="24"/>
          <w:szCs w:val="24"/>
          <w:lang w:val="en-US"/>
        </w:rPr>
        <w:t>p</w:t>
      </w:r>
      <w:r>
        <w:rPr>
          <w:rFonts w:hint="default" w:ascii="Cambria" w:hAnsi="Cambria" w:cs="Cambria"/>
          <w:sz w:val="24"/>
          <w:szCs w:val="24"/>
        </w:rPr>
        <w:t xml:space="preserve">ediatric </w:t>
      </w:r>
      <w:r>
        <w:rPr>
          <w:rFonts w:hint="default" w:ascii="Cambria" w:hAnsi="Cambria" w:cs="Cambria"/>
          <w:sz w:val="24"/>
          <w:szCs w:val="24"/>
          <w:lang w:val="en-US"/>
        </w:rPr>
        <w:t>t</w:t>
      </w:r>
      <w:r>
        <w:rPr>
          <w:rFonts w:hint="default" w:ascii="Cambria" w:hAnsi="Cambria" w:cs="Cambria"/>
          <w:sz w:val="24"/>
          <w:szCs w:val="24"/>
        </w:rPr>
        <w:t>uina</w:t>
      </w:r>
      <w:r>
        <w:rPr>
          <w:rFonts w:hint="default" w:ascii="Cambria" w:hAnsi="Cambria" w:cs="Cambria"/>
          <w:sz w:val="24"/>
          <w:szCs w:val="24"/>
          <w:lang w:val="en-US"/>
        </w:rPr>
        <w:t>,</w:t>
      </w:r>
      <w:r>
        <w:rPr>
          <w:rFonts w:hint="default" w:ascii="Cambria" w:hAnsi="Cambria" w:cs="Cambria"/>
          <w:sz w:val="24"/>
          <w:szCs w:val="24"/>
        </w:rPr>
        <w:t xml:space="preserve"> environment, positioning, practitioner, Rotating Pushing</w:t>
      </w:r>
      <w:r>
        <w:rPr>
          <w:rFonts w:hint="default" w:ascii="Cambria" w:hAnsi="Cambria" w:cs="Cambria"/>
          <w:sz w:val="24"/>
          <w:szCs w:val="24"/>
          <w:lang w:val="en-US"/>
        </w:rPr>
        <w:t>,</w:t>
      </w:r>
      <w:r>
        <w:rPr>
          <w:rFonts w:hint="default" w:ascii="Cambria" w:hAnsi="Cambria" w:cs="Cambria"/>
          <w:sz w:val="24"/>
          <w:szCs w:val="24"/>
        </w:rPr>
        <w:t xml:space="preserve"> Pressing Manipulation, </w:t>
      </w:r>
      <w:r>
        <w:rPr>
          <w:rFonts w:hint="default" w:ascii="Cambria" w:hAnsi="Cambria" w:cs="Cambria"/>
          <w:sz w:val="24"/>
          <w:szCs w:val="24"/>
          <w:lang w:val="en-US"/>
        </w:rPr>
        <w:t>o</w:t>
      </w:r>
      <w:r>
        <w:rPr>
          <w:rFonts w:hint="default" w:ascii="Cambria" w:hAnsi="Cambria" w:cs="Cambria"/>
          <w:sz w:val="24"/>
          <w:szCs w:val="24"/>
        </w:rPr>
        <w:t xml:space="preserve">perating </w:t>
      </w:r>
      <w:r>
        <w:rPr>
          <w:rFonts w:hint="default" w:ascii="Cambria" w:hAnsi="Cambria" w:cs="Cambria"/>
          <w:sz w:val="24"/>
          <w:szCs w:val="24"/>
          <w:lang w:val="en-US"/>
        </w:rPr>
        <w:t>s</w:t>
      </w:r>
      <w:r>
        <w:rPr>
          <w:rFonts w:hint="default" w:ascii="Cambria" w:hAnsi="Cambria" w:cs="Cambria"/>
          <w:sz w:val="24"/>
          <w:szCs w:val="24"/>
        </w:rPr>
        <w:t>equence</w:t>
      </w:r>
      <w:r>
        <w:rPr>
          <w:rFonts w:hint="default" w:ascii="Cambria" w:hAnsi="Cambria" w:cs="Cambria"/>
          <w:sz w:val="24"/>
          <w:szCs w:val="24"/>
          <w:lang w:val="en-US"/>
        </w:rPr>
        <w:t xml:space="preserve">, </w:t>
      </w:r>
      <w:r>
        <w:rPr>
          <w:rFonts w:hint="default" w:ascii="Cambria" w:hAnsi="Cambria" w:cs="Cambria"/>
          <w:sz w:val="24"/>
          <w:szCs w:val="24"/>
        </w:rPr>
        <w:t>reinforcing-reducing, treatment duration, treatment intervals/courses, oil media, and safety precautions. The contentious items and their highest-support options are summarized in Table 42.</w:t>
      </w:r>
    </w:p>
    <w:p w14:paraId="45F5D5EE">
      <w:pPr>
        <w:keepNext w:val="0"/>
        <w:keepLines w:val="0"/>
        <w:pageBreakBefore w:val="0"/>
        <w:widowControl/>
        <w:kinsoku/>
        <w:wordWrap/>
        <w:overflowPunct/>
        <w:topLinePunct w:val="0"/>
        <w:autoSpaceDE/>
        <w:autoSpaceDN/>
        <w:bidi w:val="0"/>
        <w:adjustRightInd/>
        <w:snapToGrid/>
        <w:spacing w:after="0" w:line="276" w:lineRule="auto"/>
        <w:ind w:firstLine="482"/>
        <w:jc w:val="center"/>
        <w:textAlignment w:val="auto"/>
        <w:rPr>
          <w:rFonts w:hint="default" w:ascii="Cambria" w:hAnsi="Cambria" w:cs="Cambria"/>
          <w:sz w:val="24"/>
          <w:szCs w:val="24"/>
        </w:rPr>
      </w:pPr>
      <w:r>
        <w:rPr>
          <w:rFonts w:hint="default" w:ascii="Cambria" w:hAnsi="Cambria" w:cs="Cambria"/>
          <w:sz w:val="24"/>
          <w:szCs w:val="24"/>
        </w:rPr>
        <w:t>Table 42 Summary of controversial item themes and options with the highest support</w:t>
      </w:r>
    </w:p>
    <w:tbl>
      <w:tblPr>
        <w:tblStyle w:val="81"/>
        <w:tblW w:w="91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
        <w:gridCol w:w="1476"/>
        <w:gridCol w:w="4458"/>
        <w:gridCol w:w="1276"/>
        <w:gridCol w:w="1291"/>
      </w:tblGrid>
      <w:tr w14:paraId="32321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95" w:type="dxa"/>
            <w:noWrap w:val="0"/>
            <w:vAlign w:val="top"/>
          </w:tcPr>
          <w:p w14:paraId="04F2276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No.</w:t>
            </w:r>
          </w:p>
        </w:tc>
        <w:tc>
          <w:tcPr>
            <w:tcW w:w="1476" w:type="dxa"/>
            <w:noWrap w:val="0"/>
            <w:vAlign w:val="top"/>
          </w:tcPr>
          <w:p w14:paraId="0B5D89D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Item</w:t>
            </w:r>
          </w:p>
        </w:tc>
        <w:tc>
          <w:tcPr>
            <w:tcW w:w="4458" w:type="dxa"/>
            <w:noWrap w:val="0"/>
            <w:vAlign w:val="top"/>
          </w:tcPr>
          <w:p w14:paraId="0891C64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 with the highest support</w:t>
            </w:r>
          </w:p>
        </w:tc>
        <w:tc>
          <w:tcPr>
            <w:tcW w:w="1276" w:type="dxa"/>
            <w:noWrap w:val="0"/>
            <w:vAlign w:val="top"/>
          </w:tcPr>
          <w:p w14:paraId="0286367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291" w:type="dxa"/>
            <w:noWrap w:val="0"/>
            <w:vAlign w:val="top"/>
          </w:tcPr>
          <w:p w14:paraId="6933F33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6DEC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55F075A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val="en-US" w:eastAsia="en-US"/>
              </w:rPr>
              <w:t>1</w:t>
            </w:r>
          </w:p>
        </w:tc>
        <w:tc>
          <w:tcPr>
            <w:tcW w:w="1476" w:type="dxa"/>
            <w:noWrap w:val="0"/>
            <w:vAlign w:val="top"/>
          </w:tcPr>
          <w:p w14:paraId="46A648C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Definition of “Pediatric Tuina”</w:t>
            </w:r>
          </w:p>
        </w:tc>
        <w:tc>
          <w:tcPr>
            <w:tcW w:w="4458" w:type="dxa"/>
            <w:noWrap w:val="0"/>
            <w:vAlign w:val="top"/>
          </w:tcPr>
          <w:p w14:paraId="2E65275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A TCM technique in which, after four diagnostic examinations and syndrome differentiation, the physician or </w:t>
            </w:r>
            <w:r>
              <w:rPr>
                <w:rFonts w:hint="default" w:ascii="Cambria" w:hAnsi="Cambria" w:cs="Cambria"/>
                <w:sz w:val="24"/>
                <w:szCs w:val="24"/>
                <w:lang w:val="en-US"/>
              </w:rPr>
              <w:t>practitioner</w:t>
            </w:r>
            <w:r>
              <w:rPr>
                <w:rFonts w:hint="default" w:ascii="Cambria" w:hAnsi="Cambria" w:cs="Cambria"/>
                <w:sz w:val="24"/>
                <w:szCs w:val="24"/>
              </w:rPr>
              <w:t xml:space="preserve">, following a tuina prescription, uses hand manipulation on certain parts and acupoints of the child's limbs, with different manipulations according to the condition, to achieve effects such as dredging meridians, harmonizing qi and blood, balancing yin and yang, and enhancing the body's natural disease resistance. </w:t>
            </w:r>
          </w:p>
          <w:p w14:paraId="35B621C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lang w:val="en-US" w:eastAsia="en-US"/>
              </w:rPr>
              <w:t xml:space="preserve"> </w:t>
            </w:r>
            <w:r>
              <w:rPr>
                <w:rFonts w:hint="default" w:ascii="Cambria" w:hAnsi="Cambria" w:cs="Cambria"/>
                <w:sz w:val="24"/>
                <w:szCs w:val="24"/>
              </w:rPr>
              <w:t>contents</w:t>
            </w:r>
            <w:r>
              <w:rPr>
                <w:rFonts w:hint="default" w:ascii="Cambria" w:hAnsi="Cambria" w:cs="Cambria"/>
                <w:sz w:val="24"/>
                <w:szCs w:val="24"/>
                <w:lang w:eastAsia="en-US"/>
              </w:rPr>
              <w:t>.</w:t>
            </w:r>
          </w:p>
        </w:tc>
        <w:tc>
          <w:tcPr>
            <w:tcW w:w="1276" w:type="dxa"/>
            <w:noWrap w:val="0"/>
            <w:vAlign w:val="top"/>
          </w:tcPr>
          <w:p w14:paraId="485E933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291" w:type="dxa"/>
            <w:noWrap w:val="0"/>
            <w:vAlign w:val="top"/>
          </w:tcPr>
          <w:p w14:paraId="3140DEE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r>
      <w:tr w14:paraId="6355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1399DC5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w:t>
            </w:r>
          </w:p>
        </w:tc>
        <w:tc>
          <w:tcPr>
            <w:tcW w:w="1476" w:type="dxa"/>
            <w:noWrap w:val="0"/>
            <w:vAlign w:val="top"/>
          </w:tcPr>
          <w:p w14:paraId="56516CE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Environment</w:t>
            </w:r>
          </w:p>
        </w:tc>
        <w:tc>
          <w:tcPr>
            <w:tcW w:w="4458" w:type="dxa"/>
            <w:noWrap w:val="0"/>
            <w:vAlign w:val="top"/>
          </w:tcPr>
          <w:p w14:paraId="2ABE38F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Combine the above: retain the original national standard text with the addition of </w:t>
            </w:r>
            <w:r>
              <w:rPr>
                <w:rFonts w:hint="default" w:ascii="Cambria" w:hAnsi="Cambria" w:cs="Cambria"/>
                <w:sz w:val="24"/>
                <w:szCs w:val="24"/>
                <w:lang w:val="en-US"/>
              </w:rPr>
              <w:t>“</w:t>
            </w:r>
            <w:r>
              <w:rPr>
                <w:rFonts w:hint="default" w:ascii="Cambria" w:hAnsi="Cambria" w:cs="Cambria"/>
                <w:sz w:val="24"/>
                <w:szCs w:val="24"/>
              </w:rPr>
              <w:t>regular disinfection.</w:t>
            </w:r>
            <w:r>
              <w:rPr>
                <w:rFonts w:hint="default" w:ascii="Cambria" w:hAnsi="Cambria" w:cs="Cambria"/>
                <w:sz w:val="24"/>
                <w:szCs w:val="24"/>
                <w:lang w:val="en-US"/>
              </w:rPr>
              <w:t>”</w:t>
            </w:r>
          </w:p>
        </w:tc>
        <w:tc>
          <w:tcPr>
            <w:tcW w:w="1276" w:type="dxa"/>
            <w:noWrap w:val="0"/>
            <w:vAlign w:val="top"/>
          </w:tcPr>
          <w:p w14:paraId="1E31EBB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9</w:t>
            </w:r>
          </w:p>
        </w:tc>
        <w:tc>
          <w:tcPr>
            <w:tcW w:w="1291" w:type="dxa"/>
            <w:noWrap w:val="0"/>
            <w:vAlign w:val="top"/>
          </w:tcPr>
          <w:p w14:paraId="08BE891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33.33%</w:t>
            </w:r>
          </w:p>
        </w:tc>
      </w:tr>
      <w:tr w14:paraId="03965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225F64E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1476" w:type="dxa"/>
            <w:noWrap w:val="0"/>
            <w:vAlign w:val="top"/>
          </w:tcPr>
          <w:p w14:paraId="264A4D6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Positioning</w:t>
            </w:r>
          </w:p>
        </w:tc>
        <w:tc>
          <w:tcPr>
            <w:tcW w:w="4458" w:type="dxa"/>
            <w:noWrap w:val="0"/>
            <w:vAlign w:val="top"/>
          </w:tcPr>
          <w:p w14:paraId="514DE98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val="en-US"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Combine the above: retain the original national standard text with the addition of </w:t>
            </w:r>
            <w:r>
              <w:rPr>
                <w:rFonts w:hint="default" w:ascii="Cambria" w:hAnsi="Cambria" w:cs="Cambria"/>
                <w:sz w:val="24"/>
                <w:szCs w:val="24"/>
                <w:lang w:val="en-US"/>
              </w:rPr>
              <w:t>“</w:t>
            </w:r>
            <w:r>
              <w:rPr>
                <w:rFonts w:hint="default" w:ascii="Cambria" w:hAnsi="Cambria" w:cs="Cambria"/>
                <w:sz w:val="24"/>
                <w:szCs w:val="24"/>
              </w:rPr>
              <w:t>holding positions (front-hold, back-hold, side-hold).</w:t>
            </w:r>
            <w:r>
              <w:rPr>
                <w:rFonts w:hint="default" w:ascii="Cambria" w:hAnsi="Cambria" w:cs="Cambria"/>
                <w:sz w:val="24"/>
                <w:szCs w:val="24"/>
                <w:lang w:val="en-US"/>
              </w:rPr>
              <w:t>”</w:t>
            </w:r>
          </w:p>
        </w:tc>
        <w:tc>
          <w:tcPr>
            <w:tcW w:w="1276" w:type="dxa"/>
            <w:noWrap w:val="0"/>
            <w:vAlign w:val="top"/>
          </w:tcPr>
          <w:p w14:paraId="6437E98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291" w:type="dxa"/>
            <w:noWrap w:val="0"/>
            <w:vAlign w:val="top"/>
          </w:tcPr>
          <w:p w14:paraId="6E0A3B6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r>
      <w:tr w14:paraId="22EF4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74089D5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1476" w:type="dxa"/>
            <w:noWrap w:val="0"/>
            <w:vAlign w:val="top"/>
          </w:tcPr>
          <w:p w14:paraId="248935A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Practitioner</w:t>
            </w:r>
          </w:p>
        </w:tc>
        <w:tc>
          <w:tcPr>
            <w:tcW w:w="4458" w:type="dxa"/>
            <w:noWrap w:val="0"/>
            <w:vAlign w:val="top"/>
          </w:tcPr>
          <w:p w14:paraId="395B9F3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The practitioner should be a physician or a person qualified to perform pediatric tuina techniques. Before operation, the practitioner should remove hand and wrist ornaments that may affect tuina, trim and file nails. Before starting, the practitioner should inquire whether the child has any relevant conditions that require caution in tuina. Disinfection: wash hands thoroughly and disinfect with a medical antiseptic. </w:t>
            </w:r>
          </w:p>
        </w:tc>
        <w:tc>
          <w:tcPr>
            <w:tcW w:w="1276" w:type="dxa"/>
            <w:noWrap w:val="0"/>
            <w:vAlign w:val="top"/>
          </w:tcPr>
          <w:p w14:paraId="7ED7135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291" w:type="dxa"/>
            <w:noWrap w:val="0"/>
            <w:vAlign w:val="top"/>
          </w:tcPr>
          <w:p w14:paraId="2AEA11F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r w14:paraId="19F7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5C2F068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1476" w:type="dxa"/>
            <w:noWrap w:val="0"/>
            <w:vAlign w:val="top"/>
          </w:tcPr>
          <w:p w14:paraId="212D015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Rotating Pushing</w:t>
            </w:r>
          </w:p>
        </w:tc>
        <w:tc>
          <w:tcPr>
            <w:tcW w:w="4458" w:type="dxa"/>
            <w:noWrap w:val="0"/>
            <w:vAlign w:val="top"/>
          </w:tcPr>
          <w:p w14:paraId="40E87A6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A technique in which the thumb's whorled surface is used to perform circular rotational pushing on the acupoint is called the rotational pushing method.        </w:t>
            </w:r>
          </w:p>
        </w:tc>
        <w:tc>
          <w:tcPr>
            <w:tcW w:w="1276" w:type="dxa"/>
            <w:noWrap w:val="0"/>
            <w:vAlign w:val="top"/>
          </w:tcPr>
          <w:p w14:paraId="7702C45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291" w:type="dxa"/>
            <w:noWrap w:val="0"/>
            <w:vAlign w:val="top"/>
          </w:tcPr>
          <w:p w14:paraId="21D3E17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r w14:paraId="6B20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529EA14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476" w:type="dxa"/>
            <w:noWrap w:val="0"/>
            <w:vAlign w:val="top"/>
          </w:tcPr>
          <w:p w14:paraId="2C5BAE6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Pressing Manipulation</w:t>
            </w:r>
          </w:p>
        </w:tc>
        <w:tc>
          <w:tcPr>
            <w:tcW w:w="4458" w:type="dxa"/>
            <w:noWrap w:val="0"/>
            <w:vAlign w:val="top"/>
          </w:tcPr>
          <w:p w14:paraId="266F570E">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Chars="0"/>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Pressing Manipulation: </w:t>
            </w:r>
          </w:p>
          <w:p w14:paraId="15BF1FD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a)</w:t>
            </w:r>
            <w:r>
              <w:rPr>
                <w:rFonts w:hint="default" w:ascii="Cambria" w:hAnsi="Cambria" w:cs="Cambria"/>
                <w:sz w:val="24"/>
                <w:szCs w:val="24"/>
                <w:lang w:val="en-US" w:eastAsia="en-US"/>
              </w:rPr>
              <w:t xml:space="preserve"> </w:t>
            </w:r>
            <w:r>
              <w:rPr>
                <w:rFonts w:hint="default" w:ascii="Cambria" w:hAnsi="Cambria" w:cs="Cambria"/>
                <w:sz w:val="24"/>
                <w:szCs w:val="24"/>
                <w:lang w:eastAsia="en-US"/>
              </w:rPr>
              <w:t xml:space="preserve">Operation: A technique in which fingers, palm root, or thenar eminence is used to press gradually downward on a specific acupoint or area is called pressing method, which can be divided into finger pressing and palm pressing. </w:t>
            </w:r>
          </w:p>
          <w:p w14:paraId="3CCA4B1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b)</w:t>
            </w:r>
            <w:r>
              <w:rPr>
                <w:rFonts w:hint="default" w:ascii="Cambria" w:hAnsi="Cambria" w:cs="Cambria"/>
                <w:sz w:val="24"/>
                <w:szCs w:val="24"/>
                <w:lang w:val="en-US" w:eastAsia="en-US"/>
              </w:rPr>
              <w:t xml:space="preserve"> </w:t>
            </w:r>
            <w:r>
              <w:rPr>
                <w:rFonts w:hint="default" w:ascii="Cambria" w:hAnsi="Cambria" w:cs="Cambria"/>
                <w:sz w:val="24"/>
                <w:szCs w:val="24"/>
                <w:lang w:eastAsia="en-US"/>
              </w:rPr>
              <w:t xml:space="preserve">Essentials: The practitioner uses fingers, palm root, or thenar to press vertically downward from light to heavy, hold for a moment, then gradually release from heavy to light. </w:t>
            </w:r>
          </w:p>
          <w:p w14:paraId="6AB39C0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c)</w:t>
            </w:r>
            <w:r>
              <w:rPr>
                <w:rFonts w:hint="default" w:ascii="Cambria" w:hAnsi="Cambria" w:cs="Cambria"/>
                <w:sz w:val="24"/>
                <w:szCs w:val="24"/>
                <w:lang w:val="en-US" w:eastAsia="en-US"/>
              </w:rPr>
              <w:t xml:space="preserve"> </w:t>
            </w:r>
            <w:r>
              <w:rPr>
                <w:rFonts w:hint="default" w:ascii="Cambria" w:hAnsi="Cambria" w:cs="Cambria"/>
                <w:sz w:val="24"/>
                <w:szCs w:val="24"/>
                <w:lang w:eastAsia="en-US"/>
              </w:rPr>
              <w:t xml:space="preserve">Requirements: Avoid rough or sudden force. This method is often combined with the kneading method. </w:t>
            </w:r>
          </w:p>
          <w:p w14:paraId="33FF545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Clinical application: Mostly used on point-like and surface-like acupoints, with effects of dredging meridians, activating collaterals, and relieving pain.                               </w:t>
            </w:r>
          </w:p>
        </w:tc>
        <w:tc>
          <w:tcPr>
            <w:tcW w:w="1276" w:type="dxa"/>
            <w:noWrap w:val="0"/>
            <w:vAlign w:val="top"/>
          </w:tcPr>
          <w:p w14:paraId="69E2EA7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c>
          <w:tcPr>
            <w:tcW w:w="1291" w:type="dxa"/>
            <w:noWrap w:val="0"/>
            <w:vAlign w:val="top"/>
          </w:tcPr>
          <w:p w14:paraId="08EEED9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44.44%</w:t>
            </w:r>
          </w:p>
        </w:tc>
      </w:tr>
      <w:tr w14:paraId="52657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0A7AFCB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w:t>
            </w:r>
          </w:p>
        </w:tc>
        <w:tc>
          <w:tcPr>
            <w:tcW w:w="1476" w:type="dxa"/>
            <w:noWrap w:val="0"/>
            <w:vAlign w:val="top"/>
          </w:tcPr>
          <w:p w14:paraId="3784F12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Operating Sequence</w:t>
            </w:r>
          </w:p>
        </w:tc>
        <w:tc>
          <w:tcPr>
            <w:tcW w:w="4458" w:type="dxa"/>
            <w:noWrap w:val="0"/>
            <w:vAlign w:val="top"/>
          </w:tcPr>
          <w:p w14:paraId="70313F2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Retain the original text of the national standard.                        </w:t>
            </w:r>
          </w:p>
        </w:tc>
        <w:tc>
          <w:tcPr>
            <w:tcW w:w="1276" w:type="dxa"/>
            <w:noWrap w:val="0"/>
            <w:vAlign w:val="top"/>
          </w:tcPr>
          <w:p w14:paraId="04950A5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291" w:type="dxa"/>
            <w:noWrap w:val="0"/>
            <w:vAlign w:val="top"/>
          </w:tcPr>
          <w:p w14:paraId="4B784C3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r w14:paraId="66F9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241B8C0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1476" w:type="dxa"/>
            <w:noWrap w:val="0"/>
            <w:vAlign w:val="top"/>
          </w:tcPr>
          <w:p w14:paraId="79DA0A2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Reinforcement and Reduction Methods</w:t>
            </w:r>
          </w:p>
        </w:tc>
        <w:tc>
          <w:tcPr>
            <w:tcW w:w="4458" w:type="dxa"/>
            <w:noWrap w:val="0"/>
            <w:vAlign w:val="top"/>
          </w:tcPr>
          <w:p w14:paraId="45CE5C4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General reinforcing-reducing principles in pediatric tuina: Direction-based: mainly used for hand and abdominal acupoints. Generally, centripetal straight pushing is reinforcing, centrifugal is reducing; counterclockwise circular rubbing on the abdomen is reinforcing, clockwise is reducing. Light-Heavy: refers to force applied. Light manipulation is reinforcing, heavy is reducing. Fast-Slow: refers to speed. Low frequency is reinforcing, high is reducing. Following-Opposing: following the meridian direction is reinforcing, opposing is reducing (also called with/against method). Even reinforcing-reducing: used when deficiency/excess is unclear or for health maintenance, combining fast/slow and with/against. </w:t>
            </w:r>
            <w:r>
              <w:rPr>
                <w:rFonts w:hint="default" w:ascii="Cambria" w:hAnsi="Cambria" w:cs="Cambria"/>
                <w:sz w:val="24"/>
                <w:szCs w:val="24"/>
                <w:lang w:eastAsia="en-US"/>
              </w:rPr>
              <w:t xml:space="preserve">  </w:t>
            </w:r>
          </w:p>
        </w:tc>
        <w:tc>
          <w:tcPr>
            <w:tcW w:w="1276" w:type="dxa"/>
            <w:noWrap w:val="0"/>
            <w:vAlign w:val="top"/>
          </w:tcPr>
          <w:p w14:paraId="39BA900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c>
          <w:tcPr>
            <w:tcW w:w="1291" w:type="dxa"/>
            <w:noWrap w:val="0"/>
            <w:vAlign w:val="top"/>
          </w:tcPr>
          <w:p w14:paraId="5C6FF8D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44.44%</w:t>
            </w:r>
          </w:p>
        </w:tc>
      </w:tr>
      <w:tr w14:paraId="5C565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060CD81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9</w:t>
            </w:r>
          </w:p>
        </w:tc>
        <w:tc>
          <w:tcPr>
            <w:tcW w:w="1476" w:type="dxa"/>
            <w:noWrap w:val="0"/>
            <w:vAlign w:val="top"/>
          </w:tcPr>
          <w:p w14:paraId="2D38434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Pediatric Tuina Treatment Duration</w:t>
            </w:r>
          </w:p>
        </w:tc>
        <w:tc>
          <w:tcPr>
            <w:tcW w:w="4458" w:type="dxa"/>
            <w:noWrap w:val="0"/>
            <w:vAlign w:val="top"/>
          </w:tcPr>
          <w:p w14:paraId="6408F6F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Retain the original text of the national standard. </w:t>
            </w:r>
          </w:p>
        </w:tc>
        <w:tc>
          <w:tcPr>
            <w:tcW w:w="1276" w:type="dxa"/>
            <w:noWrap w:val="0"/>
            <w:vAlign w:val="top"/>
          </w:tcPr>
          <w:p w14:paraId="3B2FE00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w:t>
            </w:r>
          </w:p>
        </w:tc>
        <w:tc>
          <w:tcPr>
            <w:tcW w:w="1291" w:type="dxa"/>
            <w:noWrap w:val="0"/>
            <w:vAlign w:val="top"/>
          </w:tcPr>
          <w:p w14:paraId="36763F1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25.93%</w:t>
            </w:r>
          </w:p>
        </w:tc>
      </w:tr>
      <w:tr w14:paraId="72C0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4A1F8F4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476" w:type="dxa"/>
            <w:noWrap w:val="0"/>
            <w:vAlign w:val="top"/>
          </w:tcPr>
          <w:p w14:paraId="086F559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Treatment Intervals and Courses</w:t>
            </w:r>
          </w:p>
        </w:tc>
        <w:tc>
          <w:tcPr>
            <w:tcW w:w="4458" w:type="dxa"/>
            <w:noWrap w:val="0"/>
            <w:vAlign w:val="top"/>
          </w:tcPr>
          <w:p w14:paraId="69D9D50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Treatment frequency: generally once daily or every other day; for some conditions, if permitted, twice daily; for health maintenance and stable phases, 1–2 times per week. </w:t>
            </w:r>
          </w:p>
          <w:p w14:paraId="7D6A831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rPr>
              <w:t xml:space="preserve"> contents</w:t>
            </w:r>
            <w:r>
              <w:rPr>
                <w:rFonts w:hint="default" w:ascii="Cambria" w:hAnsi="Cambria" w:cs="Cambria"/>
                <w:sz w:val="24"/>
                <w:szCs w:val="24"/>
                <w:lang w:eastAsia="en-US"/>
              </w:rPr>
              <w:t>.</w:t>
            </w:r>
          </w:p>
        </w:tc>
        <w:tc>
          <w:tcPr>
            <w:tcW w:w="1276" w:type="dxa"/>
            <w:noWrap w:val="0"/>
            <w:vAlign w:val="top"/>
          </w:tcPr>
          <w:p w14:paraId="20E7B2B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291" w:type="dxa"/>
            <w:noWrap w:val="0"/>
            <w:vAlign w:val="top"/>
          </w:tcPr>
          <w:p w14:paraId="3BD8C76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r>
      <w:tr w14:paraId="3CC09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78FAF27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476" w:type="dxa"/>
            <w:noWrap w:val="0"/>
            <w:vAlign w:val="top"/>
          </w:tcPr>
          <w:p w14:paraId="4F26764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Commonly Used Media in Pediatric Tuina: A.1 Oils</w:t>
            </w:r>
          </w:p>
        </w:tc>
        <w:tc>
          <w:tcPr>
            <w:tcW w:w="4458" w:type="dxa"/>
            <w:noWrap w:val="0"/>
            <w:vAlign w:val="top"/>
          </w:tcPr>
          <w:p w14:paraId="68DF628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E. Combine the above content</w:t>
            </w:r>
            <w:r>
              <w:rPr>
                <w:rFonts w:hint="default" w:ascii="Cambria" w:hAnsi="Cambria" w:cs="Cambria"/>
                <w:sz w:val="24"/>
                <w:szCs w:val="24"/>
                <w:lang w:val="en-US" w:eastAsia="en-US"/>
              </w:rPr>
              <w:t>s</w:t>
            </w:r>
            <w:r>
              <w:rPr>
                <w:rFonts w:hint="default" w:ascii="Cambria" w:hAnsi="Cambria" w:cs="Cambria"/>
                <w:sz w:val="24"/>
                <w:szCs w:val="24"/>
                <w:lang w:eastAsia="en-US"/>
              </w:rPr>
              <w:t>.</w:t>
            </w:r>
          </w:p>
        </w:tc>
        <w:tc>
          <w:tcPr>
            <w:tcW w:w="1276" w:type="dxa"/>
            <w:noWrap w:val="0"/>
            <w:vAlign w:val="top"/>
          </w:tcPr>
          <w:p w14:paraId="03040B8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1291" w:type="dxa"/>
            <w:noWrap w:val="0"/>
            <w:vAlign w:val="top"/>
          </w:tcPr>
          <w:p w14:paraId="2EF0681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r>
      <w:tr w14:paraId="60EA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5" w:type="dxa"/>
            <w:noWrap w:val="0"/>
            <w:vAlign w:val="top"/>
          </w:tcPr>
          <w:p w14:paraId="3AF3B3F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c>
          <w:tcPr>
            <w:tcW w:w="1476" w:type="dxa"/>
            <w:noWrap w:val="0"/>
            <w:vAlign w:val="top"/>
          </w:tcPr>
          <w:p w14:paraId="375A224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rPr>
              <w:t>Precautions for Safety Assurance in Pediatric Tuina</w:t>
            </w:r>
          </w:p>
        </w:tc>
        <w:tc>
          <w:tcPr>
            <w:tcW w:w="4458" w:type="dxa"/>
            <w:noWrap w:val="0"/>
            <w:vAlign w:val="top"/>
          </w:tcPr>
          <w:p w14:paraId="5312E80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D. Combine the above content</w:t>
            </w:r>
            <w:r>
              <w:rPr>
                <w:rFonts w:hint="default" w:ascii="Cambria" w:hAnsi="Cambria" w:cs="Cambria"/>
                <w:sz w:val="24"/>
                <w:szCs w:val="24"/>
                <w:lang w:val="en-US" w:eastAsia="en-US"/>
              </w:rPr>
              <w:t>s</w:t>
            </w:r>
            <w:r>
              <w:rPr>
                <w:rFonts w:hint="default" w:ascii="Cambria" w:hAnsi="Cambria" w:cs="Cambria"/>
                <w:sz w:val="24"/>
                <w:szCs w:val="24"/>
                <w:lang w:eastAsia="en-US"/>
              </w:rPr>
              <w:t>.</w:t>
            </w:r>
          </w:p>
        </w:tc>
        <w:tc>
          <w:tcPr>
            <w:tcW w:w="1276" w:type="dxa"/>
            <w:noWrap w:val="0"/>
            <w:vAlign w:val="top"/>
          </w:tcPr>
          <w:p w14:paraId="309E890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291" w:type="dxa"/>
            <w:noWrap w:val="0"/>
            <w:vAlign w:val="top"/>
          </w:tcPr>
          <w:p w14:paraId="51ECA3C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bl>
    <w:p w14:paraId="3712892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original content of the national standard, specific option results and expert comments for the controversial items are as follows.</w:t>
      </w:r>
    </w:p>
    <w:p w14:paraId="477C39C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 (1) Definition of </w:t>
      </w:r>
      <w:r>
        <w:rPr>
          <w:rFonts w:hint="default" w:ascii="Cambria" w:hAnsi="Cambria" w:cs="Cambria"/>
          <w:sz w:val="24"/>
          <w:szCs w:val="24"/>
          <w:lang w:val="en-US"/>
        </w:rPr>
        <w:t>“</w:t>
      </w:r>
      <w:r>
        <w:rPr>
          <w:rFonts w:hint="default" w:ascii="Cambria" w:hAnsi="Cambria" w:cs="Cambria"/>
          <w:sz w:val="24"/>
          <w:szCs w:val="24"/>
        </w:rPr>
        <w:t>Pediatric Tuina</w:t>
      </w:r>
      <w:r>
        <w:rPr>
          <w:rFonts w:hint="default" w:ascii="Cambria" w:hAnsi="Cambria" w:cs="Cambria"/>
          <w:sz w:val="24"/>
          <w:szCs w:val="24"/>
          <w:lang w:val="en-US"/>
        </w:rPr>
        <w:t>”</w:t>
      </w:r>
    </w:p>
    <w:p w14:paraId="52C2593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color w:val="000000"/>
          <w:kern w:val="0"/>
          <w:sz w:val="21"/>
          <w:szCs w:val="21"/>
        </w:rPr>
      </w:pPr>
      <w:r>
        <w:rPr>
          <w:rFonts w:hint="default" w:ascii="Cambria" w:hAnsi="Cambria" w:cs="Cambria"/>
          <w:sz w:val="24"/>
          <w:szCs w:val="24"/>
        </w:rPr>
        <w:t>Original wording of the national standard:</w:t>
      </w:r>
      <w:r>
        <w:rPr>
          <w:rFonts w:hint="default" w:ascii="Cambria" w:hAnsi="Cambria" w:cs="Cambria"/>
          <w:sz w:val="24"/>
          <w:szCs w:val="24"/>
          <w:lang w:val="en-US"/>
        </w:rPr>
        <w:t xml:space="preserve"> </w:t>
      </w:r>
      <w:r>
        <w:rPr>
          <w:rFonts w:hint="default" w:ascii="Cambria" w:hAnsi="Cambria" w:cs="Cambria"/>
          <w:sz w:val="24"/>
          <w:szCs w:val="24"/>
        </w:rPr>
        <w:t>A non‑pharmacological therapeutic method that uses various tuina manipulations on the meridians and acupoints on the child’s body surface to regulate yin‑yang and visceral functions, strengthen the body’s resistance and eliminate pathogenic factors, dredge the meridians, and harmonize qi and blood, thereby achieving therapeutic and preventive effects.</w:t>
      </w:r>
    </w:p>
    <w:p w14:paraId="1D0863E6">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rPr>
        <w:t>Table 43 Results of options for the Definition of “Pediatric Tuina”</w:t>
      </w:r>
    </w:p>
    <w:tbl>
      <w:tblPr>
        <w:tblStyle w:val="81"/>
        <w:tblW w:w="92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7"/>
        <w:gridCol w:w="1280"/>
        <w:gridCol w:w="1326"/>
      </w:tblGrid>
      <w:tr w14:paraId="3232D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7" w:type="dxa"/>
            <w:noWrap w:val="0"/>
            <w:vAlign w:val="top"/>
          </w:tcPr>
          <w:p w14:paraId="6CB28DA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80" w:type="dxa"/>
            <w:noWrap w:val="0"/>
            <w:vAlign w:val="top"/>
          </w:tcPr>
          <w:p w14:paraId="4AA9B30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326" w:type="dxa"/>
            <w:noWrap w:val="0"/>
            <w:vAlign w:val="top"/>
          </w:tcPr>
          <w:p w14:paraId="0E1073C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50C86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7" w:type="dxa"/>
            <w:noWrap w:val="0"/>
            <w:vAlign w:val="top"/>
          </w:tcPr>
          <w:p w14:paraId="61A40D4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A TCM technique in which, after four diagnostic examinations and syndrome differentiation, the physician or </w:t>
            </w:r>
            <w:r>
              <w:rPr>
                <w:rFonts w:hint="default" w:ascii="Cambria" w:hAnsi="Cambria" w:cs="Cambria"/>
                <w:sz w:val="24"/>
                <w:szCs w:val="24"/>
                <w:lang w:val="en-US"/>
              </w:rPr>
              <w:t>practitioner</w:t>
            </w:r>
            <w:r>
              <w:rPr>
                <w:rFonts w:hint="default" w:ascii="Cambria" w:hAnsi="Cambria" w:cs="Cambria"/>
                <w:sz w:val="24"/>
                <w:szCs w:val="24"/>
              </w:rPr>
              <w:t xml:space="preserve">, following a tuina prescription, uses hand manipulation on certain parts and acupoints of the child's limbs, with different manipulations according to the condition, to achieve effects such as dredging meridians, harmonizing qi and blood, balancing yin and yang, and enhancing the body's natural disease resistance. </w:t>
            </w:r>
          </w:p>
        </w:tc>
        <w:tc>
          <w:tcPr>
            <w:tcW w:w="1280" w:type="dxa"/>
            <w:noWrap w:val="0"/>
            <w:vAlign w:val="top"/>
          </w:tcPr>
          <w:p w14:paraId="06466B2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326" w:type="dxa"/>
            <w:noWrap w:val="0"/>
            <w:vAlign w:val="top"/>
          </w:tcPr>
          <w:p w14:paraId="71DFE08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r>
      <w:tr w14:paraId="7264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7" w:type="dxa"/>
            <w:noWrap w:val="0"/>
            <w:vAlign w:val="top"/>
          </w:tcPr>
          <w:p w14:paraId="7EEBB6F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1280" w:type="dxa"/>
            <w:noWrap w:val="0"/>
            <w:vAlign w:val="top"/>
          </w:tcPr>
          <w:p w14:paraId="38B7F03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326" w:type="dxa"/>
            <w:noWrap w:val="0"/>
            <w:vAlign w:val="top"/>
          </w:tcPr>
          <w:p w14:paraId="3CE28F5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0EA6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7" w:type="dxa"/>
            <w:noWrap w:val="0"/>
            <w:vAlign w:val="top"/>
          </w:tcPr>
          <w:p w14:paraId="2EF1330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lang w:val="en-US" w:eastAsia="en-US"/>
              </w:rPr>
              <w:t xml:space="preserve"> </w:t>
            </w:r>
            <w:r>
              <w:rPr>
                <w:rFonts w:hint="default" w:ascii="Cambria" w:hAnsi="Cambria" w:cs="Cambria"/>
                <w:sz w:val="24"/>
                <w:szCs w:val="24"/>
              </w:rPr>
              <w:t>contents</w:t>
            </w:r>
            <w:r>
              <w:rPr>
                <w:rFonts w:hint="default" w:ascii="Cambria" w:hAnsi="Cambria" w:cs="Cambria"/>
                <w:sz w:val="24"/>
                <w:szCs w:val="24"/>
                <w:lang w:eastAsia="en-US"/>
              </w:rPr>
              <w:t>.</w:t>
            </w:r>
          </w:p>
        </w:tc>
        <w:tc>
          <w:tcPr>
            <w:tcW w:w="1280" w:type="dxa"/>
            <w:noWrap w:val="0"/>
            <w:vAlign w:val="top"/>
          </w:tcPr>
          <w:p w14:paraId="02030A0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326" w:type="dxa"/>
            <w:noWrap w:val="0"/>
            <w:vAlign w:val="top"/>
          </w:tcPr>
          <w:p w14:paraId="0118DA3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r>
    </w:tbl>
    <w:p w14:paraId="4407E9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Written expert comments:</w:t>
      </w:r>
    </w:p>
    <w:p w14:paraId="0A33FC8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Pediatric tuina is an external therapy of Chinese medicine.</w:t>
      </w:r>
    </w:p>
    <w:p w14:paraId="3D05FFD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Pediatric tuina is an external therapy based on the guidance of TCM fundamental theories and clinical practice, taking into account the physiological and pathological characteristics of children, applying manipulations to specific acupoints or areas on the child’s body surface to prevent and treat diseases and promote health.</w:t>
      </w:r>
    </w:p>
    <w:p w14:paraId="1C070E0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③ A non‑pharmacological therapeutic method in which, after applying the four diagnostic examinations and syndrome differentiation for pediatric diseases, the physician or </w:t>
      </w:r>
      <w:r>
        <w:rPr>
          <w:rFonts w:hint="default" w:ascii="Cambria" w:hAnsi="Cambria" w:cs="Cambria"/>
          <w:sz w:val="24"/>
          <w:szCs w:val="24"/>
          <w:lang w:val="en-US"/>
        </w:rPr>
        <w:t>practitioner</w:t>
      </w:r>
      <w:r>
        <w:rPr>
          <w:rFonts w:hint="default" w:ascii="Cambria" w:hAnsi="Cambria" w:cs="Cambria"/>
          <w:sz w:val="24"/>
          <w:szCs w:val="24"/>
        </w:rPr>
        <w:t>, following a tuina prescription, applies various tuina manipulations on the meridians and acupoints on the child’s body surface to regulate yin‑yang and visceral functions, strengthen the body’s resistance and eliminate pathogenic factors, dredge the meridians, and harmonize qi and blood, thereby achieving therapeutic and preventive effects.</w:t>
      </w:r>
    </w:p>
    <w:p w14:paraId="54BB996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④ It is suggested to change “certain parts and acupoints of the child’s limbs” to “certain specific parts and acupoints of the child’s limbs.”</w:t>
      </w:r>
    </w:p>
    <w:p w14:paraId="04D831B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⑤ Option A, by integrating the four‑diagnosis syndrome differentiation approach, emphasizes the complete process of “syndrome differentiation → prescription formulation → manipulation execution,” which better aligns with international clinical operation descriptions, and its language is standardized and operable.</w:t>
      </w:r>
    </w:p>
    <w:p w14:paraId="1F31B2C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⑥ A TCM technique in which the physician, after applying the four diagnostic examinations (inspection, auscultation/olfaction, inquiry, and palpation) to differentiate pediatric diseases, formulates a tuina treatment plan. The </w:t>
      </w:r>
      <w:r>
        <w:rPr>
          <w:rFonts w:hint="default" w:ascii="Cambria" w:hAnsi="Cambria" w:cs="Cambria"/>
          <w:sz w:val="24"/>
          <w:szCs w:val="24"/>
          <w:lang w:val="en-US"/>
        </w:rPr>
        <w:t>practitioner</w:t>
      </w:r>
      <w:r>
        <w:rPr>
          <w:rFonts w:hint="default" w:ascii="Cambria" w:hAnsi="Cambria" w:cs="Cambria"/>
          <w:sz w:val="24"/>
          <w:szCs w:val="24"/>
        </w:rPr>
        <w:t xml:space="preserve"> then follows the tuina prescription and applies different manipulations on specific parts and acupoints of the child’s body surface, aiming to achieve effects such as dredging meridians, harmonizing qi and blood, balancing yin and yang, and enhancing the body’s own disease resistance.</w:t>
      </w:r>
    </w:p>
    <w:p w14:paraId="01FA380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 (2) Environment</w:t>
      </w:r>
    </w:p>
    <w:p w14:paraId="7429FC4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color w:val="000000"/>
          <w:kern w:val="0"/>
          <w:sz w:val="21"/>
          <w:szCs w:val="21"/>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rPr>
        <w:t xml:space="preserve"> </w:t>
      </w:r>
      <w:r>
        <w:rPr>
          <w:rFonts w:hint="default" w:ascii="Cambria" w:hAnsi="Cambria" w:cs="Cambria"/>
          <w:sz w:val="24"/>
          <w:szCs w:val="24"/>
        </w:rPr>
        <w:t>The environment should be clean and hygienic; the room should be quiet, at a suitable temperature, and protected from drafts and cold.</w:t>
      </w:r>
    </w:p>
    <w:p w14:paraId="08CF7E7A">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44 Results of options for Environment</w:t>
      </w:r>
    </w:p>
    <w:tbl>
      <w:tblPr>
        <w:tblStyle w:val="81"/>
        <w:tblW w:w="91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5"/>
        <w:gridCol w:w="1279"/>
        <w:gridCol w:w="1323"/>
      </w:tblGrid>
      <w:tr w14:paraId="39E7F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5" w:type="dxa"/>
            <w:noWrap w:val="0"/>
            <w:vAlign w:val="top"/>
          </w:tcPr>
          <w:p w14:paraId="4FF25BA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79" w:type="dxa"/>
            <w:noWrap w:val="0"/>
            <w:vAlign w:val="top"/>
          </w:tcPr>
          <w:p w14:paraId="69D5867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323" w:type="dxa"/>
            <w:noWrap w:val="0"/>
            <w:vAlign w:val="top"/>
          </w:tcPr>
          <w:p w14:paraId="64E8F9B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211C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5" w:type="dxa"/>
            <w:noWrap w:val="0"/>
            <w:vAlign w:val="top"/>
          </w:tcPr>
          <w:p w14:paraId="33CB8D9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The environment is clean and hygienic, regularly disinfected, quiet, draft-free, with protection from strong light, suitable temperature, and maintained air circulation. </w:t>
            </w:r>
          </w:p>
        </w:tc>
        <w:tc>
          <w:tcPr>
            <w:tcW w:w="1279" w:type="dxa"/>
            <w:noWrap w:val="0"/>
            <w:vAlign w:val="top"/>
          </w:tcPr>
          <w:p w14:paraId="000DF4B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1323" w:type="dxa"/>
            <w:noWrap w:val="0"/>
            <w:vAlign w:val="top"/>
          </w:tcPr>
          <w:p w14:paraId="7CA89F0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14.81%</w:t>
            </w:r>
          </w:p>
        </w:tc>
      </w:tr>
      <w:tr w14:paraId="6ECD2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5" w:type="dxa"/>
            <w:noWrap w:val="0"/>
            <w:vAlign w:val="top"/>
          </w:tcPr>
          <w:p w14:paraId="5715197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Appendix 1. </w:t>
            </w:r>
            <w:r>
              <w:rPr>
                <w:rFonts w:hint="default" w:ascii="Cambria" w:hAnsi="Cambria" w:cs="Cambria"/>
                <w:sz w:val="24"/>
                <w:szCs w:val="24"/>
              </w:rPr>
              <w:t>Disinfection requirements during tuina treatment: Disinfection during tuina treatment should follow local infection control guidelines and consider the following principles: hand hygiene of the practitioner – hands and fingers should be cleaned and disinfected before and after treatment; treatment site hygiene – acupoints, meridians, and surrounding areas should be clean and intact before treatment; material disinfection – materials in direct contact with the patient, including but not limited to sheets and towels, should be disinfected or single-use; non-direct contact materials, including but not limited to mattresses and pillows, should be hygienically maintained after each use; treatment area disinfection – treatment rooms, equipment, and devices should be kept clean and tidy.</w:t>
            </w:r>
            <w:r>
              <w:rPr>
                <w:rFonts w:hint="default" w:ascii="Cambria" w:hAnsi="Cambria" w:cs="Cambria"/>
                <w:sz w:val="24"/>
                <w:szCs w:val="24"/>
                <w:lang w:eastAsia="en-US"/>
              </w:rPr>
              <w:t xml:space="preserve"> </w:t>
            </w:r>
          </w:p>
        </w:tc>
        <w:tc>
          <w:tcPr>
            <w:tcW w:w="1279" w:type="dxa"/>
            <w:noWrap w:val="0"/>
            <w:vAlign w:val="top"/>
          </w:tcPr>
          <w:p w14:paraId="6F1256F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323" w:type="dxa"/>
            <w:noWrap w:val="0"/>
            <w:vAlign w:val="top"/>
          </w:tcPr>
          <w:p w14:paraId="191A289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0430C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5" w:type="dxa"/>
            <w:noWrap w:val="0"/>
            <w:vAlign w:val="top"/>
          </w:tcPr>
          <w:p w14:paraId="7C20BF7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The environment is clean and hygienic, regularly disinfected, quiet, draft-free, protected from strong light, with suitable temperature and maintained air circulation.</w:t>
            </w:r>
          </w:p>
        </w:tc>
        <w:tc>
          <w:tcPr>
            <w:tcW w:w="1279" w:type="dxa"/>
            <w:noWrap w:val="0"/>
            <w:vAlign w:val="top"/>
          </w:tcPr>
          <w:p w14:paraId="430C8AA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323" w:type="dxa"/>
            <w:noWrap w:val="0"/>
            <w:vAlign w:val="top"/>
          </w:tcPr>
          <w:p w14:paraId="26E7CDD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77BF7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5" w:type="dxa"/>
            <w:noWrap w:val="0"/>
            <w:vAlign w:val="top"/>
          </w:tcPr>
          <w:p w14:paraId="43B46B7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Retain the original text of the national standard.  </w:t>
            </w:r>
          </w:p>
        </w:tc>
        <w:tc>
          <w:tcPr>
            <w:tcW w:w="1279" w:type="dxa"/>
            <w:noWrap w:val="0"/>
            <w:vAlign w:val="top"/>
          </w:tcPr>
          <w:p w14:paraId="660776A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1323" w:type="dxa"/>
            <w:noWrap w:val="0"/>
            <w:vAlign w:val="top"/>
          </w:tcPr>
          <w:p w14:paraId="7C803CA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w:t>
            </w:r>
          </w:p>
        </w:tc>
      </w:tr>
      <w:tr w14:paraId="30A1F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5" w:type="dxa"/>
            <w:noWrap w:val="0"/>
            <w:vAlign w:val="top"/>
          </w:tcPr>
          <w:p w14:paraId="4397033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Combine the above: retain the original national standard text with the addition of </w:t>
            </w:r>
            <w:r>
              <w:rPr>
                <w:rFonts w:hint="default" w:ascii="Cambria" w:hAnsi="Cambria" w:cs="Cambria"/>
                <w:sz w:val="24"/>
                <w:szCs w:val="24"/>
                <w:lang w:val="en-US"/>
              </w:rPr>
              <w:t>“</w:t>
            </w:r>
            <w:r>
              <w:rPr>
                <w:rFonts w:hint="default" w:ascii="Cambria" w:hAnsi="Cambria" w:cs="Cambria"/>
                <w:sz w:val="24"/>
                <w:szCs w:val="24"/>
              </w:rPr>
              <w:t>regular disinfection.</w:t>
            </w:r>
            <w:r>
              <w:rPr>
                <w:rFonts w:hint="default" w:ascii="Cambria" w:hAnsi="Cambria" w:cs="Cambria"/>
                <w:sz w:val="24"/>
                <w:szCs w:val="24"/>
                <w:lang w:val="en-US"/>
              </w:rPr>
              <w:t>”</w:t>
            </w:r>
          </w:p>
        </w:tc>
        <w:tc>
          <w:tcPr>
            <w:tcW w:w="1279" w:type="dxa"/>
            <w:noWrap w:val="0"/>
            <w:vAlign w:val="top"/>
          </w:tcPr>
          <w:p w14:paraId="0E765CA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9</w:t>
            </w:r>
          </w:p>
        </w:tc>
        <w:tc>
          <w:tcPr>
            <w:tcW w:w="1323" w:type="dxa"/>
            <w:noWrap w:val="0"/>
            <w:vAlign w:val="top"/>
          </w:tcPr>
          <w:p w14:paraId="3D82BD5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33.33%</w:t>
            </w:r>
          </w:p>
        </w:tc>
      </w:tr>
    </w:tbl>
    <w:p w14:paraId="69F6B190">
      <w:pPr>
        <w:keepNext w:val="0"/>
        <w:keepLines w:val="0"/>
        <w:pageBreakBefore w:val="0"/>
        <w:widowControl/>
        <w:kinsoku/>
        <w:wordWrap/>
        <w:overflowPunct/>
        <w:topLinePunct w:val="0"/>
        <w:autoSpaceDE/>
        <w:autoSpaceDN/>
        <w:bidi w:val="0"/>
        <w:adjustRightInd/>
        <w:snapToGrid/>
        <w:spacing w:after="0" w:line="276" w:lineRule="auto"/>
        <w:ind w:firstLine="482"/>
        <w:textAlignment w:val="auto"/>
        <w:rPr>
          <w:rFonts w:hint="default" w:ascii="Cambria" w:hAnsi="Cambria" w:cs="Cambria"/>
          <w:sz w:val="24"/>
          <w:szCs w:val="24"/>
        </w:rPr>
      </w:pPr>
      <w:r>
        <w:rPr>
          <w:rFonts w:hint="default" w:ascii="Cambria" w:hAnsi="Cambria" w:cs="Cambria"/>
          <w:sz w:val="24"/>
          <w:szCs w:val="24"/>
        </w:rPr>
        <w:t>Written expert comments:</w:t>
      </w:r>
    </w:p>
    <w:p w14:paraId="367E69B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① Combine the above: retain the </w:t>
      </w:r>
      <w:r>
        <w:rPr>
          <w:rFonts w:hint="default" w:ascii="Cambria" w:hAnsi="Cambria" w:cs="Cambria"/>
          <w:sz w:val="24"/>
          <w:szCs w:val="24"/>
          <w:lang w:eastAsia="zh-CN"/>
        </w:rPr>
        <w:t>Original wording of the national standard</w:t>
      </w:r>
      <w:r>
        <w:rPr>
          <w:rFonts w:hint="default" w:ascii="Cambria" w:hAnsi="Cambria" w:cs="Cambria"/>
          <w:sz w:val="24"/>
          <w:szCs w:val="24"/>
        </w:rPr>
        <w:t xml:space="preserve"> with the addition of “regular disinfection,” as well as disinfection of the practitioner’s hands and treatment sites, protection from strong light, and maintenance of air circulation.</w:t>
      </w:r>
    </w:p>
    <w:p w14:paraId="0D18C5E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The room should be quiet, with soft lighting, air circulation, a suitable temperature, and a clean, hygienic environment with regular disinfection; disposable linens should be used during treatment.</w:t>
      </w:r>
    </w:p>
    <w:p w14:paraId="411AB08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(3)</w:t>
      </w:r>
      <w:r>
        <w:rPr>
          <w:rFonts w:hint="default" w:ascii="Cambria" w:hAnsi="Cambria" w:cs="Cambria"/>
          <w:sz w:val="24"/>
          <w:szCs w:val="24"/>
          <w:lang w:val="en-US" w:eastAsia="zh-CN"/>
        </w:rPr>
        <w:t xml:space="preserve"> </w:t>
      </w:r>
      <w:r>
        <w:rPr>
          <w:rFonts w:hint="default" w:ascii="Cambria" w:hAnsi="Cambria" w:cs="Cambria"/>
          <w:sz w:val="24"/>
          <w:szCs w:val="24"/>
        </w:rPr>
        <w:t>Positioning</w:t>
      </w:r>
    </w:p>
    <w:p w14:paraId="1DDF470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color w:val="000000"/>
          <w:kern w:val="0"/>
          <w:sz w:val="21"/>
          <w:szCs w:val="21"/>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eastAsia="zh-CN"/>
        </w:rPr>
        <w:t xml:space="preserve"> </w:t>
      </w:r>
      <w:r>
        <w:rPr>
          <w:rFonts w:hint="default" w:ascii="Cambria" w:hAnsi="Cambria" w:cs="Cambria"/>
          <w:sz w:val="24"/>
          <w:szCs w:val="24"/>
        </w:rPr>
        <w:t>Choose a treatment position that is comfortable for the child, allows exposure of the operative area, and facilitates the physician’s manipulation, such as sitting, supine, side‑lying, or prone.</w:t>
      </w:r>
      <w:r>
        <w:rPr>
          <w:rFonts w:hint="default" w:ascii="Cambria" w:hAnsi="Cambria" w:eastAsia="仿宋" w:cs="Cambria"/>
          <w:color w:val="000000"/>
          <w:kern w:val="0"/>
          <w:sz w:val="21"/>
          <w:szCs w:val="21"/>
        </w:rPr>
        <w:t xml:space="preserve"> </w:t>
      </w:r>
    </w:p>
    <w:p w14:paraId="47CA09BB">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45 Results of options for Positioning</w:t>
      </w:r>
    </w:p>
    <w:tbl>
      <w:tblPr>
        <w:tblStyle w:val="81"/>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06"/>
        <w:gridCol w:w="1318"/>
        <w:gridCol w:w="1344"/>
      </w:tblGrid>
      <w:tr w14:paraId="79AB5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506" w:type="dxa"/>
            <w:noWrap w:val="0"/>
            <w:vAlign w:val="top"/>
          </w:tcPr>
          <w:p w14:paraId="1D8F667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318" w:type="dxa"/>
            <w:noWrap w:val="0"/>
            <w:vAlign w:val="top"/>
          </w:tcPr>
          <w:p w14:paraId="2860B4F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344" w:type="dxa"/>
            <w:noWrap w:val="0"/>
            <w:vAlign w:val="top"/>
          </w:tcPr>
          <w:p w14:paraId="4D10F7D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0902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06" w:type="dxa"/>
            <w:noWrap w:val="0"/>
            <w:vAlign w:val="top"/>
          </w:tcPr>
          <w:p w14:paraId="3CBB715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Positioning: Supine position is recommended for tuina of the face, abdomen, and limbs; prone position for back, lumbar, pelvic, and limb treatments; side-lying position for tuina. Sitting posture: forward-leaning sitting for neck and shoulder treatments; rear-sitting for shoulder and upper limb treatments.</w:t>
            </w:r>
            <w:r>
              <w:rPr>
                <w:rFonts w:hint="default" w:ascii="Cambria" w:hAnsi="Cambria" w:cs="Cambria"/>
                <w:sz w:val="24"/>
                <w:szCs w:val="24"/>
                <w:lang w:eastAsia="en-US"/>
              </w:rPr>
              <w:t xml:space="preserve"> </w:t>
            </w:r>
          </w:p>
        </w:tc>
        <w:tc>
          <w:tcPr>
            <w:tcW w:w="1318" w:type="dxa"/>
            <w:noWrap w:val="0"/>
            <w:vAlign w:val="top"/>
          </w:tcPr>
          <w:p w14:paraId="30C9269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1344" w:type="dxa"/>
            <w:noWrap w:val="0"/>
            <w:vAlign w:val="top"/>
          </w:tcPr>
          <w:p w14:paraId="229FB44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11.11%</w:t>
            </w:r>
          </w:p>
        </w:tc>
      </w:tr>
      <w:tr w14:paraId="760A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06" w:type="dxa"/>
            <w:noWrap w:val="0"/>
            <w:vAlign w:val="top"/>
          </w:tcPr>
          <w:p w14:paraId="7413E49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Positioning: According to treatment needs, sitting (side-sitting, upright sitting), lying (supine, prone, semi-recumbent), and holding positions (front-hold, back-hold, side-hold) can be used.</w:t>
            </w:r>
          </w:p>
        </w:tc>
        <w:tc>
          <w:tcPr>
            <w:tcW w:w="1318" w:type="dxa"/>
            <w:noWrap w:val="0"/>
            <w:vAlign w:val="top"/>
          </w:tcPr>
          <w:p w14:paraId="428E21A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w:t>
            </w:r>
          </w:p>
        </w:tc>
        <w:tc>
          <w:tcPr>
            <w:tcW w:w="1344" w:type="dxa"/>
            <w:noWrap w:val="0"/>
            <w:vAlign w:val="top"/>
          </w:tcPr>
          <w:p w14:paraId="06C5C51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7.41%</w:t>
            </w:r>
          </w:p>
        </w:tc>
      </w:tr>
      <w:tr w14:paraId="7D38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06" w:type="dxa"/>
            <w:noWrap w:val="0"/>
            <w:vAlign w:val="top"/>
          </w:tcPr>
          <w:p w14:paraId="13D398D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Children: A comfortable, relaxed treatment position that exposes the operating area and facilitates cooperation should be chosen according to the child's age, such as sitting, supine, side-lying, prone, or sitting-hold.</w:t>
            </w:r>
          </w:p>
        </w:tc>
        <w:tc>
          <w:tcPr>
            <w:tcW w:w="1318" w:type="dxa"/>
            <w:noWrap w:val="0"/>
            <w:vAlign w:val="top"/>
          </w:tcPr>
          <w:p w14:paraId="2210ED0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1344" w:type="dxa"/>
            <w:noWrap w:val="0"/>
            <w:vAlign w:val="top"/>
          </w:tcPr>
          <w:p w14:paraId="114C872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r>
      <w:tr w14:paraId="647B4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06" w:type="dxa"/>
            <w:noWrap w:val="0"/>
            <w:vAlign w:val="top"/>
          </w:tcPr>
          <w:p w14:paraId="31CAFBA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Retain the original text of the national standard.</w:t>
            </w:r>
          </w:p>
        </w:tc>
        <w:tc>
          <w:tcPr>
            <w:tcW w:w="1318" w:type="dxa"/>
            <w:noWrap w:val="0"/>
            <w:vAlign w:val="top"/>
          </w:tcPr>
          <w:p w14:paraId="55AA422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1344" w:type="dxa"/>
            <w:noWrap w:val="0"/>
            <w:vAlign w:val="top"/>
          </w:tcPr>
          <w:p w14:paraId="2B3E397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11.11%</w:t>
            </w:r>
          </w:p>
        </w:tc>
      </w:tr>
      <w:tr w14:paraId="0B59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06" w:type="dxa"/>
            <w:noWrap w:val="0"/>
            <w:vAlign w:val="top"/>
          </w:tcPr>
          <w:p w14:paraId="16C9633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E. </w:t>
            </w:r>
            <w:r>
              <w:rPr>
                <w:rFonts w:hint="default" w:ascii="Cambria" w:hAnsi="Cambria" w:cs="Cambria"/>
                <w:sz w:val="24"/>
                <w:szCs w:val="24"/>
              </w:rPr>
              <w:t xml:space="preserve">Combine the above: retain the original national standard text with the addition of </w:t>
            </w:r>
            <w:r>
              <w:rPr>
                <w:rFonts w:hint="default" w:ascii="Cambria" w:hAnsi="Cambria" w:cs="Cambria"/>
                <w:sz w:val="24"/>
                <w:szCs w:val="24"/>
                <w:lang w:val="en-US"/>
              </w:rPr>
              <w:t>“</w:t>
            </w:r>
            <w:r>
              <w:rPr>
                <w:rFonts w:hint="default" w:ascii="Cambria" w:hAnsi="Cambria" w:cs="Cambria"/>
                <w:sz w:val="24"/>
                <w:szCs w:val="24"/>
              </w:rPr>
              <w:t>holding positions (front-hold, back-hold, side-hold).</w:t>
            </w:r>
            <w:r>
              <w:rPr>
                <w:rFonts w:hint="default" w:ascii="Cambria" w:hAnsi="Cambria" w:cs="Cambria"/>
                <w:sz w:val="24"/>
                <w:szCs w:val="24"/>
                <w:lang w:val="en-US"/>
              </w:rPr>
              <w:t>”</w:t>
            </w:r>
          </w:p>
        </w:tc>
        <w:tc>
          <w:tcPr>
            <w:tcW w:w="1318" w:type="dxa"/>
            <w:noWrap w:val="0"/>
            <w:vAlign w:val="top"/>
          </w:tcPr>
          <w:p w14:paraId="7EA5DCC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344" w:type="dxa"/>
            <w:noWrap w:val="0"/>
            <w:vAlign w:val="top"/>
          </w:tcPr>
          <w:p w14:paraId="304CF2E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r>
    </w:tbl>
    <w:p w14:paraId="0C1924D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650106A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“Holding positions” are widely used in infant tuina; front‑hold, back‑hold, and side‑hold should be clearly distinguished to enhance international practicality.</w:t>
      </w:r>
    </w:p>
    <w:p w14:paraId="7C7CEDE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The treatment position should be chosen based on the child’s age and treatment needs to ensure comfort, relaxation, exposure of the operative area, and ability to cooperate, such as sitting, supine, side‑lying, prone, or sitting‑hold.</w:t>
      </w:r>
    </w:p>
    <w:p w14:paraId="4419074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(4) Practitioner</w:t>
      </w:r>
    </w:p>
    <w:p w14:paraId="2160DA3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eastAsia="zh-CN"/>
        </w:rPr>
        <w:t xml:space="preserve"> </w:t>
      </w:r>
      <w:r>
        <w:rPr>
          <w:rFonts w:hint="default" w:ascii="Cambria" w:hAnsi="Cambria" w:cs="Cambria"/>
          <w:sz w:val="24"/>
          <w:szCs w:val="24"/>
        </w:rPr>
        <w:t>Before operation, the physician’s fingernails must be trimmed, and freshly clipped nails should be smoothed with a nail file. Wash hands thoroughly with soap or hand cleanser. Media may be applied according to the pattern. During operation, the physician’s hands should be warm, the mind focused, the attitude amiable, and the child’s cooperation should be sought.</w:t>
      </w:r>
    </w:p>
    <w:p w14:paraId="2311C245">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46 Results of options for Practitioner</w:t>
      </w:r>
    </w:p>
    <w:tbl>
      <w:tblPr>
        <w:tblStyle w:val="81"/>
        <w:tblW w:w="9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6"/>
        <w:gridCol w:w="1278"/>
        <w:gridCol w:w="1320"/>
      </w:tblGrid>
      <w:tr w14:paraId="0662A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6" w:type="dxa"/>
            <w:noWrap w:val="0"/>
            <w:vAlign w:val="top"/>
          </w:tcPr>
          <w:p w14:paraId="53E4E8B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78" w:type="dxa"/>
            <w:noWrap w:val="0"/>
            <w:vAlign w:val="top"/>
          </w:tcPr>
          <w:p w14:paraId="0FF0CA5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320" w:type="dxa"/>
            <w:noWrap w:val="0"/>
            <w:vAlign w:val="top"/>
          </w:tcPr>
          <w:p w14:paraId="2A27D83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2689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6" w:type="dxa"/>
            <w:noWrap w:val="0"/>
            <w:vAlign w:val="top"/>
          </w:tcPr>
          <w:p w14:paraId="2E0D5F0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The practitioner should be a physician or a person qualified to perform pediatric tuina techniques. Before operation, the practitioner should remove hand and wrist ornaments that may affect tuina, trim and file nails. Before starting, the practitioner should inquire whether the child has any relevant conditions that require caution in tuina. Disinfection: wash hands thoroughly and disinfect with a medical antiseptic. </w:t>
            </w:r>
          </w:p>
        </w:tc>
        <w:tc>
          <w:tcPr>
            <w:tcW w:w="1278" w:type="dxa"/>
            <w:noWrap w:val="0"/>
            <w:vAlign w:val="top"/>
          </w:tcPr>
          <w:p w14:paraId="691250E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320" w:type="dxa"/>
            <w:noWrap w:val="0"/>
            <w:vAlign w:val="top"/>
          </w:tcPr>
          <w:p w14:paraId="233F9C3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r w14:paraId="27415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6" w:type="dxa"/>
            <w:noWrap w:val="0"/>
            <w:vAlign w:val="top"/>
          </w:tcPr>
          <w:p w14:paraId="3955271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1278" w:type="dxa"/>
            <w:noWrap w:val="0"/>
            <w:vAlign w:val="top"/>
          </w:tcPr>
          <w:p w14:paraId="69E6759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320" w:type="dxa"/>
            <w:noWrap w:val="0"/>
            <w:vAlign w:val="top"/>
          </w:tcPr>
          <w:p w14:paraId="54229A5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3439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46" w:type="dxa"/>
            <w:noWrap w:val="0"/>
            <w:vAlign w:val="top"/>
          </w:tcPr>
          <w:p w14:paraId="47DE183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lang w:val="en-US" w:eastAsia="en-US"/>
              </w:rPr>
              <w:t xml:space="preserve"> </w:t>
            </w:r>
            <w:r>
              <w:rPr>
                <w:rFonts w:hint="default" w:ascii="Cambria" w:hAnsi="Cambria" w:cs="Cambria"/>
                <w:sz w:val="24"/>
                <w:szCs w:val="24"/>
                <w:lang w:eastAsia="en-US"/>
              </w:rPr>
              <w:t>contents.</w:t>
            </w:r>
          </w:p>
        </w:tc>
        <w:tc>
          <w:tcPr>
            <w:tcW w:w="1278" w:type="dxa"/>
            <w:noWrap w:val="0"/>
            <w:vAlign w:val="top"/>
          </w:tcPr>
          <w:p w14:paraId="2AC5BCF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9</w:t>
            </w:r>
          </w:p>
        </w:tc>
        <w:tc>
          <w:tcPr>
            <w:tcW w:w="1320" w:type="dxa"/>
            <w:noWrap w:val="0"/>
            <w:vAlign w:val="top"/>
          </w:tcPr>
          <w:p w14:paraId="4ED5C5D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33.33%</w:t>
            </w:r>
          </w:p>
        </w:tc>
      </w:tr>
    </w:tbl>
    <w:p w14:paraId="51E7FFC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1A9596A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① The </w:t>
      </w:r>
      <w:r>
        <w:rPr>
          <w:rFonts w:hint="default" w:ascii="Cambria" w:hAnsi="Cambria" w:cs="Cambria"/>
          <w:sz w:val="24"/>
          <w:szCs w:val="24"/>
          <w:lang w:val="en-US"/>
        </w:rPr>
        <w:t>practitioner</w:t>
      </w:r>
      <w:r>
        <w:rPr>
          <w:rFonts w:hint="default" w:ascii="Cambria" w:hAnsi="Cambria" w:cs="Cambria"/>
          <w:sz w:val="24"/>
          <w:szCs w:val="24"/>
        </w:rPr>
        <w:t xml:space="preserve"> should be a physician or a person qualified to perform pediatric tuina techniques. Before operation, the </w:t>
      </w:r>
      <w:r>
        <w:rPr>
          <w:rFonts w:hint="default" w:ascii="Cambria" w:hAnsi="Cambria" w:cs="Cambria"/>
          <w:sz w:val="24"/>
          <w:szCs w:val="24"/>
          <w:lang w:val="en-US"/>
        </w:rPr>
        <w:t>practitioner</w:t>
      </w:r>
      <w:r>
        <w:rPr>
          <w:rFonts w:hint="default" w:ascii="Cambria" w:hAnsi="Cambria" w:cs="Cambria"/>
          <w:sz w:val="24"/>
          <w:szCs w:val="24"/>
        </w:rPr>
        <w:t xml:space="preserve"> should remove hand and wrist ornaments that may affect tuina, trim and file nails. Before starting, inquire whether the child has any relevant conditions that require caution in tuina. Wash hands thoroughly with soap or hand cleanser, and disinfect with a medical antiseptic. Media may be applied according to the pattern. During operation, the practitioner’s hands should be warm, the mind focused, the attitude amiable, and the child’s cooperation should be sought.</w:t>
      </w:r>
    </w:p>
    <w:p w14:paraId="346D2B3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Emphasis should be placed on “qualification to perform” and “hand hygiene” requirements, and the standard should clearly define the screening process for “conditions requiring caution in tuina.”</w:t>
      </w:r>
    </w:p>
    <w:p w14:paraId="23CF8AA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③ The physician must trim fingernails in a timely manner and smooth them with a nail file. Before treatment, remove hand and wrist ornaments that may interfere with manipulation, wash hands thoroughly with soap or hand cleanser, then apply appropriate media according to the pattern and warm the hands. During treatment, maintain focused attention and an amiable attitude, and seek the child’s cooperation.</w:t>
      </w:r>
    </w:p>
    <w:p w14:paraId="30935B4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(5) Rotating Pushing</w:t>
      </w:r>
    </w:p>
    <w:p w14:paraId="7445BC5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rPr>
        <w:t xml:space="preserve"> </w:t>
      </w:r>
      <w:r>
        <w:rPr>
          <w:rFonts w:hint="default" w:ascii="Cambria" w:hAnsi="Cambria" w:cs="Cambria"/>
          <w:sz w:val="24"/>
          <w:szCs w:val="24"/>
        </w:rPr>
        <w:t>The physician uses the thumb’s whorled surface to perform clockwise rotational pushing and rubbing on the acupoint.</w:t>
      </w:r>
    </w:p>
    <w:p w14:paraId="3BD9732C">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47 Results of options for Rotating Pushing</w:t>
      </w:r>
    </w:p>
    <w:tbl>
      <w:tblPr>
        <w:tblStyle w:val="81"/>
        <w:tblW w:w="91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0"/>
        <w:gridCol w:w="1244"/>
        <w:gridCol w:w="1281"/>
      </w:tblGrid>
      <w:tr w14:paraId="6C8C8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580" w:type="dxa"/>
            <w:noWrap w:val="0"/>
            <w:vAlign w:val="top"/>
          </w:tcPr>
          <w:p w14:paraId="7B1D3D8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44" w:type="dxa"/>
            <w:noWrap w:val="0"/>
            <w:vAlign w:val="top"/>
          </w:tcPr>
          <w:p w14:paraId="0B690C5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281" w:type="dxa"/>
            <w:noWrap w:val="0"/>
            <w:vAlign w:val="top"/>
          </w:tcPr>
          <w:p w14:paraId="5A3367C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416C3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80" w:type="dxa"/>
            <w:noWrap w:val="0"/>
            <w:vAlign w:val="top"/>
          </w:tcPr>
          <w:p w14:paraId="200E95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Use the volar surface of the thumb to perform clockwise or counterclockwise rotational pushing and rubbing on the acupoint. </w:t>
            </w:r>
          </w:p>
        </w:tc>
        <w:tc>
          <w:tcPr>
            <w:tcW w:w="1244" w:type="dxa"/>
            <w:noWrap w:val="0"/>
            <w:vAlign w:val="top"/>
          </w:tcPr>
          <w:p w14:paraId="3A569FF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1281" w:type="dxa"/>
            <w:noWrap w:val="0"/>
            <w:vAlign w:val="top"/>
          </w:tcPr>
          <w:p w14:paraId="6507F37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r>
      <w:tr w14:paraId="18A66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80" w:type="dxa"/>
            <w:noWrap w:val="0"/>
            <w:vAlign w:val="top"/>
          </w:tcPr>
          <w:p w14:paraId="59446E5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A technique in which the thumb's whorled surface is used to perform circular rotational pushing on the acupoint is called the rotational pushing method.                   </w:t>
            </w:r>
          </w:p>
        </w:tc>
        <w:tc>
          <w:tcPr>
            <w:tcW w:w="1244" w:type="dxa"/>
            <w:noWrap w:val="0"/>
            <w:vAlign w:val="top"/>
          </w:tcPr>
          <w:p w14:paraId="7285C0C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281" w:type="dxa"/>
            <w:noWrap w:val="0"/>
            <w:vAlign w:val="top"/>
          </w:tcPr>
          <w:p w14:paraId="5458F54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r w14:paraId="1FB0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6580" w:type="dxa"/>
            <w:noWrap w:val="0"/>
            <w:vAlign w:val="top"/>
          </w:tcPr>
          <w:p w14:paraId="2BFAA44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Use the thumb's finger surface to perform clockwise rotational pushing on the acupoint, with a frequency typically around 160–260 times per minute.</w:t>
            </w:r>
          </w:p>
        </w:tc>
        <w:tc>
          <w:tcPr>
            <w:tcW w:w="1244" w:type="dxa"/>
            <w:noWrap w:val="0"/>
            <w:vAlign w:val="top"/>
          </w:tcPr>
          <w:p w14:paraId="09CA76F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1281" w:type="dxa"/>
            <w:noWrap w:val="0"/>
            <w:vAlign w:val="top"/>
          </w:tcPr>
          <w:p w14:paraId="502D54F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11.11%</w:t>
            </w:r>
          </w:p>
        </w:tc>
      </w:tr>
      <w:tr w14:paraId="37FC2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80" w:type="dxa"/>
            <w:noWrap w:val="0"/>
            <w:vAlign w:val="top"/>
          </w:tcPr>
          <w:p w14:paraId="0BDB68E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Retain the original text of the national standard. </w:t>
            </w:r>
          </w:p>
        </w:tc>
        <w:tc>
          <w:tcPr>
            <w:tcW w:w="1244" w:type="dxa"/>
            <w:noWrap w:val="0"/>
            <w:vAlign w:val="top"/>
          </w:tcPr>
          <w:p w14:paraId="06D7BB4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1281" w:type="dxa"/>
            <w:noWrap w:val="0"/>
            <w:vAlign w:val="top"/>
          </w:tcPr>
          <w:p w14:paraId="2713308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18.52%</w:t>
            </w:r>
          </w:p>
        </w:tc>
      </w:tr>
    </w:tbl>
    <w:p w14:paraId="204F171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195167F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It is suggested that the provision include operation, essentials, precautions, and clinical application.</w:t>
      </w:r>
    </w:p>
    <w:p w14:paraId="2B5E1B8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It is suggested to add the operation frequency in the provision.</w:t>
      </w:r>
    </w:p>
    <w:p w14:paraId="49227D2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③ Option C provides a frequency range (160–260 times/min), which facilitates international operational uniformity; it is recommended to include it.</w:t>
      </w:r>
    </w:p>
    <w:p w14:paraId="714CA08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(6) Pressing Manipulation</w:t>
      </w:r>
    </w:p>
    <w:p w14:paraId="6226F5D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eastAsia="zh-CN"/>
        </w:rPr>
        <w:t xml:space="preserve"> </w:t>
      </w:r>
      <w:r>
        <w:rPr>
          <w:rFonts w:hint="default" w:ascii="Cambria" w:hAnsi="Cambria" w:cs="Cambria"/>
          <w:sz w:val="24"/>
          <w:szCs w:val="24"/>
        </w:rPr>
        <w:t>The physician uses the thumb tip, middle fingertip, or palm center to press gradually downward on a specific acupoint. The manipulation should be gentle, with uniform and coordinated speed, and appropriate pressure.</w:t>
      </w:r>
    </w:p>
    <w:p w14:paraId="1B674B53">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48 Results of options for Pressing Manipulation</w:t>
      </w:r>
    </w:p>
    <w:tbl>
      <w:tblPr>
        <w:tblStyle w:val="81"/>
        <w:tblW w:w="90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52"/>
        <w:gridCol w:w="1272"/>
        <w:gridCol w:w="1272"/>
      </w:tblGrid>
      <w:tr w14:paraId="6983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52" w:type="dxa"/>
            <w:noWrap w:val="0"/>
            <w:vAlign w:val="top"/>
          </w:tcPr>
          <w:p w14:paraId="79FBCF9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72" w:type="dxa"/>
            <w:noWrap w:val="0"/>
            <w:vAlign w:val="top"/>
          </w:tcPr>
          <w:p w14:paraId="1C7D779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272" w:type="dxa"/>
            <w:noWrap w:val="0"/>
            <w:vAlign w:val="top"/>
          </w:tcPr>
          <w:p w14:paraId="0EAA7D2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5637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52" w:type="dxa"/>
            <w:noWrap w:val="0"/>
            <w:vAlign w:val="top"/>
          </w:tcPr>
          <w:p w14:paraId="7AD2DFE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Use the thumb tip, middle finger tip, or palm center to press gradually downward on a specific acupoint. The manipulation should be gentle, with uniform and coordinated speed, and pressure applied from light to heavy.</w:t>
            </w:r>
            <w:r>
              <w:rPr>
                <w:rFonts w:hint="default" w:ascii="Cambria" w:hAnsi="Cambria" w:cs="Cambria"/>
                <w:sz w:val="24"/>
                <w:szCs w:val="24"/>
                <w:lang w:eastAsia="en-US"/>
              </w:rPr>
              <w:t xml:space="preserve">                                      </w:t>
            </w:r>
          </w:p>
        </w:tc>
        <w:tc>
          <w:tcPr>
            <w:tcW w:w="1272" w:type="dxa"/>
            <w:noWrap w:val="0"/>
            <w:vAlign w:val="top"/>
          </w:tcPr>
          <w:p w14:paraId="7967FF8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272" w:type="dxa"/>
            <w:noWrap w:val="0"/>
            <w:vAlign w:val="top"/>
          </w:tcPr>
          <w:p w14:paraId="6BDEC5F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245B2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52" w:type="dxa"/>
            <w:noWrap w:val="0"/>
            <w:vAlign w:val="top"/>
          </w:tcPr>
          <w:p w14:paraId="7F65252E">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Chars="0"/>
              <w:jc w:val="both"/>
              <w:textAlignment w:val="auto"/>
              <w:rPr>
                <w:rFonts w:hint="default" w:ascii="Cambria" w:hAnsi="Cambria" w:cs="Cambria"/>
                <w:sz w:val="24"/>
                <w:szCs w:val="24"/>
              </w:rPr>
            </w:pPr>
            <w:r>
              <w:rPr>
                <w:rFonts w:hint="default" w:ascii="Cambria" w:hAnsi="Cambria" w:cs="Cambria"/>
                <w:sz w:val="24"/>
                <w:szCs w:val="24"/>
                <w:lang w:eastAsia="en-US"/>
              </w:rPr>
              <w:t xml:space="preserve">B. </w:t>
            </w:r>
            <w:r>
              <w:rPr>
                <w:rFonts w:hint="default" w:ascii="Cambria" w:hAnsi="Cambria" w:cs="Cambria"/>
                <w:sz w:val="24"/>
                <w:szCs w:val="24"/>
              </w:rPr>
              <w:t xml:space="preserve">Pressing Manipulation: </w:t>
            </w:r>
          </w:p>
          <w:p w14:paraId="6E6DE6CC">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lang w:val="en-US" w:eastAsia="zh-CN"/>
              </w:rPr>
              <w:t xml:space="preserve">a) </w:t>
            </w:r>
            <w:r>
              <w:rPr>
                <w:rFonts w:hint="default" w:ascii="Cambria" w:hAnsi="Cambria" w:cs="Cambria"/>
                <w:sz w:val="24"/>
                <w:szCs w:val="24"/>
              </w:rPr>
              <w:t xml:space="preserve">Operation: A technique in which fingers, palm root, or thenar eminence is used to press gradually downward on a specific acupoint or area is called pressing method, which can be divided into finger pressing and palm pressing. </w:t>
            </w:r>
          </w:p>
          <w:p w14:paraId="2A293CD5">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Chars="0"/>
              <w:jc w:val="both"/>
              <w:textAlignment w:val="auto"/>
              <w:rPr>
                <w:rFonts w:hint="default" w:ascii="Cambria" w:hAnsi="Cambria" w:cs="Cambria"/>
                <w:sz w:val="24"/>
                <w:szCs w:val="24"/>
              </w:rPr>
            </w:pPr>
            <w:r>
              <w:rPr>
                <w:rFonts w:hint="default" w:ascii="Cambria" w:hAnsi="Cambria" w:cs="Cambria"/>
                <w:sz w:val="24"/>
                <w:szCs w:val="24"/>
                <w:lang w:val="en-US"/>
              </w:rPr>
              <w:t xml:space="preserve">b) </w:t>
            </w:r>
            <w:r>
              <w:rPr>
                <w:rFonts w:hint="default" w:ascii="Cambria" w:hAnsi="Cambria" w:cs="Cambria"/>
                <w:sz w:val="24"/>
                <w:szCs w:val="24"/>
              </w:rPr>
              <w:t xml:space="preserve">Essentials: The practitioner uses fingers, palm root, or thenar to press vertically downward from light to heavy, hold for a moment, then gradually release from heavy to light. </w:t>
            </w:r>
          </w:p>
          <w:p w14:paraId="79924405">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Chars="0"/>
              <w:jc w:val="both"/>
              <w:textAlignment w:val="auto"/>
              <w:rPr>
                <w:rFonts w:hint="default" w:ascii="Cambria" w:hAnsi="Cambria" w:cs="Cambria"/>
                <w:sz w:val="24"/>
                <w:szCs w:val="24"/>
              </w:rPr>
            </w:pPr>
            <w:r>
              <w:rPr>
                <w:rFonts w:hint="default" w:ascii="Cambria" w:hAnsi="Cambria" w:cs="Cambria"/>
                <w:sz w:val="24"/>
                <w:szCs w:val="24"/>
                <w:lang w:val="en-US"/>
              </w:rPr>
              <w:t xml:space="preserve">c) </w:t>
            </w:r>
            <w:r>
              <w:rPr>
                <w:rFonts w:hint="default" w:ascii="Cambria" w:hAnsi="Cambria" w:cs="Cambria"/>
                <w:sz w:val="24"/>
                <w:szCs w:val="24"/>
              </w:rPr>
              <w:t xml:space="preserve">Requirements: Avoid rough or sudden force. This method is often combined with the kneading method. </w:t>
            </w:r>
          </w:p>
          <w:p w14:paraId="73337B80">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lang w:eastAsia="en-US"/>
              </w:rPr>
            </w:pPr>
            <w:r>
              <w:rPr>
                <w:rFonts w:hint="default" w:ascii="Cambria" w:hAnsi="Cambria" w:cs="Cambria"/>
                <w:sz w:val="24"/>
                <w:szCs w:val="24"/>
              </w:rPr>
              <w:t>d) Clinical application: Mostly used on point-like and surface-like acupoints, with effects of dredging meridians, activating collaterals, and relieving pain.</w:t>
            </w:r>
          </w:p>
        </w:tc>
        <w:tc>
          <w:tcPr>
            <w:tcW w:w="1272" w:type="dxa"/>
            <w:noWrap w:val="0"/>
            <w:vAlign w:val="top"/>
          </w:tcPr>
          <w:p w14:paraId="58631CD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c>
          <w:tcPr>
            <w:tcW w:w="1272" w:type="dxa"/>
            <w:noWrap w:val="0"/>
            <w:vAlign w:val="top"/>
          </w:tcPr>
          <w:p w14:paraId="03FB06F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44.44%</w:t>
            </w:r>
          </w:p>
        </w:tc>
      </w:tr>
      <w:tr w14:paraId="3D8CD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52" w:type="dxa"/>
            <w:noWrap w:val="0"/>
            <w:vAlign w:val="top"/>
          </w:tcPr>
          <w:p w14:paraId="4B2DDDD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Pressing Manipulation: Use the thumb or palm root to press vertically downward on a specific area or acupoint. It is often combined with kneading. </w:t>
            </w:r>
            <w:r>
              <w:rPr>
                <w:rFonts w:hint="default" w:ascii="Cambria" w:hAnsi="Cambria" w:cs="Cambria"/>
                <w:sz w:val="24"/>
                <w:szCs w:val="24"/>
                <w:lang w:val="en-US"/>
              </w:rPr>
              <w:t>“</w:t>
            </w:r>
            <w:r>
              <w:rPr>
                <w:rFonts w:hint="default" w:ascii="Cambria" w:hAnsi="Cambria" w:cs="Cambria"/>
                <w:sz w:val="24"/>
                <w:szCs w:val="24"/>
              </w:rPr>
              <w:t>Press and hold</w:t>
            </w:r>
            <w:r>
              <w:rPr>
                <w:rFonts w:hint="default" w:ascii="Cambria" w:hAnsi="Cambria" w:cs="Cambria"/>
                <w:sz w:val="24"/>
                <w:szCs w:val="24"/>
                <w:lang w:val="en-US"/>
              </w:rPr>
              <w:t>”</w:t>
            </w:r>
            <w:r>
              <w:rPr>
                <w:rFonts w:hint="default" w:ascii="Cambria" w:hAnsi="Cambria" w:cs="Cambria"/>
                <w:sz w:val="24"/>
                <w:szCs w:val="24"/>
              </w:rPr>
              <w:t xml:space="preserve"> means using the right thumb's palmar surface to press directly, or the thumb's dorsum to bend and press, or using two fingers to press together; for the chest and abdomen, the palm center is used. The pressure should be light or heavy as appropriate. It has effects of dredging meridians, activating collaterals, dispelling cold, relieving pain, and promoting digestion.</w:t>
            </w:r>
          </w:p>
        </w:tc>
        <w:tc>
          <w:tcPr>
            <w:tcW w:w="1272" w:type="dxa"/>
            <w:noWrap w:val="0"/>
            <w:vAlign w:val="top"/>
          </w:tcPr>
          <w:p w14:paraId="41E3EC1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1272" w:type="dxa"/>
            <w:noWrap w:val="0"/>
            <w:vAlign w:val="top"/>
          </w:tcPr>
          <w:p w14:paraId="05DE08C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11.11%</w:t>
            </w:r>
          </w:p>
        </w:tc>
      </w:tr>
      <w:tr w14:paraId="15397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52" w:type="dxa"/>
            <w:noWrap w:val="0"/>
            <w:vAlign w:val="top"/>
          </w:tcPr>
          <w:p w14:paraId="11A7C4D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Retain the original text of the national standard.</w:t>
            </w:r>
          </w:p>
        </w:tc>
        <w:tc>
          <w:tcPr>
            <w:tcW w:w="1272" w:type="dxa"/>
            <w:noWrap w:val="0"/>
            <w:vAlign w:val="top"/>
          </w:tcPr>
          <w:p w14:paraId="496F5F8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1272" w:type="dxa"/>
            <w:noWrap w:val="0"/>
            <w:vAlign w:val="top"/>
          </w:tcPr>
          <w:p w14:paraId="47AC852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18.52%</w:t>
            </w:r>
          </w:p>
        </w:tc>
      </w:tr>
    </w:tbl>
    <w:p w14:paraId="4D66808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15B0C8F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It is suggested to revise to: The practitioner uses the whorled surface of the fingers, palm root, or thenar to press vertically downward from light to heavy on the acupoint or specific area, hold for a moment, then gradually release from heavy to light.</w:t>
      </w:r>
    </w:p>
    <w:p w14:paraId="25E93A0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(7) Operating Sequence</w:t>
      </w:r>
    </w:p>
    <w:p w14:paraId="136E796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rPr>
        <w:t xml:space="preserve"> </w:t>
      </w:r>
      <w:r>
        <w:rPr>
          <w:rFonts w:hint="default" w:ascii="Cambria" w:hAnsi="Cambria" w:cs="Cambria"/>
          <w:sz w:val="24"/>
          <w:szCs w:val="24"/>
        </w:rPr>
        <w:t>The sequence of pediatric tuina should follow the principles of convenience for manipulation and acceptability to the child. Generally, upper limbs are treated first, then head and face, then trunk, and finally lower limbs. Alternatively, main acupoints may be treated first, followed by auxiliary acupoints. Also, acupoints requiring less stimulation may be treated first, followed by those requiring more stimulation. For specific upper‑limb acupoints, only one hand is used, regardless of gender, and the left hand is always used.</w:t>
      </w:r>
    </w:p>
    <w:p w14:paraId="2789392A">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49 Results of options for Operating Sequence</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4"/>
        <w:gridCol w:w="1295"/>
        <w:gridCol w:w="1353"/>
      </w:tblGrid>
      <w:tr w14:paraId="4C3B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4101" w:type="pct"/>
            <w:noWrap w:val="0"/>
            <w:vAlign w:val="top"/>
          </w:tcPr>
          <w:p w14:paraId="1E6665D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415" w:type="pct"/>
            <w:noWrap w:val="0"/>
            <w:vAlign w:val="top"/>
          </w:tcPr>
          <w:p w14:paraId="2C3F0F8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483" w:type="pct"/>
            <w:noWrap w:val="0"/>
            <w:vAlign w:val="top"/>
          </w:tcPr>
          <w:p w14:paraId="1300110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1B41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94" w:type="dxa"/>
            <w:noWrap w:val="0"/>
            <w:vAlign w:val="top"/>
          </w:tcPr>
          <w:p w14:paraId="15C2283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Operation sequence: generally three methods, chosen according to actual conditions: (a) first manipulate head and face acupoints, then chest, abdomen, limbs, waist, and back; (b) first manipulate main acupoints, then auxiliary acupoints; first use light manipulations, then heavy manipulations; (c) decide the sequence according to the severity and urgency of the condition. Site selection: for upper limb acupoints, either the left or right hand may be used according to the </w:t>
            </w:r>
            <w:r>
              <w:rPr>
                <w:rFonts w:hint="default" w:ascii="Cambria" w:hAnsi="Cambria" w:cs="Cambria"/>
                <w:sz w:val="24"/>
                <w:szCs w:val="24"/>
                <w:lang w:val="en-US"/>
              </w:rPr>
              <w:t>practitioner</w:t>
            </w:r>
            <w:r>
              <w:rPr>
                <w:rFonts w:hint="default" w:ascii="Cambria" w:hAnsi="Cambria" w:cs="Cambria"/>
                <w:sz w:val="24"/>
                <w:szCs w:val="24"/>
              </w:rPr>
              <w:t xml:space="preserve">'s habit; for bilateral non-upper limb acupoints, either side may be chosen. </w:t>
            </w:r>
            <w:r>
              <w:rPr>
                <w:rFonts w:hint="default" w:ascii="Cambria" w:hAnsi="Cambria" w:cs="Cambria"/>
                <w:sz w:val="24"/>
                <w:szCs w:val="24"/>
                <w:lang w:eastAsia="en-US"/>
              </w:rPr>
              <w:t xml:space="preserve">                                                               </w:t>
            </w:r>
          </w:p>
        </w:tc>
        <w:tc>
          <w:tcPr>
            <w:tcW w:w="415" w:type="pct"/>
            <w:noWrap w:val="0"/>
            <w:vAlign w:val="top"/>
          </w:tcPr>
          <w:p w14:paraId="2AB5FF7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483" w:type="pct"/>
            <w:noWrap w:val="0"/>
            <w:vAlign w:val="top"/>
          </w:tcPr>
          <w:p w14:paraId="0825B04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r>
      <w:tr w14:paraId="5497E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94" w:type="dxa"/>
            <w:noWrap w:val="0"/>
            <w:vAlign w:val="top"/>
          </w:tcPr>
          <w:p w14:paraId="3936A58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Pediatric tuina generally has three sequences: (a) first hand acupoints, then head/face, chest/abdomen, lower limbs, waist/back; (b) first main acupoints, then auxiliary; first light, then heavy manipulations; (c) decide based on the severity of signs/symptoms.</w:t>
            </w:r>
            <w:r>
              <w:rPr>
                <w:rFonts w:hint="default" w:ascii="Cambria" w:hAnsi="Cambria" w:cs="Cambria"/>
                <w:sz w:val="24"/>
                <w:szCs w:val="24"/>
                <w:lang w:eastAsia="en-US"/>
              </w:rPr>
              <w:t xml:space="preserve">                                             </w:t>
            </w:r>
          </w:p>
        </w:tc>
        <w:tc>
          <w:tcPr>
            <w:tcW w:w="415" w:type="pct"/>
            <w:noWrap w:val="0"/>
            <w:vAlign w:val="top"/>
          </w:tcPr>
          <w:p w14:paraId="60324A6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483" w:type="pct"/>
            <w:noWrap w:val="0"/>
            <w:vAlign w:val="top"/>
          </w:tcPr>
          <w:p w14:paraId="06811C2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14.81%</w:t>
            </w:r>
          </w:p>
        </w:tc>
      </w:tr>
      <w:tr w14:paraId="5A84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94" w:type="dxa"/>
            <w:noWrap w:val="0"/>
            <w:vAlign w:val="top"/>
          </w:tcPr>
          <w:p w14:paraId="0E86E43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Retain the original text of the national standard.                                                                 </w:t>
            </w:r>
          </w:p>
        </w:tc>
        <w:tc>
          <w:tcPr>
            <w:tcW w:w="415" w:type="pct"/>
            <w:noWrap w:val="0"/>
            <w:vAlign w:val="top"/>
          </w:tcPr>
          <w:p w14:paraId="00AA674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483" w:type="pct"/>
            <w:noWrap w:val="0"/>
            <w:vAlign w:val="top"/>
          </w:tcPr>
          <w:p w14:paraId="29A7159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r w14:paraId="32FE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94" w:type="dxa"/>
            <w:noWrap w:val="0"/>
            <w:vAlign w:val="top"/>
          </w:tcPr>
          <w:p w14:paraId="2D3EE9C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Combine the above</w:t>
            </w:r>
            <w:r>
              <w:rPr>
                <w:rFonts w:hint="default" w:ascii="Cambria" w:hAnsi="Cambria" w:cs="Cambria"/>
                <w:sz w:val="24"/>
                <w:szCs w:val="24"/>
              </w:rPr>
              <w:t xml:space="preserve"> contents</w:t>
            </w:r>
            <w:r>
              <w:rPr>
                <w:rFonts w:hint="default" w:ascii="Cambria" w:hAnsi="Cambria" w:cs="Cambria"/>
                <w:sz w:val="24"/>
                <w:szCs w:val="24"/>
                <w:lang w:eastAsia="en-US"/>
              </w:rPr>
              <w:t xml:space="preserve">.                                                                           </w:t>
            </w:r>
          </w:p>
        </w:tc>
        <w:tc>
          <w:tcPr>
            <w:tcW w:w="415" w:type="pct"/>
            <w:noWrap w:val="0"/>
            <w:vAlign w:val="top"/>
          </w:tcPr>
          <w:p w14:paraId="7E136A0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483" w:type="pct"/>
            <w:noWrap w:val="0"/>
            <w:vAlign w:val="top"/>
          </w:tcPr>
          <w:p w14:paraId="5003E1D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14.81%</w:t>
            </w:r>
          </w:p>
        </w:tc>
      </w:tr>
    </w:tbl>
    <w:p w14:paraId="07EA29F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65D0029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① Either left or right hand may be used. The left hand is preferred, mainly for the </w:t>
      </w:r>
      <w:r>
        <w:rPr>
          <w:rFonts w:hint="default" w:ascii="Cambria" w:hAnsi="Cambria" w:cs="Cambria"/>
          <w:sz w:val="24"/>
          <w:szCs w:val="24"/>
          <w:lang w:val="en-US"/>
        </w:rPr>
        <w:t>practitioner</w:t>
      </w:r>
      <w:r>
        <w:rPr>
          <w:rFonts w:hint="default" w:ascii="Cambria" w:hAnsi="Cambria" w:cs="Cambria"/>
          <w:sz w:val="24"/>
          <w:szCs w:val="24"/>
        </w:rPr>
        <w:t>’s convenience.</w:t>
      </w:r>
    </w:p>
    <w:p w14:paraId="34BC4BA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The sequence of pediatric tuina should follow the principles of convenience for manipulation and acceptability to the child. Generally, upper limbs are treated first, then head and face, then trunk, and finally lower limbs. Alternatively, main acupoints may be treated first, followed by auxiliary acupoints; acupoints requiring less stimulation first, then those requiring more. Specific upper‑limb acupoints are treated only unilaterally.</w:t>
      </w:r>
    </w:p>
    <w:p w14:paraId="5B24341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(8) Reinforcement and Reduction Methods</w:t>
      </w:r>
    </w:p>
    <w:p w14:paraId="2D6B855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rPr>
        <w:t xml:space="preserve"> </w:t>
      </w:r>
      <w:r>
        <w:rPr>
          <w:rFonts w:hint="default" w:ascii="Cambria" w:hAnsi="Cambria" w:cs="Cambria"/>
          <w:sz w:val="24"/>
          <w:szCs w:val="24"/>
        </w:rPr>
        <w:t>The application of reinforcing and reducing methods in pediatric tuina depends on the disease pattern. Generally, centripetal manipulation is reinforcing, centrifugal is reducing. Light force is reinforcing, heavy force is reducing. Slow speed/frequency is reinforcing, while fast speed/frequency has a reducing effect.</w:t>
      </w:r>
    </w:p>
    <w:p w14:paraId="56CE4245">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50 Results of options for Reinforcement and Reduction Methods</w:t>
      </w:r>
    </w:p>
    <w:tbl>
      <w:tblPr>
        <w:tblStyle w:val="81"/>
        <w:tblW w:w="92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5"/>
        <w:gridCol w:w="1250"/>
        <w:gridCol w:w="1280"/>
      </w:tblGrid>
      <w:tr w14:paraId="52A3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15" w:type="dxa"/>
            <w:noWrap w:val="0"/>
            <w:vAlign w:val="top"/>
          </w:tcPr>
          <w:p w14:paraId="6623D92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50" w:type="dxa"/>
            <w:noWrap w:val="0"/>
            <w:vAlign w:val="top"/>
          </w:tcPr>
          <w:p w14:paraId="57D7DBF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280" w:type="dxa"/>
            <w:noWrap w:val="0"/>
            <w:vAlign w:val="top"/>
          </w:tcPr>
          <w:p w14:paraId="02011DB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6DCF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15" w:type="dxa"/>
            <w:noWrap w:val="0"/>
            <w:vAlign w:val="top"/>
          </w:tcPr>
          <w:p w14:paraId="173FF98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General reinforcing-reducing principles in pediatric tuina: Direction-based: mainly used for hand and abdominal acupoints. Generally, centripetal straight pushing is reinforcing, centrifugal is reducing; counterclockwise circular rubbing on the abdomen is reinforcing, clockwise is reducing. Light-Heavy: refers to force applied. Light manipulation is reinforcing, heavy is reducing. Fast-Slow: refers to speed. Low frequency is reinforcing, high is reducing. Following-Opposing: following the meridian direction is reinforcing, opposing is reducing (also called with/against method). Even reinforcing-reducing: used when deficiency/excess is unclear or for health maintenance, combining fast/slow and with/against. </w:t>
            </w:r>
            <w:r>
              <w:rPr>
                <w:rFonts w:hint="default" w:ascii="Cambria" w:hAnsi="Cambria" w:cs="Cambria"/>
                <w:sz w:val="24"/>
                <w:szCs w:val="24"/>
                <w:lang w:eastAsia="en-US"/>
              </w:rPr>
              <w:t xml:space="preserve">                                                             </w:t>
            </w:r>
          </w:p>
        </w:tc>
        <w:tc>
          <w:tcPr>
            <w:tcW w:w="1250" w:type="dxa"/>
            <w:noWrap w:val="0"/>
            <w:vAlign w:val="top"/>
          </w:tcPr>
          <w:p w14:paraId="6A4C00E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c>
          <w:tcPr>
            <w:tcW w:w="1280" w:type="dxa"/>
            <w:noWrap w:val="0"/>
            <w:vAlign w:val="top"/>
          </w:tcPr>
          <w:p w14:paraId="2E77BCB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44.44%</w:t>
            </w:r>
          </w:p>
        </w:tc>
      </w:tr>
      <w:tr w14:paraId="49C47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15" w:type="dxa"/>
            <w:noWrap w:val="0"/>
            <w:vAlign w:val="top"/>
          </w:tcPr>
          <w:p w14:paraId="7C8E180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1250" w:type="dxa"/>
            <w:noWrap w:val="0"/>
            <w:vAlign w:val="top"/>
          </w:tcPr>
          <w:p w14:paraId="7E5EEC5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9</w:t>
            </w:r>
          </w:p>
        </w:tc>
        <w:tc>
          <w:tcPr>
            <w:tcW w:w="1280" w:type="dxa"/>
            <w:noWrap w:val="0"/>
            <w:vAlign w:val="top"/>
          </w:tcPr>
          <w:p w14:paraId="239D133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33.33%</w:t>
            </w:r>
          </w:p>
        </w:tc>
      </w:tr>
      <w:tr w14:paraId="69D4A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15" w:type="dxa"/>
            <w:noWrap w:val="0"/>
            <w:vAlign w:val="top"/>
          </w:tcPr>
          <w:p w14:paraId="1DE68D1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rPr>
              <w:t xml:space="preserve"> contents</w:t>
            </w:r>
            <w:r>
              <w:rPr>
                <w:rFonts w:hint="default" w:ascii="Cambria" w:hAnsi="Cambria" w:cs="Cambria"/>
                <w:sz w:val="24"/>
                <w:szCs w:val="24"/>
                <w:lang w:eastAsia="en-US"/>
              </w:rPr>
              <w:t xml:space="preserve">.                                                                           </w:t>
            </w:r>
          </w:p>
        </w:tc>
        <w:tc>
          <w:tcPr>
            <w:tcW w:w="1250" w:type="dxa"/>
            <w:noWrap w:val="0"/>
            <w:vAlign w:val="top"/>
          </w:tcPr>
          <w:p w14:paraId="08762AB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1280" w:type="dxa"/>
            <w:noWrap w:val="0"/>
            <w:vAlign w:val="top"/>
          </w:tcPr>
          <w:p w14:paraId="7005627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14.81%</w:t>
            </w:r>
          </w:p>
        </w:tc>
      </w:tr>
    </w:tbl>
    <w:p w14:paraId="280ACC7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1BB46C2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The general reinforcing‑reducing principles in pediatric tuina include the direction‑based method, which is mainly used for acupoints on the hand and abdomen, where centripetal straight pushing is reinforcing and centrifugal straight pushing is reducing, while counterclockwise abdominal rubbing is reinforcing and clockwise rubbing is reducing; the light‑heavy method, in which light manipulation is reinforcing and heavy manipulation is reducing; the fast‑slow method, where a lower frequency of manipulation is reinforcing and a higher frequency is reducing; the following‑opposing (with‑against) method, in which manipulation performed along the meridian direction (following) is reinforcing and manipulation performed against the meridian direction (opposing) is reducing, also known as the with‑against reinforcing‑reducing method; the count‑based method, in which more repetitions, longer duration, and gentler manipulation are reinforcing, while fewer repetitions, shorter duration, and heavier manipulation are reducing; the deqi‑based method, also called the manipulation‑sensation reinforcing‑reducing method, where deqi refers to the patient’s subjective sensations of soreness, numbness, distension, pain, or heaviness elicited during manipulation—pronounced deqi indicates reducing, while mild deqi indicates reinforcing; and the even reinforcing‑reducing method, which is used when the child’s pattern of deficiency or excess is unclear, or for routine pediatric health maintenance, and generally combines fast and slow manipulations as well as following and opposing directions.</w:t>
      </w:r>
    </w:p>
    <w:p w14:paraId="6A5D753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② Reinforcement and </w:t>
      </w:r>
      <w:r>
        <w:rPr>
          <w:rFonts w:hint="default" w:ascii="Cambria" w:hAnsi="Cambria" w:cs="Cambria"/>
          <w:sz w:val="24"/>
          <w:szCs w:val="24"/>
          <w:lang w:val="en-US"/>
        </w:rPr>
        <w:t>r</w:t>
      </w:r>
      <w:r>
        <w:rPr>
          <w:rFonts w:hint="default" w:ascii="Cambria" w:hAnsi="Cambria" w:cs="Cambria"/>
          <w:sz w:val="24"/>
          <w:szCs w:val="24"/>
        </w:rPr>
        <w:t xml:space="preserve">eduction </w:t>
      </w:r>
      <w:r>
        <w:rPr>
          <w:rFonts w:hint="default" w:ascii="Cambria" w:hAnsi="Cambria" w:cs="Cambria"/>
          <w:sz w:val="24"/>
          <w:szCs w:val="24"/>
          <w:lang w:val="en-US"/>
        </w:rPr>
        <w:t>m</w:t>
      </w:r>
      <w:r>
        <w:rPr>
          <w:rFonts w:hint="default" w:ascii="Cambria" w:hAnsi="Cambria" w:cs="Cambria"/>
          <w:sz w:val="24"/>
          <w:szCs w:val="24"/>
        </w:rPr>
        <w:t>ethods differ among schools and acupoints; they should not be generalized.</w:t>
      </w:r>
    </w:p>
    <w:p w14:paraId="4A67F27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③ “Operation reinforcing‑reducing”? “Reinforcing‑reducing operation”? “Reinforcing‑reducing manipulations”? </w:t>
      </w:r>
    </w:p>
    <w:p w14:paraId="62782D5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④ Reinforcing‑reducing should be distinguished for upper limbs vs. abdomen, linear vs. surface acupoints; if difficult, it may be omitted and instead clearly described under each acupoint. Frequency is not generally a parameter for </w:t>
      </w:r>
      <w:r>
        <w:rPr>
          <w:rFonts w:hint="default" w:ascii="Cambria" w:hAnsi="Cambria" w:cs="Cambria"/>
          <w:sz w:val="24"/>
          <w:szCs w:val="24"/>
          <w:lang w:val="en-US"/>
        </w:rPr>
        <w:t>r</w:t>
      </w:r>
      <w:r>
        <w:rPr>
          <w:rFonts w:hint="default" w:ascii="Cambria" w:hAnsi="Cambria" w:cs="Cambria"/>
          <w:sz w:val="24"/>
          <w:szCs w:val="24"/>
        </w:rPr>
        <w:t xml:space="preserve">einforcement and </w:t>
      </w:r>
      <w:r>
        <w:rPr>
          <w:rFonts w:hint="default" w:ascii="Cambria" w:hAnsi="Cambria" w:cs="Cambria"/>
          <w:sz w:val="24"/>
          <w:szCs w:val="24"/>
          <w:lang w:val="en-US"/>
        </w:rPr>
        <w:t>r</w:t>
      </w:r>
      <w:r>
        <w:rPr>
          <w:rFonts w:hint="default" w:ascii="Cambria" w:hAnsi="Cambria" w:cs="Cambria"/>
          <w:sz w:val="24"/>
          <w:szCs w:val="24"/>
        </w:rPr>
        <w:t>eduction in pediatric tuina; for example, straight‑pushing at 250‑300/min – is that reinforcing or reducing?</w:t>
      </w:r>
    </w:p>
    <w:p w14:paraId="1153111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⑤ Option A systematically clarifies the five categories (direction, light‑heavy, fast‑slow, following‑opposing, and even), integrating the core points of the original text (“centripetal/centrifugal, light/heavy, slow/fast”); using a “combined” approach is more conducive to international application and teaching uniformity.</w:t>
      </w:r>
    </w:p>
    <w:p w14:paraId="10D6813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(9) Pediatric Tuina Treatment Duration</w:t>
      </w:r>
    </w:p>
    <w:p w14:paraId="78A1160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rPr>
        <w:t xml:space="preserve"> </w:t>
      </w:r>
      <w:r>
        <w:rPr>
          <w:rFonts w:hint="default" w:ascii="Cambria" w:hAnsi="Cambria" w:cs="Cambria"/>
          <w:sz w:val="24"/>
          <w:szCs w:val="24"/>
        </w:rPr>
        <w:t>The treatment duration for pediatric tuina may be determined according to age, condition, and constitution. Generally, each acupoint is manipulated for 1–2 minutes, and the total treatment time per session is 20–30 minutes. For younger, weaker children, or when strong stimulation techniques are used, the duration may be shortened appropriately.</w:t>
      </w:r>
    </w:p>
    <w:p w14:paraId="741C8C92">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51 Results of Options for Pediatric Tuina Treatment Duration</w:t>
      </w:r>
    </w:p>
    <w:tbl>
      <w:tblPr>
        <w:tblStyle w:val="81"/>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93"/>
        <w:gridCol w:w="1253"/>
        <w:gridCol w:w="1344"/>
      </w:tblGrid>
      <w:tr w14:paraId="0BB70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93" w:type="dxa"/>
            <w:noWrap w:val="0"/>
            <w:vAlign w:val="top"/>
          </w:tcPr>
          <w:p w14:paraId="5782B33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53" w:type="dxa"/>
            <w:noWrap w:val="0"/>
            <w:vAlign w:val="top"/>
          </w:tcPr>
          <w:p w14:paraId="737FB81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344" w:type="dxa"/>
            <w:noWrap w:val="0"/>
            <w:vAlign w:val="top"/>
          </w:tcPr>
          <w:p w14:paraId="1FDFF7C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09026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93" w:type="dxa"/>
            <w:noWrap w:val="0"/>
            <w:vAlign w:val="top"/>
          </w:tcPr>
          <w:p w14:paraId="05A61124">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Treatment duration: determined by age, condition, constitution, and manipulation characteristics. Generally, each acupoint is manipulated for 1–2 minutes, total duration 10–40 minutes. For younger, weaker, or deficient patients, or with strong stimulation techniques, shorten appropriately; for older, stronger, excess patients, extend appropriately. </w:t>
            </w:r>
          </w:p>
        </w:tc>
        <w:tc>
          <w:tcPr>
            <w:tcW w:w="1253" w:type="dxa"/>
            <w:noWrap w:val="0"/>
            <w:vAlign w:val="top"/>
          </w:tcPr>
          <w:p w14:paraId="026708A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1344" w:type="dxa"/>
            <w:noWrap w:val="0"/>
            <w:vAlign w:val="top"/>
          </w:tcPr>
          <w:p w14:paraId="2F42BBA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14.81%</w:t>
            </w:r>
          </w:p>
        </w:tc>
      </w:tr>
      <w:tr w14:paraId="2267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93" w:type="dxa"/>
            <w:noWrap w:val="0"/>
            <w:vAlign w:val="top"/>
          </w:tcPr>
          <w:p w14:paraId="6F5003B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Chars="0"/>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 xml:space="preserve">Pediatric tuina </w:t>
            </w:r>
            <w:r>
              <w:rPr>
                <w:rFonts w:hint="default" w:ascii="Cambria" w:hAnsi="Cambria" w:cs="Cambria"/>
                <w:sz w:val="24"/>
                <w:szCs w:val="24"/>
                <w:lang w:val="en-US"/>
              </w:rPr>
              <w:t>t</w:t>
            </w:r>
            <w:r>
              <w:rPr>
                <w:rFonts w:hint="default" w:ascii="Cambria" w:hAnsi="Cambria" w:cs="Cambria"/>
                <w:sz w:val="24"/>
                <w:szCs w:val="24"/>
              </w:rPr>
              <w:t>reatment</w:t>
            </w:r>
            <w:r>
              <w:rPr>
                <w:rFonts w:hint="default" w:ascii="Cambria" w:hAnsi="Cambria" w:cs="Cambria"/>
                <w:sz w:val="24"/>
                <w:szCs w:val="24"/>
                <w:lang w:val="en-US"/>
              </w:rPr>
              <w:t xml:space="preserve"> </w:t>
            </w:r>
            <w:r>
              <w:rPr>
                <w:rFonts w:hint="default" w:ascii="Cambria" w:hAnsi="Cambria" w:cs="Cambria"/>
                <w:sz w:val="24"/>
                <w:szCs w:val="24"/>
              </w:rPr>
              <w:t>duration: determined by age, constitution, and manipulation characteristics. Generally, each acupoint 1–2 min, total 20–30 min; for younger, weaker, or strong stimulation, shorten. Taking 1-year-old as standard, push each acupoint about 2 min (except strong stimulation), about 300 pushes per main acupoint; under 1 year or weaker: shorten time and reduce counts; over 1 year or stronger: extend time and increase counts.</w:t>
            </w:r>
          </w:p>
        </w:tc>
        <w:tc>
          <w:tcPr>
            <w:tcW w:w="1253" w:type="dxa"/>
            <w:noWrap w:val="0"/>
            <w:vAlign w:val="top"/>
          </w:tcPr>
          <w:p w14:paraId="12304AF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w:t>
            </w:r>
          </w:p>
        </w:tc>
        <w:tc>
          <w:tcPr>
            <w:tcW w:w="1344" w:type="dxa"/>
            <w:noWrap w:val="0"/>
            <w:vAlign w:val="top"/>
          </w:tcPr>
          <w:p w14:paraId="7DE3EDE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7.41%</w:t>
            </w:r>
          </w:p>
        </w:tc>
      </w:tr>
      <w:tr w14:paraId="517A3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93" w:type="dxa"/>
            <w:noWrap w:val="0"/>
            <w:vAlign w:val="top"/>
          </w:tcPr>
          <w:p w14:paraId="1DC8408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 xml:space="preserve">Treatment duration: determined by age, condition, constitution, and manipulation characteristics. Generally, each acupoint 1–2 min, total 20–40 min. For younger, weaker, deficient, or strong stimulation, shorten; for older, stronger, excess, extend. </w:t>
            </w:r>
            <w:r>
              <w:rPr>
                <w:rFonts w:hint="default" w:ascii="Cambria" w:hAnsi="Cambria" w:cs="Cambria"/>
                <w:sz w:val="24"/>
                <w:szCs w:val="24"/>
                <w:lang w:eastAsia="en-US"/>
              </w:rPr>
              <w:t xml:space="preserve">                                                              </w:t>
            </w:r>
          </w:p>
        </w:tc>
        <w:tc>
          <w:tcPr>
            <w:tcW w:w="1253" w:type="dxa"/>
            <w:noWrap w:val="0"/>
            <w:vAlign w:val="top"/>
          </w:tcPr>
          <w:p w14:paraId="7E7FC5E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344" w:type="dxa"/>
            <w:noWrap w:val="0"/>
            <w:vAlign w:val="top"/>
          </w:tcPr>
          <w:p w14:paraId="58812A6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0E74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93" w:type="dxa"/>
            <w:noWrap w:val="0"/>
            <w:vAlign w:val="top"/>
          </w:tcPr>
          <w:p w14:paraId="79836CE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D. Retain the original text of the national standard.                                                                           </w:t>
            </w:r>
          </w:p>
        </w:tc>
        <w:tc>
          <w:tcPr>
            <w:tcW w:w="1253" w:type="dxa"/>
            <w:noWrap w:val="0"/>
            <w:vAlign w:val="top"/>
          </w:tcPr>
          <w:p w14:paraId="723E1E7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7</w:t>
            </w:r>
          </w:p>
        </w:tc>
        <w:tc>
          <w:tcPr>
            <w:tcW w:w="1344" w:type="dxa"/>
            <w:noWrap w:val="0"/>
            <w:vAlign w:val="top"/>
          </w:tcPr>
          <w:p w14:paraId="07AACFE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25.93%</w:t>
            </w:r>
          </w:p>
        </w:tc>
      </w:tr>
      <w:tr w14:paraId="52932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493" w:type="dxa"/>
            <w:noWrap w:val="0"/>
            <w:vAlign w:val="top"/>
          </w:tcPr>
          <w:p w14:paraId="4F30491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Combine the above content</w:t>
            </w:r>
            <w:r>
              <w:rPr>
                <w:rFonts w:hint="default" w:ascii="Cambria" w:hAnsi="Cambria" w:cs="Cambria"/>
                <w:sz w:val="24"/>
                <w:szCs w:val="24"/>
              </w:rPr>
              <w:t xml:space="preserve"> contents</w:t>
            </w:r>
            <w:r>
              <w:rPr>
                <w:rFonts w:hint="default" w:ascii="Cambria" w:hAnsi="Cambria" w:cs="Cambria"/>
                <w:sz w:val="24"/>
                <w:szCs w:val="24"/>
                <w:lang w:eastAsia="en-US"/>
              </w:rPr>
              <w:t>.</w:t>
            </w:r>
          </w:p>
        </w:tc>
        <w:tc>
          <w:tcPr>
            <w:tcW w:w="1253" w:type="dxa"/>
            <w:noWrap w:val="0"/>
            <w:vAlign w:val="top"/>
          </w:tcPr>
          <w:p w14:paraId="513A35C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344" w:type="dxa"/>
            <w:noWrap w:val="0"/>
            <w:vAlign w:val="top"/>
          </w:tcPr>
          <w:p w14:paraId="7535B50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bl>
    <w:p w14:paraId="790F66D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756AEFC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In pediatric tuina, each acupoint is mostly counted by number of manipulations; abdominal rubbing is timed but not usually in minutes. The number of manipulations per acupoint is related to age; for children over 7 years, adult tuina requirements apply and time may be used. In principle, total operation time is about 10 minutes, but it also depends on the number of acupoints in the prescription. The above statements do not fully conform to pediatric tuina requirements.</w:t>
      </w:r>
    </w:p>
    <w:p w14:paraId="36FE8F3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Retain the national standard framework (“1‑2 min/acupoint, 20‑30 min/session”) while referencing A and C to expand the range (10‑40 min/session) to cover different ages, constitutions, patterns, and manipulation intensity. The count‑based description in B may be moved to an appendix for teaching reference.</w:t>
      </w:r>
    </w:p>
    <w:p w14:paraId="181C1ED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③ Operation duration: determined by age, condition, constitution, and manipulation characteristics. Generally, each acupoint 1‑2 min, total 20‑40 min. For younger, weaker, milder conditions, or strong stimulation, shorten; for older, stronger, severe conditions, extend.</w:t>
      </w:r>
    </w:p>
    <w:p w14:paraId="069E20C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(10) Treatment Intervals and Courses</w:t>
      </w:r>
    </w:p>
    <w:p w14:paraId="29E5D29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rPr>
        <w:t xml:space="preserve"> </w:t>
      </w:r>
      <w:r>
        <w:rPr>
          <w:rFonts w:hint="default" w:ascii="Cambria" w:hAnsi="Cambria" w:cs="Cambria"/>
          <w:sz w:val="24"/>
          <w:szCs w:val="24"/>
        </w:rPr>
        <w:t>The interval between treatments depends on the condition. Generally, once daily. For some conditions, if needed and permitted, twice daily. Acute diseases are treated until recovery. For chronic diseases, 5 days constitute one course, with a 2‑day interval between courses.</w:t>
      </w:r>
    </w:p>
    <w:p w14:paraId="160335D5">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52 Results of options for Treatment Intervals and Courses</w:t>
      </w:r>
    </w:p>
    <w:tbl>
      <w:tblPr>
        <w:tblStyle w:val="81"/>
        <w:tblW w:w="90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9"/>
        <w:gridCol w:w="1235"/>
        <w:gridCol w:w="1266"/>
      </w:tblGrid>
      <w:tr w14:paraId="6F2EA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6589" w:type="dxa"/>
            <w:noWrap w:val="0"/>
            <w:vAlign w:val="top"/>
          </w:tcPr>
          <w:p w14:paraId="7ECE9D2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35" w:type="dxa"/>
            <w:noWrap w:val="0"/>
            <w:vAlign w:val="top"/>
          </w:tcPr>
          <w:p w14:paraId="002A94B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266" w:type="dxa"/>
            <w:noWrap w:val="0"/>
            <w:vAlign w:val="top"/>
          </w:tcPr>
          <w:p w14:paraId="61DF0B8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Proportion</w:t>
            </w:r>
          </w:p>
        </w:tc>
      </w:tr>
      <w:tr w14:paraId="60F4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89" w:type="dxa"/>
            <w:noWrap w:val="0"/>
            <w:vAlign w:val="top"/>
          </w:tcPr>
          <w:p w14:paraId="2621BA2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 xml:space="preserve">Treatment frequency: generally once daily or every other day; for some conditions, if permitted, twice daily; for health maintenance and stable phases, 1–2 times per week. </w:t>
            </w:r>
          </w:p>
        </w:tc>
        <w:tc>
          <w:tcPr>
            <w:tcW w:w="1235" w:type="dxa"/>
            <w:noWrap w:val="0"/>
            <w:vAlign w:val="top"/>
          </w:tcPr>
          <w:p w14:paraId="3A7202F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266" w:type="dxa"/>
            <w:noWrap w:val="0"/>
            <w:vAlign w:val="top"/>
          </w:tcPr>
          <w:p w14:paraId="04B9A30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r>
      <w:tr w14:paraId="7691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89" w:type="dxa"/>
            <w:noWrap w:val="0"/>
            <w:vAlign w:val="top"/>
          </w:tcPr>
          <w:p w14:paraId="1477CD3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Retain the original text of the national standard.                                                                  </w:t>
            </w:r>
          </w:p>
        </w:tc>
        <w:tc>
          <w:tcPr>
            <w:tcW w:w="1235" w:type="dxa"/>
            <w:noWrap w:val="0"/>
            <w:vAlign w:val="top"/>
          </w:tcPr>
          <w:p w14:paraId="790A5CE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266" w:type="dxa"/>
            <w:noWrap w:val="0"/>
            <w:vAlign w:val="top"/>
          </w:tcPr>
          <w:p w14:paraId="14D1C67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7E9A3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89" w:type="dxa"/>
            <w:noWrap w:val="0"/>
            <w:vAlign w:val="top"/>
          </w:tcPr>
          <w:p w14:paraId="511E8E2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Combine the above</w:t>
            </w:r>
            <w:r>
              <w:rPr>
                <w:rFonts w:hint="default" w:ascii="Cambria" w:hAnsi="Cambria" w:cs="Cambria"/>
                <w:sz w:val="24"/>
                <w:szCs w:val="24"/>
              </w:rPr>
              <w:t xml:space="preserve"> contents</w:t>
            </w:r>
            <w:r>
              <w:rPr>
                <w:rFonts w:hint="default" w:ascii="Cambria" w:hAnsi="Cambria" w:cs="Cambria"/>
                <w:sz w:val="24"/>
                <w:szCs w:val="24"/>
                <w:lang w:eastAsia="en-US"/>
              </w:rPr>
              <w:t xml:space="preserve">.                                                                           </w:t>
            </w:r>
          </w:p>
        </w:tc>
        <w:tc>
          <w:tcPr>
            <w:tcW w:w="1235" w:type="dxa"/>
            <w:noWrap w:val="0"/>
            <w:vAlign w:val="top"/>
          </w:tcPr>
          <w:p w14:paraId="6C20BCD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1266" w:type="dxa"/>
            <w:noWrap w:val="0"/>
            <w:vAlign w:val="top"/>
          </w:tcPr>
          <w:p w14:paraId="1149A8F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37.04%</w:t>
            </w:r>
          </w:p>
        </w:tc>
      </w:tr>
    </w:tbl>
    <w:p w14:paraId="7EE1982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1BDE7F7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Standardized texts should avoid mixing Chinese and English when expressing time, dates, etc.; this violates national standardization rules.</w:t>
      </w:r>
    </w:p>
    <w:p w14:paraId="440D9D0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For acute diseases, push consecutively for 3 days as one course. For chronic diseases, 7 days consecutively. For complex conditions, 15 sessions consecutively.</w:t>
      </w:r>
    </w:p>
    <w:p w14:paraId="2894837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③ Use the original text as baseline (“once daily, twice daily if needed, 5 d per course for chronic, 2 d interval”) while incorporating A’s “every other day / 1‑2 times per week for maintenance/stable phases” to facilitate layered clinical implementation.</w:t>
      </w:r>
    </w:p>
    <w:p w14:paraId="5981D45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④ The interval depends on the condition. Acute diseases: generally once daily, twice if needed; until recovery. Chronic: once daily or every other day, 5 days as one course, with a 2‑4 day interval between courses.</w:t>
      </w:r>
    </w:p>
    <w:p w14:paraId="2C8F3A1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⑤ Considering children tend to recover easily, the course length need not be fixed rigidly.</w:t>
      </w:r>
    </w:p>
    <w:p w14:paraId="70F2D63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(11) Commonly Used Media in Pediatric Tuina: A.1 Oils</w:t>
      </w:r>
    </w:p>
    <w:p w14:paraId="2355A18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rPr>
        <w:t xml:space="preserve"> </w:t>
      </w:r>
      <w:r>
        <w:rPr>
          <w:rFonts w:hint="default" w:ascii="Cambria" w:hAnsi="Cambria" w:cs="Cambria"/>
          <w:sz w:val="24"/>
          <w:szCs w:val="24"/>
        </w:rPr>
        <w:t>Edible blended oil, sesame oil, medical liquid paraffin, etc. Suitable for various conditions.</w:t>
      </w:r>
    </w:p>
    <w:p w14:paraId="4F303BD5">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53</w:t>
      </w:r>
      <w:r>
        <w:rPr>
          <w:rFonts w:hint="default" w:ascii="Cambria" w:hAnsi="Cambria" w:cs="Cambria"/>
          <w:sz w:val="24"/>
          <w:szCs w:val="24"/>
          <w:lang w:val="en-US"/>
        </w:rPr>
        <w:t xml:space="preserve"> </w:t>
      </w:r>
      <w:r>
        <w:rPr>
          <w:rFonts w:hint="default" w:ascii="Cambria" w:hAnsi="Cambria" w:cs="Cambria"/>
          <w:sz w:val="24"/>
          <w:szCs w:val="24"/>
        </w:rPr>
        <w:t>Results of options for Commonly Used Media in Pediatric Tuina: A.1 Oils</w:t>
      </w:r>
    </w:p>
    <w:tbl>
      <w:tblPr>
        <w:tblStyle w:val="81"/>
        <w:tblW w:w="91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2"/>
        <w:gridCol w:w="1302"/>
        <w:gridCol w:w="1287"/>
      </w:tblGrid>
      <w:tr w14:paraId="4841C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22" w:type="dxa"/>
            <w:noWrap w:val="0"/>
            <w:vAlign w:val="top"/>
          </w:tcPr>
          <w:p w14:paraId="4D12D8D9">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302" w:type="dxa"/>
            <w:noWrap w:val="0"/>
            <w:vAlign w:val="top"/>
          </w:tcPr>
          <w:p w14:paraId="015ED4A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287" w:type="dxa"/>
            <w:noWrap w:val="0"/>
            <w:vAlign w:val="top"/>
          </w:tcPr>
          <w:p w14:paraId="5DDD4A2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452CA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22" w:type="dxa"/>
            <w:noWrap w:val="0"/>
            <w:vAlign w:val="top"/>
          </w:tcPr>
          <w:p w14:paraId="5857564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A. </w:t>
            </w:r>
            <w:r>
              <w:rPr>
                <w:rFonts w:hint="default" w:ascii="Cambria" w:hAnsi="Cambria" w:cs="Cambria"/>
                <w:sz w:val="24"/>
                <w:szCs w:val="24"/>
              </w:rPr>
              <w:t>Oil massage: oils provide warmth and nutrition for infants, helping weight gain. Studies show coconut oil, sunflower seed oil, synthetic oil, and mineral oil can be used for infant massage. Compared to massage without oil, infants receiving oil massage showed less stress behavior and lower cortisol levels. Thus, oil massage has multiple benefits and is recommended.</w:t>
            </w:r>
          </w:p>
        </w:tc>
        <w:tc>
          <w:tcPr>
            <w:tcW w:w="1302" w:type="dxa"/>
            <w:noWrap w:val="0"/>
            <w:vAlign w:val="top"/>
          </w:tcPr>
          <w:p w14:paraId="64413D4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1287" w:type="dxa"/>
            <w:noWrap w:val="0"/>
            <w:vAlign w:val="top"/>
          </w:tcPr>
          <w:p w14:paraId="7DA650F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3.70%</w:t>
            </w:r>
          </w:p>
        </w:tc>
      </w:tr>
      <w:tr w14:paraId="6E16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22" w:type="dxa"/>
            <w:noWrap w:val="0"/>
            <w:vAlign w:val="top"/>
          </w:tcPr>
          <w:p w14:paraId="3814FF3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B. </w:t>
            </w:r>
            <w:r>
              <w:rPr>
                <w:rFonts w:hint="default" w:ascii="Cambria" w:hAnsi="Cambria" w:cs="Cambria"/>
                <w:sz w:val="24"/>
                <w:szCs w:val="24"/>
              </w:rPr>
              <w:t>Oils: edible sesame oil, edible coconut oil, edible olive oil, infant topical oil, etc. They provide lubrication and moisture, suitable for tuina on all body parts, and can also be used for scraping.</w:t>
            </w:r>
            <w:r>
              <w:rPr>
                <w:rFonts w:hint="default" w:ascii="Cambria" w:hAnsi="Cambria" w:cs="Cambria"/>
                <w:sz w:val="24"/>
                <w:szCs w:val="24"/>
                <w:lang w:eastAsia="en-US"/>
              </w:rPr>
              <w:t xml:space="preserve">                                                                 </w:t>
            </w:r>
          </w:p>
        </w:tc>
        <w:tc>
          <w:tcPr>
            <w:tcW w:w="1302" w:type="dxa"/>
            <w:noWrap w:val="0"/>
            <w:vAlign w:val="top"/>
          </w:tcPr>
          <w:p w14:paraId="30C5F6A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287" w:type="dxa"/>
            <w:noWrap w:val="0"/>
            <w:vAlign w:val="top"/>
          </w:tcPr>
          <w:p w14:paraId="4ACBF40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50F7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22" w:type="dxa"/>
            <w:noWrap w:val="0"/>
            <w:vAlign w:val="top"/>
          </w:tcPr>
          <w:p w14:paraId="3CF7923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C. </w:t>
            </w:r>
            <w:r>
              <w:rPr>
                <w:rFonts w:hint="default" w:ascii="Cambria" w:hAnsi="Cambria" w:cs="Cambria"/>
                <w:sz w:val="24"/>
                <w:szCs w:val="24"/>
              </w:rPr>
              <w:t>Oils: media mainly composed of safe animal/plant oils. Commonly used: sesame oil (edible sesame oil, lubricating and moisturizing, suitable for all body parts, also for scraping); coconut oil (edible coconut oil, same); olive oil (edible olive oil, same).</w:t>
            </w:r>
          </w:p>
        </w:tc>
        <w:tc>
          <w:tcPr>
            <w:tcW w:w="1302" w:type="dxa"/>
            <w:noWrap w:val="0"/>
            <w:vAlign w:val="top"/>
          </w:tcPr>
          <w:p w14:paraId="6022D86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287" w:type="dxa"/>
            <w:noWrap w:val="0"/>
            <w:vAlign w:val="top"/>
          </w:tcPr>
          <w:p w14:paraId="0913843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759A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22" w:type="dxa"/>
            <w:noWrap w:val="0"/>
            <w:vAlign w:val="top"/>
          </w:tcPr>
          <w:p w14:paraId="6377132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Retain the original text of the national standard.</w:t>
            </w:r>
          </w:p>
        </w:tc>
        <w:tc>
          <w:tcPr>
            <w:tcW w:w="1302" w:type="dxa"/>
            <w:noWrap w:val="0"/>
            <w:vAlign w:val="top"/>
          </w:tcPr>
          <w:p w14:paraId="411689F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1287" w:type="dxa"/>
            <w:noWrap w:val="0"/>
            <w:vAlign w:val="top"/>
          </w:tcPr>
          <w:p w14:paraId="0FCDE9C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18.52%</w:t>
            </w:r>
          </w:p>
        </w:tc>
      </w:tr>
      <w:tr w14:paraId="6F900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522" w:type="dxa"/>
            <w:noWrap w:val="0"/>
            <w:vAlign w:val="top"/>
          </w:tcPr>
          <w:p w14:paraId="098E056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E. Combine the above content</w:t>
            </w:r>
            <w:r>
              <w:rPr>
                <w:rFonts w:hint="default" w:ascii="Cambria" w:hAnsi="Cambria" w:cs="Cambria"/>
                <w:sz w:val="24"/>
                <w:szCs w:val="24"/>
                <w:lang w:val="en-US" w:eastAsia="en-US"/>
              </w:rPr>
              <w:t>s</w:t>
            </w:r>
            <w:r>
              <w:rPr>
                <w:rFonts w:hint="default" w:ascii="Cambria" w:hAnsi="Cambria" w:cs="Cambria"/>
                <w:sz w:val="24"/>
                <w:szCs w:val="24"/>
                <w:lang w:eastAsia="en-US"/>
              </w:rPr>
              <w:t>.</w:t>
            </w:r>
          </w:p>
        </w:tc>
        <w:tc>
          <w:tcPr>
            <w:tcW w:w="1302" w:type="dxa"/>
            <w:noWrap w:val="0"/>
            <w:vAlign w:val="top"/>
          </w:tcPr>
          <w:p w14:paraId="64B99FA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1287" w:type="dxa"/>
            <w:noWrap w:val="0"/>
            <w:vAlign w:val="top"/>
          </w:tcPr>
          <w:p w14:paraId="45B7E15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29.63%</w:t>
            </w:r>
          </w:p>
        </w:tc>
      </w:tr>
    </w:tbl>
    <w:p w14:paraId="0CAF8EA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274F272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Talcum powder is recommended.</w:t>
      </w:r>
    </w:p>
    <w:p w14:paraId="767D9D5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Balance evidence‑based (A: infant skin care guidelines, stress reduction and cortisol evidence) with TCM/industry norms (B, C listing safe vegetable oils and applicable areas/manipulations). It is suggested to state in the main text: “Priority should be given to food‑grade or medical‑grade topical oils with simple ingredients and low allergy risk.”</w:t>
      </w:r>
    </w:p>
    <w:p w14:paraId="7D3F02C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③ Media composed mainly of safe animal/plant oils, mineral oils, and synthetic oils, such as sesame oil, coconut oil, olive oil, peanut oil, sunflower seed oil, medical liquid paraffin, etc., with lubricating and moisture‑retaining effects, suitable for tuina on all body parts.</w:t>
      </w:r>
    </w:p>
    <w:p w14:paraId="66CFDEF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(12) Precautions for Safety Assurance in Pediatric Tuina</w:t>
      </w:r>
    </w:p>
    <w:p w14:paraId="1EF21A4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eastAsia="zh-CN"/>
        </w:rPr>
        <w:t>Original wording of the national standard</w:t>
      </w:r>
      <w:r>
        <w:rPr>
          <w:rFonts w:hint="default" w:ascii="Cambria" w:hAnsi="Cambria" w:cs="Cambria"/>
          <w:sz w:val="24"/>
          <w:szCs w:val="24"/>
        </w:rPr>
        <w:t>:</w:t>
      </w:r>
      <w:r>
        <w:rPr>
          <w:rFonts w:hint="default" w:ascii="Cambria" w:hAnsi="Cambria" w:cs="Cambria"/>
          <w:sz w:val="24"/>
          <w:szCs w:val="24"/>
          <w:lang w:val="en-US"/>
        </w:rPr>
        <w:t xml:space="preserve"> </w:t>
      </w:r>
      <w:r>
        <w:rPr>
          <w:rFonts w:hint="default" w:ascii="Cambria" w:hAnsi="Cambria" w:cs="Cambria"/>
          <w:sz w:val="24"/>
          <w:szCs w:val="24"/>
        </w:rPr>
        <w:t>D.3.1 During treatment, the physician and parents should protect the child’s safety to prevent falls from the treatment table; avoid pulling the child’s limbs forcefully to prevent sprains. D.3.2 The child should not eat within 30 minutes after treatment. Those with excessive sweating should be given fluids promptly. D.3.3 Improper manipulation by the physician may abrade the child’s skin; if this occurs, the area should be promptly cleaned and disinfected to prevent infection.</w:t>
      </w:r>
    </w:p>
    <w:p w14:paraId="01800144">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Table 54 Results of options for Precautions for Safety Assurance in Pediatric Tuina</w:t>
      </w:r>
    </w:p>
    <w:tbl>
      <w:tblPr>
        <w:tblStyle w:val="81"/>
        <w:tblW w:w="91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08"/>
        <w:gridCol w:w="1241"/>
        <w:gridCol w:w="1302"/>
      </w:tblGrid>
      <w:tr w14:paraId="6B1B0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8" w:type="dxa"/>
            <w:noWrap w:val="0"/>
            <w:vAlign w:val="top"/>
          </w:tcPr>
          <w:p w14:paraId="404D06F7">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Option</w:t>
            </w:r>
          </w:p>
        </w:tc>
        <w:tc>
          <w:tcPr>
            <w:tcW w:w="1241" w:type="dxa"/>
            <w:noWrap w:val="0"/>
            <w:vAlign w:val="top"/>
          </w:tcPr>
          <w:p w14:paraId="5B10061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Frequency</w:t>
            </w:r>
          </w:p>
        </w:tc>
        <w:tc>
          <w:tcPr>
            <w:tcW w:w="1302" w:type="dxa"/>
            <w:noWrap w:val="0"/>
            <w:vAlign w:val="top"/>
          </w:tcPr>
          <w:p w14:paraId="0638C98E">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Percentage</w:t>
            </w:r>
          </w:p>
        </w:tc>
      </w:tr>
      <w:tr w14:paraId="017B2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8" w:type="dxa"/>
            <w:noWrap w:val="0"/>
            <w:vAlign w:val="top"/>
          </w:tcPr>
          <w:p w14:paraId="5850BFBC">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lang w:eastAsia="en-US"/>
              </w:rPr>
              <w:t xml:space="preserve">A. </w:t>
            </w:r>
            <w:r>
              <w:rPr>
                <w:rFonts w:hint="default" w:ascii="Cambria" w:hAnsi="Cambria" w:cs="Cambria"/>
                <w:sz w:val="24"/>
                <w:szCs w:val="24"/>
              </w:rPr>
              <w:t xml:space="preserve">Precautions: 7.1 The practitioner must be skilled, apply force evenly, with gentle, deep, and steady movements, and master the duration, frequency, and intensity. Generally determined by age, constitution, and condition. Taking 1-year-old as standard, push each acupoint about 2 min (except strong stimulation), about 300 pushes per main acupoint. Under 1 year or weaker: shorten time and reduce counts; over 1 year or stronger: extend time and increase counts. Younger, weaker, deficient patterns: use light force; older, stronger, excess: heavier force. </w:t>
            </w:r>
          </w:p>
          <w:p w14:paraId="368A789A">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7.2 During treatment, the practitioner and parents should protect the child's safety to prevent falls from the treatment table; avoid pulling limbs forcefully to prevent sprains. </w:t>
            </w:r>
          </w:p>
          <w:p w14:paraId="15D7CDBC">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7.3 The child should not eat within 30 min before and after treatment. </w:t>
            </w:r>
          </w:p>
          <w:p w14:paraId="15E1734E">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7.4 Hungry children should not receive tuina. </w:t>
            </w:r>
          </w:p>
          <w:p w14:paraId="14F53F3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7.5 Those with excessive sweating should replenish fluids. </w:t>
            </w:r>
          </w:p>
          <w:p w14:paraId="1E1F1738">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0" w:firstLineChars="0"/>
              <w:jc w:val="both"/>
              <w:textAlignment w:val="auto"/>
              <w:rPr>
                <w:rFonts w:hint="default" w:ascii="Cambria" w:hAnsi="Cambria" w:cs="Cambria"/>
                <w:sz w:val="24"/>
                <w:szCs w:val="24"/>
                <w:lang w:eastAsia="en-US"/>
              </w:rPr>
            </w:pPr>
            <w:r>
              <w:rPr>
                <w:rFonts w:hint="default" w:ascii="Cambria" w:hAnsi="Cambria" w:cs="Cambria"/>
                <w:sz w:val="24"/>
                <w:szCs w:val="24"/>
              </w:rPr>
              <w:t xml:space="preserve">7.6 Avoid cold/raw foods and keep warm. </w:t>
            </w:r>
          </w:p>
        </w:tc>
        <w:tc>
          <w:tcPr>
            <w:tcW w:w="1241" w:type="dxa"/>
            <w:noWrap w:val="0"/>
            <w:vAlign w:val="top"/>
          </w:tcPr>
          <w:p w14:paraId="36AB950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1302" w:type="dxa"/>
            <w:noWrap w:val="0"/>
            <w:vAlign w:val="top"/>
          </w:tcPr>
          <w:p w14:paraId="6B8FF64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18.52%</w:t>
            </w:r>
          </w:p>
        </w:tc>
      </w:tr>
      <w:tr w14:paraId="0A00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8" w:type="dxa"/>
            <w:noWrap w:val="0"/>
            <w:vAlign w:val="top"/>
          </w:tcPr>
          <w:p w14:paraId="185485F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lang w:eastAsia="en-US"/>
              </w:rPr>
              <w:t>B.</w:t>
            </w:r>
            <w:r>
              <w:rPr>
                <w:rFonts w:hint="default" w:ascii="Cambria" w:hAnsi="Cambria" w:cs="Cambria"/>
                <w:sz w:val="24"/>
                <w:szCs w:val="24"/>
              </w:rPr>
              <w:t xml:space="preserve">7.2.4 Post-treatment: </w:t>
            </w:r>
          </w:p>
          <w:p w14:paraId="1CF706B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7.2.4.1 Local skin may show redness, which resolves shortly; this is a normal reaction and generally requires no treatment. </w:t>
            </w:r>
          </w:p>
          <w:p w14:paraId="65FF131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 xml:space="preserve">7.2.4.2 Wipe sweat off the child, keep warm and avoid wind/cold to prevent colds, and avoid cold/raw foods. </w:t>
            </w:r>
          </w:p>
          <w:p w14:paraId="23D05B8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rPr>
              <w:t>7.2.4.3 The practitioner should thoroughly wash or use hand sanitizer to clean hands, maintain hand hygiene to prevent cross-infection.</w:t>
            </w:r>
            <w:r>
              <w:rPr>
                <w:rFonts w:hint="default" w:ascii="Cambria" w:hAnsi="Cambria" w:cs="Cambria"/>
                <w:sz w:val="24"/>
                <w:szCs w:val="24"/>
                <w:lang w:eastAsia="en-US"/>
              </w:rPr>
              <w:t xml:space="preserve">     </w:t>
            </w:r>
          </w:p>
        </w:tc>
        <w:tc>
          <w:tcPr>
            <w:tcW w:w="1241" w:type="dxa"/>
            <w:noWrap w:val="0"/>
            <w:vAlign w:val="top"/>
          </w:tcPr>
          <w:p w14:paraId="2DEAD52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1302" w:type="dxa"/>
            <w:noWrap w:val="0"/>
            <w:vAlign w:val="top"/>
          </w:tcPr>
          <w:p w14:paraId="6CAE6EC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18.52%</w:t>
            </w:r>
          </w:p>
        </w:tc>
      </w:tr>
      <w:tr w14:paraId="509E9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8" w:type="dxa"/>
            <w:noWrap w:val="0"/>
            <w:vAlign w:val="top"/>
          </w:tcPr>
          <w:p w14:paraId="3D642EE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C. Retain the original text of the national standard.</w:t>
            </w:r>
          </w:p>
        </w:tc>
        <w:tc>
          <w:tcPr>
            <w:tcW w:w="1241" w:type="dxa"/>
            <w:noWrap w:val="0"/>
            <w:vAlign w:val="top"/>
          </w:tcPr>
          <w:p w14:paraId="097D027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1302" w:type="dxa"/>
            <w:noWrap w:val="0"/>
            <w:vAlign w:val="top"/>
          </w:tcPr>
          <w:p w14:paraId="6D33DE1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22.22%</w:t>
            </w:r>
          </w:p>
        </w:tc>
      </w:tr>
      <w:tr w14:paraId="5453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608" w:type="dxa"/>
            <w:noWrap w:val="0"/>
            <w:vAlign w:val="top"/>
          </w:tcPr>
          <w:p w14:paraId="70EAF47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D. Combine the above content</w:t>
            </w:r>
            <w:r>
              <w:rPr>
                <w:rFonts w:hint="default" w:ascii="Cambria" w:hAnsi="Cambria" w:cs="Cambria"/>
                <w:sz w:val="24"/>
                <w:szCs w:val="24"/>
                <w:lang w:val="en-US" w:eastAsia="en-US"/>
              </w:rPr>
              <w:t>s</w:t>
            </w:r>
            <w:r>
              <w:rPr>
                <w:rFonts w:hint="default" w:ascii="Cambria" w:hAnsi="Cambria" w:cs="Cambria"/>
                <w:sz w:val="24"/>
                <w:szCs w:val="24"/>
                <w:lang w:eastAsia="en-US"/>
              </w:rPr>
              <w:t>.</w:t>
            </w:r>
          </w:p>
        </w:tc>
        <w:tc>
          <w:tcPr>
            <w:tcW w:w="1241" w:type="dxa"/>
            <w:noWrap w:val="0"/>
            <w:vAlign w:val="top"/>
          </w:tcPr>
          <w:p w14:paraId="6CCDB11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1302" w:type="dxa"/>
            <w:noWrap w:val="0"/>
            <w:vAlign w:val="top"/>
          </w:tcPr>
          <w:p w14:paraId="276B63A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40.74%</w:t>
            </w:r>
          </w:p>
        </w:tc>
      </w:tr>
    </w:tbl>
    <w:p w14:paraId="733056E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宋体" w:cs="Cambria"/>
          <w:sz w:val="24"/>
          <w:szCs w:val="24"/>
          <w:lang w:eastAsia="zh-CN"/>
        </w:rPr>
      </w:pPr>
      <w:r>
        <w:rPr>
          <w:rFonts w:hint="default" w:ascii="Cambria" w:hAnsi="Cambria" w:cs="Cambria"/>
          <w:sz w:val="24"/>
          <w:szCs w:val="24"/>
          <w:lang w:eastAsia="zh-CN"/>
        </w:rPr>
        <w:t>Written expert comments:</w:t>
      </w:r>
    </w:p>
    <w:p w14:paraId="1BD77EE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Delete the sentence: “The child should not eat within 30 minutes after treatment.”</w:t>
      </w:r>
    </w:p>
    <w:p w14:paraId="5D8A634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The sentence “The child should not eat within 30 minutes after treatment” may be retained.</w:t>
      </w:r>
    </w:p>
    <w:p w14:paraId="7B73497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③ One acupoint may be pushed 500 times, depending on the condition and the child’s age.</w:t>
      </w:r>
    </w:p>
    <w:p w14:paraId="6488627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④ The statement “The child should not eat within 30 minutes after treatment” should be deleted; it should be analyzed case‑by‑case, as not all diseases require this restriction.</w:t>
      </w:r>
    </w:p>
    <w:p w14:paraId="6F5D23D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⑤ Use C but delete “The child should not eat within 30 minutes after treatment.”</w:t>
      </w:r>
    </w:p>
    <w:p w14:paraId="173BEE0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⑥ Retain “The child should not eat within 30 minutes after treatment.”</w:t>
      </w:r>
    </w:p>
    <w:p w14:paraId="13DA141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⑦ It is suggested to change “absolute 30‑min fasting” to “avoid large meals and vigorous activity shortly before and after treatment; small amounts of warm water may be given; wipe sweat and keep warm.” At the same time, retain rigid clauses: prevent falls, avoid forceful limb pulling, promptly clean/disinfect abnormal skin; post‑operation cleaning/hand hygiene requirements refer to option B and incorporate into the main text.</w:t>
      </w:r>
    </w:p>
    <w:p w14:paraId="31A4BEE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⑧ The statement “The child should not eat within 30 minutes after treatment” should be deleted.</w:t>
      </w:r>
    </w:p>
    <w:p w14:paraId="2E1BD5E0">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3.3 Summary of open-ended questions</w:t>
      </w:r>
    </w:p>
    <w:p w14:paraId="4180F5ED">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rPr>
      </w:pPr>
      <w:r>
        <w:rPr>
          <w:rFonts w:hint="default" w:ascii="Cambria" w:hAnsi="Cambria" w:cs="Cambria"/>
          <w:sz w:val="24"/>
          <w:szCs w:val="24"/>
        </w:rPr>
        <w:t xml:space="preserve">Table 55 </w:t>
      </w:r>
      <w:r>
        <w:rPr>
          <w:rFonts w:hint="default" w:ascii="Cambria" w:hAnsi="Cambria" w:cs="Cambria"/>
          <w:sz w:val="24"/>
          <w:szCs w:val="24"/>
          <w:lang w:val="en-US"/>
        </w:rPr>
        <w:t>S</w:t>
      </w:r>
      <w:r>
        <w:rPr>
          <w:rFonts w:hint="default" w:ascii="Cambria" w:hAnsi="Cambria" w:cs="Cambria"/>
          <w:sz w:val="24"/>
          <w:szCs w:val="24"/>
        </w:rPr>
        <w:t>ummary of expert comments on open-ended questions</w:t>
      </w:r>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5"/>
        <w:gridCol w:w="6397"/>
      </w:tblGrid>
      <w:tr w14:paraId="71C08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1850" w:type="dxa"/>
            <w:noWrap w:val="0"/>
            <w:vAlign w:val="top"/>
          </w:tcPr>
          <w:p w14:paraId="361ABC1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Theme</w:t>
            </w:r>
          </w:p>
        </w:tc>
        <w:tc>
          <w:tcPr>
            <w:tcW w:w="6672" w:type="dxa"/>
            <w:noWrap w:val="0"/>
            <w:vAlign w:val="top"/>
          </w:tcPr>
          <w:p w14:paraId="08FA6154">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Expert comments</w:t>
            </w:r>
          </w:p>
        </w:tc>
      </w:tr>
      <w:tr w14:paraId="7D63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494ACB68">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Acupoint Location</w:t>
            </w:r>
          </w:p>
        </w:tc>
        <w:tc>
          <w:tcPr>
            <w:tcW w:w="0" w:type="auto"/>
            <w:noWrap w:val="0"/>
            <w:vAlign w:val="top"/>
          </w:tcPr>
          <w:p w14:paraId="2A4CFEE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 xml:space="preserve">It is recommended that the location of the </w:t>
            </w:r>
            <w:r>
              <w:rPr>
                <w:rFonts w:hint="default" w:ascii="Cambria" w:hAnsi="Cambria" w:cs="Cambria"/>
                <w:sz w:val="24"/>
                <w:szCs w:val="24"/>
                <w:lang w:val="en-US" w:eastAsia="en-US"/>
              </w:rPr>
              <w:t>S</w:t>
            </w:r>
            <w:r>
              <w:rPr>
                <w:rFonts w:hint="default" w:ascii="Cambria" w:hAnsi="Cambria" w:cs="Cambria"/>
                <w:sz w:val="24"/>
                <w:szCs w:val="24"/>
                <w:lang w:val="en-US" w:eastAsia="zh-CN"/>
              </w:rPr>
              <w:t xml:space="preserve">hen </w:t>
            </w:r>
            <w:r>
              <w:rPr>
                <w:rFonts w:hint="default" w:ascii="Cambria" w:hAnsi="Cambria" w:cs="Cambria"/>
                <w:sz w:val="24"/>
                <w:szCs w:val="24"/>
                <w:lang w:val="en-US" w:eastAsia="en-US"/>
              </w:rPr>
              <w:t>Jing</w:t>
            </w:r>
            <w:r>
              <w:rPr>
                <w:rFonts w:hint="default" w:ascii="Cambria" w:hAnsi="Cambria" w:cs="Cambria"/>
                <w:sz w:val="24"/>
                <w:szCs w:val="24"/>
                <w:lang w:eastAsia="en-US"/>
              </w:rPr>
              <w:t xml:space="preserve"> be revised to the spiral surface of the distal phalanx of the little finger, or slightly ulnar to the palmar surface of the little finger, forming a straight line from the tip of the little finger to the base of the palm.</w:t>
            </w:r>
          </w:p>
        </w:tc>
      </w:tr>
      <w:tr w14:paraId="78FBD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0" w:type="auto"/>
            <w:noWrap w:val="0"/>
            <w:vAlign w:val="top"/>
          </w:tcPr>
          <w:p w14:paraId="6B564FC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Recommendations</w:t>
            </w:r>
          </w:p>
        </w:tc>
        <w:tc>
          <w:tcPr>
            <w:tcW w:w="0" w:type="auto"/>
            <w:noWrap w:val="0"/>
            <w:vAlign w:val="top"/>
          </w:tcPr>
          <w:p w14:paraId="3392670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lang w:eastAsia="en-US"/>
              </w:rPr>
            </w:pPr>
            <w:r>
              <w:rPr>
                <w:rFonts w:hint="default" w:ascii="Cambria" w:hAnsi="Cambria" w:cs="Cambria"/>
                <w:sz w:val="24"/>
                <w:szCs w:val="24"/>
                <w:lang w:eastAsia="en-US"/>
              </w:rPr>
              <w:t>It is also recommended to thoroughly review relevant ISO and WHO standards and guidelines on pediatric tuina for comparison.</w:t>
            </w:r>
          </w:p>
          <w:p w14:paraId="58D01CD2">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The essence of pediatric tuina should be preserved as much as possible. The spirit of the original author should be respected.</w:t>
            </w:r>
          </w:p>
        </w:tc>
      </w:tr>
    </w:tbl>
    <w:p w14:paraId="3FA4F28E">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IV. Discussion</w:t>
      </w:r>
    </w:p>
    <w:p w14:paraId="65E2C1A4">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 The survey methodology is scientifically rigorous, and the expert panel is internationally authoritative.</w:t>
      </w:r>
    </w:p>
    <w:p w14:paraId="63D741B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international standard expert questionnaire survey strictly followed standardized procedures, with organizational norms and expert representativeness meeting high international standards. The 27 experts from seven global regions formed an authoritative group with profound academic expertise and extensive clinical experience: 92.6% held senior professional titles, 59.3% held doctoral degrees, and the average years of practice exceeded 30 years. This high‑caliber expert composition ensured the professional depth and international breadth of the consultation, providing solid intellectual support for the development of the international standard for pediatric tuina. The 90% valid response rate reflected the high importance and active participation of global experts, ensuring the scientific validity and credibility of the results.</w:t>
      </w:r>
    </w:p>
    <w:p w14:paraId="2B5C57FA">
      <w:pPr>
        <w:numPr>
          <w:ilvl w:val="0"/>
          <w:numId w:val="0"/>
        </w:num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 Broad consensus on technical operation specifications; the main framework of the standard is essentially established.</w:t>
      </w:r>
    </w:p>
    <w:p w14:paraId="0911286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survey showed that experts reached clear consensus on 21 specific items (support rates &gt;50%), which can be directly adopted for the international standard revision. These consensuses form the core system of the international standard for pediatric tuina. Specifically, consensus areas cover three important dimensions:</w:t>
      </w:r>
    </w:p>
    <w:p w14:paraId="0BE6A35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Manipulation specifications: Standardized descriptions for 7 complex compound manipulations (Tapping-Patting Method, Da Ma Guo Tian He (Flicking along the Tianhe), Shui Di Lao Yue (Scooping the Moon from the Water), etc.) were established, with clear technical parameters. For example, Tapping-Patting Method specifies “five fingers together, hollow palm, elbow driving wrist”; Da Ma Guo Tian He (Flicking along the Tianhe)</w:t>
      </w:r>
      <w:r>
        <w:rPr>
          <w:rFonts w:hint="default" w:ascii="Cambria" w:hAnsi="Cambria" w:cs="Cambria"/>
          <w:sz w:val="24"/>
          <w:szCs w:val="24"/>
          <w:lang w:val="en-US" w:eastAsia="zh-CN"/>
        </w:rPr>
        <w:t xml:space="preserve"> </w:t>
      </w:r>
      <w:r>
        <w:rPr>
          <w:rFonts w:hint="default" w:ascii="Cambria" w:hAnsi="Cambria" w:cs="Cambria"/>
          <w:sz w:val="24"/>
          <w:szCs w:val="24"/>
        </w:rPr>
        <w:t>specifies “index and middle fingers dipped in water, flicking 20‑30 times.”</w:t>
      </w:r>
    </w:p>
    <w:p w14:paraId="281C2BD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Acupoint location standards: Locations for 10 core acupoints (Pitu, Siwenheng, Sanguan, etc.) were agreed upon, using precise and reproducible descriptions. For instance, Pitu is located </w:t>
      </w:r>
      <w:r>
        <w:rPr>
          <w:rFonts w:hint="default" w:ascii="Cambria" w:hAnsi="Cambria" w:cs="Cambria"/>
          <w:sz w:val="24"/>
          <w:szCs w:val="24"/>
          <w:lang w:val="en-US"/>
        </w:rPr>
        <w:t xml:space="preserve">on </w:t>
      </w:r>
      <w:r>
        <w:rPr>
          <w:rFonts w:hint="default" w:ascii="Cambria" w:hAnsi="Cambria" w:cs="Cambria"/>
          <w:sz w:val="24"/>
          <w:szCs w:val="24"/>
        </w:rPr>
        <w:t>“</w:t>
      </w:r>
      <w:r>
        <w:rPr>
          <w:rFonts w:hint="default" w:ascii="Cambria" w:hAnsi="Cambria" w:cs="Cambria"/>
          <w:sz w:val="24"/>
          <w:szCs w:val="24"/>
          <w:lang w:val="en-US"/>
        </w:rPr>
        <w:t>p</w:t>
      </w:r>
      <w:r>
        <w:rPr>
          <w:rFonts w:hint="default" w:ascii="Cambria" w:hAnsi="Cambria" w:cs="Cambria"/>
          <w:sz w:val="24"/>
          <w:szCs w:val="24"/>
        </w:rPr>
        <w:t>almar surface of the thumb tip, or along the radial aspect of the thumb from the tip to the base</w:t>
      </w:r>
      <w:r>
        <w:rPr>
          <w:rFonts w:hint="default" w:ascii="Cambria" w:hAnsi="Cambria" w:cs="Cambria"/>
          <w:sz w:val="24"/>
          <w:szCs w:val="24"/>
          <w:lang w:val="en-US"/>
        </w:rPr>
        <w:t>.</w:t>
      </w:r>
      <w:r>
        <w:rPr>
          <w:rFonts w:hint="default" w:ascii="Cambria" w:hAnsi="Cambria" w:cs="Cambria"/>
          <w:sz w:val="24"/>
          <w:szCs w:val="24"/>
        </w:rPr>
        <w:t xml:space="preserve">”; Siwenheng is located </w:t>
      </w:r>
      <w:r>
        <w:rPr>
          <w:rFonts w:hint="default" w:ascii="Cambria" w:hAnsi="Cambria" w:cs="Cambria"/>
          <w:sz w:val="24"/>
          <w:szCs w:val="24"/>
          <w:lang w:val="en-US"/>
        </w:rPr>
        <w:t>on</w:t>
      </w:r>
      <w:r>
        <w:rPr>
          <w:rFonts w:hint="default" w:ascii="Cambria" w:hAnsi="Cambria" w:cs="Cambria"/>
          <w:sz w:val="24"/>
          <w:szCs w:val="24"/>
        </w:rPr>
        <w:t xml:space="preserve"> “</w:t>
      </w:r>
      <w:r>
        <w:rPr>
          <w:rFonts w:hint="default" w:ascii="Cambria" w:hAnsi="Cambria" w:cs="Cambria"/>
          <w:sz w:val="24"/>
          <w:szCs w:val="24"/>
          <w:lang w:val="en-US"/>
        </w:rPr>
        <w:t>t</w:t>
      </w:r>
      <w:r>
        <w:rPr>
          <w:rFonts w:hint="default" w:ascii="Cambria" w:hAnsi="Cambria" w:cs="Cambria"/>
          <w:sz w:val="24"/>
          <w:szCs w:val="24"/>
        </w:rPr>
        <w:t>he transverse creases of the first interphalangeal joints of the index, middle, ring, and little fingers on the palmar aspect.”</w:t>
      </w:r>
    </w:p>
    <w:p w14:paraId="6BD59AC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Auxiliary norms: Unified understandings on media usage, environmental disinfection, and reference selection were also achieved. This indicates that on a large number of specific technical details, the international expert community shares a unified cognitive and practical basis, providing clear guidance for technical implementation.</w:t>
      </w:r>
    </w:p>
    <w:p w14:paraId="1AF295B5">
      <w:pPr>
        <w:numPr>
          <w:ilvl w:val="0"/>
          <w:numId w:val="0"/>
        </w:num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3. Theoretical diversity – balancing academic inclusivity and normative unification.</w:t>
      </w:r>
    </w:p>
    <w:p w14:paraId="263948C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Despite significant consensus on specific operations, the survey also revealed divergent opinions on 12 fundamental and overarching items. These divergences are mainly reflected in four aspects:</w:t>
      </w:r>
    </w:p>
    <w:p w14:paraId="5794A30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Definition of the discipline: Different theoretical interpretations of the essential nature and mechanism of pediatric tuina.</w:t>
      </w:r>
    </w:p>
    <w:p w14:paraId="2BA4A78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Operational principles: Different emphasis on reinforcing‑reducing theory.</w:t>
      </w:r>
    </w:p>
    <w:p w14:paraId="3ABA82A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Time parameters: Different judgments on treatment duration and intervals based on clinical experience.</w:t>
      </w:r>
    </w:p>
    <w:p w14:paraId="2E6B4DC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Safety safeguards: Inconsistent definitions of contraindications and precautions.</w:t>
      </w:r>
    </w:p>
    <w:p w14:paraId="16B4E3D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phenomenon deeply reflects the theoretical diversity and practical variety within pediatric tuina due to different academic schools, lineage systems, regional habits, and clinical experiences. Especially for core theories like reinforcing‑reducing principles, different experts proposed different methods and criteria based on their own clinical experiences, constituting key academic issues that must be carefully handled and integrated during the international standardization process.</w:t>
      </w:r>
    </w:p>
    <w:p w14:paraId="788EE744">
      <w:pPr>
        <w:numPr>
          <w:ilvl w:val="0"/>
          <w:numId w:val="0"/>
        </w:num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4. The standard conversion pathway is clear and the value for international promotion is significant.</w:t>
      </w:r>
    </w:p>
    <w:p w14:paraId="0512EFE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In summary, this questionnaire survey successfully achieved its objectives: it identified directly transferable technical consensuses and precisely pinpointed core issues requiring further discussion. The project outcomes have a clear binary structure: consensus items provide solid building blocks for the draft, while contentious items clearly delineate academic focal areas needing international consensus. The next phase should focus on systematic integration and in‑depth study of the divergent items. The project team, based on comprehensive consideration of option contents and expert textual suggestions, should formulate integrated textual proposals that are scientifically sound, inclusive, and clinically operable, raise specific questions for the draft, and submit these to the subsequent expert validation meeting for focused deliberation. This will maximize the convergence of global expert wisdom, balance traditional essence with international applicability, and ultimately produce a widely accepted international standard that effectively guides global clinical practice.</w:t>
      </w:r>
    </w:p>
    <w:p w14:paraId="012C6BF3">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V. Conclusions and next-step work plan</w:t>
      </w:r>
    </w:p>
    <w:p w14:paraId="790F032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questionnaire provided a key basis for revision of the international standard. High-consistency opinions have been formed for some items, which may be directly incorporated into the revised draft. Items with significant disagreement will be submitted to the subsequent expert consultation meeting for focused discussion. Among these items, many experts selected the option “integrate the above content”. The project group plans to integrate the options and written expert comments and propose new wording for discussion by the expert consultation group.</w:t>
      </w:r>
    </w:p>
    <w:p w14:paraId="65A83B0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next stage of work includes: 1) organizing the draft international standard revised on the basis of this questionnaire; 2) supplementing annex content such as Normative references and Bibliography; 3) holding an expert consultation meeting; and 4) completing the draft text of the international standard.</w:t>
      </w:r>
    </w:p>
    <w:p w14:paraId="372AA37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This study provided a scientific basis for transforming the national standard</w:t>
      </w:r>
      <w:r>
        <w:rPr>
          <w:rFonts w:hint="default" w:ascii="Cambria" w:hAnsi="Cambria" w:cs="Cambria"/>
          <w:sz w:val="24"/>
          <w:szCs w:val="24"/>
          <w:lang w:val="en-US"/>
        </w:rPr>
        <w:t xml:space="preserve"> Specification for operation technologies of traditional Chinese</w:t>
      </w:r>
      <w:r>
        <w:rPr>
          <w:rFonts w:hint="default" w:ascii="Cambria" w:hAnsi="Cambria" w:cs="Cambria"/>
          <w:sz w:val="24"/>
          <w:szCs w:val="24"/>
          <w:lang w:val="en-US" w:eastAsia="zh-CN"/>
        </w:rPr>
        <w:t xml:space="preserve"> </w:t>
      </w:r>
      <w:r>
        <w:rPr>
          <w:rFonts w:hint="default" w:ascii="Cambria" w:hAnsi="Cambria" w:cs="Cambria"/>
          <w:sz w:val="24"/>
          <w:szCs w:val="24"/>
          <w:lang w:val="en-US"/>
        </w:rPr>
        <w:t>medicine</w:t>
      </w:r>
      <w:r>
        <w:rPr>
          <w:rFonts w:hint="default" w:ascii="Cambria" w:hAnsi="Cambria" w:cs="Cambria"/>
          <w:sz w:val="24"/>
          <w:szCs w:val="24"/>
        </w:rPr>
        <w:t xml:space="preserve"> – </w:t>
      </w:r>
      <w:r>
        <w:rPr>
          <w:rFonts w:hint="default" w:ascii="Cambria" w:hAnsi="Cambria" w:cs="Cambria"/>
          <w:sz w:val="24"/>
          <w:szCs w:val="24"/>
          <w:lang w:val="en-US"/>
        </w:rPr>
        <w:t>Pediatrics</w:t>
      </w:r>
      <w:r>
        <w:rPr>
          <w:rFonts w:hint="default" w:ascii="Cambria" w:hAnsi="Cambria" w:cs="Cambria"/>
          <w:sz w:val="24"/>
          <w:szCs w:val="24"/>
        </w:rPr>
        <w:t xml:space="preserve"> – </w:t>
      </w:r>
      <w:r>
        <w:rPr>
          <w:rFonts w:hint="default" w:ascii="Cambria" w:hAnsi="Cambria" w:cs="Cambria"/>
          <w:sz w:val="24"/>
          <w:szCs w:val="24"/>
          <w:lang w:val="en-US"/>
        </w:rPr>
        <w:t>Part 4: Tuina</w:t>
      </w:r>
      <w:r>
        <w:rPr>
          <w:rFonts w:hint="default" w:ascii="Cambria" w:hAnsi="Cambria" w:cs="Cambria"/>
          <w:sz w:val="24"/>
          <w:szCs w:val="24"/>
        </w:rPr>
        <w:t xml:space="preserve"> into an international standard, and will help form a more rigorous, standardized and internationally recognized technical standard for TCM pediatrics.</w:t>
      </w:r>
    </w:p>
    <w:p w14:paraId="51004272">
      <w:pPr>
        <w:spacing w:before="312" w:beforeLines="100" w:line="276" w:lineRule="auto"/>
        <w:rPr>
          <w:rFonts w:hint="default" w:ascii="Cambria" w:hAnsi="Cambria" w:eastAsia="仿宋" w:cs="Cambria"/>
          <w:sz w:val="24"/>
        </w:rPr>
      </w:pPr>
    </w:p>
    <w:p w14:paraId="0C25CFC1">
      <w:pPr>
        <w:spacing w:before="312" w:beforeLines="100" w:line="276" w:lineRule="auto"/>
        <w:rPr>
          <w:rFonts w:hint="default" w:ascii="Cambria" w:hAnsi="Cambria" w:eastAsia="仿宋" w:cs="Cambria"/>
          <w:sz w:val="24"/>
        </w:rPr>
      </w:pPr>
    </w:p>
    <w:p w14:paraId="7E94705F">
      <w:pPr>
        <w:spacing w:before="312" w:beforeLines="100" w:line="276" w:lineRule="auto"/>
        <w:rPr>
          <w:rFonts w:hint="default" w:ascii="Cambria" w:hAnsi="Cambria" w:eastAsia="仿宋" w:cs="Cambria"/>
          <w:sz w:val="24"/>
        </w:rPr>
      </w:pPr>
    </w:p>
    <w:p w14:paraId="1D27E4B2">
      <w:pPr>
        <w:spacing w:before="312" w:beforeLines="100" w:line="276" w:lineRule="auto"/>
        <w:rPr>
          <w:rFonts w:hint="default" w:ascii="Cambria" w:hAnsi="Cambria" w:eastAsia="仿宋" w:cs="Cambria"/>
          <w:sz w:val="24"/>
        </w:rPr>
      </w:pPr>
    </w:p>
    <w:p w14:paraId="3F95AF82">
      <w:pPr>
        <w:keepNext w:val="0"/>
        <w:keepLines w:val="0"/>
        <w:spacing w:before="312" w:beforeLines="100" w:after="312" w:afterLines="100" w:line="276" w:lineRule="auto"/>
        <w:jc w:val="left"/>
        <w:outlineLvl w:val="0"/>
        <w:rPr>
          <w:rFonts w:hint="default" w:ascii="Cambria" w:hAnsi="Cambria" w:eastAsia="仿宋" w:cs="Cambria"/>
          <w:b/>
          <w:sz w:val="30"/>
          <w:szCs w:val="30"/>
        </w:rPr>
        <w:sectPr>
          <w:type w:val="continuous"/>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4E0448E">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center"/>
        <w:textAlignment w:val="auto"/>
        <w:outlineLvl w:val="0"/>
        <w:rPr>
          <w:rFonts w:hint="default" w:ascii="Cambria" w:hAnsi="Cambria" w:cs="Cambria"/>
          <w:b/>
          <w:bCs/>
          <w:sz w:val="32"/>
          <w:szCs w:val="32"/>
        </w:rPr>
      </w:pPr>
      <w:r>
        <w:rPr>
          <w:rFonts w:hint="default" w:ascii="Cambria" w:hAnsi="Cambria" w:cs="Cambria"/>
          <w:b/>
          <w:bCs/>
          <w:sz w:val="32"/>
          <w:szCs w:val="32"/>
        </w:rPr>
        <w:t>Appendix 2 Minutes of the Expert Demonstration Meeting</w:t>
      </w:r>
    </w:p>
    <w:p w14:paraId="2D686D0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Meeting time: 3 December 2025, 19:00–21:00</w:t>
      </w:r>
    </w:p>
    <w:p w14:paraId="305CF3F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Meeting venue: Nanjing, China, conducted through a combination of offline and online participation</w:t>
      </w:r>
    </w:p>
    <w:p w14:paraId="628316B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Nature of the meeting: Expert consultation meeting on the transformation of the national standard GB/Z 40893.</w:t>
      </w:r>
      <w:r>
        <w:rPr>
          <w:rFonts w:hint="default" w:ascii="Cambria" w:hAnsi="Cambria" w:cs="Cambria"/>
          <w:sz w:val="24"/>
          <w:szCs w:val="24"/>
          <w:lang w:val="en-US"/>
        </w:rPr>
        <w:t>4</w:t>
      </w:r>
      <w:r>
        <w:rPr>
          <w:rFonts w:hint="default" w:ascii="Cambria" w:hAnsi="Cambria" w:cs="Cambria"/>
          <w:sz w:val="24"/>
          <w:szCs w:val="24"/>
        </w:rPr>
        <w:t>—2021 into a World Federation of Chinese Medicine Societies (WFCMS) international standard</w:t>
      </w:r>
    </w:p>
    <w:p w14:paraId="7683B46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Participants:</w:t>
      </w:r>
    </w:p>
    <w:p w14:paraId="4F7DC91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Project working group: Group leader Wang Shouchuan (Nanjing University of Chinese Medicine) and members of the project groups.</w:t>
      </w:r>
    </w:p>
    <w:p w14:paraId="483D717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sz w:val="24"/>
          <w:szCs w:val="24"/>
        </w:rPr>
      </w:pPr>
      <w:r>
        <w:rPr>
          <w:rFonts w:hint="default" w:ascii="Cambria" w:hAnsi="Cambria" w:cs="Cambria"/>
          <w:sz w:val="24"/>
          <w:szCs w:val="24"/>
        </w:rPr>
        <w:t>Expert consultation group: Group leader: Ding Ying (Henan University of Chinese Medicine). Members, listed in order of the number of strokes in their surnames: Wan Lisheng (Shenzhen Children’s Hospital), Ma Rong (First Teaching Hospital of Tianjin University of Traditional Chinese Medicine), Wang Youpeng (Second Affiliated Hospital of Heilongjiang University of Chinese Medicine), Wang Lili (Department of International Standards, World Federation of Chinese Medicine Societies), Wang Sumei (Dongfang Hospital, Beijing University of Chinese Medicine), Shi Zhenggang (Gansu University of Chinese Medicine), Liu Jianzhong (Hubei University of Chinese Medicine), Yu Jian’er (Shanghai University of Traditional Chinese Medicine), Xiong Lei (Yunnan University of Chinese Medicine), Zhang Baoqing (Affiliated Hospital of Shandong University of Traditional Chinese Medicine), Yu Jian (Children’s Hospital of Fudan University), and Dai Qigang (Nanjing University of Chinese Medicine).</w:t>
      </w:r>
    </w:p>
    <w:p w14:paraId="14CC1C58">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I. Background of the meeting and basis of work</w:t>
      </w:r>
    </w:p>
    <w:p w14:paraId="0A8F76C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This expert consultation meeting was a key milestone meeting for the international standard transformation project International standardized manipulations of Chinese medicine Pediatrics Part </w:t>
      </w:r>
      <w:r>
        <w:rPr>
          <w:rFonts w:hint="default" w:ascii="Cambria" w:hAnsi="Cambria" w:cs="Cambria"/>
          <w:sz w:val="24"/>
          <w:szCs w:val="24"/>
          <w:lang w:val="en-US"/>
        </w:rPr>
        <w:t>4</w:t>
      </w:r>
      <w:r>
        <w:rPr>
          <w:rFonts w:hint="default" w:ascii="Cambria" w:hAnsi="Cambria" w:cs="Cambria"/>
          <w:sz w:val="24"/>
          <w:szCs w:val="24"/>
        </w:rPr>
        <w:t xml:space="preserve">: Pediatric-Tuina. To improve meeting efficiency and the scientific validity of decision-making, the project group sent the complete set of consultation meeting materials to all consultation experts before the meeting. These materials included the Summary Report of the Expert Questionnaire Survey for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the Letter for Solicitation of Comments for the Expert Consultation Meeting on </w:t>
      </w:r>
      <w:r>
        <w:rPr>
          <w:rFonts w:hint="default" w:ascii="Cambria" w:hAnsi="Cambria" w:cs="Cambria"/>
          <w:sz w:val="24"/>
          <w:szCs w:val="24"/>
          <w:lang w:val="en-US"/>
        </w:rPr>
        <w:t>International standardized manipulations of Chinese medicine Pediatrics Part 4: Pediatric-Tuina</w:t>
      </w:r>
      <w:r>
        <w:rPr>
          <w:rFonts w:hint="default" w:ascii="Cambria" w:hAnsi="Cambria" w:cs="Cambria"/>
          <w:sz w:val="24"/>
          <w:szCs w:val="24"/>
        </w:rPr>
        <w:t xml:space="preserve">, including </w:t>
      </w:r>
      <w:r>
        <w:rPr>
          <w:rFonts w:hint="default" w:ascii="Cambria" w:hAnsi="Cambria" w:cs="Cambria"/>
          <w:sz w:val="24"/>
          <w:szCs w:val="24"/>
          <w:lang w:val="en-US"/>
        </w:rPr>
        <w:t>12</w:t>
      </w:r>
      <w:r>
        <w:rPr>
          <w:rFonts w:hint="default" w:ascii="Cambria" w:hAnsi="Cambria" w:cs="Cambria"/>
          <w:sz w:val="24"/>
          <w:szCs w:val="24"/>
        </w:rPr>
        <w:t xml:space="preserve"> core controversial items, open-ended questions and integrated recommendations from the project group, and the original national standard text GB/Z 40893.</w:t>
      </w:r>
      <w:r>
        <w:rPr>
          <w:rFonts w:hint="default" w:ascii="Cambria" w:hAnsi="Cambria" w:cs="Cambria"/>
          <w:sz w:val="24"/>
          <w:szCs w:val="24"/>
          <w:lang w:val="en-US"/>
        </w:rPr>
        <w:t>4</w:t>
      </w:r>
      <w:r>
        <w:rPr>
          <w:rFonts w:hint="default" w:ascii="Cambria" w:hAnsi="Cambria" w:cs="Cambria"/>
          <w:sz w:val="24"/>
          <w:szCs w:val="24"/>
        </w:rPr>
        <w:t xml:space="preserve">—2021 </w:t>
      </w:r>
      <w:r>
        <w:rPr>
          <w:rFonts w:hint="default" w:ascii="Cambria" w:hAnsi="Cambria" w:cs="Cambria"/>
          <w:sz w:val="24"/>
          <w:szCs w:val="24"/>
          <w:lang w:val="en-US"/>
        </w:rPr>
        <w:t>Specification for operation technologies of traditional Chinese</w:t>
      </w:r>
      <w:r>
        <w:rPr>
          <w:rFonts w:hint="default" w:ascii="Cambria" w:hAnsi="Cambria" w:cs="Cambria"/>
          <w:sz w:val="24"/>
          <w:szCs w:val="24"/>
          <w:lang w:val="en-US" w:eastAsia="zh-CN"/>
        </w:rPr>
        <w:t xml:space="preserve"> </w:t>
      </w:r>
      <w:r>
        <w:rPr>
          <w:rFonts w:hint="default" w:ascii="Cambria" w:hAnsi="Cambria" w:cs="Cambria"/>
          <w:sz w:val="24"/>
          <w:szCs w:val="24"/>
          <w:lang w:val="en-US"/>
        </w:rPr>
        <w:t>medicine</w:t>
      </w:r>
      <w:r>
        <w:rPr>
          <w:rFonts w:hint="default" w:ascii="Cambria" w:hAnsi="Cambria" w:cs="Cambria"/>
          <w:sz w:val="24"/>
          <w:szCs w:val="24"/>
        </w:rPr>
        <w:t xml:space="preserve"> – </w:t>
      </w:r>
      <w:r>
        <w:rPr>
          <w:rFonts w:hint="default" w:ascii="Cambria" w:hAnsi="Cambria" w:cs="Cambria"/>
          <w:sz w:val="24"/>
          <w:szCs w:val="24"/>
          <w:lang w:val="en-US"/>
        </w:rPr>
        <w:t>Pediatrics</w:t>
      </w:r>
      <w:r>
        <w:rPr>
          <w:rFonts w:hint="default" w:ascii="Cambria" w:hAnsi="Cambria" w:cs="Cambria"/>
          <w:sz w:val="24"/>
          <w:szCs w:val="24"/>
        </w:rPr>
        <w:t xml:space="preserve"> – </w:t>
      </w:r>
      <w:r>
        <w:rPr>
          <w:rFonts w:hint="default" w:ascii="Cambria" w:hAnsi="Cambria" w:cs="Cambria"/>
          <w:sz w:val="24"/>
          <w:szCs w:val="24"/>
          <w:lang w:val="en-US"/>
        </w:rPr>
        <w:t>Part 4: Tuina</w:t>
      </w:r>
      <w:r>
        <w:rPr>
          <w:rFonts w:hint="default" w:ascii="Cambria" w:hAnsi="Cambria" w:cs="Cambria"/>
          <w:sz w:val="24"/>
          <w:szCs w:val="24"/>
        </w:rPr>
        <w:t>.</w:t>
      </w:r>
    </w:p>
    <w:p w14:paraId="60F6C9B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meeting adopted a three-stage working model of “pre-meeting correspondence review + in-meeting consultation + post-meeting written confirmation”. Before the meeting, the experts had independently reviewed and preliminarily scored the items based on the contents of the letter for solicitation of comments. During the meeting, focused discussion was conducted on key controversial issues. Within one week after the meeting, before 10 December, the experts returned their written comment letters to the project group mailbox, ensuring that each expert’s final opinions were fully recorded.</w:t>
      </w:r>
    </w:p>
    <w:p w14:paraId="5412D4B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rPr>
      </w:pPr>
      <w:r>
        <w:rPr>
          <w:rFonts w:hint="default" w:ascii="Cambria" w:hAnsi="Cambria" w:cs="Cambria"/>
          <w:sz w:val="24"/>
          <w:szCs w:val="24"/>
        </w:rPr>
        <w:t>These minutes integrate both the on-site discussion records and the written letters for solicitation of comments returned by 13 experts. They systematically summarize the consultation process, expert scoring results, revision recommendations and final resolutions for each controversial item and open-ended recommendation. As an important component of the Explanatory Notes on the Development of the Standard, they are submitted to the Department of International Standards of the World Federation of Chinese Medicine Societies for review</w:t>
      </w:r>
      <w:r>
        <w:rPr>
          <w:rFonts w:hint="default" w:ascii="Cambria" w:hAnsi="Cambria" w:cs="Cambria"/>
          <w:sz w:val="24"/>
          <w:szCs w:val="24"/>
          <w:lang w:val="en-US"/>
        </w:rPr>
        <w:t>.</w:t>
      </w:r>
    </w:p>
    <w:p w14:paraId="0CBCE9DB">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II. Project work report</w:t>
      </w:r>
    </w:p>
    <w:p w14:paraId="077E459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Professor Wang Shouchuan, project leader, first introduced the background of the project. This transformation work originated from the Chinese national standard issued in 2021. Its core objective is to form a scientifically valid, safe and operable draft international standard through rigorous evidence-based research and international benchmarking, thereby promoting the standardized application of internal administration techniques in TCM pediatrics worldwide.</w:t>
      </w:r>
    </w:p>
    <w:p w14:paraId="546597D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val="en-US"/>
        </w:rPr>
        <w:t>G</w:t>
      </w:r>
      <w:r>
        <w:rPr>
          <w:rFonts w:hint="default" w:ascii="Cambria" w:hAnsi="Cambria" w:cs="Cambria"/>
          <w:sz w:val="24"/>
          <w:szCs w:val="24"/>
          <w:lang w:val="en-US" w:eastAsia="zh-CN"/>
        </w:rPr>
        <w:t xml:space="preserve">u </w:t>
      </w:r>
      <w:r>
        <w:rPr>
          <w:rFonts w:hint="default" w:ascii="Cambria" w:hAnsi="Cambria" w:cs="Cambria"/>
          <w:sz w:val="24"/>
          <w:szCs w:val="24"/>
          <w:lang w:val="en-US"/>
        </w:rPr>
        <w:t>Yunye</w:t>
      </w:r>
      <w:r>
        <w:rPr>
          <w:rFonts w:hint="default" w:ascii="Cambria" w:hAnsi="Cambria" w:cs="Cambria"/>
          <w:sz w:val="24"/>
          <w:szCs w:val="24"/>
        </w:rPr>
        <w:t xml:space="preserve">, secretary of the project group, reported to the experts on the progress of the preliminary work, and, based on the results of the expert questionnaire survey, focused on introducing and explaining the </w:t>
      </w:r>
      <w:r>
        <w:rPr>
          <w:rFonts w:hint="default" w:ascii="Cambria" w:hAnsi="Cambria" w:cs="Cambria"/>
          <w:sz w:val="24"/>
          <w:szCs w:val="24"/>
          <w:lang w:val="en-US"/>
        </w:rPr>
        <w:t>12</w:t>
      </w:r>
      <w:r>
        <w:rPr>
          <w:rFonts w:hint="default" w:ascii="Cambria" w:hAnsi="Cambria" w:cs="Cambria"/>
          <w:sz w:val="24"/>
          <w:szCs w:val="24"/>
        </w:rPr>
        <w:t xml:space="preserve"> core controversial items and open-ended comments.</w:t>
      </w:r>
    </w:p>
    <w:p w14:paraId="5277B58C">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III. Resolutions on controversial items</w:t>
      </w:r>
    </w:p>
    <w:p w14:paraId="16ADBF5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Before the meeting, the experts had received the letter for solicitation of comments, the preliminary summary report of the expert questionnaire survey, and the electronic version of the original national standard, and had carefully reviewed the controversial items and open-ended comments. During the meeting, the experts actively expressed their views. Overall, they affirmed the integrated recommendations proposed by the project working group, and considered that the technical scheme was relatively mature and could serve as the basis for transformation into an international standard. The experts carefully discussed specific clauses and put forward the following consultation opinions.</w:t>
      </w:r>
    </w:p>
    <w:p w14:paraId="7AC4E15C">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1: Definition of “Pediatric Tuina”</w:t>
      </w:r>
    </w:p>
    <w:p w14:paraId="1BA7849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1.1 Original text of the letter for solicitation of comments</w:t>
      </w:r>
    </w:p>
    <w:p w14:paraId="17AB67F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32F2819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 non‑pharmacological therapeutic method that uses various tuina manipulations on the meridians and acupoints on the child’s body surface to regulate yin‑yang and visceral functions, strengthen the body’s resistance and eliminate pathogenic factors, dredge the meridians, and harmonize qi and blood, thereby achieving therapeutic and preventive effects.</w:t>
      </w:r>
    </w:p>
    <w:p w14:paraId="0A1FD193">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6C024C8A">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An external TCM therapy in which, after applying the four diagnostic examinations and syndrome differentiation for pediatric diseases, the physician or practitioner, following a tuina prescription, applies various tuina manipulations on the meridians and acupoints on the child’s body surface to regulate yin‑yang and visceral functions, strengthen the body’s resistance and eliminate pathogenic factors, dredge the meridians, and harmonize qi and blood, thereby achieving therapeutic and preventive effects.</w:t>
      </w:r>
    </w:p>
    <w:p w14:paraId="07FC10D8">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1.2 Expert consultation opinions</w:t>
      </w:r>
    </w:p>
    <w:p w14:paraId="2AA02F03">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7E3F0970">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lang w:val="en-US"/>
        </w:rPr>
        <w:t>F</w:t>
      </w:r>
      <w:r>
        <w:rPr>
          <w:rFonts w:hint="default" w:ascii="Cambria" w:hAnsi="Cambria" w:cs="Cambria"/>
          <w:sz w:val="24"/>
          <w:szCs w:val="24"/>
          <w:lang w:val="en-US" w:eastAsia="zh-CN"/>
        </w:rPr>
        <w:t>our</w:t>
      </w:r>
      <w:r>
        <w:rPr>
          <w:rFonts w:hint="default" w:ascii="Cambria" w:hAnsi="Cambria" w:cs="Cambria"/>
          <w:sz w:val="24"/>
          <w:szCs w:val="24"/>
        </w:rPr>
        <w:t xml:space="preserve"> experts</w:t>
      </w:r>
      <w:r>
        <w:rPr>
          <w:rFonts w:hint="default" w:ascii="Cambria" w:hAnsi="Cambria" w:cs="Cambria"/>
          <w:sz w:val="24"/>
          <w:szCs w:val="24"/>
          <w:lang w:val="en-US"/>
        </w:rPr>
        <w:t>,</w:t>
      </w:r>
      <w:r>
        <w:rPr>
          <w:rFonts w:hint="default" w:ascii="Cambria" w:hAnsi="Cambria" w:cs="Cambria"/>
          <w:sz w:val="24"/>
          <w:szCs w:val="24"/>
        </w:rPr>
        <w:t xml:space="preserve"> Wang Lili</w:t>
      </w:r>
      <w:r>
        <w:rPr>
          <w:rFonts w:hint="default" w:ascii="Cambria" w:hAnsi="Cambria" w:cs="Cambria"/>
          <w:sz w:val="24"/>
          <w:szCs w:val="24"/>
          <w:lang w:val="en-US"/>
        </w:rPr>
        <w:t xml:space="preserve">, </w:t>
      </w:r>
      <w:r>
        <w:rPr>
          <w:rFonts w:hint="default" w:ascii="Cambria" w:hAnsi="Cambria" w:cs="Cambria"/>
          <w:sz w:val="24"/>
          <w:szCs w:val="24"/>
        </w:rPr>
        <w:t>Shi Zhenggang</w:t>
      </w:r>
      <w:r>
        <w:rPr>
          <w:rFonts w:hint="default" w:ascii="Cambria" w:hAnsi="Cambria" w:cs="Cambria"/>
          <w:sz w:val="24"/>
          <w:szCs w:val="24"/>
          <w:lang w:val="en-US"/>
        </w:rPr>
        <w:t xml:space="preserve">, </w:t>
      </w:r>
      <w:r>
        <w:rPr>
          <w:rFonts w:hint="default" w:ascii="Cambria" w:hAnsi="Cambria" w:cs="Cambria"/>
          <w:sz w:val="24"/>
          <w:szCs w:val="24"/>
        </w:rPr>
        <w:t>Zhang Baoqing</w:t>
      </w:r>
      <w:r>
        <w:rPr>
          <w:rFonts w:hint="default" w:ascii="Cambria" w:hAnsi="Cambria" w:cs="Cambria"/>
          <w:sz w:val="24"/>
          <w:szCs w:val="24"/>
          <w:lang w:val="en-US"/>
        </w:rPr>
        <w:t xml:space="preserve"> and </w:t>
      </w:r>
      <w:r>
        <w:rPr>
          <w:rFonts w:hint="default" w:ascii="Cambria" w:hAnsi="Cambria" w:cs="Cambria"/>
          <w:sz w:val="24"/>
          <w:szCs w:val="24"/>
        </w:rPr>
        <w:t>Dai Qigang</w:t>
      </w:r>
      <w:r>
        <w:rPr>
          <w:rFonts w:hint="default" w:ascii="Cambria" w:hAnsi="Cambria" w:cs="Cambria"/>
          <w:sz w:val="24"/>
          <w:szCs w:val="24"/>
          <w:lang w:val="en-US"/>
        </w:rPr>
        <w:t xml:space="preserve">, </w:t>
      </w:r>
      <w:r>
        <w:rPr>
          <w:rFonts w:hint="default" w:ascii="Cambria" w:hAnsi="Cambria" w:cs="Cambria"/>
          <w:sz w:val="24"/>
          <w:szCs w:val="24"/>
        </w:rPr>
        <w:t>partially agreed (1 point/optional), 9 experts fully agreed (2 points/required)</w:t>
      </w:r>
      <w:r>
        <w:rPr>
          <w:rFonts w:hint="default" w:ascii="Cambria" w:hAnsi="Cambria" w:cs="Cambria"/>
          <w:sz w:val="24"/>
          <w:szCs w:val="24"/>
          <w:lang w:val="en-US"/>
        </w:rPr>
        <w:t xml:space="preserve">, </w:t>
      </w:r>
      <w:r>
        <w:rPr>
          <w:rFonts w:hint="default" w:ascii="Cambria" w:hAnsi="Cambria" w:cs="Cambria"/>
          <w:sz w:val="24"/>
          <w:szCs w:val="24"/>
        </w:rPr>
        <w:t>with a support rate of 69.2%.</w:t>
      </w:r>
    </w:p>
    <w:p w14:paraId="2C06D266">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70EEE1AD">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Wang Lili: Definition too long; suggested revision: “An external TCM therapy in which the physician or </w:t>
      </w:r>
      <w:r>
        <w:rPr>
          <w:rFonts w:hint="default" w:ascii="Cambria" w:hAnsi="Cambria" w:cs="Cambria"/>
          <w:sz w:val="24"/>
          <w:szCs w:val="24"/>
          <w:lang w:val="en-US"/>
        </w:rPr>
        <w:t>practitioner</w:t>
      </w:r>
      <w:r>
        <w:rPr>
          <w:rFonts w:hint="default" w:ascii="Cambria" w:hAnsi="Cambria" w:cs="Cambria"/>
          <w:sz w:val="24"/>
          <w:szCs w:val="24"/>
        </w:rPr>
        <w:t xml:space="preserve">, following a tuina prescription, applies tuina manipulations on the meridians and acupoints on the child’s body surface to dredge meridians, harmonize qi and blood, balance yin and yang, and enhance the child’s own disease resistance.” </w:t>
      </w:r>
    </w:p>
    <w:p w14:paraId="5503829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Shi Zhenggang: Use “various manipulations” instead of “tuina manipulations” to avoid tautology. </w:t>
      </w:r>
    </w:p>
    <w:p w14:paraId="7896880D">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Zhang Baoqing: It is suggested to revise the definition as follows: “A TCM external therapy in which, after applying the four diagnostic examinations and syndrome differentiation for the disease in children (or pediatric patients), the physician or </w:t>
      </w:r>
      <w:r>
        <w:rPr>
          <w:rFonts w:hint="default" w:ascii="Cambria" w:hAnsi="Cambria" w:cs="Cambria"/>
          <w:sz w:val="24"/>
          <w:szCs w:val="24"/>
          <w:lang w:val="en-US"/>
        </w:rPr>
        <w:t>practitioner</w:t>
      </w:r>
      <w:r>
        <w:rPr>
          <w:rFonts w:hint="default" w:ascii="Cambria" w:hAnsi="Cambria" w:cs="Cambria"/>
          <w:sz w:val="24"/>
          <w:szCs w:val="24"/>
        </w:rPr>
        <w:t xml:space="preserve">, following a tuina prescription, applies various tuina manipulations on the meridians and acupoints on the child’s body surface to regulate yin‑yang and visceral functions, strengthen the body’s resistance and eliminate pathogenic factors, dredge the meridians, harmonize qi and blood, thereby achieving therapeutic and preventive effects.” </w:t>
      </w:r>
    </w:p>
    <w:p w14:paraId="777D592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Dai Qigang: Change “physician or practitioner” to “practitioner”; delete “tuina” from the manipulation description; change “regulate” to “harmonize.”</w:t>
      </w:r>
    </w:p>
    <w:p w14:paraId="2A53DDD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1.3 Project Team Resolution</w:t>
      </w:r>
    </w:p>
    <w:p w14:paraId="37B3CA1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Adopt expert opinions; revise the definition to avoid tautology and ensure conciseness.</w:t>
      </w:r>
    </w:p>
    <w:p w14:paraId="2002016E">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2: Environment</w:t>
      </w:r>
    </w:p>
    <w:p w14:paraId="1EEE71B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 Original text of the letter for solicitation of comments</w:t>
      </w:r>
    </w:p>
    <w:p w14:paraId="027A4531">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337D6FE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environment should be clean and hygienic; the room should be quiet, at a suitable temperature, and protected from drafts and cold.</w:t>
      </w:r>
    </w:p>
    <w:p w14:paraId="6D5C023A">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0FAAF4B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environment should be clean and hygienic, regularly disinfected, quiet, draft-free, protected from strong light, with suitable temperature and adequate ventilation.</w:t>
      </w:r>
    </w:p>
    <w:p w14:paraId="6B1A5B5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 Expert consultation opinions</w:t>
      </w:r>
    </w:p>
    <w:p w14:paraId="648D6DF8">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5E5620C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All 13 experts unanimously agreed (2 points / mandatory), with a support rate of 100%.</w:t>
      </w:r>
    </w:p>
    <w:p w14:paraId="2A4080AC">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7F8B0B2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No specific revision recommendation.</w:t>
      </w:r>
    </w:p>
    <w:p w14:paraId="27868DC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 Project Team Resolution</w:t>
      </w:r>
    </w:p>
    <w:p w14:paraId="7361BAF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textAlignment w:val="auto"/>
        <w:rPr>
          <w:rFonts w:hint="default" w:ascii="Cambria" w:hAnsi="Cambria" w:eastAsia="仿宋" w:cs="Cambria"/>
          <w:sz w:val="21"/>
          <w:szCs w:val="21"/>
        </w:rPr>
      </w:pPr>
      <w:r>
        <w:rPr>
          <w:rFonts w:hint="default" w:ascii="Cambria" w:hAnsi="Cambria" w:cs="Cambria"/>
          <w:sz w:val="24"/>
          <w:szCs w:val="24"/>
        </w:rPr>
        <w:t>Maintain the project team proposal.</w:t>
      </w:r>
    </w:p>
    <w:p w14:paraId="7A822ED0">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3: Positioning</w:t>
      </w:r>
    </w:p>
    <w:p w14:paraId="2C3EB79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3.1 Original text of the letter for solicitation of comments</w:t>
      </w:r>
    </w:p>
    <w:p w14:paraId="05752579">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791684AE">
      <w:pPr>
        <w:keepNext w:val="0"/>
        <w:keepLines w:val="0"/>
        <w:pageBreakBefore w:val="0"/>
        <w:widowControl w:val="0"/>
        <w:kinsoku/>
        <w:wordWrap/>
        <w:overflowPunct/>
        <w:topLinePunct w:val="0"/>
        <w:autoSpaceDE/>
        <w:autoSpaceDN/>
        <w:bidi w:val="0"/>
        <w:adjustRightInd w:val="0"/>
        <w:snapToGrid/>
        <w:spacing w:after="0" w:line="276" w:lineRule="auto"/>
        <w:ind w:firstLine="480" w:firstLineChars="200"/>
        <w:textAlignment w:val="auto"/>
        <w:rPr>
          <w:rFonts w:hint="default" w:ascii="Cambria" w:hAnsi="Cambria" w:cs="Cambria"/>
          <w:sz w:val="24"/>
          <w:szCs w:val="24"/>
        </w:rPr>
      </w:pPr>
      <w:r>
        <w:rPr>
          <w:rFonts w:hint="default" w:ascii="Cambria" w:hAnsi="Cambria" w:cs="Cambria"/>
          <w:sz w:val="24"/>
          <w:szCs w:val="24"/>
        </w:rPr>
        <w:t>Choose a treatment position that is comfortable for the child, allows exposure of the operative area, and facilitates the physician’s manipulation, such as sitting, supine, side‑lying, or prone.</w:t>
      </w:r>
    </w:p>
    <w:p w14:paraId="6FD6DF38">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46C885B5">
      <w:pPr>
        <w:keepNext w:val="0"/>
        <w:keepLines w:val="0"/>
        <w:pageBreakBefore w:val="0"/>
        <w:widowControl w:val="0"/>
        <w:kinsoku/>
        <w:wordWrap/>
        <w:overflowPunct/>
        <w:topLinePunct w:val="0"/>
        <w:autoSpaceDE/>
        <w:autoSpaceDN/>
        <w:bidi w:val="0"/>
        <w:adjustRightInd/>
        <w:snapToGrid/>
        <w:spacing w:after="0" w:line="276" w:lineRule="auto"/>
        <w:ind w:firstLine="420" w:firstLineChars="200"/>
        <w:jc w:val="both"/>
        <w:textAlignment w:val="auto"/>
        <w:rPr>
          <w:rFonts w:hint="default" w:ascii="Cambria" w:hAnsi="Cambria" w:eastAsia="仿宋" w:cs="Cambria"/>
          <w:kern w:val="0"/>
          <w:sz w:val="21"/>
          <w:szCs w:val="21"/>
        </w:rPr>
      </w:pPr>
      <w:r>
        <w:rPr>
          <w:rFonts w:hint="default" w:ascii="Cambria" w:hAnsi="Cambria" w:eastAsia="仿宋" w:cs="Cambria"/>
          <w:kern w:val="0"/>
          <w:sz w:val="21"/>
          <w:szCs w:val="21"/>
        </w:rPr>
        <w:t xml:space="preserve"> </w:t>
      </w:r>
      <w:r>
        <w:rPr>
          <w:rFonts w:hint="default" w:ascii="Cambria" w:hAnsi="Cambria" w:cs="Cambria"/>
          <w:sz w:val="24"/>
          <w:szCs w:val="24"/>
        </w:rPr>
        <w:t>Choose a comfortable and relaxed treatment position that allows exposure of the area to be manipulated and cooperation from the child, based on the child’s age and treatment needs. Options include sitting, supine, lateral, prone, or being held (front-hold, back-hold, side-hold).</w:t>
      </w:r>
    </w:p>
    <w:p w14:paraId="3CC717D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3.2 Expert consultation opinions</w:t>
      </w:r>
    </w:p>
    <w:p w14:paraId="4A49670A">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2C2966C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One expert, Wang Lili, partially agreed (1 point/optional)</w:t>
      </w:r>
      <w:r>
        <w:rPr>
          <w:rFonts w:hint="default" w:ascii="Cambria" w:hAnsi="Cambria" w:cs="Cambria"/>
          <w:sz w:val="24"/>
          <w:szCs w:val="24"/>
          <w:lang w:val="en-US"/>
        </w:rPr>
        <w:t>;</w:t>
      </w:r>
      <w:r>
        <w:rPr>
          <w:rFonts w:hint="default" w:ascii="Cambria" w:hAnsi="Cambria" w:cs="Cambria"/>
          <w:sz w:val="24"/>
          <w:szCs w:val="24"/>
        </w:rPr>
        <w:t xml:space="preserve"> one expert, Dai Qigang, did not make a selection</w:t>
      </w:r>
      <w:r>
        <w:rPr>
          <w:rFonts w:hint="default" w:ascii="Cambria" w:hAnsi="Cambria" w:cs="Cambria"/>
          <w:sz w:val="24"/>
          <w:szCs w:val="24"/>
          <w:lang w:val="en-US"/>
        </w:rPr>
        <w:t>;</w:t>
      </w:r>
      <w:r>
        <w:rPr>
          <w:rFonts w:hint="default" w:ascii="Cambria" w:hAnsi="Cambria" w:cs="Cambria"/>
          <w:sz w:val="24"/>
          <w:szCs w:val="24"/>
        </w:rPr>
        <w:t xml:space="preserve"> 11 fully agreed (2 points/required)</w:t>
      </w:r>
      <w:r>
        <w:rPr>
          <w:rFonts w:hint="default" w:ascii="Cambria" w:hAnsi="Cambria" w:cs="Cambria"/>
          <w:sz w:val="24"/>
          <w:szCs w:val="24"/>
          <w:lang w:val="en-US"/>
        </w:rPr>
        <w:t xml:space="preserve">, </w:t>
      </w:r>
      <w:r>
        <w:rPr>
          <w:rFonts w:hint="default" w:ascii="Cambria" w:hAnsi="Cambria" w:cs="Cambria"/>
          <w:sz w:val="24"/>
          <w:szCs w:val="24"/>
        </w:rPr>
        <w:t>with a support rate of 84.6%.</w:t>
      </w:r>
    </w:p>
    <w:p w14:paraId="22461B5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56AAF30A">
      <w:pPr>
        <w:spacing w:line="276" w:lineRule="auto"/>
        <w:ind w:firstLine="480" w:firstLineChars="200"/>
        <w:rPr>
          <w:rFonts w:hint="default" w:ascii="Cambria" w:hAnsi="Cambria" w:cs="Cambria"/>
          <w:sz w:val="24"/>
          <w:szCs w:val="24"/>
          <w:lang w:val="en-US"/>
        </w:rPr>
      </w:pPr>
      <w:r>
        <w:rPr>
          <w:rFonts w:hint="default" w:ascii="Cambria" w:hAnsi="Cambria" w:cs="Cambria"/>
          <w:sz w:val="24"/>
          <w:szCs w:val="24"/>
        </w:rPr>
        <w:t xml:space="preserve">Wang Lili: </w:t>
      </w:r>
      <w:r>
        <w:rPr>
          <w:rFonts w:hint="default" w:ascii="Cambria" w:hAnsi="Cambria" w:cs="Cambria"/>
          <w:sz w:val="24"/>
          <w:szCs w:val="24"/>
          <w:lang w:val="en-US"/>
        </w:rPr>
        <w:t>C</w:t>
      </w:r>
      <w:r>
        <w:rPr>
          <w:rFonts w:hint="default" w:ascii="Cambria" w:hAnsi="Cambria" w:cs="Cambria"/>
          <w:sz w:val="24"/>
          <w:szCs w:val="24"/>
        </w:rPr>
        <w:t>hange “child” to “patient”</w:t>
      </w:r>
      <w:r>
        <w:rPr>
          <w:rFonts w:hint="default" w:ascii="Cambria" w:hAnsi="Cambria" w:cs="Cambria"/>
          <w:sz w:val="24"/>
          <w:szCs w:val="24"/>
          <w:lang w:val="en-US"/>
        </w:rPr>
        <w:t>.</w:t>
      </w:r>
    </w:p>
    <w:p w14:paraId="5FB47E0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 xml:space="preserve">Dai Qigang: It is suggested to revise the wording to: </w:t>
      </w:r>
      <w:r>
        <w:rPr>
          <w:rFonts w:hint="default" w:ascii="Cambria" w:hAnsi="Cambria" w:cs="Cambria"/>
          <w:sz w:val="24"/>
          <w:szCs w:val="24"/>
          <w:lang w:val="en-US"/>
        </w:rPr>
        <w:t>“</w:t>
      </w:r>
      <w:r>
        <w:rPr>
          <w:rFonts w:hint="default" w:ascii="Cambria" w:hAnsi="Cambria" w:cs="Cambria"/>
          <w:sz w:val="24"/>
          <w:szCs w:val="24"/>
        </w:rPr>
        <w:t xml:space="preserve">Choose an appropriate position that is comfortable for the pediatric patient, allows exposure of the operative area, and facilitates the </w:t>
      </w:r>
      <w:r>
        <w:rPr>
          <w:rFonts w:hint="default" w:ascii="Cambria" w:hAnsi="Cambria" w:cs="Cambria"/>
          <w:sz w:val="24"/>
          <w:szCs w:val="24"/>
          <w:lang w:val="en-US"/>
        </w:rPr>
        <w:t>practitioner</w:t>
      </w:r>
      <w:r>
        <w:rPr>
          <w:rFonts w:hint="default" w:ascii="Cambria" w:hAnsi="Cambria" w:cs="Cambria"/>
          <w:sz w:val="24"/>
          <w:szCs w:val="24"/>
        </w:rPr>
        <w:t>'s manipulation.</w:t>
      </w:r>
      <w:r>
        <w:rPr>
          <w:rFonts w:hint="default" w:ascii="Cambria" w:hAnsi="Cambria" w:cs="Cambria"/>
          <w:sz w:val="24"/>
          <w:szCs w:val="24"/>
          <w:lang w:val="en-US"/>
        </w:rPr>
        <w:t>”</w:t>
      </w:r>
      <w:r>
        <w:rPr>
          <w:rFonts w:hint="default" w:ascii="Cambria" w:hAnsi="Cambria" w:cs="Cambria"/>
          <w:sz w:val="24"/>
          <w:szCs w:val="24"/>
        </w:rPr>
        <w:t xml:space="preserve"> As trained professionals, </w:t>
      </w:r>
      <w:r>
        <w:rPr>
          <w:rFonts w:hint="default" w:ascii="Cambria" w:hAnsi="Cambria" w:cs="Cambria"/>
          <w:sz w:val="24"/>
          <w:szCs w:val="24"/>
          <w:lang w:val="en-US"/>
        </w:rPr>
        <w:t>practitioner</w:t>
      </w:r>
      <w:r>
        <w:rPr>
          <w:rFonts w:hint="default" w:ascii="Cambria" w:hAnsi="Cambria" w:cs="Cambria"/>
          <w:sz w:val="24"/>
          <w:szCs w:val="24"/>
        </w:rPr>
        <w:t>s should be able to select suitable positions based on the individual patient and the specific treatment setting.</w:t>
      </w:r>
    </w:p>
    <w:p w14:paraId="34F6E28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3.3 Project Team Resolution</w:t>
      </w:r>
    </w:p>
    <w:p w14:paraId="7065714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sz w:val="21"/>
          <w:szCs w:val="21"/>
        </w:rPr>
      </w:pPr>
      <w:r>
        <w:rPr>
          <w:rFonts w:hint="default" w:ascii="Cambria" w:hAnsi="Cambria" w:cs="Cambria"/>
          <w:sz w:val="24"/>
          <w:szCs w:val="24"/>
        </w:rPr>
        <w:t>Adopt expert opinions</w:t>
      </w:r>
      <w:r>
        <w:rPr>
          <w:rFonts w:hint="default" w:ascii="Cambria" w:hAnsi="Cambria" w:cs="Cambria"/>
          <w:sz w:val="24"/>
          <w:szCs w:val="24"/>
          <w:lang w:val="en-US"/>
        </w:rPr>
        <w:t xml:space="preserve">; </w:t>
      </w:r>
      <w:r>
        <w:rPr>
          <w:rFonts w:hint="default" w:ascii="Cambria" w:hAnsi="Cambria" w:cs="Cambria"/>
          <w:sz w:val="24"/>
          <w:szCs w:val="24"/>
        </w:rPr>
        <w:t xml:space="preserve">this document shall uniformly use the terms </w:t>
      </w:r>
      <w:r>
        <w:rPr>
          <w:rFonts w:hint="default" w:ascii="Cambria" w:hAnsi="Cambria" w:cs="Cambria"/>
          <w:sz w:val="24"/>
          <w:szCs w:val="24"/>
          <w:lang w:val="en-US"/>
        </w:rPr>
        <w:t>“</w:t>
      </w:r>
      <w:r>
        <w:rPr>
          <w:rFonts w:hint="default" w:ascii="Cambria" w:hAnsi="Cambria" w:cs="Cambria"/>
          <w:sz w:val="24"/>
          <w:szCs w:val="24"/>
        </w:rPr>
        <w:t>practitioner</w:t>
      </w:r>
      <w:r>
        <w:rPr>
          <w:rFonts w:hint="default" w:ascii="Cambria" w:hAnsi="Cambria" w:cs="Cambria"/>
          <w:sz w:val="24"/>
          <w:szCs w:val="24"/>
          <w:lang w:val="en-US"/>
        </w:rPr>
        <w:t>”</w:t>
      </w:r>
      <w:r>
        <w:rPr>
          <w:rFonts w:hint="default" w:ascii="Cambria" w:hAnsi="Cambria" w:cs="Cambria"/>
          <w:sz w:val="24"/>
          <w:szCs w:val="24"/>
        </w:rPr>
        <w:t xml:space="preserve"> and </w:t>
      </w:r>
      <w:r>
        <w:rPr>
          <w:rFonts w:hint="default" w:ascii="Cambria" w:hAnsi="Cambria" w:cs="Cambria"/>
          <w:sz w:val="24"/>
          <w:szCs w:val="24"/>
          <w:lang w:val="en-US"/>
        </w:rPr>
        <w:t>“</w:t>
      </w:r>
      <w:r>
        <w:rPr>
          <w:rFonts w:hint="default" w:ascii="Cambria" w:hAnsi="Cambria" w:cs="Cambria"/>
          <w:sz w:val="24"/>
          <w:szCs w:val="24"/>
        </w:rPr>
        <w:t>child</w:t>
      </w:r>
      <w:r>
        <w:rPr>
          <w:rFonts w:hint="default" w:ascii="Cambria" w:hAnsi="Cambria" w:cs="Cambria"/>
          <w:sz w:val="24"/>
          <w:szCs w:val="24"/>
          <w:lang w:val="en-US"/>
        </w:rPr>
        <w:t>”</w:t>
      </w:r>
      <w:r>
        <w:rPr>
          <w:rFonts w:hint="default" w:ascii="Cambria" w:hAnsi="Cambria" w:cs="Cambria"/>
          <w:sz w:val="24"/>
          <w:szCs w:val="24"/>
        </w:rPr>
        <w:t xml:space="preserve"> throughout, which aligns with the definition of pediatric tuina, broadens the scope of application of this document, and ensures consistency in terminology across the entire text.</w:t>
      </w:r>
    </w:p>
    <w:p w14:paraId="3AB90ECB">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4: Practitioner</w:t>
      </w:r>
    </w:p>
    <w:p w14:paraId="4BF9EA9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4.1 Original text of the letter for solicitation of comments</w:t>
      </w:r>
    </w:p>
    <w:p w14:paraId="7EB0A8B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23C174D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textAlignment w:val="auto"/>
        <w:rPr>
          <w:rFonts w:hint="default" w:ascii="Cambria" w:hAnsi="Cambria" w:eastAsia="仿宋" w:cs="Cambria"/>
          <w:sz w:val="21"/>
          <w:szCs w:val="21"/>
        </w:rPr>
      </w:pPr>
      <w:r>
        <w:rPr>
          <w:rFonts w:hint="default" w:ascii="Cambria" w:hAnsi="Cambria" w:cs="Cambria"/>
          <w:sz w:val="24"/>
          <w:szCs w:val="24"/>
        </w:rPr>
        <w:t>Before operation, the physician’s fingernails must be trimmed, and freshly clipped nails should be smoothed with a nail file. Wash hands thoroughly with soap or hand cleanser. Media may be applied according to the pattern. During operation, the physician’s hands should be warm, the mind focused, the attitude amiable, and the child’s cooperation should be sought.</w:t>
      </w:r>
      <w:r>
        <w:rPr>
          <w:rFonts w:hint="default" w:ascii="Cambria" w:hAnsi="Cambria" w:eastAsia="仿宋" w:cs="Cambria"/>
          <w:sz w:val="21"/>
          <w:szCs w:val="21"/>
        </w:rPr>
        <w:t xml:space="preserve"> </w:t>
      </w:r>
    </w:p>
    <w:p w14:paraId="6235172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16DBF62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b/>
          <w:bCs/>
          <w:sz w:val="21"/>
          <w:szCs w:val="21"/>
        </w:rPr>
      </w:pPr>
      <w:r>
        <w:rPr>
          <w:rFonts w:hint="default" w:ascii="Cambria" w:hAnsi="Cambria" w:cs="Cambria"/>
          <w:sz w:val="24"/>
          <w:szCs w:val="24"/>
        </w:rPr>
        <w:t xml:space="preserve">The </w:t>
      </w:r>
      <w:r>
        <w:rPr>
          <w:rFonts w:hint="default" w:ascii="Cambria" w:hAnsi="Cambria" w:cs="Cambria"/>
          <w:sz w:val="24"/>
          <w:szCs w:val="24"/>
          <w:lang w:val="en-US"/>
        </w:rPr>
        <w:t>practitioner</w:t>
      </w:r>
      <w:r>
        <w:rPr>
          <w:rFonts w:hint="default" w:ascii="Cambria" w:hAnsi="Cambria" w:cs="Cambria"/>
          <w:sz w:val="24"/>
          <w:szCs w:val="24"/>
        </w:rPr>
        <w:t xml:space="preserve"> should be a physician or a person qualified to perform pediatric tuina techniques. Before operation, the </w:t>
      </w:r>
      <w:r>
        <w:rPr>
          <w:rFonts w:hint="default" w:ascii="Cambria" w:hAnsi="Cambria" w:cs="Cambria"/>
          <w:sz w:val="24"/>
          <w:szCs w:val="24"/>
          <w:lang w:val="en-US"/>
        </w:rPr>
        <w:t>practitioner</w:t>
      </w:r>
      <w:r>
        <w:rPr>
          <w:rFonts w:hint="default" w:ascii="Cambria" w:hAnsi="Cambria" w:cs="Cambria"/>
          <w:sz w:val="24"/>
          <w:szCs w:val="24"/>
        </w:rPr>
        <w:t xml:space="preserve"> should remove hand and wrist ornaments that may affect tuina, trim and file nails. Before starting, inquire whether the child has any relevant conditions that require caution in tuina. Wash hands thoroughly with soap or hand cleanser, and disinfect with a medical antiseptic. Media may be applied according to the pattern. During operation, the practitioner’s hands should be warm, the mind focused, the attitude amiable, and the child’s cooperation should be sought.</w:t>
      </w:r>
      <w:r>
        <w:rPr>
          <w:rFonts w:hint="default" w:ascii="Cambria" w:hAnsi="Cambria" w:eastAsia="仿宋" w:cs="Cambria"/>
          <w:b/>
          <w:bCs/>
          <w:sz w:val="21"/>
          <w:szCs w:val="21"/>
        </w:rPr>
        <w:t xml:space="preserve"> </w:t>
      </w:r>
    </w:p>
    <w:p w14:paraId="23A5FA4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4.2 Expert consultation opinions</w:t>
      </w:r>
    </w:p>
    <w:p w14:paraId="43E915E5">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7FE695E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textAlignment w:val="auto"/>
        <w:rPr>
          <w:rFonts w:hint="default" w:ascii="Cambria" w:hAnsi="Cambria" w:cs="Cambria"/>
          <w:sz w:val="24"/>
          <w:szCs w:val="24"/>
        </w:rPr>
      </w:pPr>
      <w:r>
        <w:rPr>
          <w:rFonts w:hint="default" w:ascii="Cambria" w:hAnsi="Cambria" w:cs="Cambria"/>
          <w:sz w:val="24"/>
          <w:szCs w:val="24"/>
        </w:rPr>
        <w:t>Three experts</w:t>
      </w:r>
      <w:r>
        <w:rPr>
          <w:rFonts w:hint="default" w:ascii="Cambria" w:hAnsi="Cambria" w:cs="Cambria"/>
          <w:sz w:val="24"/>
          <w:szCs w:val="24"/>
          <w:lang w:val="en-US"/>
        </w:rPr>
        <w:t xml:space="preserve">, </w:t>
      </w:r>
      <w:r>
        <w:rPr>
          <w:rFonts w:hint="default" w:ascii="Cambria" w:hAnsi="Cambria" w:cs="Cambria"/>
          <w:sz w:val="24"/>
          <w:szCs w:val="24"/>
        </w:rPr>
        <w:t>Wang Lili, Shi Zhenggang, and Zhang Baoqing</w:t>
      </w:r>
      <w:r>
        <w:rPr>
          <w:rFonts w:hint="default" w:ascii="Cambria" w:hAnsi="Cambria" w:cs="Cambria"/>
          <w:sz w:val="24"/>
          <w:szCs w:val="24"/>
          <w:lang w:val="en-US"/>
        </w:rPr>
        <w:t xml:space="preserve">, </w:t>
      </w:r>
      <w:r>
        <w:rPr>
          <w:rFonts w:hint="default" w:ascii="Cambria" w:hAnsi="Cambria" w:cs="Cambria"/>
          <w:sz w:val="24"/>
          <w:szCs w:val="24"/>
        </w:rPr>
        <w:t>partially agreed (1 point/optional), 10 experts fully agreed (2 points/required), with a support rate of</w:t>
      </w:r>
      <w:r>
        <w:rPr>
          <w:rFonts w:hint="default" w:ascii="Cambria" w:hAnsi="Cambria" w:cs="Cambria"/>
          <w:sz w:val="24"/>
          <w:szCs w:val="24"/>
          <w:lang w:val="en-US"/>
        </w:rPr>
        <w:t xml:space="preserve"> </w:t>
      </w:r>
      <w:r>
        <w:rPr>
          <w:rFonts w:hint="default" w:ascii="Cambria" w:hAnsi="Cambria" w:cs="Cambria"/>
          <w:sz w:val="24"/>
          <w:szCs w:val="24"/>
        </w:rPr>
        <w:t>76.9%.</w:t>
      </w:r>
    </w:p>
    <w:p w14:paraId="0B493649">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39BC73D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rPr>
      </w:pPr>
      <w:r>
        <w:rPr>
          <w:rFonts w:hint="default" w:ascii="Cambria" w:hAnsi="Cambria" w:cs="Cambria"/>
          <w:sz w:val="24"/>
          <w:szCs w:val="24"/>
        </w:rPr>
        <w:t>Wang Lili:</w:t>
      </w:r>
      <w:r>
        <w:rPr>
          <w:rFonts w:hint="default" w:ascii="Cambria" w:hAnsi="Cambria" w:cs="Cambria"/>
          <w:sz w:val="24"/>
          <w:szCs w:val="24"/>
          <w:lang w:val="en-US"/>
        </w:rPr>
        <w:t xml:space="preserve"> </w:t>
      </w:r>
      <w:r>
        <w:rPr>
          <w:rFonts w:hint="default" w:ascii="Cambria" w:hAnsi="Cambria" w:cs="Cambria"/>
          <w:sz w:val="24"/>
          <w:szCs w:val="24"/>
        </w:rPr>
        <w:t xml:space="preserve">① Focus on the technical operational procedures; issues regarding personnel qualifications are not the focus of this standard. ② Standardize and unify the terminology (same issue as above). Therefore, it is suggested to revise as follows: “Before operation, the </w:t>
      </w:r>
      <w:r>
        <w:rPr>
          <w:rFonts w:hint="default" w:ascii="Cambria" w:hAnsi="Cambria" w:cs="Cambria"/>
          <w:sz w:val="24"/>
          <w:szCs w:val="24"/>
          <w:lang w:val="en-US"/>
        </w:rPr>
        <w:t>practitioner</w:t>
      </w:r>
      <w:r>
        <w:rPr>
          <w:rFonts w:hint="default" w:ascii="Cambria" w:hAnsi="Cambria" w:cs="Cambria"/>
          <w:sz w:val="24"/>
          <w:szCs w:val="24"/>
        </w:rPr>
        <w:t xml:space="preserve"> should remove hand and wrist ornaments that may interfere with tuina, and trim and file nails. Before starting, the practitioner should inquire whether the child has any relevant conditions that require caution in tuina. Wash hands thoroughly with soap or hand cleanser and disinfect with a medical antiseptic. Media may be applied according to the pattern. During manipulation, the practitioner’s hands should be warm, the mind focused, the attitude amiable, and the child’s cooperation should be sought.”</w:t>
      </w:r>
      <w:r>
        <w:rPr>
          <w:rFonts w:hint="default" w:ascii="Cambria" w:hAnsi="Cambria" w:cs="Cambria"/>
          <w:sz w:val="24"/>
          <w:szCs w:val="24"/>
          <w:lang w:val="en-US"/>
        </w:rPr>
        <w:t xml:space="preserve">       </w:t>
      </w:r>
    </w:p>
    <w:p w14:paraId="39FF19F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Shi Zhenggang:</w:t>
      </w:r>
      <w:r>
        <w:rPr>
          <w:rFonts w:hint="default" w:ascii="Cambria" w:hAnsi="Cambria" w:cs="Cambria"/>
          <w:sz w:val="24"/>
          <w:szCs w:val="24"/>
          <w:lang w:val="en-US"/>
        </w:rPr>
        <w:t xml:space="preserve"> </w:t>
      </w:r>
      <w:r>
        <w:rPr>
          <w:rFonts w:hint="default" w:ascii="Cambria" w:hAnsi="Cambria" w:cs="Cambria"/>
          <w:sz w:val="24"/>
          <w:szCs w:val="24"/>
        </w:rPr>
        <w:t>The terms “operator,” “physician,” “doctor,” and “qualified personnel” should be clearly defined and unified to ensure consistency throughout the document.</w:t>
      </w:r>
    </w:p>
    <w:p w14:paraId="2DB1A6C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Zhang Baoqing:</w:t>
      </w:r>
      <w:r>
        <w:rPr>
          <w:rFonts w:hint="default" w:ascii="Cambria" w:hAnsi="Cambria" w:cs="Cambria"/>
          <w:sz w:val="24"/>
          <w:szCs w:val="24"/>
          <w:lang w:val="en-US"/>
        </w:rPr>
        <w:t xml:space="preserve"> </w:t>
      </w:r>
      <w:r>
        <w:rPr>
          <w:rFonts w:hint="default" w:ascii="Cambria" w:hAnsi="Cambria" w:cs="Cambria"/>
          <w:sz w:val="24"/>
          <w:szCs w:val="24"/>
        </w:rPr>
        <w:t xml:space="preserve">Delete the requirements regarding personnel qualifications, and revise as follows: “Before tuina, the practitioner should first inquire whether the child has any relevant conditions that require caution in tuina; at the start of treatment, after hand disinfection, the practitioner may apply media according to the pattern; the practitioner’s hands should be warm, the attitude amiable, the child’s cooperation should be sought, and the operator should maintain focused attention.” </w:t>
      </w:r>
    </w:p>
    <w:p w14:paraId="678B1575">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4.3 Project Team Resolution</w:t>
      </w:r>
    </w:p>
    <w:p w14:paraId="05A83D8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Adopt expert opinions</w:t>
      </w:r>
      <w:r>
        <w:rPr>
          <w:rFonts w:hint="default" w:ascii="Cambria" w:hAnsi="Cambria" w:cs="Cambria"/>
          <w:sz w:val="24"/>
          <w:szCs w:val="24"/>
          <w:lang w:val="en-US"/>
        </w:rPr>
        <w:t xml:space="preserve">; </w:t>
      </w:r>
      <w:r>
        <w:rPr>
          <w:rFonts w:hint="default" w:ascii="Cambria" w:hAnsi="Cambria" w:cs="Cambria"/>
          <w:sz w:val="24"/>
          <w:szCs w:val="24"/>
        </w:rPr>
        <w:t>the wording has been further streamlined, the requirements regarding personnel qualifications have been removed, and uniform terminology has been maintained throughout the document.</w:t>
      </w:r>
    </w:p>
    <w:p w14:paraId="18E5CAEA">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5: Rotating Pushing</w:t>
      </w:r>
    </w:p>
    <w:p w14:paraId="1A6C49D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5.1 Original text of the letter for solicitation of comments</w:t>
      </w:r>
    </w:p>
    <w:p w14:paraId="12139523">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1D494E8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textAlignment w:val="auto"/>
        <w:rPr>
          <w:rFonts w:hint="default" w:ascii="Cambria" w:hAnsi="Cambria" w:eastAsia="仿宋" w:cs="Cambria"/>
          <w:sz w:val="21"/>
          <w:szCs w:val="21"/>
        </w:rPr>
      </w:pPr>
      <w:r>
        <w:rPr>
          <w:rFonts w:hint="default" w:ascii="Cambria" w:hAnsi="Cambria" w:cs="Cambria"/>
          <w:sz w:val="24"/>
          <w:szCs w:val="24"/>
        </w:rPr>
        <w:t>The physician uses the thumb’s whorled surface to perform clockwise rotational pushing and rubbing on the acupoint.</w:t>
      </w:r>
      <w:r>
        <w:rPr>
          <w:rFonts w:hint="default" w:ascii="Cambria" w:hAnsi="Cambria" w:eastAsia="仿宋" w:cs="Cambria"/>
          <w:sz w:val="21"/>
          <w:szCs w:val="21"/>
        </w:rPr>
        <w:t xml:space="preserve"> </w:t>
      </w:r>
    </w:p>
    <w:p w14:paraId="739F72B8">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1CDC029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sz w:val="21"/>
          <w:szCs w:val="21"/>
        </w:rPr>
      </w:pPr>
      <w:r>
        <w:rPr>
          <w:rFonts w:hint="default" w:ascii="Cambria" w:hAnsi="Cambria" w:cs="Cambria"/>
          <w:sz w:val="24"/>
          <w:szCs w:val="24"/>
        </w:rPr>
        <w:t>The physician uses the thumb’s whorled surface to perform circular rotational pushing on the acupoint, with a frequency typically ranging from 160 to 260 times per minute.</w:t>
      </w:r>
    </w:p>
    <w:p w14:paraId="119C039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5.2 Expert consultation opinions</w:t>
      </w:r>
    </w:p>
    <w:p w14:paraId="55D2195C">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633B92D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Two experts</w:t>
      </w:r>
      <w:r>
        <w:rPr>
          <w:rFonts w:hint="default" w:ascii="Cambria" w:hAnsi="Cambria" w:cs="Cambria"/>
          <w:sz w:val="24"/>
          <w:szCs w:val="24"/>
          <w:lang w:val="en-US"/>
        </w:rPr>
        <w:t xml:space="preserve">, </w:t>
      </w:r>
      <w:r>
        <w:rPr>
          <w:rFonts w:hint="default" w:ascii="Cambria" w:hAnsi="Cambria" w:cs="Cambria"/>
          <w:sz w:val="24"/>
          <w:szCs w:val="24"/>
        </w:rPr>
        <w:t>Wang Lili and Shi Zhenggang</w:t>
      </w:r>
      <w:r>
        <w:rPr>
          <w:rFonts w:hint="default" w:ascii="Cambria" w:hAnsi="Cambria" w:cs="Cambria"/>
          <w:sz w:val="24"/>
          <w:szCs w:val="24"/>
          <w:lang w:val="en-US"/>
        </w:rPr>
        <w:t xml:space="preserve">, </w:t>
      </w:r>
      <w:r>
        <w:rPr>
          <w:rFonts w:hint="default" w:ascii="Cambria" w:hAnsi="Cambria" w:cs="Cambria"/>
          <w:sz w:val="24"/>
          <w:szCs w:val="24"/>
        </w:rPr>
        <w:t>partially agreed (1 point/optional), and 11 experts fully agreed (2 points/required), with a support rate of 84.6%.</w:t>
      </w:r>
    </w:p>
    <w:p w14:paraId="6EDA8A15">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62E6AE5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Wang Lili: Is there literature support for this frequency? Can infants tolerate this intensity?</w:t>
      </w:r>
    </w:p>
    <w:p w14:paraId="1F717D1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b/>
          <w:bCs/>
          <w:sz w:val="21"/>
          <w:szCs w:val="21"/>
        </w:rPr>
      </w:pPr>
      <w:r>
        <w:rPr>
          <w:rFonts w:hint="default" w:ascii="Cambria" w:hAnsi="Cambria" w:cs="Cambria"/>
          <w:sz w:val="24"/>
          <w:szCs w:val="24"/>
        </w:rPr>
        <w:t>Shi Zhenggang: Change “physician” to “practitioner.”</w:t>
      </w:r>
      <w:r>
        <w:rPr>
          <w:rFonts w:hint="default" w:ascii="Cambria" w:hAnsi="Cambria" w:eastAsia="仿宋" w:cs="Cambria"/>
          <w:b/>
          <w:bCs/>
          <w:sz w:val="21"/>
          <w:szCs w:val="21"/>
        </w:rPr>
        <w:t xml:space="preserve"> </w:t>
      </w:r>
    </w:p>
    <w:p w14:paraId="7C473E2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5.3 Project Team Resolution</w:t>
      </w:r>
    </w:p>
    <w:p w14:paraId="61993912">
      <w:pPr>
        <w:spacing w:line="276" w:lineRule="auto"/>
        <w:ind w:firstLine="480" w:firstLineChars="200"/>
        <w:jc w:val="both"/>
        <w:rPr>
          <w:rFonts w:hint="default" w:ascii="Cambria" w:hAnsi="Cambria" w:cs="Cambria"/>
          <w:sz w:val="24"/>
          <w:szCs w:val="24"/>
        </w:rPr>
      </w:pPr>
      <w:r>
        <w:rPr>
          <w:rFonts w:hint="default" w:ascii="Cambria" w:hAnsi="Cambria" w:cs="Cambria"/>
          <w:sz w:val="24"/>
          <w:szCs w:val="24"/>
        </w:rPr>
        <w:t>The operational frequency was referenced from the T/CEMA 022‑2025 Technical Operation Standard of Dong Medicine Children Massage. Therefore, the project team’s proposal was essentially adopted, while ensuring uniform terminology throughout the document.</w:t>
      </w:r>
    </w:p>
    <w:p w14:paraId="6E493079">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6: Pressing Manipulation</w:t>
      </w:r>
    </w:p>
    <w:p w14:paraId="3B9BC3E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6.1 Original text of the letter for solicitation of comments</w:t>
      </w:r>
    </w:p>
    <w:p w14:paraId="6CE25353">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41CD06D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physician uses the thumb tip, middle fingertip, or palm center to press gradually downward on a specific acupoint. The manipulation should be gentle, with uniform and coordinated speed, and appropriate pressure.</w:t>
      </w:r>
    </w:p>
    <w:p w14:paraId="75323229">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3E9CC33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b/>
          <w:bCs/>
          <w:sz w:val="21"/>
          <w:szCs w:val="21"/>
        </w:rPr>
      </w:pPr>
      <w:r>
        <w:rPr>
          <w:rFonts w:hint="default" w:ascii="Cambria" w:hAnsi="Cambria" w:cs="Cambria"/>
          <w:sz w:val="24"/>
          <w:szCs w:val="24"/>
        </w:rPr>
        <w:t>The physician</w:t>
      </w:r>
      <w:r>
        <w:rPr>
          <w:rFonts w:hint="default" w:ascii="Cambria" w:hAnsi="Cambria" w:cs="Cambria"/>
          <w:sz w:val="24"/>
          <w:szCs w:val="24"/>
          <w:lang w:val="en-US"/>
        </w:rPr>
        <w:t xml:space="preserve"> </w:t>
      </w:r>
      <w:r>
        <w:rPr>
          <w:rFonts w:hint="default" w:ascii="Cambria" w:hAnsi="Cambria" w:cs="Cambria"/>
          <w:sz w:val="24"/>
          <w:szCs w:val="24"/>
        </w:rPr>
        <w:t>uses fingers, palm root, or thenar eminence to apply pressure vertically, gradually increasing from light to heavy, on a specific acupoint or area. After pressing and holding momentarily, gradually release from heavy to light.</w:t>
      </w:r>
      <w:r>
        <w:rPr>
          <w:rFonts w:hint="default" w:ascii="Cambria" w:hAnsi="Cambria" w:eastAsia="仿宋" w:cs="Cambria"/>
          <w:b/>
          <w:bCs/>
          <w:sz w:val="21"/>
          <w:szCs w:val="21"/>
        </w:rPr>
        <w:t xml:space="preserve"> </w:t>
      </w:r>
    </w:p>
    <w:p w14:paraId="11846BB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6.2 Expert consultation opinions</w:t>
      </w:r>
    </w:p>
    <w:p w14:paraId="19F07B03">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6B16F4D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One expert</w:t>
      </w:r>
      <w:r>
        <w:rPr>
          <w:rFonts w:hint="default" w:ascii="Cambria" w:hAnsi="Cambria" w:cs="Cambria"/>
          <w:sz w:val="24"/>
          <w:szCs w:val="24"/>
          <w:lang w:val="en-US"/>
        </w:rPr>
        <w:t xml:space="preserve">, </w:t>
      </w:r>
      <w:r>
        <w:rPr>
          <w:rFonts w:hint="default" w:ascii="Cambria" w:hAnsi="Cambria" w:cs="Cambria"/>
          <w:sz w:val="24"/>
          <w:szCs w:val="24"/>
        </w:rPr>
        <w:t>Shi Zhenggang</w:t>
      </w:r>
      <w:r>
        <w:rPr>
          <w:rFonts w:hint="default" w:ascii="Cambria" w:hAnsi="Cambria" w:cs="Cambria"/>
          <w:sz w:val="24"/>
          <w:szCs w:val="24"/>
          <w:lang w:val="en-US"/>
        </w:rPr>
        <w:t>,</w:t>
      </w:r>
      <w:r>
        <w:rPr>
          <w:rFonts w:hint="default" w:ascii="Cambria" w:hAnsi="Cambria" w:cs="Cambria"/>
          <w:sz w:val="24"/>
          <w:szCs w:val="24"/>
        </w:rPr>
        <w:t xml:space="preserve"> partially agreed (1 point/optional), and 12 experts fully agreed (2 points/required), with a support rate of 92.3%.</w:t>
      </w:r>
    </w:p>
    <w:p w14:paraId="17497348">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740F1D3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textAlignment w:val="auto"/>
        <w:rPr>
          <w:rFonts w:hint="default" w:ascii="Cambria" w:hAnsi="Cambria" w:cs="Cambria"/>
          <w:sz w:val="24"/>
          <w:szCs w:val="24"/>
        </w:rPr>
      </w:pPr>
      <w:r>
        <w:rPr>
          <w:rFonts w:hint="default" w:ascii="Cambria" w:hAnsi="Cambria" w:cs="Cambria"/>
          <w:sz w:val="24"/>
          <w:szCs w:val="24"/>
        </w:rPr>
        <w:t>Shi Zhenggang: Change “physician” to “practitioner.”</w:t>
      </w:r>
    </w:p>
    <w:p w14:paraId="726C6F6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6.3 Project Team Resolution</w:t>
      </w:r>
    </w:p>
    <w:p w14:paraId="055B2B2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proposal was adopted by a majority vote, while maintaining uniform terminology throughout the document.</w:t>
      </w:r>
    </w:p>
    <w:p w14:paraId="7DDB56DC">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7: Operating Sequence</w:t>
      </w:r>
    </w:p>
    <w:p w14:paraId="0E8A6A6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7.1 Original text of the letter for solicitation of comments</w:t>
      </w:r>
    </w:p>
    <w:p w14:paraId="6683C2A9">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3CBA6131">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sequence of pediatric tuina should follow the principles of convenience for manipulation and acceptability to the child. Generally, upper limbs are treated first, then head and face, then trunk, and finally lower limbs. Alternatively, main acupoints may be treated first, followed by auxiliary acupoints. Also, acupoints requiring less stimulation may be treated first, followed by those requiring more stimulation. For specific upper‑limb acupoints, only one hand is used, regardless of gender, and the left hand is always used.</w:t>
      </w:r>
    </w:p>
    <w:p w14:paraId="10C9AD8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3408E04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sequence of pediatric tuina should follow the principles of convenience for manipulation and acceptability to the child. Generally, upper limbs first, then head and face, then trunk, then lower limbs. Alternatively, main acupoints first, then auxiliary; or acupoints with less stimulation first, then those with more. For upper‑limb acupoints, either the left or right hand may be used according to the operator’s habit; for bilateral non‑upper‑limb acupoints, either side may be chosen.</w:t>
      </w:r>
    </w:p>
    <w:p w14:paraId="685061C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7.2 Expert consultation opinions</w:t>
      </w:r>
    </w:p>
    <w:p w14:paraId="59017A04">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6BC33CD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One expert</w:t>
      </w:r>
      <w:r>
        <w:rPr>
          <w:rFonts w:hint="default" w:ascii="Cambria" w:hAnsi="Cambria" w:cs="Cambria"/>
          <w:sz w:val="24"/>
          <w:szCs w:val="24"/>
          <w:lang w:val="en-US"/>
        </w:rPr>
        <w:t xml:space="preserve">, </w:t>
      </w:r>
      <w:r>
        <w:rPr>
          <w:rFonts w:hint="default" w:ascii="Cambria" w:hAnsi="Cambria" w:cs="Cambria"/>
          <w:sz w:val="24"/>
          <w:szCs w:val="24"/>
        </w:rPr>
        <w:t>Wang Lili</w:t>
      </w:r>
      <w:r>
        <w:rPr>
          <w:rFonts w:hint="default" w:ascii="Cambria" w:hAnsi="Cambria" w:cs="Cambria"/>
          <w:sz w:val="24"/>
          <w:szCs w:val="24"/>
          <w:lang w:val="en-US"/>
        </w:rPr>
        <w:t>,</w:t>
      </w:r>
      <w:r>
        <w:rPr>
          <w:rFonts w:hint="default" w:ascii="Cambria" w:hAnsi="Cambria" w:cs="Cambria"/>
          <w:sz w:val="24"/>
          <w:szCs w:val="24"/>
        </w:rPr>
        <w:t xml:space="preserve"> partially agreed (1 point/optional), and 12 experts fully agreed (2 points/required), with a support rate of 92.3%.</w:t>
      </w:r>
    </w:p>
    <w:p w14:paraId="2435CAFF">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3D28E56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Wang Lili: Is the wording “less stimulation first” and “more stimulation later” accurate?</w:t>
      </w:r>
    </w:p>
    <w:p w14:paraId="0EA9D04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7.3 Project Team Resolution</w:t>
      </w:r>
    </w:p>
    <w:p w14:paraId="476496E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textAlignment w:val="auto"/>
        <w:rPr>
          <w:rFonts w:hint="default" w:ascii="Cambria" w:hAnsi="Cambria" w:cs="Cambria"/>
          <w:sz w:val="24"/>
          <w:szCs w:val="24"/>
        </w:rPr>
      </w:pPr>
      <w:r>
        <w:rPr>
          <w:rFonts w:hint="default" w:ascii="Cambria" w:hAnsi="Cambria" w:cs="Cambria"/>
          <w:sz w:val="24"/>
          <w:szCs w:val="24"/>
        </w:rPr>
        <w:t>The project team’s proposal was adopted, with further refinement of the wording to enhance accuracy.</w:t>
      </w:r>
    </w:p>
    <w:p w14:paraId="066C3860">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8: Reinforcement and Reduction Methods</w:t>
      </w:r>
    </w:p>
    <w:p w14:paraId="6EC51DB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8.1 Original text of the letter for solicitation of comments</w:t>
      </w:r>
    </w:p>
    <w:p w14:paraId="0FFE030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31345C65">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application of reinforcing and reducing methods in pediatric tuina depends on the disease pattern. Generally, centripetal manipulation is reinforcing, centrifugal is reducing. Light force is reinforcing, heavy force is reducing. Slow speed/frequency is reinforcing, while fast speed/frequency has a reducing effect.</w:t>
      </w:r>
    </w:p>
    <w:p w14:paraId="573CA3D0">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414C5CA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The general reinforcing‑reducing principles in pediatric tuina include the direction‑based method, which is mainly used for acupoints on the hand and abdomen, where centripetal straight pushing is reinforcing and centrifugal straight pushing is reducing, while counterclockwise abdominal rubbing is reinforcing and clockwise rubbing is reducing; the light‑heavy method, in which light manipulation is reinforcing and heavy manipulation is reducing; the fast‑slow method, where a lower frequency of manipulation is reinforcing and a higher frequency is reducing; the following‑opposing (with‑against) method, in which manipulation performed along the meridian direction (following) is reinforcing and manipulation performed against the meridian direction (opposing) is reducing, also known as the with‑against reinforcing‑reducing method; the count‑based method, in which more repetitions, longer duration, and gentler manipulation are reinforcing, while fewer repetitions, shorter duration, and heavier manipulation are reducing; the deqi‑based method, also called the manipulation‑sensation reinforcing‑reducing method, where deqi refers to the patient’s subjective sensations of soreness, numbness, distension, pain, or heaviness elicited during manipulation—pronounced deqi indicates reducing, while mild deqi indicates reinforcing; and the even reinforcing‑reducing method, which is used when the child’s pattern of deficiency or excess is unclear, or for routine pediatric health maintenance, and generally combines fast and slow manipulations as well as following and opposing directions.</w:t>
      </w:r>
    </w:p>
    <w:p w14:paraId="148BE00F">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8.2 Expert consultation opinions</w:t>
      </w:r>
    </w:p>
    <w:p w14:paraId="1A429870">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0613353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Three expert</w:t>
      </w:r>
      <w:r>
        <w:rPr>
          <w:rFonts w:hint="default" w:ascii="Cambria" w:hAnsi="Cambria" w:cs="Cambria"/>
          <w:sz w:val="24"/>
          <w:szCs w:val="24"/>
          <w:lang w:val="en-US"/>
        </w:rPr>
        <w:t xml:space="preserve">s, </w:t>
      </w:r>
      <w:r>
        <w:rPr>
          <w:rFonts w:hint="default" w:ascii="Cambria" w:hAnsi="Cambria" w:cs="Cambria"/>
          <w:sz w:val="24"/>
          <w:szCs w:val="24"/>
        </w:rPr>
        <w:t>Wang Lili, Shi Zhenggang, Zhang Baoqing</w:t>
      </w:r>
      <w:r>
        <w:rPr>
          <w:rFonts w:hint="default" w:ascii="Cambria" w:hAnsi="Cambria" w:cs="Cambria"/>
          <w:sz w:val="24"/>
          <w:szCs w:val="24"/>
          <w:lang w:val="en-US"/>
        </w:rPr>
        <w:t>,</w:t>
      </w:r>
      <w:r>
        <w:rPr>
          <w:rFonts w:hint="default" w:ascii="Cambria" w:hAnsi="Cambria" w:cs="Cambria"/>
          <w:sz w:val="24"/>
          <w:szCs w:val="24"/>
        </w:rPr>
        <w:t xml:space="preserve"> partially agreed (1 point/optional), and 1</w:t>
      </w:r>
      <w:r>
        <w:rPr>
          <w:rFonts w:hint="default" w:ascii="Cambria" w:hAnsi="Cambria" w:cs="Cambria"/>
          <w:sz w:val="24"/>
          <w:szCs w:val="24"/>
          <w:lang w:val="en-US"/>
        </w:rPr>
        <w:t>0</w:t>
      </w:r>
      <w:r>
        <w:rPr>
          <w:rFonts w:hint="default" w:ascii="Cambria" w:hAnsi="Cambria" w:cs="Cambria"/>
          <w:sz w:val="24"/>
          <w:szCs w:val="24"/>
        </w:rPr>
        <w:t xml:space="preserve"> experts fully agreed (2 points/required), with a support rate of 76.9%.</w:t>
      </w:r>
    </w:p>
    <w:p w14:paraId="3BC146A4">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72F03FF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Wang Lili: Wording like “generally” should be avoided in standard text.</w:t>
      </w:r>
    </w:p>
    <w:p w14:paraId="4BCED55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Shi Zhenggang: Change the heading from “General reinforcing‑reducing principles in pediatric tuina” to “Common Reinforcement and Reduction Methods in Pediatric Tuina.” Change “patient” to “child.”</w:t>
      </w:r>
    </w:p>
    <w:p w14:paraId="220D662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Zhang Baoqing: Agreed with the meeting’s expert opinions.</w:t>
      </w:r>
    </w:p>
    <w:p w14:paraId="263DFCD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rPr>
          <w:rFonts w:hint="default" w:ascii="Cambria" w:hAnsi="Cambria" w:cs="Cambria"/>
          <w:b/>
          <w:bCs/>
          <w:sz w:val="24"/>
          <w:szCs w:val="24"/>
          <w:lang w:val="en-US" w:eastAsia="zh-CN"/>
        </w:rPr>
      </w:pPr>
      <w:r>
        <w:rPr>
          <w:rFonts w:hint="default" w:ascii="Cambria" w:hAnsi="Cambria" w:cs="Cambria"/>
          <w:b/>
          <w:bCs/>
          <w:sz w:val="24"/>
          <w:szCs w:val="24"/>
          <w:lang w:val="en-US" w:eastAsia="zh-CN"/>
        </w:rPr>
        <w:t>8.3 Project Team Resolution</w:t>
      </w:r>
    </w:p>
    <w:p w14:paraId="7F5443F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project team’s proposal was essentially adopted, with careful wording refinement. Professor Shi Zhenggang’s suggestion to revise the heading to “Common Reinforcement and Reduction Methods in Pediatric Tuina” was accepted, while maintaining uniform terminology throughout the document.</w:t>
      </w:r>
    </w:p>
    <w:p w14:paraId="3DE8FDF1">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Entry 9: Pediatric Tuina Treatment Duration</w:t>
      </w:r>
    </w:p>
    <w:p w14:paraId="2FE2CD37">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9.1 Original text of the letter for solicitation of comments</w:t>
      </w:r>
    </w:p>
    <w:p w14:paraId="53CBE0F0">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7EB0BD58">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treatment duration for pediatric tuina may be determined according to age, condition, and constitution. Generally, each acupoint is manipulated for 1–2 minutes, and the total treatment time per session is 20–30 minutes. For younger, weaker children, or when strong stimulation techniques are used, the duration may be shortened appropriately.</w:t>
      </w:r>
    </w:p>
    <w:p w14:paraId="47EDC20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24C4069F">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Operation duration: determined by age, condition, constitution, and manipulation characteristics. Generally, each acupoint 1‑2 min, total 20‑40 min. For younger, weaker, milder conditions, or strong stimulation, shorten; for older, stronger, severe conditions, extend.</w:t>
      </w:r>
    </w:p>
    <w:p w14:paraId="24AC851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9.2 Expert consultation opinions</w:t>
      </w:r>
    </w:p>
    <w:p w14:paraId="42206FE7">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05A31E2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All 13 experts unanimously agreed (2 points / mandatory), with a support rate of 100%.</w:t>
      </w:r>
    </w:p>
    <w:p w14:paraId="0DC28862">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4B3CFC1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Dai Qigang: The punctuation between numbers (whether to use “–” or “～”) should be unified.</w:t>
      </w:r>
    </w:p>
    <w:p w14:paraId="2EEEF66A">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9.3 Project Team Resolution</w:t>
      </w:r>
    </w:p>
    <w:p w14:paraId="3A06A46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proposal was passed unanimously, and the project team’s proposal was adopted, with punctuation unified according to the expert’s suggestion.</w:t>
      </w:r>
    </w:p>
    <w:p w14:paraId="14A85050">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10: Treatment Intervals and Courses</w:t>
      </w:r>
    </w:p>
    <w:p w14:paraId="175EE3D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10.1 Original text of the letter for solicitation of comments</w:t>
      </w:r>
    </w:p>
    <w:p w14:paraId="4762C73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35BD9C2C">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interval between treatments depends on the condition. Generally, once daily. For some conditions, if needed and permitted, twice daily. Acute diseases are treated until recovery. For chronic diseases, 5 days constitute one course, with a 2‑day interval between courses.</w:t>
      </w:r>
    </w:p>
    <w:p w14:paraId="61F7E2A5">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3980099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The interval depends on the condition. Acute diseases: generally once daily, twice if needed; until recovery. Chronic: once daily or every other day, 5 days as one course, with a 2‑4 day interval between courses.</w:t>
      </w:r>
    </w:p>
    <w:p w14:paraId="3AB202E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10.2 Expert consultation opinions</w:t>
      </w:r>
    </w:p>
    <w:p w14:paraId="5340231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75084F83">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Three experts</w:t>
      </w:r>
      <w:r>
        <w:rPr>
          <w:rFonts w:hint="default" w:ascii="Cambria" w:hAnsi="Cambria" w:cs="Cambria"/>
          <w:sz w:val="24"/>
          <w:szCs w:val="24"/>
          <w:lang w:val="en-US"/>
        </w:rPr>
        <w:t xml:space="preserve">, </w:t>
      </w:r>
      <w:r>
        <w:rPr>
          <w:rFonts w:hint="default" w:ascii="Cambria" w:hAnsi="Cambria" w:cs="Cambria"/>
          <w:sz w:val="24"/>
          <w:szCs w:val="24"/>
        </w:rPr>
        <w:t>Shi Zhenggang, Zhang Baoqing, Dai Qigang</w:t>
      </w:r>
      <w:r>
        <w:rPr>
          <w:rFonts w:hint="default" w:ascii="Cambria" w:hAnsi="Cambria" w:cs="Cambria"/>
          <w:sz w:val="24"/>
          <w:szCs w:val="24"/>
          <w:lang w:val="en-US"/>
        </w:rPr>
        <w:t>,</w:t>
      </w:r>
      <w:r>
        <w:rPr>
          <w:rFonts w:hint="default" w:ascii="Cambria" w:hAnsi="Cambria" w:cs="Cambria"/>
          <w:sz w:val="24"/>
          <w:szCs w:val="24"/>
        </w:rPr>
        <w:t xml:space="preserve"> partially agreed (1 point/optional), and 10 experts fully agreed (2 points/required), </w:t>
      </w:r>
      <w:r>
        <w:rPr>
          <w:rFonts w:hint="default" w:ascii="Cambria" w:hAnsi="Cambria" w:cs="Cambria"/>
          <w:sz w:val="24"/>
          <w:szCs w:val="24"/>
          <w:lang w:val="en-US"/>
        </w:rPr>
        <w:t>with</w:t>
      </w:r>
      <w:r>
        <w:rPr>
          <w:rFonts w:hint="default" w:ascii="Cambria" w:hAnsi="Cambria" w:cs="Cambria"/>
          <w:sz w:val="24"/>
          <w:szCs w:val="24"/>
        </w:rPr>
        <w:t xml:space="preserve"> a support rate of 76.9%.</w:t>
      </w:r>
    </w:p>
    <w:p w14:paraId="4C2F005E">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1CA3900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Shi Zhenggang: Suggest changing “5 days as one course” to “5 sessions as one course.”</w:t>
      </w:r>
    </w:p>
    <w:p w14:paraId="6814E31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Dai Qigang: Same suggestion.</w:t>
      </w:r>
    </w:p>
    <w:p w14:paraId="0DB55EA4">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10.3 Project Team Resolution</w:t>
      </w:r>
    </w:p>
    <w:p w14:paraId="71E71DF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experts’ suggestion was adopted, using “sessions” as the course unit to enhance accuracy and avoid ambiguity.</w:t>
      </w:r>
    </w:p>
    <w:p w14:paraId="4CAA5EE7">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11: Commonly Used Media in Pediatric Tuina: A.1 Oils</w:t>
      </w:r>
    </w:p>
    <w:p w14:paraId="37879B2D">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11.1 Original text of the letter for solicitation of comments</w:t>
      </w:r>
    </w:p>
    <w:p w14:paraId="5F8AB241">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77A192B3">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Edible blended oil, sesame oil, medical liquid paraffin, etc. Suitable for various conditions.</w:t>
      </w:r>
    </w:p>
    <w:p w14:paraId="0DBA4E4A">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1D74A12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Media composed mainly of safe animal/plant oils, mineral oils, and synthetic oils, such as sesame oil, coconut oil, olive oil, peanut oil, sunflower seed oil, medical liquid paraffin, etc., with lubricating and moisture‑retaining effects, suitable for tuina on all body parts.</w:t>
      </w:r>
    </w:p>
    <w:p w14:paraId="226F8D7B">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11.2 Expert consultation opinions</w:t>
      </w:r>
    </w:p>
    <w:p w14:paraId="1EF93960">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405388E4">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One expert</w:t>
      </w:r>
      <w:r>
        <w:rPr>
          <w:rFonts w:hint="default" w:ascii="Cambria" w:hAnsi="Cambria" w:cs="Cambria"/>
          <w:sz w:val="24"/>
          <w:szCs w:val="24"/>
          <w:lang w:val="en-US"/>
        </w:rPr>
        <w:t xml:space="preserve">, </w:t>
      </w:r>
      <w:r>
        <w:rPr>
          <w:rFonts w:hint="default" w:ascii="Cambria" w:hAnsi="Cambria" w:cs="Cambria"/>
          <w:sz w:val="24"/>
          <w:szCs w:val="24"/>
        </w:rPr>
        <w:t>Zhang Baoqing</w:t>
      </w:r>
      <w:r>
        <w:rPr>
          <w:rFonts w:hint="default" w:ascii="Cambria" w:hAnsi="Cambria" w:cs="Cambria"/>
          <w:sz w:val="24"/>
          <w:szCs w:val="24"/>
          <w:lang w:val="en-US"/>
        </w:rPr>
        <w:t>,</w:t>
      </w:r>
      <w:r>
        <w:rPr>
          <w:rFonts w:hint="default" w:ascii="Cambria" w:hAnsi="Cambria" w:cs="Cambria"/>
          <w:sz w:val="24"/>
          <w:szCs w:val="24"/>
        </w:rPr>
        <w:t xml:space="preserve"> partially agreed (1 point/optional), and 12 experts fully agreed (2 points/required), </w:t>
      </w:r>
      <w:r>
        <w:rPr>
          <w:rFonts w:hint="default" w:ascii="Cambria" w:hAnsi="Cambria" w:cs="Cambria"/>
          <w:sz w:val="24"/>
          <w:szCs w:val="24"/>
          <w:lang w:val="en-US"/>
        </w:rPr>
        <w:t>with</w:t>
      </w:r>
      <w:r>
        <w:rPr>
          <w:rFonts w:hint="default" w:ascii="Cambria" w:hAnsi="Cambria" w:cs="Cambria"/>
          <w:sz w:val="24"/>
          <w:szCs w:val="24"/>
        </w:rPr>
        <w:t xml:space="preserve"> a support rate of 92.3%.</w:t>
      </w:r>
    </w:p>
    <w:p w14:paraId="7B859A44">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2AD508A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Zhang Baoqing: “Media composed mainly of safe animal/plant oils, suitable for tuina on all body parts and also for scraping.”</w:t>
      </w:r>
    </w:p>
    <w:p w14:paraId="13B0449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11.3 Project Team Resolution</w:t>
      </w:r>
    </w:p>
    <w:p w14:paraId="5259EF4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textAlignment w:val="auto"/>
        <w:rPr>
          <w:rFonts w:hint="default" w:ascii="Cambria" w:hAnsi="Cambria" w:cs="Cambria"/>
          <w:sz w:val="24"/>
          <w:szCs w:val="24"/>
        </w:rPr>
      </w:pPr>
      <w:r>
        <w:rPr>
          <w:rFonts w:hint="default" w:ascii="Cambria" w:hAnsi="Cambria" w:cs="Cambria"/>
          <w:sz w:val="24"/>
          <w:szCs w:val="24"/>
        </w:rPr>
        <w:t>The expert’s suggestion was adopted, streamlining the content for conciseness and clarity.</w:t>
      </w:r>
    </w:p>
    <w:p w14:paraId="26575FD3">
      <w:pPr>
        <w:keepNext w:val="0"/>
        <w:keepLines w:val="0"/>
        <w:pageBreakBefore w:val="0"/>
        <w:widowControl w:val="0"/>
        <w:numPr>
          <w:ilvl w:val="0"/>
          <w:numId w:val="12"/>
        </w:numPr>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Item 12: Precautions for Safety Assurance in Pediatric Tuina</w:t>
      </w:r>
    </w:p>
    <w:p w14:paraId="0629C9F1">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12.1 Original text of the letter for solicitation of comments</w:t>
      </w:r>
    </w:p>
    <w:p w14:paraId="5A68852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National Standard</w:t>
      </w:r>
    </w:p>
    <w:p w14:paraId="5A480DAA">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D.3.1 During treatment, the physician and parents should protect the child’s safety to prevent falls from the treatment table; avoid pulling the child’s limbs forcefully to prevent sprains. D.3.2 The child should not eat within 30 minutes after treatment. Those with excessive sweating should be given fluids promptly. D.3.3 Improper manipulation by the physician may abrade the child’s skin; if this occurs, the area should be promptly cleaned and disinfected to prevent infection.</w:t>
      </w:r>
    </w:p>
    <w:p w14:paraId="4B940232">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Opinion of the project group</w:t>
      </w:r>
    </w:p>
    <w:p w14:paraId="738B54E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D.3.1 During treatment, the physician and parents should protect the child’s safety to prevent falls from the treatment table; avoid pulling the child’s limbs forcefully to prevent sprains.</w:t>
      </w:r>
      <w:r>
        <w:rPr>
          <w:rFonts w:hint="default" w:ascii="Cambria" w:hAnsi="Cambria" w:cs="Cambria"/>
          <w:sz w:val="24"/>
          <w:szCs w:val="24"/>
          <w:lang w:val="en-US"/>
        </w:rPr>
        <w:t xml:space="preserve"> </w:t>
      </w:r>
      <w:r>
        <w:rPr>
          <w:rFonts w:hint="default" w:ascii="Cambria" w:hAnsi="Cambria" w:cs="Cambria"/>
          <w:sz w:val="24"/>
          <w:szCs w:val="24"/>
        </w:rPr>
        <w:t>D.3.2 Avoid large meals and vigorous activity shortly before and after treatment; small amounts of warm water may be given; wipe sweat and keep warm.</w:t>
      </w:r>
      <w:r>
        <w:rPr>
          <w:rFonts w:hint="default" w:ascii="Cambria" w:hAnsi="Cambria" w:cs="Cambria"/>
          <w:sz w:val="24"/>
          <w:szCs w:val="24"/>
          <w:lang w:val="en-US"/>
        </w:rPr>
        <w:t xml:space="preserve"> </w:t>
      </w:r>
      <w:r>
        <w:rPr>
          <w:rFonts w:hint="default" w:ascii="Cambria" w:hAnsi="Cambria" w:cs="Cambria"/>
          <w:sz w:val="24"/>
          <w:szCs w:val="24"/>
        </w:rPr>
        <w:t>D.3.3 The physician should thoroughly wash or use hand sanitizer to clean hands, maintain hand hygiene to prevent cross‑infection. If improper manipulation abrades the child’s skin, the area should be promptly cleaned and disinfected to prevent infection.</w:t>
      </w:r>
    </w:p>
    <w:p w14:paraId="2E4049B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12.2 Expert consultation opinions</w:t>
      </w:r>
    </w:p>
    <w:p w14:paraId="45756BFD">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3DC3E62D">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One expert</w:t>
      </w:r>
      <w:r>
        <w:rPr>
          <w:rFonts w:hint="default" w:ascii="Cambria" w:hAnsi="Cambria" w:cs="Cambria"/>
          <w:sz w:val="24"/>
          <w:szCs w:val="24"/>
          <w:lang w:val="en-US"/>
        </w:rPr>
        <w:t xml:space="preserve">, </w:t>
      </w:r>
      <w:r>
        <w:rPr>
          <w:rFonts w:hint="default" w:ascii="Cambria" w:hAnsi="Cambria" w:cs="Cambria"/>
          <w:sz w:val="24"/>
          <w:szCs w:val="24"/>
        </w:rPr>
        <w:t>Zhang Baoqing</w:t>
      </w:r>
      <w:r>
        <w:rPr>
          <w:rFonts w:hint="default" w:ascii="Cambria" w:hAnsi="Cambria" w:cs="Cambria"/>
          <w:sz w:val="24"/>
          <w:szCs w:val="24"/>
          <w:lang w:val="en-US"/>
        </w:rPr>
        <w:t>,</w:t>
      </w:r>
      <w:r>
        <w:rPr>
          <w:rFonts w:hint="default" w:ascii="Cambria" w:hAnsi="Cambria" w:cs="Cambria"/>
          <w:sz w:val="24"/>
          <w:szCs w:val="24"/>
        </w:rPr>
        <w:t xml:space="preserve"> partially agreed (1 point/optional), and 12 experts fully agreed (2 points/required), </w:t>
      </w:r>
      <w:r>
        <w:rPr>
          <w:rFonts w:hint="default" w:ascii="Cambria" w:hAnsi="Cambria" w:cs="Cambria"/>
          <w:sz w:val="24"/>
          <w:szCs w:val="24"/>
          <w:lang w:val="en-US"/>
        </w:rPr>
        <w:t>with</w:t>
      </w:r>
      <w:r>
        <w:rPr>
          <w:rFonts w:hint="default" w:ascii="Cambria" w:hAnsi="Cambria" w:cs="Cambria"/>
          <w:sz w:val="24"/>
          <w:szCs w:val="24"/>
        </w:rPr>
        <w:t xml:space="preserve"> a support rate of 92.3%.</w:t>
      </w:r>
    </w:p>
    <w:p w14:paraId="7C82C02B">
      <w:pPr>
        <w:keepNext w:val="0"/>
        <w:keepLines w:val="0"/>
        <w:pageBreakBefore w:val="0"/>
        <w:widowControl w:val="0"/>
        <w:numPr>
          <w:ilvl w:val="0"/>
          <w:numId w:val="0"/>
        </w:numPr>
        <w:kinsoku/>
        <w:wordWrap/>
        <w:overflowPunct/>
        <w:topLinePunct w:val="0"/>
        <w:autoSpaceDE/>
        <w:autoSpaceDN/>
        <w:bidi w:val="0"/>
        <w:adjustRightInd/>
        <w:snapToGrid/>
        <w:spacing w:after="0" w:line="276" w:lineRule="auto"/>
        <w:ind w:left="0" w:leftChars="0" w:firstLine="480" w:firstLineChars="200"/>
        <w:jc w:val="both"/>
        <w:textAlignment w:val="auto"/>
        <w:rPr>
          <w:rFonts w:hint="default" w:ascii="Cambria" w:hAnsi="Cambria" w:cs="Cambria"/>
          <w:sz w:val="24"/>
          <w:szCs w:val="24"/>
        </w:rPr>
      </w:pPr>
      <w:r>
        <w:rPr>
          <w:rFonts w:hint="default" w:ascii="Cambria" w:hAnsi="Cambria" w:cs="Cambria"/>
          <w:sz w:val="24"/>
          <w:szCs w:val="24"/>
        </w:rPr>
        <w:t>(</w:t>
      </w:r>
      <w:r>
        <w:rPr>
          <w:rFonts w:hint="default" w:ascii="Cambria" w:hAnsi="Cambria" w:cs="Cambria"/>
          <w:sz w:val="24"/>
          <w:szCs w:val="24"/>
          <w:lang w:val="en-US"/>
        </w:rPr>
        <w:t>2</w:t>
      </w:r>
      <w:r>
        <w:rPr>
          <w:rFonts w:hint="default" w:ascii="Cambria" w:hAnsi="Cambria" w:cs="Cambria"/>
          <w:sz w:val="24"/>
          <w:szCs w:val="24"/>
        </w:rPr>
        <w:t xml:space="preserve">) Main revision recommendations </w:t>
      </w:r>
    </w:p>
    <w:p w14:paraId="042D91D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Dai Qigang: Change “physician and parents” to “Practitioner and parents.”</w:t>
      </w:r>
    </w:p>
    <w:p w14:paraId="36B164E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12.3 Project Team Resolution</w:t>
      </w:r>
    </w:p>
    <w:p w14:paraId="10AA901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eastAsia="仿宋" w:cs="Cambria"/>
          <w:sz w:val="21"/>
          <w:szCs w:val="21"/>
        </w:rPr>
      </w:pPr>
      <w:r>
        <w:rPr>
          <w:rFonts w:hint="default" w:ascii="Cambria" w:hAnsi="Cambria" w:cs="Cambria"/>
          <w:sz w:val="24"/>
          <w:szCs w:val="24"/>
        </w:rPr>
        <w:t>The expert group adopted the project team’s proposal by an absolute majority (92.3%), and the current wording was retained, while maintaining uniform terminology throughout the document.</w:t>
      </w:r>
    </w:p>
    <w:p w14:paraId="13585607">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IV. Expert resolutions on open-ended questions</w:t>
      </w:r>
    </w:p>
    <w:p w14:paraId="39B49A56">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 Question 1: Acupoint Location</w:t>
      </w:r>
    </w:p>
    <w:p w14:paraId="37B865B0">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1.1 Original text of the letter for solicitation of comments</w:t>
      </w:r>
    </w:p>
    <w:p w14:paraId="4C93141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opinions from the questionnaire survey</w:t>
      </w:r>
    </w:p>
    <w:p w14:paraId="11A1D0A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Suggest changing the Kidney Meridian location to the distal phalanx whorled surface of the little finger, or slightly ulnar on the palmar side, from fingertip to root in a straight line.</w:t>
      </w:r>
    </w:p>
    <w:p w14:paraId="21A6299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(2) Opinion of the project group</w:t>
      </w:r>
    </w:p>
    <w:p w14:paraId="56558B6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After consulting multiple national, local, and group standards, no explicit reference to “or slightly ulnar on the palmar side, from fingertip to root in a straight line” was found. It is therefore recommended not to include this change in the current standard.</w:t>
      </w:r>
    </w:p>
    <w:p w14:paraId="7FD77BAE">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1.2 Expert consultation opinions</w:t>
      </w:r>
    </w:p>
    <w:p w14:paraId="4722070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2A7F9BC9">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All 13 experts unanimously agreed (2 points / mandatory), with a support rate of 100%.</w:t>
      </w:r>
    </w:p>
    <w:p w14:paraId="66C2001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(2) Main discussion opinions</w:t>
      </w:r>
    </w:p>
    <w:p w14:paraId="44D96CA1">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left"/>
        <w:textAlignment w:val="auto"/>
        <w:rPr>
          <w:rFonts w:hint="default" w:ascii="Cambria" w:hAnsi="Cambria" w:cs="Cambria"/>
          <w:sz w:val="24"/>
          <w:szCs w:val="24"/>
        </w:rPr>
      </w:pPr>
      <w:r>
        <w:rPr>
          <w:rFonts w:hint="default" w:ascii="Cambria" w:hAnsi="Cambria" w:cs="Cambria"/>
          <w:sz w:val="24"/>
          <w:szCs w:val="24"/>
        </w:rPr>
        <w:t>None.</w:t>
      </w:r>
    </w:p>
    <w:p w14:paraId="51522713">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1.3 Resolution of the project group</w:t>
      </w:r>
    </w:p>
    <w:p w14:paraId="34D4318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outlineLvl w:val="1"/>
        <w:rPr>
          <w:rFonts w:hint="default" w:ascii="Cambria" w:hAnsi="Cambria" w:cs="Cambria"/>
          <w:sz w:val="24"/>
          <w:szCs w:val="24"/>
        </w:rPr>
      </w:pPr>
      <w:r>
        <w:rPr>
          <w:rFonts w:hint="default" w:ascii="Cambria" w:hAnsi="Cambria" w:cs="Cambria"/>
          <w:sz w:val="24"/>
          <w:szCs w:val="24"/>
        </w:rPr>
        <w:t>The suggestion to modify the Kidney Meridian location was not adopted; the original wording was retained.</w:t>
      </w:r>
    </w:p>
    <w:p w14:paraId="5A36B8D9">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 Question 2: Other Suggestions</w:t>
      </w:r>
    </w:p>
    <w:p w14:paraId="7D928A6C">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2.1 Original text of the letter for solicitation of comments</w:t>
      </w:r>
    </w:p>
    <w:p w14:paraId="589F805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opinions from the questionnaire survey</w:t>
      </w:r>
    </w:p>
    <w:p w14:paraId="5A58BCA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① It is suggested to thoroughly search ISO and WHO standards/guidelines on pediatric tuina for comparison.</w:t>
      </w:r>
    </w:p>
    <w:p w14:paraId="650694A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② Preserve the essence of pediatric tuina; respect the original authors’ intent.</w:t>
      </w:r>
    </w:p>
    <w:p w14:paraId="091F7CA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(2) Opinion of the project group</w:t>
      </w:r>
    </w:p>
    <w:p w14:paraId="1045039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Adopt the expert opinions.</w:t>
      </w:r>
    </w:p>
    <w:p w14:paraId="7FB6372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2.2 Expert consultation opinions</w:t>
      </w:r>
    </w:p>
    <w:p w14:paraId="3499839B">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consultation result</w:t>
      </w:r>
    </w:p>
    <w:p w14:paraId="4F89E1BD">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All 13 experts unanimously agreed (2 points / mandatory), with a support rate of 100%.</w:t>
      </w:r>
    </w:p>
    <w:p w14:paraId="327B87C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(2) Main discussion opinions</w:t>
      </w:r>
    </w:p>
    <w:p w14:paraId="66962BD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left"/>
        <w:textAlignment w:val="auto"/>
        <w:rPr>
          <w:rFonts w:hint="default" w:ascii="Cambria" w:hAnsi="Cambria" w:cs="Cambria"/>
          <w:sz w:val="24"/>
          <w:szCs w:val="24"/>
        </w:rPr>
      </w:pPr>
      <w:r>
        <w:rPr>
          <w:rFonts w:hint="default" w:ascii="Cambria" w:hAnsi="Cambria" w:cs="Cambria"/>
          <w:sz w:val="24"/>
          <w:szCs w:val="24"/>
        </w:rPr>
        <w:t>No specific issues.</w:t>
      </w:r>
    </w:p>
    <w:p w14:paraId="06116612">
      <w:pPr>
        <w:keepNext w:val="0"/>
        <w:keepLines w:val="0"/>
        <w:pageBreakBefore w:val="0"/>
        <w:widowControl w:val="0"/>
        <w:kinsoku/>
        <w:wordWrap/>
        <w:overflowPunct/>
        <w:topLinePunct w:val="0"/>
        <w:autoSpaceDE/>
        <w:autoSpaceDN/>
        <w:bidi w:val="0"/>
        <w:adjustRightInd/>
        <w:snapToGrid/>
        <w:spacing w:after="0" w:line="276" w:lineRule="auto"/>
        <w:jc w:val="both"/>
        <w:textAlignment w:val="auto"/>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2.3 Resolution of the project group</w:t>
      </w:r>
    </w:p>
    <w:p w14:paraId="0919A048">
      <w:pPr>
        <w:keepNext w:val="0"/>
        <w:keepLines w:val="0"/>
        <w:pageBreakBefore w:val="0"/>
        <w:widowControl w:val="0"/>
        <w:kinsoku/>
        <w:wordWrap/>
        <w:overflowPunct/>
        <w:topLinePunct w:val="0"/>
        <w:autoSpaceDE/>
        <w:autoSpaceDN/>
        <w:bidi w:val="0"/>
        <w:adjustRightInd/>
        <w:snapToGrid/>
        <w:spacing w:after="0" w:line="276" w:lineRule="auto"/>
        <w:ind w:firstLine="480"/>
        <w:jc w:val="both"/>
        <w:textAlignment w:val="auto"/>
        <w:outlineLvl w:val="1"/>
        <w:rPr>
          <w:rFonts w:hint="default" w:ascii="Cambria" w:hAnsi="Cambria" w:cs="Cambria"/>
          <w:sz w:val="24"/>
          <w:szCs w:val="24"/>
        </w:rPr>
      </w:pPr>
      <w:r>
        <w:rPr>
          <w:rFonts w:hint="default" w:ascii="Cambria" w:hAnsi="Cambria" w:cs="Cambria"/>
          <w:sz w:val="24"/>
          <w:szCs w:val="24"/>
        </w:rPr>
        <w:t>Maintain the project team’s decision, incorporating the expert validation opinions.</w:t>
      </w:r>
    </w:p>
    <w:p w14:paraId="5F3E70BB">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V. Comprehensive revision comments on the full text</w:t>
      </w:r>
    </w:p>
    <w:p w14:paraId="18DEF34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In addition to the common issues concerning the items above, the experts put forward the following comprehensive comments during the consultation meeting and in the letters for solicitation of comments.</w:t>
      </w:r>
    </w:p>
    <w:p w14:paraId="214C8885">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1. Unification of terminology and expression</w:t>
      </w:r>
    </w:p>
    <w:p w14:paraId="0235077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discussion opinions</w:t>
      </w:r>
    </w:p>
    <w:p w14:paraId="72DC6CB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Professor Shi Zhenggang proposed that terms such as “physician”, “doctor” and “operator” should be unified with other concurrent transformation projects. He also recommended that the writing style for units of time in the standard be unified, for example by using English abbreviations such as “min” and “h”. Professor Ma Rong, Professor Ding Ying and Director Wang Lili proposed that age expressions should avoid localized terms such as “toddler” and “infant”, and should instead use internationally accepted numerical expressions, such as “over 1 year of age”.</w:t>
      </w:r>
    </w:p>
    <w:p w14:paraId="1A75062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(2) Resolution of the project group</w:t>
      </w:r>
    </w:p>
    <w:p w14:paraId="11517A48">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expert recommendations were adopted. The full text will undergo unified review. The project group will hold a coordination meeting among the five projects to handle common terminology issues in a unified manner and coordinate terminology consistency among the concurrent international standard transformation projects in pediatrics.</w:t>
      </w:r>
    </w:p>
    <w:p w14:paraId="1CA392B9">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2. Streamlining of standard wording</w:t>
      </w:r>
    </w:p>
    <w:p w14:paraId="6A55FB7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(1) Expert discussion opinions</w:t>
      </w:r>
    </w:p>
    <w:p w14:paraId="34553AF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Xiong Lei and Dai Qigang proposed that the standard should be concise and avoid unnecessary detail, and that wording should be streamlined while ensuring operability.</w:t>
      </w:r>
    </w:p>
    <w:p w14:paraId="6CB254A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(2) Resolution of the project group</w:t>
      </w:r>
    </w:p>
    <w:p w14:paraId="1F98159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project team will review and verify the entire text, remove repetitive descriptions, and strive for maximal brevity while preserving detailed operational guidance.</w:t>
      </w:r>
    </w:p>
    <w:p w14:paraId="07F350E8">
      <w:p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3. Optimization of the expert information form</w:t>
      </w:r>
    </w:p>
    <w:p w14:paraId="5FD54AB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(1) Expert discussion opinions</w:t>
      </w:r>
    </w:p>
    <w:p w14:paraId="1877DED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Professor Ma Rong proposed distinguishing between “educational background” and “degree”, and clarifying the difference between the two. It was recommended that professional titles be unified. For experts mainly engaged in clinical work, only clinical professional titles such as Chief Physician and Associate Chief Physician should be filled in; for experts mainly engaged in basic research, titles such as Professor and Associate Professor should be used.</w:t>
      </w:r>
    </w:p>
    <w:p w14:paraId="693AC02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(2) Resolution of the project group</w:t>
      </w:r>
    </w:p>
    <w:p w14:paraId="48A02C1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The Expert Information Form template will be revised, and the standards for filling in professional titles will be standardized. Statistics on professional titles will cover only domestic experts. For domestic experts, “professional title” will be classified as junior, intermediate, associate senior and senior, without further distinguishing between physician and teacher series. For overseas experts, the original professional-title descriptions will be retained and counted separately by category.</w:t>
      </w:r>
    </w:p>
    <w:p w14:paraId="149C1484">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VI. Special summary of safety issues</w:t>
      </w:r>
    </w:p>
    <w:p w14:paraId="1153239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rPr>
      </w:pPr>
      <w:r>
        <w:rPr>
          <w:rFonts w:hint="default" w:ascii="Cambria" w:hAnsi="Cambria" w:cs="Cambria"/>
          <w:sz w:val="24"/>
          <w:szCs w:val="24"/>
        </w:rPr>
        <w:t>During this meeting, safety was both a core concern of the expert validation and a fundamental bottom line to be upheld in the international standard conversion. The expert group conducted a systematic safety review of the draft standard from two dimensions—operational safety and regulatory compliance</w:t>
      </w:r>
      <w:r>
        <w:rPr>
          <w:rFonts w:hint="default" w:ascii="Cambria" w:hAnsi="Cambria" w:cs="Cambria"/>
          <w:sz w:val="24"/>
          <w:szCs w:val="24"/>
          <w:lang w:val="en-US"/>
        </w:rPr>
        <w:t xml:space="preserve">, </w:t>
      </w:r>
      <w:r>
        <w:rPr>
          <w:rFonts w:hint="default" w:ascii="Cambria" w:hAnsi="Cambria" w:cs="Cambria"/>
          <w:sz w:val="24"/>
          <w:szCs w:val="24"/>
        </w:rPr>
        <w:t>and reached the following consensus</w:t>
      </w:r>
      <w:r>
        <w:rPr>
          <w:rFonts w:hint="default" w:ascii="Cambria" w:hAnsi="Cambria" w:cs="Cambria"/>
          <w:sz w:val="24"/>
          <w:szCs w:val="24"/>
          <w:lang w:val="en-US"/>
        </w:rPr>
        <w:t>.</w:t>
      </w:r>
    </w:p>
    <w:p w14:paraId="7F9B9826">
      <w:pPr>
        <w:numPr>
          <w:ilvl w:val="0"/>
          <w:numId w:val="13"/>
        </w:num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Operational Safety</w:t>
      </w:r>
    </w:p>
    <w:p w14:paraId="49E096B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rPr>
      </w:pPr>
      <w:r>
        <w:rPr>
          <w:rFonts w:hint="default" w:ascii="Cambria" w:hAnsi="Cambria" w:cs="Cambria"/>
          <w:sz w:val="24"/>
          <w:szCs w:val="24"/>
        </w:rPr>
        <w:t>The meeting resolution emphasized that standardized description of operational procedures is critical to ensuring consistency in global practice and reducing clinical risks; every step of the operation must have clear guidance. The safety of the operational procedures is the primary prerequisite for the implementation and promotion of this standard overseas.</w:t>
      </w:r>
    </w:p>
    <w:p w14:paraId="3BF7C974">
      <w:pPr>
        <w:numPr>
          <w:ilvl w:val="0"/>
          <w:numId w:val="13"/>
        </w:numPr>
        <w:spacing w:before="156" w:beforeLines="50" w:after="156" w:afterLines="50" w:line="276" w:lineRule="auto"/>
        <w:jc w:val="both"/>
        <w:outlineLvl w:val="1"/>
        <w:rPr>
          <w:rFonts w:hint="default" w:ascii="Cambria" w:hAnsi="Cambria" w:cs="Cambria"/>
          <w:b/>
          <w:bCs/>
          <w:sz w:val="24"/>
          <w:szCs w:val="24"/>
          <w:lang w:val="en-US" w:eastAsia="zh-CN"/>
        </w:rPr>
      </w:pPr>
      <w:r>
        <w:rPr>
          <w:rFonts w:hint="default" w:ascii="Cambria" w:hAnsi="Cambria" w:cs="Cambria"/>
          <w:b/>
          <w:bCs/>
          <w:sz w:val="24"/>
          <w:szCs w:val="24"/>
          <w:lang w:val="en-US" w:eastAsia="zh-CN"/>
        </w:rPr>
        <w:t>Regulatory compliance</w:t>
      </w:r>
    </w:p>
    <w:p w14:paraId="38AED24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Compliance with local laws and regulations was regarded by the expert group as a prerequisite for operational safety, rather than an administrative requirement independent of technical considerations. Professor Yu Jian’er, Professor Wang Youpeng and Director Wang Lili particularly emphasized that operations that do not comply with laws and regulations are unsafe even if they are technically correct, and may lead to risks such as legal liability and loss of practice qualifications. Therefore, the meeting unanimously approved adding a statement on regulatory restrictions in a prominent position in the standard, establishing the implementation principle for the international standard that “safety is based on compliance”.</w:t>
      </w:r>
    </w:p>
    <w:p w14:paraId="10DFD4A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The project group undertakes that all the above safety resolutions will be implemented as a priority in the revision of the standard, so as to ensure that this standard becomes a safe operational specification for internal administration in TCM pediatrics worldwide.</w:t>
      </w:r>
    </w:p>
    <w:p w14:paraId="4C62207F">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VII. Follow-up work arrangements</w:t>
      </w:r>
    </w:p>
    <w:p w14:paraId="371118D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1. Joint coordination: A coordination meeting for concurrent transformation projects will be held before 15 December 2025 to unify common terminology issues.</w:t>
      </w:r>
    </w:p>
    <w:p w14:paraId="0616EB03">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2. Document revision: The project group will complete the revision of the draft standard before 25 December 2025 and form the draft standard, initial draft.</w:t>
      </w:r>
    </w:p>
    <w:p w14:paraId="033A54E4">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3. Summary comparison table: During document revision, the Comparison Table of Standard Revisions will be completed simultaneously, marking the revised content and reasons item by item.</w:t>
      </w:r>
    </w:p>
    <w:p w14:paraId="7E8A7D2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4. Drafting of explanatory notes: The project group will complete the Explanatory Notes on the Development of the Standard before 30 December 2025, explaining in detail the development process of this standard, and attach the relevant documents.</w:t>
      </w:r>
    </w:p>
    <w:p w14:paraId="6D8D62E2">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5. Submission of materials: Before 31 December 2025, the Draft Standard, Explanatory Notes on the Development of the Standard and Comparison Table of Standard Revisions will be submitted together to the Department of International Standards of WFCMS.</w:t>
      </w:r>
    </w:p>
    <w:p w14:paraId="7DB3182F">
      <w:pPr>
        <w:spacing w:before="100" w:after="100" w:line="276" w:lineRule="auto"/>
        <w:jc w:val="both"/>
        <w:rPr>
          <w:rFonts w:hint="default" w:ascii="Cambria" w:hAnsi="Cambria" w:eastAsia="宋体" w:cs="Cambria"/>
          <w:b/>
          <w:bCs/>
          <w:color w:val="auto"/>
          <w:kern w:val="2"/>
          <w:sz w:val="24"/>
          <w:szCs w:val="24"/>
          <w:lang w:val="en-US" w:eastAsia="zh-CN" w:bidi="ar-SA"/>
        </w:rPr>
      </w:pPr>
      <w:r>
        <w:rPr>
          <w:rFonts w:hint="default" w:ascii="Cambria" w:hAnsi="Cambria" w:eastAsia="宋体" w:cs="Cambria"/>
          <w:b/>
          <w:bCs/>
          <w:color w:val="auto"/>
          <w:kern w:val="2"/>
          <w:sz w:val="24"/>
          <w:szCs w:val="24"/>
          <w:lang w:val="en-US" w:eastAsia="zh-CN" w:bidi="ar-SA"/>
        </w:rPr>
        <w:t>VIII. Statement</w:t>
      </w:r>
    </w:p>
    <w:p w14:paraId="0D0E2A0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This document comprehensively records the technical resolutions of the expert consultation meeting held on 3 December 2025. All revision comments are based on expert scoring and written feedback, with no omissions or alterations. The project group expresses sincere gratitude to the participating experts for their professional contributions and undertakes to strictly implement the meeting resolutions and complete the international standard transformation task to a high standard.</w:t>
      </w:r>
    </w:p>
    <w:p w14:paraId="3CC27CDA">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right"/>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 xml:space="preserve">Project Working Group for International standardized manipulations of Chinese medicine Pediatrics Part 4: </w:t>
      </w:r>
      <w:r>
        <w:rPr>
          <w:rFonts w:hint="default" w:ascii="Cambria" w:hAnsi="Cambria" w:cs="Cambria"/>
          <w:sz w:val="24"/>
          <w:szCs w:val="24"/>
        </w:rPr>
        <w:t>Pediatric-Tuina</w:t>
      </w:r>
    </w:p>
    <w:p w14:paraId="6A1298D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right"/>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30 December 2025</w:t>
      </w:r>
    </w:p>
    <w:p w14:paraId="0793348E">
      <w:pPr>
        <w:rPr>
          <w:rFonts w:hint="default" w:ascii="Cambria" w:hAnsi="Cambria" w:eastAsia="黑体" w:cs="Cambria"/>
          <w:b/>
          <w:bCs/>
          <w:color w:val="auto"/>
          <w:sz w:val="24"/>
          <w:szCs w:val="24"/>
        </w:rPr>
      </w:pPr>
      <w:r>
        <w:rPr>
          <w:rFonts w:hint="default" w:ascii="Cambria" w:hAnsi="Cambria" w:eastAsia="黑体" w:cs="Cambria"/>
          <w:b/>
          <w:bCs/>
          <w:color w:val="auto"/>
          <w:sz w:val="24"/>
          <w:szCs w:val="24"/>
        </w:rPr>
        <w:br w:type="page"/>
      </w:r>
    </w:p>
    <w:p w14:paraId="40D91A47">
      <w:pPr>
        <w:keepNext w:val="0"/>
        <w:keepLines w:val="0"/>
        <w:pageBreakBefore w:val="0"/>
        <w:widowControl w:val="0"/>
        <w:kinsoku/>
        <w:wordWrap/>
        <w:overflowPunct/>
        <w:topLinePunct w:val="0"/>
        <w:autoSpaceDE/>
        <w:autoSpaceDN/>
        <w:bidi w:val="0"/>
        <w:adjustRightInd/>
        <w:snapToGrid/>
        <w:spacing w:before="312" w:beforeLines="100" w:after="312" w:afterLines="100" w:line="276" w:lineRule="auto"/>
        <w:jc w:val="center"/>
        <w:textAlignment w:val="auto"/>
        <w:outlineLvl w:val="0"/>
        <w:rPr>
          <w:rFonts w:hint="default" w:ascii="Cambria" w:hAnsi="Cambria" w:cs="Cambria"/>
          <w:b/>
          <w:bCs/>
          <w:sz w:val="32"/>
          <w:szCs w:val="32"/>
        </w:rPr>
      </w:pPr>
      <w:r>
        <w:rPr>
          <w:rFonts w:hint="default" w:ascii="Cambria" w:hAnsi="Cambria" w:cs="Cambria"/>
          <w:b/>
          <w:bCs/>
          <w:sz w:val="32"/>
          <w:szCs w:val="32"/>
        </w:rPr>
        <w:t>Appendix 3 Summary of Review by the Expert Steering Group</w:t>
      </w:r>
    </w:p>
    <w:p w14:paraId="74F86FDE">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 xml:space="preserve">In accordance with the procedural requirements of the World Federation of Chinese Medicine Societies for the development of international organization standards, the project International standardized manipulations of Chinese medicine Pediatrics Part 4: </w:t>
      </w:r>
      <w:r>
        <w:rPr>
          <w:rFonts w:hint="default" w:ascii="Cambria" w:hAnsi="Cambria" w:cs="Cambria"/>
          <w:sz w:val="24"/>
          <w:szCs w:val="24"/>
        </w:rPr>
        <w:t>Pediatric-Tuina</w:t>
      </w:r>
      <w:r>
        <w:rPr>
          <w:rFonts w:hint="default" w:ascii="Cambria" w:hAnsi="Cambria" w:cs="Cambria"/>
          <w:sz w:val="24"/>
          <w:szCs w:val="24"/>
          <w:lang w:val="en-US" w:eastAsia="zh-CN"/>
        </w:rPr>
        <w:t xml:space="preserve"> completed the expert questionnaire survey and expert consultation meeting, formed the review draft for the expert advisory group together with supporting materials such as the Explanatory Notes on the Development of the Standard, and submitted them to the expert advisory group for review.</w:t>
      </w:r>
    </w:p>
    <w:p w14:paraId="4D8E2F6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Professor Ding Ying, leader of the expert advisory group for this project, is a Master of Traditional Chinese Medicine and President of the Pediatrics Branch of the China Ethnic Medicine Association. Professors Ma Rong and Xiong Lei are Qihuang Scholars and former chairpersons of the 6th to 9th Councils of the Pediatrics Branch of the China Association of Chinese Medicine. Professor Yu Jian is Chairperson of the Pediatrics Branch of the Chinese Association of Integrative Medicine. Most of the other experts are incumbent Vice Presidents of the Pediatrics Specialty Committee of the World Federation of Chinese Medicine Societies or Vice Chairpersons of the Pediatrics Branch of the China Association of Chinese Medicine. Within the prescribed time, the project working group sent documents including the draft standard, comparison table of revisions to the standard, and Explanatory Notes on the Development of the Standard to the members of the expert advisory group, requesting that the experts provide review comments on aspects including the positioning of the standard, technical boundaries, clause wording and international applicability. The experts submitted written comments on the standard.</w:t>
      </w:r>
    </w:p>
    <w:p w14:paraId="0B3912C7">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center"/>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 xml:space="preserve">Table Solicitation of review comments from the expert advisory group for International standardized manipulations of Chinese medicine Pediatrics Part 4: </w:t>
      </w:r>
      <w:r>
        <w:rPr>
          <w:rFonts w:hint="default" w:ascii="Cambria" w:hAnsi="Cambria" w:cs="Cambria"/>
          <w:sz w:val="24"/>
          <w:szCs w:val="24"/>
        </w:rPr>
        <w:t>Pediatric-Tuina</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4111"/>
        <w:gridCol w:w="1576"/>
        <w:gridCol w:w="1807"/>
      </w:tblGrid>
      <w:tr w14:paraId="7DEE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7B61172C">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No.</w:t>
            </w:r>
          </w:p>
        </w:tc>
        <w:tc>
          <w:tcPr>
            <w:tcW w:w="4111" w:type="dxa"/>
            <w:noWrap w:val="0"/>
            <w:vAlign w:val="center"/>
          </w:tcPr>
          <w:p w14:paraId="6A8877A7">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Organization solicited</w:t>
            </w:r>
          </w:p>
        </w:tc>
        <w:tc>
          <w:tcPr>
            <w:tcW w:w="1576" w:type="dxa"/>
            <w:noWrap w:val="0"/>
            <w:vAlign w:val="center"/>
          </w:tcPr>
          <w:p w14:paraId="5934389F">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Expert</w:t>
            </w:r>
          </w:p>
        </w:tc>
        <w:tc>
          <w:tcPr>
            <w:tcW w:w="1807" w:type="dxa"/>
            <w:noWrap w:val="0"/>
            <w:vAlign w:val="center"/>
          </w:tcPr>
          <w:p w14:paraId="0C410BCC">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Whether comments were returned</w:t>
            </w:r>
          </w:p>
        </w:tc>
      </w:tr>
      <w:tr w14:paraId="30E93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22619986">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1</w:t>
            </w:r>
          </w:p>
        </w:tc>
        <w:tc>
          <w:tcPr>
            <w:tcW w:w="4111" w:type="dxa"/>
            <w:noWrap w:val="0"/>
            <w:vAlign w:val="center"/>
          </w:tcPr>
          <w:p w14:paraId="550EBED1">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First Affiliated Hospital of Henan University of Chinese Medicine</w:t>
            </w:r>
          </w:p>
        </w:tc>
        <w:tc>
          <w:tcPr>
            <w:tcW w:w="1576" w:type="dxa"/>
            <w:noWrap w:val="0"/>
            <w:vAlign w:val="center"/>
          </w:tcPr>
          <w:p w14:paraId="362B611E">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Ding Ying</w:t>
            </w:r>
          </w:p>
        </w:tc>
        <w:tc>
          <w:tcPr>
            <w:tcW w:w="1807" w:type="dxa"/>
            <w:noWrap w:val="0"/>
            <w:vAlign w:val="center"/>
          </w:tcPr>
          <w:p w14:paraId="279AE3F7">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07F1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3BCBE28B">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2</w:t>
            </w:r>
          </w:p>
        </w:tc>
        <w:tc>
          <w:tcPr>
            <w:tcW w:w="4111" w:type="dxa"/>
            <w:noWrap w:val="0"/>
            <w:vAlign w:val="center"/>
          </w:tcPr>
          <w:p w14:paraId="0AF4DCC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Shenzhen Children’s Hospital</w:t>
            </w:r>
          </w:p>
        </w:tc>
        <w:tc>
          <w:tcPr>
            <w:tcW w:w="1576" w:type="dxa"/>
            <w:noWrap w:val="0"/>
            <w:vAlign w:val="center"/>
          </w:tcPr>
          <w:p w14:paraId="30A47E14">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Wan Lisheng</w:t>
            </w:r>
          </w:p>
        </w:tc>
        <w:tc>
          <w:tcPr>
            <w:tcW w:w="1807" w:type="dxa"/>
            <w:noWrap w:val="0"/>
            <w:vAlign w:val="center"/>
          </w:tcPr>
          <w:p w14:paraId="11106D8D">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300E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03D610AA">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3</w:t>
            </w:r>
          </w:p>
        </w:tc>
        <w:tc>
          <w:tcPr>
            <w:tcW w:w="4111" w:type="dxa"/>
            <w:noWrap w:val="0"/>
            <w:vAlign w:val="center"/>
          </w:tcPr>
          <w:p w14:paraId="50556B4F">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First Teaching Hospital of Tianjin University of Traditional Chinese Medicine</w:t>
            </w:r>
          </w:p>
        </w:tc>
        <w:tc>
          <w:tcPr>
            <w:tcW w:w="1576" w:type="dxa"/>
            <w:noWrap w:val="0"/>
            <w:vAlign w:val="center"/>
          </w:tcPr>
          <w:p w14:paraId="3C2B9BE2">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Ma Rong</w:t>
            </w:r>
          </w:p>
        </w:tc>
        <w:tc>
          <w:tcPr>
            <w:tcW w:w="1807" w:type="dxa"/>
            <w:noWrap w:val="0"/>
            <w:vAlign w:val="center"/>
          </w:tcPr>
          <w:p w14:paraId="560FE534">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3FD1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613D3E4D">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4</w:t>
            </w:r>
          </w:p>
        </w:tc>
        <w:tc>
          <w:tcPr>
            <w:tcW w:w="4111" w:type="dxa"/>
            <w:noWrap w:val="0"/>
            <w:vAlign w:val="center"/>
          </w:tcPr>
          <w:p w14:paraId="24B8EE33">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Second Affiliated Hospital of Heilongjiang University of Chinese Medicine</w:t>
            </w:r>
          </w:p>
        </w:tc>
        <w:tc>
          <w:tcPr>
            <w:tcW w:w="1576" w:type="dxa"/>
            <w:noWrap w:val="0"/>
            <w:vAlign w:val="center"/>
          </w:tcPr>
          <w:p w14:paraId="37B1857D">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Wang Youpeng</w:t>
            </w:r>
          </w:p>
        </w:tc>
        <w:tc>
          <w:tcPr>
            <w:tcW w:w="1807" w:type="dxa"/>
            <w:noWrap w:val="0"/>
            <w:vAlign w:val="center"/>
          </w:tcPr>
          <w:p w14:paraId="22DC3D7D">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271E3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030F06FC">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5</w:t>
            </w:r>
          </w:p>
        </w:tc>
        <w:tc>
          <w:tcPr>
            <w:tcW w:w="4111" w:type="dxa"/>
            <w:noWrap w:val="0"/>
            <w:vAlign w:val="center"/>
          </w:tcPr>
          <w:p w14:paraId="10C7954C">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Department of International Standards, World Federation of Chinese Medicine Societies</w:t>
            </w:r>
          </w:p>
        </w:tc>
        <w:tc>
          <w:tcPr>
            <w:tcW w:w="1576" w:type="dxa"/>
            <w:noWrap w:val="0"/>
            <w:vAlign w:val="center"/>
          </w:tcPr>
          <w:p w14:paraId="0DADFE66">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Wang Lili</w:t>
            </w:r>
          </w:p>
        </w:tc>
        <w:tc>
          <w:tcPr>
            <w:tcW w:w="1807" w:type="dxa"/>
            <w:noWrap w:val="0"/>
            <w:vAlign w:val="center"/>
          </w:tcPr>
          <w:p w14:paraId="542F37A9">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7E073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2FDD7ACE">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6</w:t>
            </w:r>
          </w:p>
        </w:tc>
        <w:tc>
          <w:tcPr>
            <w:tcW w:w="4111" w:type="dxa"/>
            <w:noWrap w:val="0"/>
            <w:vAlign w:val="center"/>
          </w:tcPr>
          <w:p w14:paraId="2112FF45">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Dongfang Hospital, Beijing University of Chinese Medicine</w:t>
            </w:r>
          </w:p>
        </w:tc>
        <w:tc>
          <w:tcPr>
            <w:tcW w:w="1576" w:type="dxa"/>
            <w:noWrap w:val="0"/>
            <w:vAlign w:val="center"/>
          </w:tcPr>
          <w:p w14:paraId="227505BD">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Wang Sumei</w:t>
            </w:r>
          </w:p>
        </w:tc>
        <w:tc>
          <w:tcPr>
            <w:tcW w:w="1807" w:type="dxa"/>
            <w:noWrap w:val="0"/>
            <w:vAlign w:val="center"/>
          </w:tcPr>
          <w:p w14:paraId="0EB405FB">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1587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46E07EAC">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7</w:t>
            </w:r>
          </w:p>
        </w:tc>
        <w:tc>
          <w:tcPr>
            <w:tcW w:w="4111" w:type="dxa"/>
            <w:noWrap w:val="0"/>
            <w:vAlign w:val="center"/>
          </w:tcPr>
          <w:p w14:paraId="5EA797F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Gansu University of Chinese Medicine</w:t>
            </w:r>
          </w:p>
        </w:tc>
        <w:tc>
          <w:tcPr>
            <w:tcW w:w="1576" w:type="dxa"/>
            <w:noWrap w:val="0"/>
            <w:vAlign w:val="center"/>
          </w:tcPr>
          <w:p w14:paraId="7EEB9E07">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Shi Zhenggang</w:t>
            </w:r>
          </w:p>
        </w:tc>
        <w:tc>
          <w:tcPr>
            <w:tcW w:w="1807" w:type="dxa"/>
            <w:noWrap w:val="0"/>
            <w:vAlign w:val="center"/>
          </w:tcPr>
          <w:p w14:paraId="229B1CAB">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54501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0C7313CA">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8</w:t>
            </w:r>
          </w:p>
        </w:tc>
        <w:tc>
          <w:tcPr>
            <w:tcW w:w="4111" w:type="dxa"/>
            <w:noWrap w:val="0"/>
            <w:vAlign w:val="center"/>
          </w:tcPr>
          <w:p w14:paraId="257816EA">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Hubei University of Chinese Medicine</w:t>
            </w:r>
          </w:p>
        </w:tc>
        <w:tc>
          <w:tcPr>
            <w:tcW w:w="1576" w:type="dxa"/>
            <w:noWrap w:val="0"/>
            <w:vAlign w:val="center"/>
          </w:tcPr>
          <w:p w14:paraId="0AD4F5C2">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Liu Jianzhong</w:t>
            </w:r>
          </w:p>
        </w:tc>
        <w:tc>
          <w:tcPr>
            <w:tcW w:w="1807" w:type="dxa"/>
            <w:noWrap w:val="0"/>
            <w:vAlign w:val="center"/>
          </w:tcPr>
          <w:p w14:paraId="2A7527D4">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3C20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44B54C94">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9</w:t>
            </w:r>
          </w:p>
        </w:tc>
        <w:tc>
          <w:tcPr>
            <w:tcW w:w="4111" w:type="dxa"/>
            <w:noWrap w:val="0"/>
            <w:vAlign w:val="center"/>
          </w:tcPr>
          <w:p w14:paraId="71CF246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Shanghai University of Traditional Chinese Medicine</w:t>
            </w:r>
          </w:p>
        </w:tc>
        <w:tc>
          <w:tcPr>
            <w:tcW w:w="1576" w:type="dxa"/>
            <w:noWrap w:val="0"/>
            <w:vAlign w:val="center"/>
          </w:tcPr>
          <w:p w14:paraId="6B99E9AA">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Yu Jian’er</w:t>
            </w:r>
          </w:p>
        </w:tc>
        <w:tc>
          <w:tcPr>
            <w:tcW w:w="1807" w:type="dxa"/>
            <w:noWrap w:val="0"/>
            <w:vAlign w:val="center"/>
          </w:tcPr>
          <w:p w14:paraId="47A1ECCB">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50ED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37885D83">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10</w:t>
            </w:r>
          </w:p>
        </w:tc>
        <w:tc>
          <w:tcPr>
            <w:tcW w:w="4111" w:type="dxa"/>
            <w:noWrap w:val="0"/>
            <w:vAlign w:val="center"/>
          </w:tcPr>
          <w:p w14:paraId="7300C736">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Yunnan University of Chinese Medicine</w:t>
            </w:r>
          </w:p>
        </w:tc>
        <w:tc>
          <w:tcPr>
            <w:tcW w:w="1576" w:type="dxa"/>
            <w:noWrap w:val="0"/>
            <w:vAlign w:val="center"/>
          </w:tcPr>
          <w:p w14:paraId="1F7E42E9">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Xiong Lei</w:t>
            </w:r>
          </w:p>
        </w:tc>
        <w:tc>
          <w:tcPr>
            <w:tcW w:w="1807" w:type="dxa"/>
            <w:noWrap w:val="0"/>
            <w:vAlign w:val="center"/>
          </w:tcPr>
          <w:p w14:paraId="1A24E2D9">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6938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24585253">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11</w:t>
            </w:r>
          </w:p>
        </w:tc>
        <w:tc>
          <w:tcPr>
            <w:tcW w:w="4111" w:type="dxa"/>
            <w:noWrap w:val="0"/>
            <w:vAlign w:val="center"/>
          </w:tcPr>
          <w:p w14:paraId="19C6027B">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Affiliated Hospital of Shandong University of Traditional Chinese Medicine</w:t>
            </w:r>
          </w:p>
        </w:tc>
        <w:tc>
          <w:tcPr>
            <w:tcW w:w="1576" w:type="dxa"/>
            <w:noWrap w:val="0"/>
            <w:vAlign w:val="center"/>
          </w:tcPr>
          <w:p w14:paraId="49E97254">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Zhang Baoqing</w:t>
            </w:r>
          </w:p>
        </w:tc>
        <w:tc>
          <w:tcPr>
            <w:tcW w:w="1807" w:type="dxa"/>
            <w:noWrap w:val="0"/>
            <w:vAlign w:val="center"/>
          </w:tcPr>
          <w:p w14:paraId="5BE1889F">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7B66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689ECC28">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12</w:t>
            </w:r>
          </w:p>
        </w:tc>
        <w:tc>
          <w:tcPr>
            <w:tcW w:w="4111" w:type="dxa"/>
            <w:noWrap w:val="0"/>
            <w:vAlign w:val="center"/>
          </w:tcPr>
          <w:p w14:paraId="6C6C9D20">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Children’s Hospital of Fudan University</w:t>
            </w:r>
          </w:p>
        </w:tc>
        <w:tc>
          <w:tcPr>
            <w:tcW w:w="1576" w:type="dxa"/>
            <w:noWrap w:val="0"/>
            <w:vAlign w:val="center"/>
          </w:tcPr>
          <w:p w14:paraId="673121E2">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Yu Jian</w:t>
            </w:r>
          </w:p>
        </w:tc>
        <w:tc>
          <w:tcPr>
            <w:tcW w:w="1807" w:type="dxa"/>
            <w:noWrap w:val="0"/>
            <w:vAlign w:val="center"/>
          </w:tcPr>
          <w:p w14:paraId="036032A4">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r w14:paraId="2048E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5" w:type="dxa"/>
            <w:noWrap w:val="0"/>
            <w:vAlign w:val="center"/>
          </w:tcPr>
          <w:p w14:paraId="0F724F34">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13</w:t>
            </w:r>
          </w:p>
        </w:tc>
        <w:tc>
          <w:tcPr>
            <w:tcW w:w="4111" w:type="dxa"/>
            <w:noWrap w:val="0"/>
            <w:vAlign w:val="center"/>
          </w:tcPr>
          <w:p w14:paraId="64B11FAD">
            <w:pPr>
              <w:keepNext w:val="0"/>
              <w:keepLines w:val="0"/>
              <w:pageBreakBefore w:val="0"/>
              <w:widowControl w:val="0"/>
              <w:kinsoku/>
              <w:wordWrap/>
              <w:overflowPunct/>
              <w:topLinePunct w:val="0"/>
              <w:autoSpaceDE/>
              <w:autoSpaceDN/>
              <w:bidi w:val="0"/>
              <w:adjustRightInd/>
              <w:snapToGrid/>
              <w:spacing w:after="0" w:line="276" w:lineRule="auto"/>
              <w:jc w:val="left"/>
              <w:textAlignment w:val="auto"/>
              <w:rPr>
                <w:rFonts w:hint="default" w:ascii="Cambria" w:hAnsi="Cambria" w:cs="Cambria"/>
                <w:sz w:val="24"/>
                <w:szCs w:val="24"/>
                <w:lang w:eastAsia="en-US"/>
              </w:rPr>
            </w:pPr>
            <w:r>
              <w:rPr>
                <w:rFonts w:hint="default" w:ascii="Cambria" w:hAnsi="Cambria" w:cs="Cambria"/>
                <w:sz w:val="24"/>
                <w:szCs w:val="24"/>
                <w:lang w:eastAsia="en-US"/>
              </w:rPr>
              <w:t>Nanjing University of Chinese Medicine</w:t>
            </w:r>
          </w:p>
        </w:tc>
        <w:tc>
          <w:tcPr>
            <w:tcW w:w="1576" w:type="dxa"/>
            <w:noWrap w:val="0"/>
            <w:vAlign w:val="center"/>
          </w:tcPr>
          <w:p w14:paraId="76CC829C">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Dai Qigang</w:t>
            </w:r>
          </w:p>
        </w:tc>
        <w:tc>
          <w:tcPr>
            <w:tcW w:w="1807" w:type="dxa"/>
            <w:noWrap w:val="0"/>
            <w:vAlign w:val="center"/>
          </w:tcPr>
          <w:p w14:paraId="086B0352">
            <w:pPr>
              <w:keepNext w:val="0"/>
              <w:keepLines w:val="0"/>
              <w:pageBreakBefore w:val="0"/>
              <w:widowControl w:val="0"/>
              <w:kinsoku/>
              <w:wordWrap/>
              <w:overflowPunct/>
              <w:topLinePunct w:val="0"/>
              <w:autoSpaceDE/>
              <w:autoSpaceDN/>
              <w:bidi w:val="0"/>
              <w:adjustRightInd/>
              <w:snapToGrid/>
              <w:spacing w:after="0" w:line="276" w:lineRule="auto"/>
              <w:jc w:val="center"/>
              <w:textAlignment w:val="auto"/>
              <w:rPr>
                <w:rFonts w:hint="default" w:ascii="Cambria" w:hAnsi="Cambria" w:cs="Cambria"/>
                <w:sz w:val="24"/>
                <w:szCs w:val="24"/>
                <w:lang w:eastAsia="en-US"/>
              </w:rPr>
            </w:pPr>
            <w:r>
              <w:rPr>
                <w:rFonts w:hint="default" w:ascii="Cambria" w:hAnsi="Cambria" w:cs="Cambria"/>
                <w:sz w:val="24"/>
                <w:szCs w:val="24"/>
                <w:lang w:eastAsia="en-US"/>
              </w:rPr>
              <w:t>Returned</w:t>
            </w:r>
          </w:p>
        </w:tc>
      </w:tr>
    </w:tbl>
    <w:p w14:paraId="1E017CB0">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The comments put forward by the experts were mainly concentrated in the following aspects: first, the standardization and consistency of wording in individual clauses; second, safety reminders for certain technical clauses in international application; and third, further clarification of the scope of application and recommended nature of the standard.</w:t>
      </w:r>
    </w:p>
    <w:p w14:paraId="09796116">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both"/>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The project working group analyzed and discussed all comments fed back by the expert advisory group and, on this basis, further completed revision of the draft.</w:t>
      </w:r>
    </w:p>
    <w:p w14:paraId="58C0C28C">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right"/>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 xml:space="preserve">Project Working Group for International standardized manipulations of Chinese medicine Pediatrics Part 4: </w:t>
      </w:r>
      <w:r>
        <w:rPr>
          <w:rFonts w:hint="default" w:ascii="Cambria" w:hAnsi="Cambria" w:cs="Cambria"/>
          <w:sz w:val="24"/>
          <w:szCs w:val="24"/>
        </w:rPr>
        <w:t>Pediatric-Tuina</w:t>
      </w:r>
    </w:p>
    <w:p w14:paraId="41687125">
      <w:pPr>
        <w:keepNext w:val="0"/>
        <w:keepLines w:val="0"/>
        <w:pageBreakBefore w:val="0"/>
        <w:widowControl w:val="0"/>
        <w:kinsoku/>
        <w:wordWrap/>
        <w:overflowPunct/>
        <w:topLinePunct w:val="0"/>
        <w:autoSpaceDE/>
        <w:autoSpaceDN/>
        <w:bidi w:val="0"/>
        <w:adjustRightInd/>
        <w:snapToGrid/>
        <w:spacing w:after="0" w:line="276" w:lineRule="auto"/>
        <w:ind w:firstLine="480" w:firstLineChars="200"/>
        <w:jc w:val="right"/>
        <w:textAlignment w:val="auto"/>
        <w:rPr>
          <w:rFonts w:hint="default" w:ascii="Cambria" w:hAnsi="Cambria" w:cs="Cambria"/>
          <w:sz w:val="24"/>
          <w:szCs w:val="24"/>
          <w:lang w:val="en-US" w:eastAsia="zh-CN"/>
        </w:rPr>
      </w:pPr>
      <w:r>
        <w:rPr>
          <w:rFonts w:hint="default" w:ascii="Cambria" w:hAnsi="Cambria" w:cs="Cambria"/>
          <w:sz w:val="24"/>
          <w:szCs w:val="24"/>
          <w:lang w:val="en-US" w:eastAsia="zh-CN"/>
        </w:rPr>
        <w:t>25 December 2025</w:t>
      </w:r>
    </w:p>
    <w:p w14:paraId="3ACD9199">
      <w:pPr>
        <w:spacing w:line="276" w:lineRule="auto"/>
        <w:rPr>
          <w:rFonts w:hint="default" w:ascii="Cambria" w:hAnsi="Cambria" w:eastAsia="仿宋" w:cs="Cambria"/>
          <w:sz w:val="21"/>
          <w:szCs w:val="21"/>
          <w:lang w:val="en-US" w:eastAsia="zh-CN"/>
        </w:rPr>
      </w:pPr>
    </w:p>
    <w:p w14:paraId="31B018F3">
      <w:pPr>
        <w:spacing w:line="400" w:lineRule="exact"/>
        <w:ind w:right="-58"/>
        <w:jc w:val="center"/>
        <w:rPr>
          <w:rFonts w:hint="eastAsia" w:ascii="仿宋" w:hAnsi="仿宋" w:eastAsia="仿宋"/>
          <w:sz w:val="24"/>
          <w:szCs w:val="24"/>
        </w:rPr>
      </w:pPr>
    </w:p>
    <w:sectPr>
      <w:pgSz w:w="11906" w:h="16838"/>
      <w:pgMar w:top="1418" w:right="1134" w:bottom="1134" w:left="1418" w:header="1417" w:footer="113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90A1D8D-5A5E-4C96-A91A-0B031DA0BF50}"/>
  </w:font>
  <w:font w:name="黑体">
    <w:panose1 w:val="02010609060101010101"/>
    <w:charset w:val="86"/>
    <w:family w:val="auto"/>
    <w:pitch w:val="default"/>
    <w:sig w:usb0="800002BF" w:usb1="38CF7CFA" w:usb2="00000016" w:usb3="00000000" w:csb0="00040001" w:csb1="00000000"/>
    <w:embedRegular r:id="rId2" w:fontKey="{14A33ED7-AA0A-464B-9ABF-210C4B9A0B3F}"/>
  </w:font>
  <w:font w:name="Courier New">
    <w:panose1 w:val="02070309020205020404"/>
    <w:charset w:val="01"/>
    <w:family w:val="modern"/>
    <w:pitch w:val="default"/>
    <w:sig w:usb0="E0002EFF" w:usb1="C0007843" w:usb2="00000009" w:usb3="00000000" w:csb0="400001FF" w:csb1="FFFF0000"/>
    <w:embedRegular r:id="rId3" w:fontKey="{089651D9-D3EA-456C-A57E-35B6C60A089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484E924F-BFFA-4FBC-AC2C-26E05A188B9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embedRegular r:id="rId5" w:fontKey="{CA3F709C-4585-4BFA-85A2-F28838BEBABF}"/>
  </w:font>
  <w:font w:name="仿宋">
    <w:panose1 w:val="02010609060101010101"/>
    <w:charset w:val="86"/>
    <w:family w:val="modern"/>
    <w:pitch w:val="default"/>
    <w:sig w:usb0="800002BF" w:usb1="38CF7CFA" w:usb2="00000016" w:usb3="00000000" w:csb0="00040001" w:csb1="00000000"/>
    <w:embedRegular r:id="rId6" w:fontKey="{5F3049AB-3EB3-4DDA-9AEF-FEAF517E526D}"/>
  </w:font>
  <w:font w:name="Cambria Math">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汉仪中黑简">
    <w:panose1 w:val="02010600000101010101"/>
    <w:charset w:val="86"/>
    <w:family w:val="swiss"/>
    <w:pitch w:val="default"/>
    <w:sig w:usb0="00000001" w:usb1="080E0800" w:usb2="00000002" w:usb3="00000000" w:csb0="00040000" w:csb1="00000000"/>
    <w:embedRegular r:id="rId7" w:fontKey="{7998FE4F-BACB-4E41-B749-B75B71769960}"/>
  </w:font>
  <w:font w:name="仿宋_GB2312">
    <w:altName w:val="仿宋"/>
    <w:panose1 w:val="02010609030101010101"/>
    <w:charset w:val="86"/>
    <w:family w:val="modern"/>
    <w:pitch w:val="default"/>
    <w:sig w:usb0="00000001" w:usb1="080E0000" w:usb2="00000010" w:usb3="00000000" w:csb0="00040000" w:csb1="00000000"/>
    <w:embedRegular r:id="rId8" w:fontKey="{FB0EE6DB-2DF7-4A28-83D1-A033F13935D0}"/>
  </w:font>
  <w:font w:name="Courier New">
    <w:panose1 w:val="02070309020205020404"/>
    <w:charset w:val="00"/>
    <w:family w:val="modern"/>
    <w:pitch w:val="default"/>
    <w:sig w:usb0="E0002EFF" w:usb1="C0007843" w:usb2="00000009" w:usb3="00000000" w:csb0="400001FF" w:csb1="FFFF0000"/>
    <w:embedRegular r:id="rId9" w:fontKey="{9060BC15-23B8-4F8A-8AB1-1958EF9F9FBF}"/>
  </w:font>
  <w:font w:name="Segoe UI">
    <w:panose1 w:val="020B0502040204020203"/>
    <w:charset w:val="00"/>
    <w:family w:val="swiss"/>
    <w:pitch w:val="default"/>
    <w:sig w:usb0="E4002EFF" w:usb1="C000E47F" w:usb2="00000009" w:usb3="00000000" w:csb0="200001FF" w:csb1="00000000"/>
    <w:embedRegular r:id="rId10" w:fontKey="{A4820369-7A7C-4575-A0F4-95669DFA2F8C}"/>
  </w:font>
  <w:font w:name="PingFang SC">
    <w:altName w:val="宋体"/>
    <w:panose1 w:val="020B0400000000000000"/>
    <w:charset w:val="86"/>
    <w:family w:val="auto"/>
    <w:pitch w:val="default"/>
    <w:sig w:usb0="A00002FF" w:usb1="7ACFFDFB" w:usb2="00000017" w:usb3="00000000" w:csb0="00040001" w:csb1="00000000"/>
    <w:embedRegular r:id="rId11" w:fontKey="{197F608B-BB06-4E53-B24F-51C727185B34}"/>
  </w:font>
  <w:font w:name="Times New Roman Regular">
    <w:altName w:val="Times New Roman"/>
    <w:panose1 w:val="02020503050405090304"/>
    <w:charset w:val="00"/>
    <w:family w:val="auto"/>
    <w:pitch w:val="default"/>
    <w:sig w:usb0="00000000" w:usb1="00000000" w:usb2="00000001" w:usb3="00000000" w:csb0="400001BF" w:csb1="DFF70000"/>
    <w:embedRegular r:id="rId12" w:fontKey="{3F514460-FB1B-4FD8-88CA-6C518068FA4B}"/>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8B844D">
    <w:pPr>
      <w:pStyle w:val="14"/>
      <w:jc w:val="center"/>
    </w:pPr>
  </w:p>
  <w:p w14:paraId="65CACAF4">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0E918">
    <w:pPr>
      <w:pStyle w:val="14"/>
      <w:jc w:val="center"/>
    </w:pPr>
  </w:p>
  <w:p w14:paraId="7341ED4C">
    <w:pPr>
      <w:pStyle w:val="1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0BB06">
    <w:pPr>
      <w:pStyle w:val="14"/>
      <w:jc w:val="center"/>
    </w:pPr>
    <w:r>
      <w:fldChar w:fldCharType="begin"/>
    </w:r>
    <w:r>
      <w:instrText xml:space="preserve">PAGE   \* MERGEFORMAT</w:instrText>
    </w:r>
    <w:r>
      <w:fldChar w:fldCharType="separate"/>
    </w:r>
    <w:r>
      <w:rPr>
        <w:lang w:val="zh-CN"/>
      </w:rPr>
      <w:t>2</w:t>
    </w:r>
    <w:r>
      <w:fldChar w:fldCharType="end"/>
    </w:r>
  </w:p>
  <w:p w14:paraId="4937D793">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FC455">
    <w:pPr>
      <w:pStyle w:val="1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5C395">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54937EB">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R89qo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L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AUfPaqNwIAAG8EAAAOAAAAAAAAAAEAIAAAAB8BAABkcnMvZTJvRG9jLnht&#10;bFBLBQYAAAAABgAGAFkBAADIBQAAAAA=&#10;">
              <v:fill on="f" focussize="0,0"/>
              <v:stroke on="f" weight="0.5pt"/>
              <v:imagedata o:title=""/>
              <o:lock v:ext="edit" aspectratio="f"/>
              <v:textbox inset="0mm,0mm,0mm,0mm" style="mso-fit-shape-to-text:t;">
                <w:txbxContent>
                  <w:p w14:paraId="054937EB">
                    <w:pPr>
                      <w:pStyle w:val="1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247A1"/>
    <w:multiLevelType w:val="singleLevel"/>
    <w:tmpl w:val="9F3247A1"/>
    <w:lvl w:ilvl="0" w:tentative="0">
      <w:start w:val="4"/>
      <w:numFmt w:val="upperLetter"/>
      <w:suff w:val="space"/>
      <w:lvlText w:val="%1."/>
      <w:lvlJc w:val="left"/>
    </w:lvl>
  </w:abstractNum>
  <w:abstractNum w:abstractNumId="1">
    <w:nsid w:val="BCBED92F"/>
    <w:multiLevelType w:val="singleLevel"/>
    <w:tmpl w:val="BCBED92F"/>
    <w:lvl w:ilvl="0" w:tentative="0">
      <w:start w:val="1"/>
      <w:numFmt w:val="decimal"/>
      <w:suff w:val="space"/>
      <w:lvlText w:val="%1."/>
      <w:lvlJc w:val="left"/>
    </w:lvl>
  </w:abstractNum>
  <w:abstractNum w:abstractNumId="2">
    <w:nsid w:val="BFFF9F65"/>
    <w:multiLevelType w:val="singleLevel"/>
    <w:tmpl w:val="BFFF9F65"/>
    <w:lvl w:ilvl="0" w:tentative="0">
      <w:start w:val="8"/>
      <w:numFmt w:val="upperLetter"/>
      <w:suff w:val="space"/>
      <w:lvlText w:val="%1."/>
      <w:lvlJc w:val="left"/>
    </w:lvl>
  </w:abstractNum>
  <w:abstractNum w:abstractNumId="3">
    <w:nsid w:val="D7FAA95E"/>
    <w:multiLevelType w:val="singleLevel"/>
    <w:tmpl w:val="D7FAA95E"/>
    <w:lvl w:ilvl="0" w:tentative="0">
      <w:start w:val="1"/>
      <w:numFmt w:val="lowerLetter"/>
      <w:suff w:val="space"/>
      <w:lvlText w:val="%1)"/>
      <w:lvlJc w:val="left"/>
    </w:lvl>
  </w:abstractNum>
  <w:abstractNum w:abstractNumId="4">
    <w:nsid w:val="F7FAAA7F"/>
    <w:multiLevelType w:val="singleLevel"/>
    <w:tmpl w:val="F7FAAA7F"/>
    <w:lvl w:ilvl="0" w:tentative="0">
      <w:start w:val="1"/>
      <w:numFmt w:val="decimal"/>
      <w:suff w:val="space"/>
      <w:lvlText w:val="%1."/>
      <w:lvlJc w:val="left"/>
    </w:lvl>
  </w:abstractNum>
  <w:abstractNum w:abstractNumId="5">
    <w:nsid w:val="FEBF231B"/>
    <w:multiLevelType w:val="singleLevel"/>
    <w:tmpl w:val="FEBF231B"/>
    <w:lvl w:ilvl="0" w:tentative="0">
      <w:start w:val="2"/>
      <w:numFmt w:val="decimal"/>
      <w:suff w:val="space"/>
      <w:lvlText w:val="%1)"/>
      <w:lvlJc w:val="left"/>
    </w:lvl>
  </w:abstractNum>
  <w:abstractNum w:abstractNumId="6">
    <w:nsid w:val="FEC806E7"/>
    <w:multiLevelType w:val="singleLevel"/>
    <w:tmpl w:val="FEC806E7"/>
    <w:lvl w:ilvl="0" w:tentative="0">
      <w:start w:val="1"/>
      <w:numFmt w:val="lowerLetter"/>
      <w:suff w:val="space"/>
      <w:lvlText w:val="%1)"/>
      <w:lvlJc w:val="left"/>
    </w:lvl>
  </w:abstractNum>
  <w:abstractNum w:abstractNumId="7">
    <w:nsid w:val="FFF95EBF"/>
    <w:multiLevelType w:val="singleLevel"/>
    <w:tmpl w:val="FFF95EBF"/>
    <w:lvl w:ilvl="0" w:tentative="0">
      <w:start w:val="1"/>
      <w:numFmt w:val="upperLetter"/>
      <w:suff w:val="space"/>
      <w:lvlText w:val="%1."/>
      <w:lvlJc w:val="left"/>
    </w:lvl>
  </w:abstractNum>
  <w:abstractNum w:abstractNumId="8">
    <w:nsid w:val="3BA32069"/>
    <w:multiLevelType w:val="multilevel"/>
    <w:tmpl w:val="3BA32069"/>
    <w:lvl w:ilvl="0" w:tentative="0">
      <w:start w:val="1"/>
      <w:numFmt w:val="japaneseCounting"/>
      <w:lvlText w:val="（%1）"/>
      <w:lvlJc w:val="left"/>
      <w:pPr>
        <w:ind w:left="756" w:hanging="756"/>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9">
    <w:nsid w:val="3FEE8DB0"/>
    <w:multiLevelType w:val="singleLevel"/>
    <w:tmpl w:val="3FEE8DB0"/>
    <w:lvl w:ilvl="0" w:tentative="0">
      <w:start w:val="1"/>
      <w:numFmt w:val="upperLetter"/>
      <w:suff w:val="space"/>
      <w:lvlText w:val="%1."/>
      <w:lvlJc w:val="left"/>
    </w:lvl>
  </w:abstractNum>
  <w:abstractNum w:abstractNumId="10">
    <w:nsid w:val="56CDC681"/>
    <w:multiLevelType w:val="singleLevel"/>
    <w:tmpl w:val="56CDC681"/>
    <w:lvl w:ilvl="0" w:tentative="0">
      <w:start w:val="6"/>
      <w:numFmt w:val="decimal"/>
      <w:suff w:val="nothing"/>
      <w:lvlText w:val="（%1）"/>
      <w:lvlJc w:val="left"/>
    </w:lvl>
  </w:abstractNum>
  <w:abstractNum w:abstractNumId="11">
    <w:nsid w:val="76FFC356"/>
    <w:multiLevelType w:val="singleLevel"/>
    <w:tmpl w:val="76FFC356"/>
    <w:lvl w:ilvl="0" w:tentative="0">
      <w:start w:val="1"/>
      <w:numFmt w:val="upperLetter"/>
      <w:suff w:val="space"/>
      <w:lvlText w:val="%1."/>
      <w:lvlJc w:val="left"/>
    </w:lvl>
  </w:abstractNum>
  <w:abstractNum w:abstractNumId="12">
    <w:nsid w:val="7F1BC05A"/>
    <w:multiLevelType w:val="singleLevel"/>
    <w:tmpl w:val="7F1BC05A"/>
    <w:lvl w:ilvl="0" w:tentative="0">
      <w:start w:val="1"/>
      <w:numFmt w:val="upperLetter"/>
      <w:suff w:val="space"/>
      <w:lvlText w:val="%1."/>
      <w:lvlJc w:val="left"/>
    </w:lvl>
  </w:abstractNum>
  <w:num w:numId="1">
    <w:abstractNumId w:val="10"/>
  </w:num>
  <w:num w:numId="2">
    <w:abstractNumId w:val="8"/>
  </w:num>
  <w:num w:numId="3">
    <w:abstractNumId w:val="11"/>
  </w:num>
  <w:num w:numId="4">
    <w:abstractNumId w:val="0"/>
  </w:num>
  <w:num w:numId="5">
    <w:abstractNumId w:val="6"/>
  </w:num>
  <w:num w:numId="6">
    <w:abstractNumId w:val="12"/>
  </w:num>
  <w:num w:numId="7">
    <w:abstractNumId w:val="9"/>
  </w:num>
  <w:num w:numId="8">
    <w:abstractNumId w:val="3"/>
  </w:num>
  <w:num w:numId="9">
    <w:abstractNumId w:val="5"/>
  </w:num>
  <w:num w:numId="10">
    <w:abstractNumId w:val="2"/>
  </w:num>
  <w:num w:numId="11">
    <w:abstractNumId w:val="7"/>
  </w:num>
  <w:num w:numId="12">
    <w:abstractNumId w:val="4"/>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669"/>
    <w:rsid w:val="00000FA4"/>
    <w:rsid w:val="00005359"/>
    <w:rsid w:val="00011526"/>
    <w:rsid w:val="00013C62"/>
    <w:rsid w:val="00017E0E"/>
    <w:rsid w:val="00030F1F"/>
    <w:rsid w:val="000345D5"/>
    <w:rsid w:val="00040A9C"/>
    <w:rsid w:val="00041E99"/>
    <w:rsid w:val="00047D9C"/>
    <w:rsid w:val="000503F5"/>
    <w:rsid w:val="00061F58"/>
    <w:rsid w:val="00066858"/>
    <w:rsid w:val="00072CE5"/>
    <w:rsid w:val="00084153"/>
    <w:rsid w:val="000856BE"/>
    <w:rsid w:val="000871DB"/>
    <w:rsid w:val="00090315"/>
    <w:rsid w:val="0009500E"/>
    <w:rsid w:val="000A03BF"/>
    <w:rsid w:val="000A1DF9"/>
    <w:rsid w:val="000A4F2D"/>
    <w:rsid w:val="000A6F42"/>
    <w:rsid w:val="000A705E"/>
    <w:rsid w:val="000B014D"/>
    <w:rsid w:val="000B239E"/>
    <w:rsid w:val="000B7CE6"/>
    <w:rsid w:val="000C1C9F"/>
    <w:rsid w:val="000C2F59"/>
    <w:rsid w:val="000C458E"/>
    <w:rsid w:val="000E2E73"/>
    <w:rsid w:val="000E373B"/>
    <w:rsid w:val="00104B93"/>
    <w:rsid w:val="00107D9F"/>
    <w:rsid w:val="00114570"/>
    <w:rsid w:val="00120A0F"/>
    <w:rsid w:val="00123C7D"/>
    <w:rsid w:val="00125DA3"/>
    <w:rsid w:val="001528A2"/>
    <w:rsid w:val="00154DEC"/>
    <w:rsid w:val="00155EEC"/>
    <w:rsid w:val="00161D36"/>
    <w:rsid w:val="00162BAC"/>
    <w:rsid w:val="00187FB9"/>
    <w:rsid w:val="001A084B"/>
    <w:rsid w:val="001A10C4"/>
    <w:rsid w:val="001A31C9"/>
    <w:rsid w:val="001A7516"/>
    <w:rsid w:val="001A7E09"/>
    <w:rsid w:val="001B292D"/>
    <w:rsid w:val="001B294D"/>
    <w:rsid w:val="001B42AD"/>
    <w:rsid w:val="001D26EC"/>
    <w:rsid w:val="001D2A3E"/>
    <w:rsid w:val="001E3443"/>
    <w:rsid w:val="001E4099"/>
    <w:rsid w:val="001E543E"/>
    <w:rsid w:val="001E7FB2"/>
    <w:rsid w:val="001F1734"/>
    <w:rsid w:val="001F1CC7"/>
    <w:rsid w:val="0020014C"/>
    <w:rsid w:val="002021C7"/>
    <w:rsid w:val="00210169"/>
    <w:rsid w:val="00210C2C"/>
    <w:rsid w:val="00211331"/>
    <w:rsid w:val="002139BC"/>
    <w:rsid w:val="00217EF2"/>
    <w:rsid w:val="00220594"/>
    <w:rsid w:val="00224006"/>
    <w:rsid w:val="00230D1B"/>
    <w:rsid w:val="00231765"/>
    <w:rsid w:val="002416FD"/>
    <w:rsid w:val="002422A3"/>
    <w:rsid w:val="0025456C"/>
    <w:rsid w:val="00257D6C"/>
    <w:rsid w:val="00270C47"/>
    <w:rsid w:val="00276F33"/>
    <w:rsid w:val="00282E43"/>
    <w:rsid w:val="00286F22"/>
    <w:rsid w:val="00290513"/>
    <w:rsid w:val="00295F27"/>
    <w:rsid w:val="002968BE"/>
    <w:rsid w:val="002A0B96"/>
    <w:rsid w:val="002A192D"/>
    <w:rsid w:val="002A7499"/>
    <w:rsid w:val="002A7989"/>
    <w:rsid w:val="002B0C73"/>
    <w:rsid w:val="002B0EB9"/>
    <w:rsid w:val="002B3481"/>
    <w:rsid w:val="002B58AA"/>
    <w:rsid w:val="002C05FF"/>
    <w:rsid w:val="002C385C"/>
    <w:rsid w:val="002C53FF"/>
    <w:rsid w:val="002D0E97"/>
    <w:rsid w:val="002D2794"/>
    <w:rsid w:val="002D2AE8"/>
    <w:rsid w:val="002D52B5"/>
    <w:rsid w:val="002E08F8"/>
    <w:rsid w:val="002E3D30"/>
    <w:rsid w:val="002E751C"/>
    <w:rsid w:val="002E7DCB"/>
    <w:rsid w:val="002F091E"/>
    <w:rsid w:val="002F1295"/>
    <w:rsid w:val="002F36AC"/>
    <w:rsid w:val="00300160"/>
    <w:rsid w:val="00300724"/>
    <w:rsid w:val="003028B5"/>
    <w:rsid w:val="0030306A"/>
    <w:rsid w:val="00306556"/>
    <w:rsid w:val="00313D4A"/>
    <w:rsid w:val="003308B1"/>
    <w:rsid w:val="00332CDE"/>
    <w:rsid w:val="003339D7"/>
    <w:rsid w:val="00335725"/>
    <w:rsid w:val="00340765"/>
    <w:rsid w:val="003419BC"/>
    <w:rsid w:val="003463CF"/>
    <w:rsid w:val="00355493"/>
    <w:rsid w:val="00367BD7"/>
    <w:rsid w:val="00377AD1"/>
    <w:rsid w:val="00381161"/>
    <w:rsid w:val="00383D55"/>
    <w:rsid w:val="00386263"/>
    <w:rsid w:val="0038776D"/>
    <w:rsid w:val="0039121B"/>
    <w:rsid w:val="003A5F35"/>
    <w:rsid w:val="003A772F"/>
    <w:rsid w:val="003B1024"/>
    <w:rsid w:val="003B5EE1"/>
    <w:rsid w:val="003C3DC4"/>
    <w:rsid w:val="003C57E6"/>
    <w:rsid w:val="003C7158"/>
    <w:rsid w:val="003D0569"/>
    <w:rsid w:val="003D3119"/>
    <w:rsid w:val="003D4E67"/>
    <w:rsid w:val="003D5A1D"/>
    <w:rsid w:val="003D6686"/>
    <w:rsid w:val="003D78B8"/>
    <w:rsid w:val="003F6787"/>
    <w:rsid w:val="004031A4"/>
    <w:rsid w:val="00415A6D"/>
    <w:rsid w:val="00417D2C"/>
    <w:rsid w:val="00424267"/>
    <w:rsid w:val="004263BB"/>
    <w:rsid w:val="00426BD9"/>
    <w:rsid w:val="004277FB"/>
    <w:rsid w:val="0043015B"/>
    <w:rsid w:val="004313F3"/>
    <w:rsid w:val="00432CA9"/>
    <w:rsid w:val="00446116"/>
    <w:rsid w:val="00454CD3"/>
    <w:rsid w:val="00455FCF"/>
    <w:rsid w:val="00463631"/>
    <w:rsid w:val="004759EE"/>
    <w:rsid w:val="0048053F"/>
    <w:rsid w:val="00481B74"/>
    <w:rsid w:val="00483413"/>
    <w:rsid w:val="0049120D"/>
    <w:rsid w:val="00492782"/>
    <w:rsid w:val="00495FA1"/>
    <w:rsid w:val="004961E5"/>
    <w:rsid w:val="00497372"/>
    <w:rsid w:val="004A63AE"/>
    <w:rsid w:val="004A679A"/>
    <w:rsid w:val="004B2FD2"/>
    <w:rsid w:val="004B5FB0"/>
    <w:rsid w:val="004C72F5"/>
    <w:rsid w:val="004E2335"/>
    <w:rsid w:val="004E5C93"/>
    <w:rsid w:val="004F04E4"/>
    <w:rsid w:val="004F1D73"/>
    <w:rsid w:val="00502E26"/>
    <w:rsid w:val="005056EC"/>
    <w:rsid w:val="005058A6"/>
    <w:rsid w:val="005070A3"/>
    <w:rsid w:val="00511217"/>
    <w:rsid w:val="00517F76"/>
    <w:rsid w:val="00525144"/>
    <w:rsid w:val="00525369"/>
    <w:rsid w:val="00525DEB"/>
    <w:rsid w:val="005337BD"/>
    <w:rsid w:val="00534102"/>
    <w:rsid w:val="0053578C"/>
    <w:rsid w:val="005441A0"/>
    <w:rsid w:val="00544505"/>
    <w:rsid w:val="00562EBF"/>
    <w:rsid w:val="00563FF4"/>
    <w:rsid w:val="005721C5"/>
    <w:rsid w:val="00581313"/>
    <w:rsid w:val="00581429"/>
    <w:rsid w:val="005830A1"/>
    <w:rsid w:val="00584A0B"/>
    <w:rsid w:val="00584AA7"/>
    <w:rsid w:val="00585DF2"/>
    <w:rsid w:val="00595DD7"/>
    <w:rsid w:val="005C7AE9"/>
    <w:rsid w:val="005D1FD2"/>
    <w:rsid w:val="005D2870"/>
    <w:rsid w:val="005D3E19"/>
    <w:rsid w:val="005D43EA"/>
    <w:rsid w:val="005E030E"/>
    <w:rsid w:val="005E341B"/>
    <w:rsid w:val="005E3E29"/>
    <w:rsid w:val="005E4D15"/>
    <w:rsid w:val="00601EE7"/>
    <w:rsid w:val="00605CFD"/>
    <w:rsid w:val="00606CCB"/>
    <w:rsid w:val="00617142"/>
    <w:rsid w:val="00622E1B"/>
    <w:rsid w:val="0062336A"/>
    <w:rsid w:val="0062444B"/>
    <w:rsid w:val="00630F5F"/>
    <w:rsid w:val="00632F0A"/>
    <w:rsid w:val="00641837"/>
    <w:rsid w:val="00642CC6"/>
    <w:rsid w:val="006436BA"/>
    <w:rsid w:val="00643BAE"/>
    <w:rsid w:val="00643E9D"/>
    <w:rsid w:val="006538EF"/>
    <w:rsid w:val="00661A3A"/>
    <w:rsid w:val="00662BC8"/>
    <w:rsid w:val="00664FD9"/>
    <w:rsid w:val="00665669"/>
    <w:rsid w:val="00666056"/>
    <w:rsid w:val="00670281"/>
    <w:rsid w:val="00673F22"/>
    <w:rsid w:val="006740A7"/>
    <w:rsid w:val="00674914"/>
    <w:rsid w:val="00676486"/>
    <w:rsid w:val="006774F1"/>
    <w:rsid w:val="00682856"/>
    <w:rsid w:val="0068473C"/>
    <w:rsid w:val="0068535B"/>
    <w:rsid w:val="00687C1D"/>
    <w:rsid w:val="00690B9D"/>
    <w:rsid w:val="006968B8"/>
    <w:rsid w:val="006A4FB5"/>
    <w:rsid w:val="006B3F3C"/>
    <w:rsid w:val="006B502F"/>
    <w:rsid w:val="006B6E13"/>
    <w:rsid w:val="006B73D4"/>
    <w:rsid w:val="006D0CBD"/>
    <w:rsid w:val="006D1265"/>
    <w:rsid w:val="006D3E83"/>
    <w:rsid w:val="006D61D4"/>
    <w:rsid w:val="006E1846"/>
    <w:rsid w:val="006E3C07"/>
    <w:rsid w:val="006E5770"/>
    <w:rsid w:val="006E5C5A"/>
    <w:rsid w:val="006E6793"/>
    <w:rsid w:val="006F0037"/>
    <w:rsid w:val="006F135F"/>
    <w:rsid w:val="006F1FDD"/>
    <w:rsid w:val="00700409"/>
    <w:rsid w:val="007106E3"/>
    <w:rsid w:val="007209D7"/>
    <w:rsid w:val="00721686"/>
    <w:rsid w:val="00723F6F"/>
    <w:rsid w:val="00727C0A"/>
    <w:rsid w:val="00735D01"/>
    <w:rsid w:val="00735F77"/>
    <w:rsid w:val="0073606D"/>
    <w:rsid w:val="00742C8B"/>
    <w:rsid w:val="00744436"/>
    <w:rsid w:val="007453FA"/>
    <w:rsid w:val="007461FE"/>
    <w:rsid w:val="00750BAB"/>
    <w:rsid w:val="00761925"/>
    <w:rsid w:val="00766E1D"/>
    <w:rsid w:val="007712BA"/>
    <w:rsid w:val="00772D68"/>
    <w:rsid w:val="00775ADA"/>
    <w:rsid w:val="00781581"/>
    <w:rsid w:val="00783814"/>
    <w:rsid w:val="0078419D"/>
    <w:rsid w:val="0078481E"/>
    <w:rsid w:val="00785E1D"/>
    <w:rsid w:val="007866B6"/>
    <w:rsid w:val="007A1F1D"/>
    <w:rsid w:val="007A3144"/>
    <w:rsid w:val="007A34C8"/>
    <w:rsid w:val="007A6642"/>
    <w:rsid w:val="007A70DC"/>
    <w:rsid w:val="007B0605"/>
    <w:rsid w:val="007B0874"/>
    <w:rsid w:val="007B4251"/>
    <w:rsid w:val="007B754B"/>
    <w:rsid w:val="007C2832"/>
    <w:rsid w:val="007C50AE"/>
    <w:rsid w:val="007D2F6F"/>
    <w:rsid w:val="007D4937"/>
    <w:rsid w:val="007E0485"/>
    <w:rsid w:val="007E37F9"/>
    <w:rsid w:val="007E6F55"/>
    <w:rsid w:val="007F3310"/>
    <w:rsid w:val="007F77BC"/>
    <w:rsid w:val="007F7FA4"/>
    <w:rsid w:val="00803BFE"/>
    <w:rsid w:val="00803C6B"/>
    <w:rsid w:val="008120A6"/>
    <w:rsid w:val="0081269D"/>
    <w:rsid w:val="00816A55"/>
    <w:rsid w:val="00820BDD"/>
    <w:rsid w:val="00820DE0"/>
    <w:rsid w:val="0082239A"/>
    <w:rsid w:val="0082731C"/>
    <w:rsid w:val="008274F9"/>
    <w:rsid w:val="00832703"/>
    <w:rsid w:val="00841144"/>
    <w:rsid w:val="008451D1"/>
    <w:rsid w:val="00845A4E"/>
    <w:rsid w:val="00846FE9"/>
    <w:rsid w:val="008514AD"/>
    <w:rsid w:val="0085306E"/>
    <w:rsid w:val="00861476"/>
    <w:rsid w:val="0086307B"/>
    <w:rsid w:val="008640F3"/>
    <w:rsid w:val="00864F18"/>
    <w:rsid w:val="00866568"/>
    <w:rsid w:val="008720CC"/>
    <w:rsid w:val="00872CA5"/>
    <w:rsid w:val="00880196"/>
    <w:rsid w:val="008821B6"/>
    <w:rsid w:val="00885C22"/>
    <w:rsid w:val="00895456"/>
    <w:rsid w:val="00895D13"/>
    <w:rsid w:val="00897434"/>
    <w:rsid w:val="008B5A62"/>
    <w:rsid w:val="008B5EEE"/>
    <w:rsid w:val="008C1D06"/>
    <w:rsid w:val="008D122E"/>
    <w:rsid w:val="008D7BD3"/>
    <w:rsid w:val="008E72D1"/>
    <w:rsid w:val="008F0526"/>
    <w:rsid w:val="008F16CB"/>
    <w:rsid w:val="008F2921"/>
    <w:rsid w:val="008F4F8A"/>
    <w:rsid w:val="008F73F2"/>
    <w:rsid w:val="008F765C"/>
    <w:rsid w:val="00905E22"/>
    <w:rsid w:val="009066D9"/>
    <w:rsid w:val="00906E6E"/>
    <w:rsid w:val="00920B09"/>
    <w:rsid w:val="009212B2"/>
    <w:rsid w:val="00923A32"/>
    <w:rsid w:val="00923BD9"/>
    <w:rsid w:val="00931389"/>
    <w:rsid w:val="0093215C"/>
    <w:rsid w:val="00936BD0"/>
    <w:rsid w:val="00941E96"/>
    <w:rsid w:val="00942CBF"/>
    <w:rsid w:val="00942D29"/>
    <w:rsid w:val="0094426B"/>
    <w:rsid w:val="0095155E"/>
    <w:rsid w:val="0095165C"/>
    <w:rsid w:val="009566BC"/>
    <w:rsid w:val="00964EB7"/>
    <w:rsid w:val="00972358"/>
    <w:rsid w:val="0097730F"/>
    <w:rsid w:val="009802AC"/>
    <w:rsid w:val="00983D69"/>
    <w:rsid w:val="00984BD9"/>
    <w:rsid w:val="00985196"/>
    <w:rsid w:val="009914CA"/>
    <w:rsid w:val="00991C22"/>
    <w:rsid w:val="00991C4C"/>
    <w:rsid w:val="00992A7D"/>
    <w:rsid w:val="00993E50"/>
    <w:rsid w:val="0099692B"/>
    <w:rsid w:val="009979F4"/>
    <w:rsid w:val="009A0911"/>
    <w:rsid w:val="009A431D"/>
    <w:rsid w:val="009B0CEF"/>
    <w:rsid w:val="009B1530"/>
    <w:rsid w:val="009B2E81"/>
    <w:rsid w:val="009B32EC"/>
    <w:rsid w:val="009B4A44"/>
    <w:rsid w:val="009C4A95"/>
    <w:rsid w:val="009C699E"/>
    <w:rsid w:val="009C6EA9"/>
    <w:rsid w:val="009C7896"/>
    <w:rsid w:val="009D5FD0"/>
    <w:rsid w:val="009E2C73"/>
    <w:rsid w:val="009E33A3"/>
    <w:rsid w:val="009E555B"/>
    <w:rsid w:val="009E5A65"/>
    <w:rsid w:val="009E5EFD"/>
    <w:rsid w:val="009F1B95"/>
    <w:rsid w:val="009F214C"/>
    <w:rsid w:val="009F2BF0"/>
    <w:rsid w:val="009F6FD7"/>
    <w:rsid w:val="00A06DA9"/>
    <w:rsid w:val="00A12DA0"/>
    <w:rsid w:val="00A13721"/>
    <w:rsid w:val="00A13D15"/>
    <w:rsid w:val="00A20763"/>
    <w:rsid w:val="00A235AE"/>
    <w:rsid w:val="00A254B3"/>
    <w:rsid w:val="00A25C83"/>
    <w:rsid w:val="00A26CAE"/>
    <w:rsid w:val="00A31974"/>
    <w:rsid w:val="00A31A0C"/>
    <w:rsid w:val="00A33ABE"/>
    <w:rsid w:val="00A34589"/>
    <w:rsid w:val="00A34A4E"/>
    <w:rsid w:val="00A34C9A"/>
    <w:rsid w:val="00A50454"/>
    <w:rsid w:val="00A56ED4"/>
    <w:rsid w:val="00A64100"/>
    <w:rsid w:val="00A704AB"/>
    <w:rsid w:val="00A80678"/>
    <w:rsid w:val="00A82E97"/>
    <w:rsid w:val="00A83446"/>
    <w:rsid w:val="00A839C9"/>
    <w:rsid w:val="00A864CD"/>
    <w:rsid w:val="00A872EC"/>
    <w:rsid w:val="00A92309"/>
    <w:rsid w:val="00A92E38"/>
    <w:rsid w:val="00AA1EFB"/>
    <w:rsid w:val="00AA212D"/>
    <w:rsid w:val="00AC059F"/>
    <w:rsid w:val="00AC3BF8"/>
    <w:rsid w:val="00AE07FF"/>
    <w:rsid w:val="00AF15E8"/>
    <w:rsid w:val="00AF5725"/>
    <w:rsid w:val="00B01B53"/>
    <w:rsid w:val="00B23895"/>
    <w:rsid w:val="00B242AA"/>
    <w:rsid w:val="00B30716"/>
    <w:rsid w:val="00B436B6"/>
    <w:rsid w:val="00B44AE7"/>
    <w:rsid w:val="00B5299C"/>
    <w:rsid w:val="00B53BCF"/>
    <w:rsid w:val="00B54D34"/>
    <w:rsid w:val="00B64D8A"/>
    <w:rsid w:val="00B650AA"/>
    <w:rsid w:val="00B67577"/>
    <w:rsid w:val="00B67A98"/>
    <w:rsid w:val="00B7395F"/>
    <w:rsid w:val="00B90631"/>
    <w:rsid w:val="00B90DBA"/>
    <w:rsid w:val="00B92C6F"/>
    <w:rsid w:val="00B96911"/>
    <w:rsid w:val="00BA148D"/>
    <w:rsid w:val="00BA1E68"/>
    <w:rsid w:val="00BA4238"/>
    <w:rsid w:val="00BA6E99"/>
    <w:rsid w:val="00BB103D"/>
    <w:rsid w:val="00BB37AD"/>
    <w:rsid w:val="00BB429E"/>
    <w:rsid w:val="00BB6F20"/>
    <w:rsid w:val="00BB769D"/>
    <w:rsid w:val="00BC4FD4"/>
    <w:rsid w:val="00BC68BB"/>
    <w:rsid w:val="00BD3560"/>
    <w:rsid w:val="00BD4D8F"/>
    <w:rsid w:val="00BE5C0D"/>
    <w:rsid w:val="00BE6DBA"/>
    <w:rsid w:val="00BF3006"/>
    <w:rsid w:val="00C04126"/>
    <w:rsid w:val="00C10480"/>
    <w:rsid w:val="00C1559F"/>
    <w:rsid w:val="00C20C58"/>
    <w:rsid w:val="00C219EA"/>
    <w:rsid w:val="00C3090B"/>
    <w:rsid w:val="00C31DE1"/>
    <w:rsid w:val="00C35034"/>
    <w:rsid w:val="00C444B5"/>
    <w:rsid w:val="00C467AF"/>
    <w:rsid w:val="00C50CBC"/>
    <w:rsid w:val="00C55DD3"/>
    <w:rsid w:val="00C606FA"/>
    <w:rsid w:val="00C60A88"/>
    <w:rsid w:val="00C61230"/>
    <w:rsid w:val="00C66854"/>
    <w:rsid w:val="00C701CD"/>
    <w:rsid w:val="00C703CD"/>
    <w:rsid w:val="00C7398E"/>
    <w:rsid w:val="00C84D83"/>
    <w:rsid w:val="00C861E8"/>
    <w:rsid w:val="00C86A05"/>
    <w:rsid w:val="00C91C6A"/>
    <w:rsid w:val="00C9319D"/>
    <w:rsid w:val="00C943B6"/>
    <w:rsid w:val="00CA6010"/>
    <w:rsid w:val="00CA6EEF"/>
    <w:rsid w:val="00CB5027"/>
    <w:rsid w:val="00CB53E8"/>
    <w:rsid w:val="00CC0C4D"/>
    <w:rsid w:val="00CC34CE"/>
    <w:rsid w:val="00CC4574"/>
    <w:rsid w:val="00CC7A90"/>
    <w:rsid w:val="00CD0D6A"/>
    <w:rsid w:val="00CD27F0"/>
    <w:rsid w:val="00CD5580"/>
    <w:rsid w:val="00CD5B17"/>
    <w:rsid w:val="00CD5F95"/>
    <w:rsid w:val="00CD7755"/>
    <w:rsid w:val="00CE28D3"/>
    <w:rsid w:val="00CE712B"/>
    <w:rsid w:val="00CF0A79"/>
    <w:rsid w:val="00CF1B7E"/>
    <w:rsid w:val="00D117C7"/>
    <w:rsid w:val="00D12F3E"/>
    <w:rsid w:val="00D14169"/>
    <w:rsid w:val="00D14623"/>
    <w:rsid w:val="00D20CCC"/>
    <w:rsid w:val="00D221BA"/>
    <w:rsid w:val="00D2533E"/>
    <w:rsid w:val="00D26B5E"/>
    <w:rsid w:val="00D27DE9"/>
    <w:rsid w:val="00D35F11"/>
    <w:rsid w:val="00D4394C"/>
    <w:rsid w:val="00D51026"/>
    <w:rsid w:val="00D538F0"/>
    <w:rsid w:val="00D57B13"/>
    <w:rsid w:val="00D60634"/>
    <w:rsid w:val="00D66EA4"/>
    <w:rsid w:val="00D73F58"/>
    <w:rsid w:val="00D763C6"/>
    <w:rsid w:val="00D77F73"/>
    <w:rsid w:val="00D865E3"/>
    <w:rsid w:val="00D86C74"/>
    <w:rsid w:val="00D90419"/>
    <w:rsid w:val="00D951B5"/>
    <w:rsid w:val="00D95E13"/>
    <w:rsid w:val="00DA284D"/>
    <w:rsid w:val="00DA3E02"/>
    <w:rsid w:val="00DB0876"/>
    <w:rsid w:val="00DB6669"/>
    <w:rsid w:val="00DB6D76"/>
    <w:rsid w:val="00DB7874"/>
    <w:rsid w:val="00DB7EBC"/>
    <w:rsid w:val="00DC527A"/>
    <w:rsid w:val="00DC57CB"/>
    <w:rsid w:val="00DC599B"/>
    <w:rsid w:val="00DC6204"/>
    <w:rsid w:val="00DD271B"/>
    <w:rsid w:val="00DD2A98"/>
    <w:rsid w:val="00DE1737"/>
    <w:rsid w:val="00DE56E7"/>
    <w:rsid w:val="00DE63D4"/>
    <w:rsid w:val="00DF086E"/>
    <w:rsid w:val="00DF1A1C"/>
    <w:rsid w:val="00DF55C3"/>
    <w:rsid w:val="00E0150C"/>
    <w:rsid w:val="00E133AE"/>
    <w:rsid w:val="00E20B0D"/>
    <w:rsid w:val="00E213A6"/>
    <w:rsid w:val="00E23BC2"/>
    <w:rsid w:val="00E271F7"/>
    <w:rsid w:val="00E34923"/>
    <w:rsid w:val="00E421BD"/>
    <w:rsid w:val="00E4417B"/>
    <w:rsid w:val="00E51F43"/>
    <w:rsid w:val="00E5486E"/>
    <w:rsid w:val="00E650B9"/>
    <w:rsid w:val="00E660DE"/>
    <w:rsid w:val="00E728FD"/>
    <w:rsid w:val="00E729FE"/>
    <w:rsid w:val="00E73075"/>
    <w:rsid w:val="00E77905"/>
    <w:rsid w:val="00E818B4"/>
    <w:rsid w:val="00E83E68"/>
    <w:rsid w:val="00E87323"/>
    <w:rsid w:val="00E879B9"/>
    <w:rsid w:val="00E920DA"/>
    <w:rsid w:val="00E93671"/>
    <w:rsid w:val="00E967EF"/>
    <w:rsid w:val="00EA392B"/>
    <w:rsid w:val="00EA568B"/>
    <w:rsid w:val="00EB0370"/>
    <w:rsid w:val="00EB0553"/>
    <w:rsid w:val="00EB709A"/>
    <w:rsid w:val="00EB776F"/>
    <w:rsid w:val="00EC1298"/>
    <w:rsid w:val="00EC3ACD"/>
    <w:rsid w:val="00EC7A52"/>
    <w:rsid w:val="00EC7D2F"/>
    <w:rsid w:val="00ED1DAC"/>
    <w:rsid w:val="00ED3568"/>
    <w:rsid w:val="00EE14D9"/>
    <w:rsid w:val="00EE5966"/>
    <w:rsid w:val="00EE6FB1"/>
    <w:rsid w:val="00EE7D8C"/>
    <w:rsid w:val="00EF2792"/>
    <w:rsid w:val="00EF372A"/>
    <w:rsid w:val="00F02EFA"/>
    <w:rsid w:val="00F14152"/>
    <w:rsid w:val="00F20F9A"/>
    <w:rsid w:val="00F25981"/>
    <w:rsid w:val="00F26CB7"/>
    <w:rsid w:val="00F27F6A"/>
    <w:rsid w:val="00F336D7"/>
    <w:rsid w:val="00F3526E"/>
    <w:rsid w:val="00F36D29"/>
    <w:rsid w:val="00F37BF8"/>
    <w:rsid w:val="00F4345E"/>
    <w:rsid w:val="00F46B0E"/>
    <w:rsid w:val="00F51261"/>
    <w:rsid w:val="00F56029"/>
    <w:rsid w:val="00F63505"/>
    <w:rsid w:val="00F63EC2"/>
    <w:rsid w:val="00F70157"/>
    <w:rsid w:val="00F77769"/>
    <w:rsid w:val="00F842EB"/>
    <w:rsid w:val="00F86759"/>
    <w:rsid w:val="00F917BA"/>
    <w:rsid w:val="00F950FB"/>
    <w:rsid w:val="00FA0E2E"/>
    <w:rsid w:val="00FA1C56"/>
    <w:rsid w:val="00FA40F4"/>
    <w:rsid w:val="00FA5C3A"/>
    <w:rsid w:val="00FA5CB5"/>
    <w:rsid w:val="00FB2CEF"/>
    <w:rsid w:val="00FB49AB"/>
    <w:rsid w:val="00FB67BE"/>
    <w:rsid w:val="00FD1E64"/>
    <w:rsid w:val="00FD3313"/>
    <w:rsid w:val="00FD4B4C"/>
    <w:rsid w:val="00FD4E48"/>
    <w:rsid w:val="00FD688E"/>
    <w:rsid w:val="00FE481D"/>
    <w:rsid w:val="00FE48D0"/>
    <w:rsid w:val="00FE56BB"/>
    <w:rsid w:val="00FE72D2"/>
    <w:rsid w:val="00FF500B"/>
    <w:rsid w:val="00FF74F0"/>
    <w:rsid w:val="00FF7A59"/>
    <w:rsid w:val="0191452F"/>
    <w:rsid w:val="02BC5123"/>
    <w:rsid w:val="034C264C"/>
    <w:rsid w:val="04132229"/>
    <w:rsid w:val="050F6813"/>
    <w:rsid w:val="05EE31EC"/>
    <w:rsid w:val="06210FF0"/>
    <w:rsid w:val="068E0EE0"/>
    <w:rsid w:val="06A90C66"/>
    <w:rsid w:val="0899384D"/>
    <w:rsid w:val="09762EAB"/>
    <w:rsid w:val="0A2C57A6"/>
    <w:rsid w:val="0AC260D6"/>
    <w:rsid w:val="0BCE38A0"/>
    <w:rsid w:val="0D093B48"/>
    <w:rsid w:val="0D5F01B4"/>
    <w:rsid w:val="0D76418F"/>
    <w:rsid w:val="0DCF6C21"/>
    <w:rsid w:val="0E364FC9"/>
    <w:rsid w:val="0E8611C8"/>
    <w:rsid w:val="0E9C485A"/>
    <w:rsid w:val="0EC82A4F"/>
    <w:rsid w:val="0F61774B"/>
    <w:rsid w:val="0F8C690A"/>
    <w:rsid w:val="0FBF371B"/>
    <w:rsid w:val="0FCD487B"/>
    <w:rsid w:val="10720D46"/>
    <w:rsid w:val="10A2114E"/>
    <w:rsid w:val="1124015F"/>
    <w:rsid w:val="13072A44"/>
    <w:rsid w:val="131C3FF8"/>
    <w:rsid w:val="13CC456E"/>
    <w:rsid w:val="1441453E"/>
    <w:rsid w:val="14DB226E"/>
    <w:rsid w:val="15111205"/>
    <w:rsid w:val="15482CAF"/>
    <w:rsid w:val="16F969DB"/>
    <w:rsid w:val="170D53BA"/>
    <w:rsid w:val="17F7C73F"/>
    <w:rsid w:val="17FB647C"/>
    <w:rsid w:val="18161704"/>
    <w:rsid w:val="185D48F2"/>
    <w:rsid w:val="18FD1447"/>
    <w:rsid w:val="19FD3F4E"/>
    <w:rsid w:val="1A325C85"/>
    <w:rsid w:val="1AF3C665"/>
    <w:rsid w:val="1BE92C5F"/>
    <w:rsid w:val="1BF06DBE"/>
    <w:rsid w:val="1C1F0785"/>
    <w:rsid w:val="1C2B5CBB"/>
    <w:rsid w:val="1C90730E"/>
    <w:rsid w:val="1CA67605"/>
    <w:rsid w:val="1CE44E85"/>
    <w:rsid w:val="1D0C01FF"/>
    <w:rsid w:val="1D167BBB"/>
    <w:rsid w:val="1D790876"/>
    <w:rsid w:val="1E2F66ED"/>
    <w:rsid w:val="1E7B4894"/>
    <w:rsid w:val="1EB37DB8"/>
    <w:rsid w:val="1EE47F71"/>
    <w:rsid w:val="1EE79F86"/>
    <w:rsid w:val="203B5B4D"/>
    <w:rsid w:val="204C228F"/>
    <w:rsid w:val="206C2E17"/>
    <w:rsid w:val="21117017"/>
    <w:rsid w:val="227E248B"/>
    <w:rsid w:val="22A422A9"/>
    <w:rsid w:val="22C52FF4"/>
    <w:rsid w:val="22FE4629"/>
    <w:rsid w:val="2391064D"/>
    <w:rsid w:val="24311EAA"/>
    <w:rsid w:val="24526991"/>
    <w:rsid w:val="256A3855"/>
    <w:rsid w:val="258231A4"/>
    <w:rsid w:val="25905E3C"/>
    <w:rsid w:val="25DD396C"/>
    <w:rsid w:val="2706249B"/>
    <w:rsid w:val="277F52A6"/>
    <w:rsid w:val="27A470E7"/>
    <w:rsid w:val="27DF34E6"/>
    <w:rsid w:val="282D53B2"/>
    <w:rsid w:val="283E13E8"/>
    <w:rsid w:val="287B827A"/>
    <w:rsid w:val="2913053B"/>
    <w:rsid w:val="295E3016"/>
    <w:rsid w:val="29910CF5"/>
    <w:rsid w:val="29BF7845"/>
    <w:rsid w:val="2A84085A"/>
    <w:rsid w:val="2AF83194"/>
    <w:rsid w:val="2BFA32AE"/>
    <w:rsid w:val="2C1C4E24"/>
    <w:rsid w:val="2C2A0BA7"/>
    <w:rsid w:val="2C935977"/>
    <w:rsid w:val="2CE34487"/>
    <w:rsid w:val="2D4F12E5"/>
    <w:rsid w:val="2DFD17A2"/>
    <w:rsid w:val="2F29135B"/>
    <w:rsid w:val="2F5E5E8B"/>
    <w:rsid w:val="2F981D4B"/>
    <w:rsid w:val="2FBF0429"/>
    <w:rsid w:val="2FCFF5D3"/>
    <w:rsid w:val="2FFFA5C1"/>
    <w:rsid w:val="2FFFF1C2"/>
    <w:rsid w:val="30684D7B"/>
    <w:rsid w:val="3128026C"/>
    <w:rsid w:val="317B18AD"/>
    <w:rsid w:val="319F04C9"/>
    <w:rsid w:val="31F59333"/>
    <w:rsid w:val="32B86CE3"/>
    <w:rsid w:val="32DFF8DF"/>
    <w:rsid w:val="331626BE"/>
    <w:rsid w:val="33EF5548"/>
    <w:rsid w:val="33FF7311"/>
    <w:rsid w:val="34830AAF"/>
    <w:rsid w:val="35020CF9"/>
    <w:rsid w:val="35E0728C"/>
    <w:rsid w:val="36A35FB0"/>
    <w:rsid w:val="36D87F64"/>
    <w:rsid w:val="36F77B84"/>
    <w:rsid w:val="36F9CA7E"/>
    <w:rsid w:val="370F76FD"/>
    <w:rsid w:val="3747E199"/>
    <w:rsid w:val="37BF1567"/>
    <w:rsid w:val="37C910A3"/>
    <w:rsid w:val="380E29DE"/>
    <w:rsid w:val="38706BE1"/>
    <w:rsid w:val="390E788D"/>
    <w:rsid w:val="39FD0E08"/>
    <w:rsid w:val="3A512101"/>
    <w:rsid w:val="3A6B244E"/>
    <w:rsid w:val="3AB803B3"/>
    <w:rsid w:val="3B7A7C28"/>
    <w:rsid w:val="3BDF4FA2"/>
    <w:rsid w:val="3BFDD527"/>
    <w:rsid w:val="3BFEFE73"/>
    <w:rsid w:val="3D2C725B"/>
    <w:rsid w:val="3D5742AE"/>
    <w:rsid w:val="3DD940FB"/>
    <w:rsid w:val="3EAA4615"/>
    <w:rsid w:val="3F2C42C0"/>
    <w:rsid w:val="3F4C7741"/>
    <w:rsid w:val="3FCF3BD1"/>
    <w:rsid w:val="3FDA17FA"/>
    <w:rsid w:val="3FEF824B"/>
    <w:rsid w:val="3FEF8C2E"/>
    <w:rsid w:val="3FFE00B0"/>
    <w:rsid w:val="411C1395"/>
    <w:rsid w:val="417E3DFD"/>
    <w:rsid w:val="41AF05B0"/>
    <w:rsid w:val="41DF254F"/>
    <w:rsid w:val="42030D1D"/>
    <w:rsid w:val="4271148C"/>
    <w:rsid w:val="429A6C81"/>
    <w:rsid w:val="42D37DB5"/>
    <w:rsid w:val="440D56FB"/>
    <w:rsid w:val="44224F14"/>
    <w:rsid w:val="458F7854"/>
    <w:rsid w:val="466C691A"/>
    <w:rsid w:val="466D1EAC"/>
    <w:rsid w:val="480A0D86"/>
    <w:rsid w:val="48770E16"/>
    <w:rsid w:val="487D7A79"/>
    <w:rsid w:val="48AE7653"/>
    <w:rsid w:val="48B369CA"/>
    <w:rsid w:val="4946515A"/>
    <w:rsid w:val="49570CE1"/>
    <w:rsid w:val="498C7980"/>
    <w:rsid w:val="49C966A7"/>
    <w:rsid w:val="49E8450A"/>
    <w:rsid w:val="4A457039"/>
    <w:rsid w:val="4AF43427"/>
    <w:rsid w:val="4B117A90"/>
    <w:rsid w:val="4B1B0787"/>
    <w:rsid w:val="4B2BFF69"/>
    <w:rsid w:val="4BC0652C"/>
    <w:rsid w:val="4C39729F"/>
    <w:rsid w:val="4CC7DD5E"/>
    <w:rsid w:val="4D0F4506"/>
    <w:rsid w:val="4DC65B7C"/>
    <w:rsid w:val="4DCDA6CE"/>
    <w:rsid w:val="4EDF6441"/>
    <w:rsid w:val="4FB70C06"/>
    <w:rsid w:val="4FE355E7"/>
    <w:rsid w:val="4FFFDFFF"/>
    <w:rsid w:val="4FFFF7FA"/>
    <w:rsid w:val="5051105B"/>
    <w:rsid w:val="508F1B83"/>
    <w:rsid w:val="50AA2D15"/>
    <w:rsid w:val="50C338D0"/>
    <w:rsid w:val="517F0822"/>
    <w:rsid w:val="52A1794C"/>
    <w:rsid w:val="52CB33EA"/>
    <w:rsid w:val="53822834"/>
    <w:rsid w:val="53840791"/>
    <w:rsid w:val="541D5235"/>
    <w:rsid w:val="549F5762"/>
    <w:rsid w:val="54A43A51"/>
    <w:rsid w:val="54A56A97"/>
    <w:rsid w:val="54D74F11"/>
    <w:rsid w:val="550D0074"/>
    <w:rsid w:val="55F83940"/>
    <w:rsid w:val="572528F9"/>
    <w:rsid w:val="57407733"/>
    <w:rsid w:val="578F06BB"/>
    <w:rsid w:val="57BD0D84"/>
    <w:rsid w:val="57BE4363"/>
    <w:rsid w:val="57E16E3D"/>
    <w:rsid w:val="57F8EA09"/>
    <w:rsid w:val="58594646"/>
    <w:rsid w:val="585A75DC"/>
    <w:rsid w:val="58830ECF"/>
    <w:rsid w:val="589D2963"/>
    <w:rsid w:val="590C807C"/>
    <w:rsid w:val="5916367D"/>
    <w:rsid w:val="592B43CD"/>
    <w:rsid w:val="5934441D"/>
    <w:rsid w:val="5A673229"/>
    <w:rsid w:val="5A6A15CC"/>
    <w:rsid w:val="5ABFE28F"/>
    <w:rsid w:val="5AC16DDD"/>
    <w:rsid w:val="5B4477E6"/>
    <w:rsid w:val="5B4C1E35"/>
    <w:rsid w:val="5B9921E3"/>
    <w:rsid w:val="5BA362A0"/>
    <w:rsid w:val="5BDE7070"/>
    <w:rsid w:val="5C967DF5"/>
    <w:rsid w:val="5CCD2DBF"/>
    <w:rsid w:val="5CDD712B"/>
    <w:rsid w:val="5D6E229B"/>
    <w:rsid w:val="5D9B1B67"/>
    <w:rsid w:val="5DFD98CA"/>
    <w:rsid w:val="5E6D7112"/>
    <w:rsid w:val="5E820EE2"/>
    <w:rsid w:val="5E8A76F2"/>
    <w:rsid w:val="5EB3B4C6"/>
    <w:rsid w:val="5EF88801"/>
    <w:rsid w:val="5EFF2E1C"/>
    <w:rsid w:val="5F3FCB6C"/>
    <w:rsid w:val="5F9C371D"/>
    <w:rsid w:val="5FB5D890"/>
    <w:rsid w:val="5FDB9C86"/>
    <w:rsid w:val="5FF7E020"/>
    <w:rsid w:val="5FFF352D"/>
    <w:rsid w:val="600650AC"/>
    <w:rsid w:val="60E70D87"/>
    <w:rsid w:val="61073070"/>
    <w:rsid w:val="617E01D4"/>
    <w:rsid w:val="61D90153"/>
    <w:rsid w:val="61F21F72"/>
    <w:rsid w:val="61F93292"/>
    <w:rsid w:val="62344338"/>
    <w:rsid w:val="6266153F"/>
    <w:rsid w:val="629079F9"/>
    <w:rsid w:val="62B66A3B"/>
    <w:rsid w:val="6361175A"/>
    <w:rsid w:val="63870D85"/>
    <w:rsid w:val="64B44494"/>
    <w:rsid w:val="64E738E4"/>
    <w:rsid w:val="65510D5D"/>
    <w:rsid w:val="67283D40"/>
    <w:rsid w:val="673BDFD2"/>
    <w:rsid w:val="67F402C1"/>
    <w:rsid w:val="67F459E2"/>
    <w:rsid w:val="6885769C"/>
    <w:rsid w:val="698B55A1"/>
    <w:rsid w:val="69CC12FA"/>
    <w:rsid w:val="6A53144A"/>
    <w:rsid w:val="6A725BAD"/>
    <w:rsid w:val="6A7B7DED"/>
    <w:rsid w:val="6AA1583A"/>
    <w:rsid w:val="6AFF5750"/>
    <w:rsid w:val="6B9204C3"/>
    <w:rsid w:val="6BE741CA"/>
    <w:rsid w:val="6BEF9E24"/>
    <w:rsid w:val="6BF29FB6"/>
    <w:rsid w:val="6BF7B04C"/>
    <w:rsid w:val="6BFFD30A"/>
    <w:rsid w:val="6C4258A4"/>
    <w:rsid w:val="6C9674AB"/>
    <w:rsid w:val="6D2874E5"/>
    <w:rsid w:val="6D301A08"/>
    <w:rsid w:val="6D4573FA"/>
    <w:rsid w:val="6DB56C5D"/>
    <w:rsid w:val="6DC449AC"/>
    <w:rsid w:val="6DEBE1B5"/>
    <w:rsid w:val="6DEC3D19"/>
    <w:rsid w:val="6EDBC1D8"/>
    <w:rsid w:val="6EEF10EC"/>
    <w:rsid w:val="6EF49455"/>
    <w:rsid w:val="6F8C7D0F"/>
    <w:rsid w:val="6FD53BCE"/>
    <w:rsid w:val="6FFDFCB2"/>
    <w:rsid w:val="70007148"/>
    <w:rsid w:val="70A54894"/>
    <w:rsid w:val="71FF94A7"/>
    <w:rsid w:val="72765F2F"/>
    <w:rsid w:val="72D336FA"/>
    <w:rsid w:val="72F31FA3"/>
    <w:rsid w:val="73530396"/>
    <w:rsid w:val="73757C29"/>
    <w:rsid w:val="73A0AD11"/>
    <w:rsid w:val="73AD8B06"/>
    <w:rsid w:val="73DF1FFC"/>
    <w:rsid w:val="73FB7468"/>
    <w:rsid w:val="73FF6765"/>
    <w:rsid w:val="73FFADC1"/>
    <w:rsid w:val="7474619D"/>
    <w:rsid w:val="74ADFB1E"/>
    <w:rsid w:val="74B11A1D"/>
    <w:rsid w:val="74FD6A4B"/>
    <w:rsid w:val="74FEE561"/>
    <w:rsid w:val="752563DB"/>
    <w:rsid w:val="75FF36AE"/>
    <w:rsid w:val="7676D085"/>
    <w:rsid w:val="76A342F7"/>
    <w:rsid w:val="76BBA7FB"/>
    <w:rsid w:val="76DD075B"/>
    <w:rsid w:val="76DFBAEC"/>
    <w:rsid w:val="77514BED"/>
    <w:rsid w:val="777F8124"/>
    <w:rsid w:val="779308C7"/>
    <w:rsid w:val="77EDE3B7"/>
    <w:rsid w:val="780803B0"/>
    <w:rsid w:val="78D7DD22"/>
    <w:rsid w:val="78DA1D25"/>
    <w:rsid w:val="78E718BF"/>
    <w:rsid w:val="794B79EE"/>
    <w:rsid w:val="79535207"/>
    <w:rsid w:val="796FD3B4"/>
    <w:rsid w:val="79EDE741"/>
    <w:rsid w:val="7A3FC91B"/>
    <w:rsid w:val="7A7F67E1"/>
    <w:rsid w:val="7AAD2A82"/>
    <w:rsid w:val="7B9D331A"/>
    <w:rsid w:val="7B9F7CD4"/>
    <w:rsid w:val="7BB37E37"/>
    <w:rsid w:val="7BD93840"/>
    <w:rsid w:val="7BDFACEA"/>
    <w:rsid w:val="7BE10E0F"/>
    <w:rsid w:val="7BEF56B0"/>
    <w:rsid w:val="7BFA4C58"/>
    <w:rsid w:val="7BFB21BD"/>
    <w:rsid w:val="7BFB4E38"/>
    <w:rsid w:val="7BFB87A8"/>
    <w:rsid w:val="7BFE0DE8"/>
    <w:rsid w:val="7BFE6D46"/>
    <w:rsid w:val="7BFEE0C2"/>
    <w:rsid w:val="7C765821"/>
    <w:rsid w:val="7C9A3CBD"/>
    <w:rsid w:val="7CEF9763"/>
    <w:rsid w:val="7D0D7808"/>
    <w:rsid w:val="7D3ADBD3"/>
    <w:rsid w:val="7D87C3A7"/>
    <w:rsid w:val="7D9441D8"/>
    <w:rsid w:val="7DB99887"/>
    <w:rsid w:val="7DBFF2E3"/>
    <w:rsid w:val="7DE741C1"/>
    <w:rsid w:val="7DFA041D"/>
    <w:rsid w:val="7DFE811F"/>
    <w:rsid w:val="7DFF74D9"/>
    <w:rsid w:val="7E195AE8"/>
    <w:rsid w:val="7E2B12EC"/>
    <w:rsid w:val="7E6B89E6"/>
    <w:rsid w:val="7E7303FE"/>
    <w:rsid w:val="7E77ED64"/>
    <w:rsid w:val="7E7ED80C"/>
    <w:rsid w:val="7E7F9CFA"/>
    <w:rsid w:val="7E979062"/>
    <w:rsid w:val="7EAFE393"/>
    <w:rsid w:val="7F080287"/>
    <w:rsid w:val="7F11295C"/>
    <w:rsid w:val="7F3FC98C"/>
    <w:rsid w:val="7F3FE62F"/>
    <w:rsid w:val="7F561277"/>
    <w:rsid w:val="7F7BCD5B"/>
    <w:rsid w:val="7F7DC92F"/>
    <w:rsid w:val="7F912FAD"/>
    <w:rsid w:val="7F9D0112"/>
    <w:rsid w:val="7FA6C892"/>
    <w:rsid w:val="7FAFC7E0"/>
    <w:rsid w:val="7FB35F57"/>
    <w:rsid w:val="7FB762CC"/>
    <w:rsid w:val="7FBF05D1"/>
    <w:rsid w:val="7FC77917"/>
    <w:rsid w:val="7FD2E671"/>
    <w:rsid w:val="7FDD5BB8"/>
    <w:rsid w:val="7FDDD456"/>
    <w:rsid w:val="7FDFBF59"/>
    <w:rsid w:val="7FEBC846"/>
    <w:rsid w:val="7FEF02C6"/>
    <w:rsid w:val="7FF35AF4"/>
    <w:rsid w:val="7FF6A600"/>
    <w:rsid w:val="7FF6DE38"/>
    <w:rsid w:val="7FF735B5"/>
    <w:rsid w:val="7FFBB18A"/>
    <w:rsid w:val="7FFC40B1"/>
    <w:rsid w:val="7FFDC78E"/>
    <w:rsid w:val="7FFF1B86"/>
    <w:rsid w:val="7FFF9E46"/>
    <w:rsid w:val="7FFFA402"/>
    <w:rsid w:val="7FFFBD50"/>
    <w:rsid w:val="7FFFC0CA"/>
    <w:rsid w:val="871CF0B7"/>
    <w:rsid w:val="8D8F44FA"/>
    <w:rsid w:val="93B7FF47"/>
    <w:rsid w:val="967B03AA"/>
    <w:rsid w:val="99BE5170"/>
    <w:rsid w:val="99C65F02"/>
    <w:rsid w:val="9C4F24A8"/>
    <w:rsid w:val="9EA9686C"/>
    <w:rsid w:val="9EF76172"/>
    <w:rsid w:val="9FBB7331"/>
    <w:rsid w:val="9FE9B988"/>
    <w:rsid w:val="A7AFA357"/>
    <w:rsid w:val="ADB7A35E"/>
    <w:rsid w:val="AEFF7A04"/>
    <w:rsid w:val="AFF7A324"/>
    <w:rsid w:val="B17DC9E4"/>
    <w:rsid w:val="B5F6BA09"/>
    <w:rsid w:val="B61F31E8"/>
    <w:rsid w:val="B77F19B1"/>
    <w:rsid w:val="B7EFCBB8"/>
    <w:rsid w:val="BADFC062"/>
    <w:rsid w:val="BB369FE9"/>
    <w:rsid w:val="BBFF92C0"/>
    <w:rsid w:val="BDD32DEF"/>
    <w:rsid w:val="BDDFD31F"/>
    <w:rsid w:val="BDF66C43"/>
    <w:rsid w:val="BE7B27C4"/>
    <w:rsid w:val="BE7F8B79"/>
    <w:rsid w:val="BE9B7D33"/>
    <w:rsid w:val="BEE7D434"/>
    <w:rsid w:val="BEEF4961"/>
    <w:rsid w:val="BF5ECCFC"/>
    <w:rsid w:val="BF7D7214"/>
    <w:rsid w:val="BFBBC758"/>
    <w:rsid w:val="BFD3FA25"/>
    <w:rsid w:val="BFDB94AC"/>
    <w:rsid w:val="BFDF0607"/>
    <w:rsid w:val="BFFED51E"/>
    <w:rsid w:val="C4B7A527"/>
    <w:rsid w:val="C7AFA08A"/>
    <w:rsid w:val="CBFF9540"/>
    <w:rsid w:val="CE9A32C7"/>
    <w:rsid w:val="CFB5B51E"/>
    <w:rsid w:val="CFFF9531"/>
    <w:rsid w:val="D2EB9844"/>
    <w:rsid w:val="D53F7C8C"/>
    <w:rsid w:val="D6FC3E5B"/>
    <w:rsid w:val="D977DBCD"/>
    <w:rsid w:val="DB7646E1"/>
    <w:rsid w:val="DBBA5246"/>
    <w:rsid w:val="DDAB0EA6"/>
    <w:rsid w:val="DE38A879"/>
    <w:rsid w:val="DF2F156C"/>
    <w:rsid w:val="DF3F43BB"/>
    <w:rsid w:val="DF51CEA4"/>
    <w:rsid w:val="DF7FC509"/>
    <w:rsid w:val="DFB7C756"/>
    <w:rsid w:val="DFDEA403"/>
    <w:rsid w:val="E71B899A"/>
    <w:rsid w:val="E7FED232"/>
    <w:rsid w:val="E979E5B9"/>
    <w:rsid w:val="EAC37F23"/>
    <w:rsid w:val="EAFFFA9B"/>
    <w:rsid w:val="EBC501D3"/>
    <w:rsid w:val="EBED00A1"/>
    <w:rsid w:val="EBF3935C"/>
    <w:rsid w:val="EBF7F30C"/>
    <w:rsid w:val="ED3BB132"/>
    <w:rsid w:val="EDFDE8CC"/>
    <w:rsid w:val="EF1305C5"/>
    <w:rsid w:val="EF37CABB"/>
    <w:rsid w:val="EF7F8102"/>
    <w:rsid w:val="EFAFAD42"/>
    <w:rsid w:val="EFBFD4AD"/>
    <w:rsid w:val="EFD50EC8"/>
    <w:rsid w:val="EFEF07ED"/>
    <w:rsid w:val="EFEF5CD6"/>
    <w:rsid w:val="F15AF1BE"/>
    <w:rsid w:val="F1CDA82F"/>
    <w:rsid w:val="F36F2887"/>
    <w:rsid w:val="F3710FED"/>
    <w:rsid w:val="F37CA75C"/>
    <w:rsid w:val="F3BECBEF"/>
    <w:rsid w:val="F3F6FC99"/>
    <w:rsid w:val="F48EA24A"/>
    <w:rsid w:val="F59F247E"/>
    <w:rsid w:val="F5EB2C56"/>
    <w:rsid w:val="F63D3CAD"/>
    <w:rsid w:val="F6A0206C"/>
    <w:rsid w:val="F6AEA241"/>
    <w:rsid w:val="F6F600A2"/>
    <w:rsid w:val="F6FAB398"/>
    <w:rsid w:val="F7AD3530"/>
    <w:rsid w:val="F7B28719"/>
    <w:rsid w:val="F7DD2C3F"/>
    <w:rsid w:val="F7EC1A26"/>
    <w:rsid w:val="F7EDC1DA"/>
    <w:rsid w:val="F99B6841"/>
    <w:rsid w:val="F9A79EAB"/>
    <w:rsid w:val="F9FF7D00"/>
    <w:rsid w:val="FAAFCA6D"/>
    <w:rsid w:val="FB7D32A7"/>
    <w:rsid w:val="FBCB349C"/>
    <w:rsid w:val="FBDFB920"/>
    <w:rsid w:val="FBEFB541"/>
    <w:rsid w:val="FBF88FEB"/>
    <w:rsid w:val="FCF7C697"/>
    <w:rsid w:val="FD4B5026"/>
    <w:rsid w:val="FDAC1A80"/>
    <w:rsid w:val="FDBBF6CB"/>
    <w:rsid w:val="FDDF2727"/>
    <w:rsid w:val="FDEBF80F"/>
    <w:rsid w:val="FDFBACC8"/>
    <w:rsid w:val="FDFF87C1"/>
    <w:rsid w:val="FDFFC07A"/>
    <w:rsid w:val="FDFFF900"/>
    <w:rsid w:val="FEBFA9B5"/>
    <w:rsid w:val="FEED1154"/>
    <w:rsid w:val="FEFAF55A"/>
    <w:rsid w:val="FEFD735F"/>
    <w:rsid w:val="FF098FC9"/>
    <w:rsid w:val="FF2D7E30"/>
    <w:rsid w:val="FF78D734"/>
    <w:rsid w:val="FFB502B0"/>
    <w:rsid w:val="FFBACB3C"/>
    <w:rsid w:val="FFBD0145"/>
    <w:rsid w:val="FFBF5A69"/>
    <w:rsid w:val="FFBFB979"/>
    <w:rsid w:val="FFCA8653"/>
    <w:rsid w:val="FFDF8DE8"/>
    <w:rsid w:val="FFEF82C2"/>
    <w:rsid w:val="FFEFDF50"/>
    <w:rsid w:val="FFEFF101"/>
    <w:rsid w:val="FFF29EDD"/>
    <w:rsid w:val="FFF5606D"/>
    <w:rsid w:val="FFF5BADB"/>
    <w:rsid w:val="FFF7777A"/>
    <w:rsid w:val="FFF7C22B"/>
    <w:rsid w:val="FFF7D3D7"/>
    <w:rsid w:val="FFFA8BD6"/>
    <w:rsid w:val="FFFBCD2B"/>
    <w:rsid w:val="FFFD8B2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nhideWhenUsed="0" w:uiPriority="9" w:semiHidden="0" w:name="heading 2" w:locked="1"/>
    <w:lsdException w:qFormat="1" w:unhideWhenUsed="0" w:uiPriority="9" w:semiHidden="0" w:name="heading 3" w:locked="1"/>
    <w:lsdException w:qFormat="1" w:unhideWhenUsed="0" w:uiPriority="9" w:semiHidden="0" w:name="heading 4" w:locked="1"/>
    <w:lsdException w:qFormat="1" w:unhideWhenUsed="0" w:uiPriority="9" w:semiHidden="0" w:name="heading 5" w:locked="1"/>
    <w:lsdException w:qFormat="1" w:unhideWhenUsed="0" w:uiPriority="9" w:semiHidden="0" w:name="heading 6" w:locked="1"/>
    <w:lsdException w:qFormat="1" w:unhideWhenUsed="0" w:uiPriority="9" w:semiHidden="0" w:name="heading 7" w:locked="1"/>
    <w:lsdException w:qFormat="1" w:unhideWhenUsed="0" w:uiPriority="9" w:semiHidden="0" w:name="heading 8" w:locked="1"/>
    <w:lsdException w:qFormat="1" w:unhideWhenUsed="0" w:uiPriority="9" w:semiHidden="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iPriority="99" w:semiHidden="0" w:name="annotation reference"/>
    <w:lsdException w:uiPriority="0" w:name="line number"/>
    <w:lsdException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ocked="1"/>
    <w:lsdException w:uiPriority="0" w:name="Closing"/>
    <w:lsdException w:uiPriority="0" w:name="Signature"/>
    <w:lsdException w:uiPriority="1" w:semiHidden="0" w:name="Default Paragraph Font"/>
    <w:lsdException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ocked="1"/>
    <w:lsdException w:uiPriority="0" w:name="Salutation"/>
    <w:lsdException w:qFormat="1" w:uiPriority="99"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ocked="1"/>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42"/>
    <w:qFormat/>
    <w:locked/>
    <w:uiPriority w:val="9"/>
    <w:pPr>
      <w:keepNext/>
      <w:keepLines/>
      <w:spacing w:before="340" w:after="330" w:line="578" w:lineRule="auto"/>
      <w:outlineLvl w:val="0"/>
    </w:pPr>
    <w:rPr>
      <w:rFonts w:ascii="等线 Light" w:hAnsi="等线 Light" w:eastAsia="等线 Light"/>
      <w:color w:val="2F5496"/>
      <w:sz w:val="48"/>
      <w:szCs w:val="48"/>
    </w:rPr>
  </w:style>
  <w:style w:type="paragraph" w:styleId="3">
    <w:name w:val="heading 2"/>
    <w:basedOn w:val="1"/>
    <w:next w:val="1"/>
    <w:link w:val="27"/>
    <w:qFormat/>
    <w:locked/>
    <w:uiPriority w:val="9"/>
    <w:pPr>
      <w:keepNext/>
      <w:keepLines/>
      <w:spacing w:before="260" w:after="260" w:line="416" w:lineRule="auto"/>
      <w:outlineLvl w:val="1"/>
    </w:pPr>
    <w:rPr>
      <w:rFonts w:ascii="Cambria" w:hAnsi="Cambria"/>
      <w:b/>
      <w:bCs/>
      <w:sz w:val="32"/>
      <w:szCs w:val="32"/>
    </w:rPr>
  </w:style>
  <w:style w:type="paragraph" w:styleId="4">
    <w:name w:val="heading 3"/>
    <w:basedOn w:val="1"/>
    <w:next w:val="1"/>
    <w:link w:val="28"/>
    <w:qFormat/>
    <w:locked/>
    <w:uiPriority w:val="9"/>
    <w:pPr>
      <w:keepNext/>
      <w:keepLines/>
      <w:spacing w:before="260" w:after="260" w:line="416" w:lineRule="auto"/>
      <w:outlineLvl w:val="2"/>
    </w:pPr>
    <w:rPr>
      <w:b/>
      <w:bCs/>
      <w:sz w:val="32"/>
      <w:szCs w:val="32"/>
    </w:rPr>
  </w:style>
  <w:style w:type="paragraph" w:styleId="5">
    <w:name w:val="heading 4"/>
    <w:basedOn w:val="1"/>
    <w:next w:val="1"/>
    <w:link w:val="29"/>
    <w:qFormat/>
    <w:locked/>
    <w:uiPriority w:val="9"/>
    <w:pPr>
      <w:keepNext/>
      <w:keepLines/>
      <w:spacing w:before="280" w:after="290" w:line="376" w:lineRule="auto"/>
      <w:outlineLvl w:val="3"/>
    </w:pPr>
    <w:rPr>
      <w:rFonts w:ascii="等线 Light" w:hAnsi="等线 Light" w:eastAsia="等线 Light" w:cs="Times New Roman"/>
      <w:b/>
      <w:bCs/>
      <w:sz w:val="28"/>
      <w:szCs w:val="28"/>
    </w:rPr>
  </w:style>
  <w:style w:type="paragraph" w:styleId="6">
    <w:name w:val="heading 5"/>
    <w:basedOn w:val="1"/>
    <w:next w:val="1"/>
    <w:link w:val="43"/>
    <w:qFormat/>
    <w:locked/>
    <w:uiPriority w:val="9"/>
    <w:pPr>
      <w:keepNext/>
      <w:keepLines/>
      <w:spacing w:before="280" w:after="290" w:line="376" w:lineRule="auto"/>
      <w:outlineLvl w:val="4"/>
    </w:pPr>
    <w:rPr>
      <w:color w:val="2F5496"/>
      <w:sz w:val="24"/>
      <w:szCs w:val="24"/>
    </w:rPr>
  </w:style>
  <w:style w:type="paragraph" w:styleId="7">
    <w:name w:val="heading 6"/>
    <w:basedOn w:val="1"/>
    <w:next w:val="1"/>
    <w:link w:val="44"/>
    <w:qFormat/>
    <w:locked/>
    <w:uiPriority w:val="9"/>
    <w:pPr>
      <w:keepNext/>
      <w:keepLines/>
      <w:spacing w:before="240" w:after="64" w:line="320" w:lineRule="auto"/>
      <w:outlineLvl w:val="5"/>
    </w:pPr>
    <w:rPr>
      <w:b/>
      <w:bCs/>
      <w:color w:val="2F5496"/>
      <w:sz w:val="22"/>
      <w:szCs w:val="24"/>
    </w:rPr>
  </w:style>
  <w:style w:type="paragraph" w:styleId="8">
    <w:name w:val="heading 7"/>
    <w:basedOn w:val="1"/>
    <w:next w:val="1"/>
    <w:link w:val="45"/>
    <w:qFormat/>
    <w:locked/>
    <w:uiPriority w:val="9"/>
    <w:pPr>
      <w:keepNext/>
      <w:keepLines/>
      <w:spacing w:before="240" w:after="64" w:line="320" w:lineRule="auto"/>
      <w:outlineLvl w:val="6"/>
    </w:pPr>
    <w:rPr>
      <w:b/>
      <w:bCs/>
      <w:color w:val="000000"/>
      <w:sz w:val="22"/>
      <w:szCs w:val="24"/>
    </w:rPr>
  </w:style>
  <w:style w:type="paragraph" w:styleId="9">
    <w:name w:val="heading 8"/>
    <w:basedOn w:val="1"/>
    <w:next w:val="1"/>
    <w:link w:val="46"/>
    <w:qFormat/>
    <w:locked/>
    <w:uiPriority w:val="9"/>
    <w:pPr>
      <w:keepNext/>
      <w:keepLines/>
      <w:spacing w:before="240" w:after="64" w:line="320" w:lineRule="auto"/>
      <w:outlineLvl w:val="7"/>
    </w:pPr>
    <w:rPr>
      <w:color w:val="000000"/>
      <w:sz w:val="22"/>
      <w:szCs w:val="24"/>
    </w:rPr>
  </w:style>
  <w:style w:type="paragraph" w:styleId="10">
    <w:name w:val="heading 9"/>
    <w:basedOn w:val="1"/>
    <w:next w:val="1"/>
    <w:link w:val="47"/>
    <w:qFormat/>
    <w:locked/>
    <w:uiPriority w:val="9"/>
    <w:pPr>
      <w:keepNext/>
      <w:keepLines/>
      <w:spacing w:before="240" w:after="64" w:line="320" w:lineRule="auto"/>
      <w:outlineLvl w:val="8"/>
    </w:pPr>
    <w:rPr>
      <w:rFonts w:eastAsia="等线 Light"/>
      <w:color w:val="000000"/>
      <w:sz w:val="22"/>
      <w:szCs w:val="24"/>
    </w:rPr>
  </w:style>
  <w:style w:type="character" w:default="1" w:styleId="22">
    <w:name w:val="Default Paragraph Font"/>
    <w:unhideWhenUsed/>
    <w:uiPriority w:val="1"/>
  </w:style>
  <w:style w:type="table" w:default="1" w:styleId="20">
    <w:name w:val="Normal Table"/>
    <w:unhideWhenUsed/>
    <w:uiPriority w:val="99"/>
    <w:tblPr>
      <w:tblStyle w:val="20"/>
      <w:tblCellMar>
        <w:top w:w="0" w:type="dxa"/>
        <w:left w:w="108" w:type="dxa"/>
        <w:bottom w:w="0" w:type="dxa"/>
        <w:right w:w="108" w:type="dxa"/>
      </w:tblCellMar>
    </w:tblPr>
  </w:style>
  <w:style w:type="paragraph" w:styleId="11">
    <w:name w:val="annotation text"/>
    <w:basedOn w:val="1"/>
    <w:link w:val="35"/>
    <w:unhideWhenUsed/>
    <w:qFormat/>
    <w:uiPriority w:val="99"/>
    <w:pPr>
      <w:spacing w:beforeLines="0" w:afterLines="0"/>
      <w:jc w:val="left"/>
    </w:pPr>
    <w:rPr>
      <w:rFonts w:hint="eastAsia"/>
      <w:sz w:val="21"/>
    </w:rPr>
  </w:style>
  <w:style w:type="paragraph" w:styleId="12">
    <w:name w:val="Body Text"/>
    <w:basedOn w:val="1"/>
    <w:unhideWhenUsed/>
    <w:uiPriority w:val="0"/>
    <w:pPr>
      <w:ind w:left="120"/>
      <w:jc w:val="left"/>
    </w:pPr>
    <w:rPr>
      <w:rFonts w:ascii="宋体" w:hAnsi="宋体" w:cs="Times New Roman"/>
      <w:kern w:val="0"/>
      <w:sz w:val="24"/>
      <w:szCs w:val="24"/>
      <w:lang w:eastAsia="en-US"/>
    </w:rPr>
  </w:style>
  <w:style w:type="paragraph" w:styleId="13">
    <w:name w:val="Date"/>
    <w:basedOn w:val="1"/>
    <w:next w:val="1"/>
    <w:link w:val="48"/>
    <w:unhideWhenUsed/>
    <w:qFormat/>
    <w:uiPriority w:val="99"/>
    <w:pPr>
      <w:ind w:left="100" w:leftChars="2500"/>
    </w:pPr>
    <w:rPr>
      <w:sz w:val="22"/>
      <w:szCs w:val="24"/>
    </w:rPr>
  </w:style>
  <w:style w:type="paragraph" w:styleId="14">
    <w:name w:val="footer"/>
    <w:basedOn w:val="1"/>
    <w:link w:val="37"/>
    <w:qFormat/>
    <w:uiPriority w:val="99"/>
    <w:pPr>
      <w:tabs>
        <w:tab w:val="center" w:pos="4153"/>
        <w:tab w:val="right" w:pos="8306"/>
      </w:tabs>
      <w:snapToGrid w:val="0"/>
      <w:jc w:val="left"/>
    </w:pPr>
    <w:rPr>
      <w:kern w:val="0"/>
      <w:sz w:val="18"/>
      <w:szCs w:val="18"/>
    </w:rPr>
  </w:style>
  <w:style w:type="paragraph" w:styleId="15">
    <w:name w:val="header"/>
    <w:basedOn w:val="1"/>
    <w:link w:val="38"/>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Subtitle"/>
    <w:basedOn w:val="1"/>
    <w:next w:val="1"/>
    <w:link w:val="49"/>
    <w:qFormat/>
    <w:locked/>
    <w:uiPriority w:val="11"/>
    <w:pPr>
      <w:spacing w:before="240" w:after="60" w:line="312" w:lineRule="auto"/>
      <w:jc w:val="center"/>
      <w:outlineLvl w:val="1"/>
    </w:pPr>
    <w:rPr>
      <w:rFonts w:ascii="等线 Light" w:hAnsi="等线 Light" w:eastAsia="等线 Light"/>
      <w:color w:val="000000"/>
      <w:spacing w:val="15"/>
      <w:sz w:val="28"/>
      <w:szCs w:val="28"/>
    </w:rPr>
  </w:style>
  <w:style w:type="paragraph" w:styleId="17">
    <w:name w:val="toc 2"/>
    <w:basedOn w:val="1"/>
    <w:next w:val="1"/>
    <w:locked/>
    <w:uiPriority w:val="39"/>
    <w:pPr>
      <w:tabs>
        <w:tab w:val="right" w:leader="dot" w:pos="9344"/>
      </w:tabs>
      <w:ind w:left="420" w:leftChars="200"/>
    </w:pPr>
    <w:rPr>
      <w:rFonts w:ascii="仿宋" w:hAnsi="仿宋" w:eastAsia="仿宋" w:cs="Cambria Math"/>
      <w:szCs w:val="24"/>
      <w:lang/>
    </w:rPr>
  </w:style>
  <w:style w:type="paragraph" w:styleId="18">
    <w:name w:val="Title"/>
    <w:basedOn w:val="1"/>
    <w:next w:val="1"/>
    <w:link w:val="50"/>
    <w:qFormat/>
    <w:locked/>
    <w:uiPriority w:val="10"/>
    <w:pPr>
      <w:spacing w:before="240" w:after="60"/>
      <w:jc w:val="center"/>
      <w:outlineLvl w:val="0"/>
    </w:pPr>
    <w:rPr>
      <w:rFonts w:ascii="等线 Light" w:hAnsi="等线 Light" w:eastAsia="等线 Light"/>
      <w:spacing w:val="-10"/>
      <w:kern w:val="28"/>
      <w:sz w:val="56"/>
      <w:szCs w:val="56"/>
    </w:rPr>
  </w:style>
  <w:style w:type="paragraph" w:styleId="19">
    <w:name w:val="annotation subject"/>
    <w:basedOn w:val="11"/>
    <w:next w:val="11"/>
    <w:link w:val="51"/>
    <w:unhideWhenUsed/>
    <w:qFormat/>
    <w:uiPriority w:val="99"/>
    <w:rPr>
      <w:rFonts w:hint="default"/>
      <w:kern w:val="0"/>
      <w:sz w:val="20"/>
      <w:szCs w:val="20"/>
    </w:rPr>
  </w:style>
  <w:style w:type="table" w:styleId="21">
    <w:name w:val="Table Grid"/>
    <w:basedOn w:val="20"/>
    <w:locked/>
    <w:uiPriority w:val="0"/>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page number"/>
    <w:unhideWhenUsed/>
    <w:uiPriority w:val="0"/>
  </w:style>
  <w:style w:type="character" w:styleId="24">
    <w:name w:val="Hyperlink"/>
    <w:qFormat/>
    <w:uiPriority w:val="99"/>
    <w:rPr>
      <w:rFonts w:cs="Times New Roman"/>
      <w:u w:val="single"/>
    </w:rPr>
  </w:style>
  <w:style w:type="character" w:styleId="25">
    <w:name w:val="annotation reference"/>
    <w:unhideWhenUsed/>
    <w:qFormat/>
    <w:uiPriority w:val="99"/>
    <w:rPr>
      <w:sz w:val="21"/>
      <w:szCs w:val="21"/>
    </w:rPr>
  </w:style>
  <w:style w:type="character" w:customStyle="1" w:styleId="26">
    <w:name w:val="标题 1 字符"/>
    <w:link w:val="2"/>
    <w:qFormat/>
    <w:uiPriority w:val="9"/>
    <w:rPr>
      <w:rFonts w:ascii="等线 Light" w:hAnsi="等线 Light" w:eastAsia="等线 Light" w:cs="Times New Roman"/>
      <w:color w:val="2F5496"/>
      <w:kern w:val="2"/>
      <w:sz w:val="48"/>
      <w:szCs w:val="48"/>
    </w:rPr>
  </w:style>
  <w:style w:type="character" w:customStyle="1" w:styleId="27">
    <w:name w:val="标题 2 字符1"/>
    <w:link w:val="3"/>
    <w:uiPriority w:val="0"/>
    <w:rPr>
      <w:rFonts w:ascii="Cambria" w:hAnsi="Cambria"/>
      <w:b/>
      <w:bCs/>
      <w:kern w:val="2"/>
      <w:sz w:val="32"/>
      <w:szCs w:val="32"/>
    </w:rPr>
  </w:style>
  <w:style w:type="character" w:customStyle="1" w:styleId="28">
    <w:name w:val="标题 3 字符"/>
    <w:link w:val="4"/>
    <w:qFormat/>
    <w:uiPriority w:val="9"/>
    <w:rPr>
      <w:b/>
      <w:bCs/>
      <w:kern w:val="2"/>
      <w:sz w:val="32"/>
      <w:szCs w:val="32"/>
    </w:rPr>
  </w:style>
  <w:style w:type="character" w:customStyle="1" w:styleId="29">
    <w:name w:val="标题 4 字符"/>
    <w:link w:val="5"/>
    <w:semiHidden/>
    <w:qFormat/>
    <w:uiPriority w:val="9"/>
    <w:rPr>
      <w:rFonts w:ascii="等线 Light" w:hAnsi="等线 Light" w:eastAsia="等线 Light" w:cs="Times New Roman"/>
      <w:b/>
      <w:bCs/>
      <w:kern w:val="2"/>
      <w:sz w:val="28"/>
      <w:szCs w:val="28"/>
    </w:rPr>
  </w:style>
  <w:style w:type="character" w:customStyle="1" w:styleId="30">
    <w:name w:val="标题 5 字符"/>
    <w:link w:val="6"/>
    <w:semiHidden/>
    <w:qFormat/>
    <w:uiPriority w:val="9"/>
    <w:rPr>
      <w:rFonts w:cs="Times New Roman"/>
      <w:color w:val="2F5496"/>
      <w:kern w:val="2"/>
      <w:sz w:val="24"/>
      <w:szCs w:val="24"/>
    </w:rPr>
  </w:style>
  <w:style w:type="character" w:customStyle="1" w:styleId="31">
    <w:name w:val="标题 6 字符"/>
    <w:link w:val="7"/>
    <w:semiHidden/>
    <w:qFormat/>
    <w:uiPriority w:val="9"/>
    <w:rPr>
      <w:rFonts w:cs="Times New Roman"/>
      <w:b/>
      <w:bCs/>
      <w:color w:val="2F5496"/>
      <w:kern w:val="2"/>
      <w:sz w:val="22"/>
      <w:szCs w:val="24"/>
    </w:rPr>
  </w:style>
  <w:style w:type="character" w:customStyle="1" w:styleId="32">
    <w:name w:val="标题 7 字符"/>
    <w:link w:val="8"/>
    <w:semiHidden/>
    <w:qFormat/>
    <w:uiPriority w:val="9"/>
    <w:rPr>
      <w:rFonts w:cs="Times New Roman"/>
      <w:b/>
      <w:bCs/>
      <w:color w:val="000000"/>
      <w:kern w:val="2"/>
      <w:sz w:val="22"/>
      <w:szCs w:val="24"/>
    </w:rPr>
  </w:style>
  <w:style w:type="character" w:customStyle="1" w:styleId="33">
    <w:name w:val="标题 8 字符"/>
    <w:link w:val="9"/>
    <w:semiHidden/>
    <w:qFormat/>
    <w:uiPriority w:val="9"/>
    <w:rPr>
      <w:rFonts w:cs="Times New Roman"/>
      <w:color w:val="000000"/>
      <w:kern w:val="2"/>
      <w:sz w:val="22"/>
      <w:szCs w:val="24"/>
    </w:rPr>
  </w:style>
  <w:style w:type="character" w:customStyle="1" w:styleId="34">
    <w:name w:val="标题 9 字符"/>
    <w:link w:val="10"/>
    <w:semiHidden/>
    <w:qFormat/>
    <w:uiPriority w:val="9"/>
    <w:rPr>
      <w:rFonts w:eastAsia="等线 Light" w:cs="Times New Roman"/>
      <w:color w:val="000000"/>
      <w:kern w:val="2"/>
      <w:sz w:val="22"/>
      <w:szCs w:val="24"/>
    </w:rPr>
  </w:style>
  <w:style w:type="character" w:customStyle="1" w:styleId="35">
    <w:name w:val="批注文字 字符1"/>
    <w:link w:val="11"/>
    <w:uiPriority w:val="99"/>
    <w:rPr>
      <w:kern w:val="2"/>
      <w:sz w:val="21"/>
      <w:szCs w:val="22"/>
    </w:rPr>
  </w:style>
  <w:style w:type="character" w:customStyle="1" w:styleId="36">
    <w:name w:val="日期 字符"/>
    <w:link w:val="13"/>
    <w:semiHidden/>
    <w:qFormat/>
    <w:uiPriority w:val="99"/>
    <w:rPr>
      <w:kern w:val="2"/>
      <w:sz w:val="22"/>
      <w:szCs w:val="24"/>
    </w:rPr>
  </w:style>
  <w:style w:type="character" w:customStyle="1" w:styleId="37">
    <w:name w:val="页脚 字符1"/>
    <w:link w:val="14"/>
    <w:locked/>
    <w:uiPriority w:val="99"/>
    <w:rPr>
      <w:rFonts w:cs="Times New Roman"/>
      <w:sz w:val="18"/>
      <w:szCs w:val="18"/>
    </w:rPr>
  </w:style>
  <w:style w:type="character" w:customStyle="1" w:styleId="38">
    <w:name w:val="页眉 字符1"/>
    <w:link w:val="15"/>
    <w:locked/>
    <w:uiPriority w:val="99"/>
    <w:rPr>
      <w:rFonts w:cs="Times New Roman"/>
      <w:sz w:val="18"/>
      <w:szCs w:val="18"/>
    </w:rPr>
  </w:style>
  <w:style w:type="character" w:customStyle="1" w:styleId="39">
    <w:name w:val="副标题 字符"/>
    <w:link w:val="16"/>
    <w:qFormat/>
    <w:uiPriority w:val="11"/>
    <w:rPr>
      <w:rFonts w:ascii="等线 Light" w:hAnsi="等线 Light" w:eastAsia="等线 Light" w:cs="Times New Roman"/>
      <w:color w:val="000000"/>
      <w:spacing w:val="15"/>
      <w:kern w:val="2"/>
      <w:sz w:val="28"/>
      <w:szCs w:val="28"/>
    </w:rPr>
  </w:style>
  <w:style w:type="character" w:customStyle="1" w:styleId="40">
    <w:name w:val="标题 字符"/>
    <w:link w:val="18"/>
    <w:qFormat/>
    <w:uiPriority w:val="10"/>
    <w:rPr>
      <w:rFonts w:ascii="等线 Light" w:hAnsi="等线 Light" w:eastAsia="等线 Light" w:cs="Times New Roman"/>
      <w:spacing w:val="-10"/>
      <w:kern w:val="28"/>
      <w:sz w:val="56"/>
      <w:szCs w:val="56"/>
    </w:rPr>
  </w:style>
  <w:style w:type="character" w:customStyle="1" w:styleId="41">
    <w:name w:val="批注主题 字符"/>
    <w:link w:val="19"/>
    <w:semiHidden/>
    <w:qFormat/>
    <w:uiPriority w:val="99"/>
  </w:style>
  <w:style w:type="character" w:customStyle="1" w:styleId="42">
    <w:name w:val="标题 1 字符1"/>
    <w:link w:val="2"/>
    <w:uiPriority w:val="0"/>
    <w:rPr>
      <w:b/>
      <w:bCs/>
      <w:kern w:val="44"/>
      <w:sz w:val="44"/>
      <w:szCs w:val="44"/>
    </w:rPr>
  </w:style>
  <w:style w:type="character" w:customStyle="1" w:styleId="43">
    <w:name w:val="标题 5 字符1"/>
    <w:link w:val="6"/>
    <w:semiHidden/>
    <w:uiPriority w:val="0"/>
    <w:rPr>
      <w:b/>
      <w:bCs/>
      <w:kern w:val="2"/>
      <w:sz w:val="28"/>
      <w:szCs w:val="28"/>
    </w:rPr>
  </w:style>
  <w:style w:type="character" w:customStyle="1" w:styleId="44">
    <w:name w:val="标题 6 字符1"/>
    <w:link w:val="7"/>
    <w:semiHidden/>
    <w:uiPriority w:val="0"/>
    <w:rPr>
      <w:rFonts w:ascii="等线 Light" w:hAnsi="等线 Light" w:eastAsia="等线 Light" w:cs="Times New Roman"/>
      <w:b/>
      <w:bCs/>
      <w:kern w:val="2"/>
      <w:sz w:val="24"/>
      <w:szCs w:val="24"/>
    </w:rPr>
  </w:style>
  <w:style w:type="character" w:customStyle="1" w:styleId="45">
    <w:name w:val="标题 7 字符1"/>
    <w:link w:val="8"/>
    <w:semiHidden/>
    <w:uiPriority w:val="0"/>
    <w:rPr>
      <w:b/>
      <w:bCs/>
      <w:kern w:val="2"/>
      <w:sz w:val="24"/>
      <w:szCs w:val="24"/>
    </w:rPr>
  </w:style>
  <w:style w:type="character" w:customStyle="1" w:styleId="46">
    <w:name w:val="标题 8 字符1"/>
    <w:link w:val="9"/>
    <w:semiHidden/>
    <w:uiPriority w:val="0"/>
    <w:rPr>
      <w:rFonts w:ascii="等线 Light" w:hAnsi="等线 Light" w:eastAsia="等线 Light" w:cs="Times New Roman"/>
      <w:kern w:val="2"/>
      <w:sz w:val="24"/>
      <w:szCs w:val="24"/>
    </w:rPr>
  </w:style>
  <w:style w:type="character" w:customStyle="1" w:styleId="47">
    <w:name w:val="标题 9 字符1"/>
    <w:link w:val="10"/>
    <w:semiHidden/>
    <w:uiPriority w:val="0"/>
    <w:rPr>
      <w:rFonts w:ascii="等线 Light" w:hAnsi="等线 Light" w:eastAsia="等线 Light" w:cs="Times New Roman"/>
      <w:kern w:val="2"/>
      <w:sz w:val="21"/>
      <w:szCs w:val="21"/>
    </w:rPr>
  </w:style>
  <w:style w:type="character" w:customStyle="1" w:styleId="48">
    <w:name w:val="日期 字符1"/>
    <w:link w:val="13"/>
    <w:semiHidden/>
    <w:uiPriority w:val="0"/>
    <w:rPr>
      <w:kern w:val="2"/>
      <w:sz w:val="21"/>
      <w:szCs w:val="22"/>
    </w:rPr>
  </w:style>
  <w:style w:type="character" w:customStyle="1" w:styleId="49">
    <w:name w:val="副标题 字符1"/>
    <w:link w:val="16"/>
    <w:uiPriority w:val="0"/>
    <w:rPr>
      <w:rFonts w:ascii="等线 Light" w:hAnsi="等线 Light" w:cs="Times New Roman"/>
      <w:b/>
      <w:bCs/>
      <w:kern w:val="28"/>
      <w:sz w:val="32"/>
      <w:szCs w:val="32"/>
    </w:rPr>
  </w:style>
  <w:style w:type="character" w:customStyle="1" w:styleId="50">
    <w:name w:val="标题 字符1"/>
    <w:link w:val="18"/>
    <w:uiPriority w:val="0"/>
    <w:rPr>
      <w:rFonts w:ascii="等线 Light" w:hAnsi="等线 Light" w:cs="Times New Roman"/>
      <w:b/>
      <w:bCs/>
      <w:kern w:val="2"/>
      <w:sz w:val="32"/>
      <w:szCs w:val="32"/>
    </w:rPr>
  </w:style>
  <w:style w:type="character" w:customStyle="1" w:styleId="51">
    <w:name w:val="批注主题 字符1"/>
    <w:link w:val="19"/>
    <w:semiHidden/>
    <w:uiPriority w:val="0"/>
    <w:rPr>
      <w:b/>
      <w:bCs/>
      <w:kern w:val="2"/>
      <w:sz w:val="21"/>
      <w:szCs w:val="22"/>
    </w:rPr>
  </w:style>
  <w:style w:type="character" w:customStyle="1" w:styleId="52">
    <w:name w:val="批注文字 字符"/>
    <w:semiHidden/>
    <w:qFormat/>
    <w:uiPriority w:val="99"/>
    <w:rPr>
      <w:kern w:val="2"/>
      <w:sz w:val="22"/>
      <w:szCs w:val="24"/>
    </w:rPr>
  </w:style>
  <w:style w:type="paragraph" w:customStyle="1" w:styleId="53">
    <w:name w:val="List Paragraph"/>
    <w:basedOn w:val="1"/>
    <w:qFormat/>
    <w:uiPriority w:val="99"/>
    <w:pPr>
      <w:ind w:firstLine="420" w:firstLineChars="200"/>
    </w:pPr>
  </w:style>
  <w:style w:type="paragraph" w:customStyle="1" w:styleId="54">
    <w:name w:val="标题 11"/>
    <w:basedOn w:val="1"/>
    <w:next w:val="1"/>
    <w:qFormat/>
    <w:uiPriority w:val="9"/>
    <w:pPr>
      <w:keepNext/>
      <w:keepLines/>
      <w:spacing w:before="480" w:after="80" w:line="278" w:lineRule="auto"/>
      <w:jc w:val="left"/>
      <w:outlineLvl w:val="0"/>
    </w:pPr>
    <w:rPr>
      <w:rFonts w:ascii="等线 Light" w:hAnsi="等线 Light" w:eastAsia="等线 Light" w:cs="Times New Roman"/>
      <w:color w:val="2F5496"/>
      <w:sz w:val="48"/>
      <w:szCs w:val="48"/>
    </w:rPr>
  </w:style>
  <w:style w:type="paragraph" w:customStyle="1" w:styleId="55">
    <w:name w:val="标题 51"/>
    <w:basedOn w:val="1"/>
    <w:next w:val="1"/>
    <w:unhideWhenUsed/>
    <w:qFormat/>
    <w:uiPriority w:val="9"/>
    <w:pPr>
      <w:keepNext/>
      <w:keepLines/>
      <w:spacing w:before="80" w:after="40" w:line="278" w:lineRule="auto"/>
      <w:jc w:val="left"/>
      <w:outlineLvl w:val="4"/>
    </w:pPr>
    <w:rPr>
      <w:rFonts w:ascii="等线" w:hAnsi="等线" w:eastAsia="等线" w:cs="Times New Roman"/>
      <w:color w:val="2F5496"/>
      <w:sz w:val="24"/>
      <w:szCs w:val="24"/>
    </w:rPr>
  </w:style>
  <w:style w:type="paragraph" w:customStyle="1" w:styleId="56">
    <w:name w:val="标题 61"/>
    <w:basedOn w:val="1"/>
    <w:next w:val="1"/>
    <w:unhideWhenUsed/>
    <w:qFormat/>
    <w:uiPriority w:val="9"/>
    <w:pPr>
      <w:keepNext/>
      <w:keepLines/>
      <w:spacing w:before="40" w:line="278" w:lineRule="auto"/>
      <w:jc w:val="left"/>
      <w:outlineLvl w:val="5"/>
    </w:pPr>
    <w:rPr>
      <w:rFonts w:ascii="等线" w:hAnsi="等线" w:eastAsia="等线" w:cs="Times New Roman"/>
      <w:b/>
      <w:bCs/>
      <w:color w:val="2F5496"/>
      <w:sz w:val="22"/>
      <w:szCs w:val="24"/>
    </w:rPr>
  </w:style>
  <w:style w:type="paragraph" w:customStyle="1" w:styleId="57">
    <w:name w:val="标题 71"/>
    <w:basedOn w:val="1"/>
    <w:next w:val="1"/>
    <w:unhideWhenUsed/>
    <w:qFormat/>
    <w:uiPriority w:val="9"/>
    <w:pPr>
      <w:keepNext/>
      <w:keepLines/>
      <w:spacing w:before="40" w:line="278" w:lineRule="auto"/>
      <w:jc w:val="left"/>
      <w:outlineLvl w:val="6"/>
    </w:pPr>
    <w:rPr>
      <w:rFonts w:ascii="等线" w:hAnsi="等线" w:eastAsia="等线" w:cs="Times New Roman"/>
      <w:b/>
      <w:bCs/>
      <w:color w:val="000000"/>
      <w:sz w:val="22"/>
      <w:szCs w:val="24"/>
    </w:rPr>
  </w:style>
  <w:style w:type="paragraph" w:customStyle="1" w:styleId="58">
    <w:name w:val="标题 81"/>
    <w:basedOn w:val="1"/>
    <w:next w:val="1"/>
    <w:unhideWhenUsed/>
    <w:qFormat/>
    <w:uiPriority w:val="9"/>
    <w:pPr>
      <w:keepNext/>
      <w:keepLines/>
      <w:spacing w:line="278" w:lineRule="auto"/>
      <w:jc w:val="left"/>
      <w:outlineLvl w:val="7"/>
    </w:pPr>
    <w:rPr>
      <w:rFonts w:ascii="等线" w:hAnsi="等线" w:eastAsia="等线" w:cs="Times New Roman"/>
      <w:color w:val="000000"/>
      <w:sz w:val="22"/>
      <w:szCs w:val="24"/>
    </w:rPr>
  </w:style>
  <w:style w:type="paragraph" w:customStyle="1" w:styleId="59">
    <w:name w:val="标题 91"/>
    <w:basedOn w:val="1"/>
    <w:next w:val="1"/>
    <w:unhideWhenUsed/>
    <w:qFormat/>
    <w:uiPriority w:val="9"/>
    <w:pPr>
      <w:keepNext/>
      <w:keepLines/>
      <w:spacing w:line="278" w:lineRule="auto"/>
      <w:jc w:val="left"/>
      <w:outlineLvl w:val="8"/>
    </w:pPr>
    <w:rPr>
      <w:rFonts w:ascii="等线" w:hAnsi="等线" w:eastAsia="等线 Light" w:cs="Times New Roman"/>
      <w:color w:val="000000"/>
      <w:sz w:val="22"/>
      <w:szCs w:val="24"/>
    </w:rPr>
  </w:style>
  <w:style w:type="character" w:customStyle="1" w:styleId="60">
    <w:name w:val="标题 2 字符"/>
    <w:qFormat/>
    <w:uiPriority w:val="9"/>
    <w:rPr>
      <w:rFonts w:ascii="等线 Light" w:hAnsi="等线 Light" w:eastAsia="等线 Light" w:cs="Times New Roman"/>
      <w:color w:val="2F5496"/>
      <w:kern w:val="2"/>
      <w:sz w:val="40"/>
      <w:szCs w:val="40"/>
    </w:rPr>
  </w:style>
  <w:style w:type="paragraph" w:customStyle="1" w:styleId="61">
    <w:name w:val="日期1"/>
    <w:basedOn w:val="1"/>
    <w:next w:val="1"/>
    <w:unhideWhenUsed/>
    <w:qFormat/>
    <w:uiPriority w:val="99"/>
    <w:pPr>
      <w:spacing w:after="160" w:line="278" w:lineRule="auto"/>
      <w:ind w:left="100" w:leftChars="2500"/>
      <w:jc w:val="left"/>
    </w:pPr>
    <w:rPr>
      <w:rFonts w:ascii="等线" w:hAnsi="等线" w:eastAsia="等线" w:cs="Times New Roman"/>
      <w:sz w:val="22"/>
      <w:szCs w:val="24"/>
    </w:rPr>
  </w:style>
  <w:style w:type="character" w:customStyle="1" w:styleId="62">
    <w:name w:val="页脚 字符"/>
    <w:qFormat/>
    <w:uiPriority w:val="99"/>
    <w:rPr>
      <w:kern w:val="2"/>
      <w:sz w:val="18"/>
      <w:szCs w:val="18"/>
    </w:rPr>
  </w:style>
  <w:style w:type="character" w:customStyle="1" w:styleId="63">
    <w:name w:val="页眉 字符"/>
    <w:qFormat/>
    <w:uiPriority w:val="99"/>
    <w:rPr>
      <w:kern w:val="2"/>
      <w:sz w:val="18"/>
      <w:szCs w:val="18"/>
    </w:rPr>
  </w:style>
  <w:style w:type="paragraph" w:customStyle="1" w:styleId="64">
    <w:name w:val="副标题1"/>
    <w:basedOn w:val="1"/>
    <w:next w:val="1"/>
    <w:qFormat/>
    <w:uiPriority w:val="11"/>
    <w:pPr>
      <w:spacing w:after="160" w:line="278" w:lineRule="auto"/>
      <w:jc w:val="center"/>
    </w:pPr>
    <w:rPr>
      <w:rFonts w:ascii="等线 Light" w:hAnsi="等线 Light" w:eastAsia="等线 Light" w:cs="Times New Roman"/>
      <w:color w:val="000000"/>
      <w:spacing w:val="15"/>
      <w:sz w:val="28"/>
      <w:szCs w:val="28"/>
    </w:rPr>
  </w:style>
  <w:style w:type="paragraph" w:customStyle="1" w:styleId="65">
    <w:name w:val="标题1"/>
    <w:basedOn w:val="1"/>
    <w:next w:val="1"/>
    <w:qFormat/>
    <w:uiPriority w:val="10"/>
    <w:pPr>
      <w:spacing w:after="80"/>
      <w:contextualSpacing/>
      <w:jc w:val="center"/>
    </w:pPr>
    <w:rPr>
      <w:rFonts w:ascii="等线 Light" w:hAnsi="等线 Light" w:eastAsia="等线 Light" w:cs="Times New Roman"/>
      <w:spacing w:val="-10"/>
      <w:kern w:val="28"/>
      <w:sz w:val="56"/>
      <w:szCs w:val="56"/>
    </w:rPr>
  </w:style>
  <w:style w:type="paragraph" w:customStyle="1" w:styleId="66">
    <w:name w:val="批注主题1"/>
    <w:basedOn w:val="11"/>
    <w:next w:val="11"/>
    <w:unhideWhenUsed/>
    <w:qFormat/>
    <w:uiPriority w:val="99"/>
    <w:pPr>
      <w:spacing w:after="160" w:line="278" w:lineRule="auto"/>
    </w:pPr>
    <w:rPr>
      <w:rFonts w:hint="default" w:ascii="等线" w:hAnsi="等线" w:eastAsia="等线" w:cs="Times New Roman"/>
      <w:b/>
      <w:bCs/>
      <w:sz w:val="22"/>
      <w:szCs w:val="24"/>
    </w:rPr>
  </w:style>
  <w:style w:type="table" w:customStyle="1" w:styleId="67">
    <w:name w:val="网格型1"/>
    <w:basedOn w:val="20"/>
    <w:qFormat/>
    <w:uiPriority w:val="39"/>
    <w:rPr>
      <w:rFonts w:ascii="等线" w:hAnsi="等线" w:eastAsia="等线" w:cs="Times New Roman"/>
    </w:r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8">
    <w:name w:val="引用1"/>
    <w:basedOn w:val="1"/>
    <w:next w:val="1"/>
    <w:qFormat/>
    <w:uiPriority w:val="29"/>
    <w:pPr>
      <w:spacing w:before="160" w:after="160" w:line="278" w:lineRule="auto"/>
      <w:jc w:val="center"/>
    </w:pPr>
    <w:rPr>
      <w:rFonts w:ascii="等线" w:hAnsi="等线" w:eastAsia="等线" w:cs="Times New Roman"/>
      <w:i/>
      <w:iCs/>
      <w:color w:val="000000"/>
      <w:sz w:val="22"/>
      <w:szCs w:val="24"/>
    </w:rPr>
  </w:style>
  <w:style w:type="character" w:customStyle="1" w:styleId="69">
    <w:name w:val="引用 字符"/>
    <w:qFormat/>
    <w:uiPriority w:val="29"/>
    <w:rPr>
      <w:i/>
      <w:iCs/>
      <w:color w:val="000000"/>
      <w:kern w:val="2"/>
      <w:sz w:val="22"/>
      <w:szCs w:val="24"/>
    </w:rPr>
  </w:style>
  <w:style w:type="paragraph" w:styleId="70">
    <w:name w:val="Quote"/>
    <w:basedOn w:val="1"/>
    <w:next w:val="1"/>
    <w:link w:val="71"/>
    <w:qFormat/>
    <w:uiPriority w:val="29"/>
    <w:pPr>
      <w:spacing w:before="200" w:after="160"/>
      <w:ind w:left="864" w:right="864"/>
      <w:jc w:val="center"/>
    </w:pPr>
    <w:rPr>
      <w:i/>
      <w:iCs/>
      <w:color w:val="000000"/>
      <w:sz w:val="22"/>
      <w:szCs w:val="24"/>
    </w:rPr>
  </w:style>
  <w:style w:type="character" w:customStyle="1" w:styleId="71">
    <w:name w:val="引用 字符1"/>
    <w:link w:val="70"/>
    <w:uiPriority w:val="99"/>
    <w:rPr>
      <w:i/>
      <w:iCs/>
      <w:color w:val="404040"/>
      <w:kern w:val="2"/>
      <w:sz w:val="21"/>
      <w:szCs w:val="22"/>
    </w:rPr>
  </w:style>
  <w:style w:type="paragraph" w:customStyle="1" w:styleId="72">
    <w:name w:val="列表段落1"/>
    <w:basedOn w:val="1"/>
    <w:next w:val="73"/>
    <w:qFormat/>
    <w:uiPriority w:val="34"/>
    <w:pPr>
      <w:spacing w:after="160" w:line="278" w:lineRule="auto"/>
      <w:ind w:left="720"/>
      <w:contextualSpacing/>
      <w:jc w:val="left"/>
    </w:pPr>
    <w:rPr>
      <w:rFonts w:ascii="等线" w:hAnsi="等线" w:eastAsia="等线" w:cs="Times New Roman"/>
      <w:sz w:val="22"/>
      <w:szCs w:val="24"/>
    </w:rPr>
  </w:style>
  <w:style w:type="paragraph" w:styleId="73">
    <w:name w:val="List Paragraph"/>
    <w:basedOn w:val="1"/>
    <w:qFormat/>
    <w:uiPriority w:val="34"/>
    <w:pPr>
      <w:ind w:firstLine="420" w:firstLineChars="200"/>
    </w:pPr>
  </w:style>
  <w:style w:type="character" w:customStyle="1" w:styleId="74">
    <w:name w:val="明显强调1"/>
    <w:qFormat/>
    <w:uiPriority w:val="21"/>
    <w:rPr>
      <w:i/>
      <w:iCs/>
      <w:color w:val="2F5496"/>
    </w:rPr>
  </w:style>
  <w:style w:type="paragraph" w:customStyle="1" w:styleId="75">
    <w:name w:val="明显引用1"/>
    <w:basedOn w:val="1"/>
    <w:next w:val="1"/>
    <w:qFormat/>
    <w:uiPriority w:val="30"/>
    <w:pPr>
      <w:pBdr>
        <w:top w:val="single" w:color="2F5496" w:sz="4" w:space="10"/>
        <w:bottom w:val="single" w:color="2F5496" w:sz="4" w:space="10"/>
      </w:pBdr>
      <w:spacing w:before="360" w:after="360" w:line="278" w:lineRule="auto"/>
      <w:ind w:left="864" w:right="864"/>
      <w:jc w:val="center"/>
    </w:pPr>
    <w:rPr>
      <w:rFonts w:ascii="等线" w:hAnsi="等线" w:eastAsia="等线" w:cs="Times New Roman"/>
      <w:i/>
      <w:iCs/>
      <w:color w:val="2F5496"/>
      <w:sz w:val="22"/>
      <w:szCs w:val="24"/>
    </w:rPr>
  </w:style>
  <w:style w:type="character" w:customStyle="1" w:styleId="76">
    <w:name w:val="明显引用 字符"/>
    <w:qFormat/>
    <w:uiPriority w:val="30"/>
    <w:rPr>
      <w:i/>
      <w:iCs/>
      <w:color w:val="2F5496"/>
      <w:kern w:val="2"/>
      <w:sz w:val="22"/>
      <w:szCs w:val="24"/>
    </w:rPr>
  </w:style>
  <w:style w:type="paragraph" w:styleId="77">
    <w:name w:val="Intense Quote"/>
    <w:basedOn w:val="1"/>
    <w:next w:val="1"/>
    <w:link w:val="78"/>
    <w:qFormat/>
    <w:uiPriority w:val="30"/>
    <w:pPr>
      <w:pBdr>
        <w:top w:val="single" w:color="4472C4" w:sz="4" w:space="10"/>
        <w:bottom w:val="single" w:color="4472C4" w:sz="4" w:space="10"/>
      </w:pBdr>
      <w:spacing w:before="360" w:after="360"/>
      <w:ind w:left="864" w:right="864"/>
      <w:jc w:val="center"/>
    </w:pPr>
    <w:rPr>
      <w:i/>
      <w:iCs/>
      <w:color w:val="2F5496"/>
      <w:sz w:val="22"/>
      <w:szCs w:val="24"/>
    </w:rPr>
  </w:style>
  <w:style w:type="character" w:customStyle="1" w:styleId="78">
    <w:name w:val="明显引用 字符1"/>
    <w:link w:val="77"/>
    <w:uiPriority w:val="99"/>
    <w:rPr>
      <w:i/>
      <w:iCs/>
      <w:color w:val="4472C4"/>
      <w:kern w:val="2"/>
      <w:sz w:val="21"/>
      <w:szCs w:val="22"/>
    </w:rPr>
  </w:style>
  <w:style w:type="character" w:customStyle="1" w:styleId="79">
    <w:name w:val="明显参考1"/>
    <w:qFormat/>
    <w:uiPriority w:val="32"/>
    <w:rPr>
      <w:b/>
      <w:bCs/>
      <w:smallCaps/>
      <w:color w:val="2F5496"/>
      <w:spacing w:val="5"/>
    </w:rPr>
  </w:style>
  <w:style w:type="table" w:customStyle="1" w:styleId="80">
    <w:name w:val="无格式表格 21"/>
    <w:basedOn w:val="20"/>
    <w:qFormat/>
    <w:uiPriority w:val="42"/>
    <w:rPr>
      <w:rFonts w:ascii="等线" w:hAnsi="等线" w:eastAsia="等线"/>
    </w:rPr>
    <w:tblPr>
      <w:tblStyle w:val="20"/>
      <w:tblBorders>
        <w:top w:val="single" w:color="7F7F7F" w:sz="4" w:space="0"/>
        <w:bottom w:val="single" w:color="7F7F7F" w:sz="4" w:space="0"/>
      </w:tblBorders>
    </w:tblPr>
    <w:tblStylePr w:type="firstRow">
      <w:rPr>
        <w:b/>
        <w:bCs/>
      </w:rPr>
      <w:tblPr>
        <w:tblStyle w:val="20"/>
      </w:tblPr>
      <w:tcPr>
        <w:tcBorders>
          <w:top w:val="nil"/>
          <w:left w:val="single" w:color="7F7F7F" w:sz="4" w:space="0"/>
          <w:bottom w:val="nil"/>
          <w:right w:val="nil"/>
          <w:insideH w:val="nil"/>
          <w:insideV w:val="nil"/>
          <w:tl2br w:val="nil"/>
          <w:tr2bl w:val="nil"/>
        </w:tcBorders>
      </w:tcPr>
    </w:tblStylePr>
    <w:tblStylePr w:type="lastRow">
      <w:rPr>
        <w:b/>
        <w:bCs/>
      </w:rPr>
      <w:tblPr>
        <w:tblStyle w:val="20"/>
      </w:tbl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20"/>
      </w:tblPr>
      <w:tcPr>
        <w:tcBorders>
          <w:top w:val="nil"/>
          <w:left w:val="nil"/>
          <w:bottom w:val="single" w:color="7F7F7F" w:sz="4" w:space="0"/>
          <w:right w:val="single" w:color="7F7F7F" w:sz="4" w:space="0"/>
          <w:insideH w:val="nil"/>
          <w:insideV w:val="nil"/>
          <w:tl2br w:val="nil"/>
          <w:tr2bl w:val="nil"/>
        </w:tcBorders>
      </w:tcPr>
    </w:tblStylePr>
    <w:tblStylePr w:type="band2Vert">
      <w:tblPr>
        <w:tblStyle w:val="20"/>
      </w:tblPr>
      <w:tcPr>
        <w:tcBorders>
          <w:top w:val="nil"/>
          <w:left w:val="nil"/>
          <w:bottom w:val="single" w:color="7F7F7F" w:sz="4" w:space="0"/>
          <w:right w:val="single" w:color="7F7F7F" w:sz="4" w:space="0"/>
          <w:insideH w:val="nil"/>
          <w:insideV w:val="nil"/>
          <w:tl2br w:val="nil"/>
          <w:tr2bl w:val="nil"/>
        </w:tcBorders>
      </w:tcPr>
    </w:tblStylePr>
    <w:tblStylePr w:type="band1Horz">
      <w:tblPr>
        <w:tblStyle w:val="20"/>
      </w:tblPr>
      <w:tcPr>
        <w:tcBorders>
          <w:top w:val="single" w:color="7F7F7F" w:sz="4" w:space="0"/>
          <w:left w:val="single" w:color="7F7F7F" w:sz="4" w:space="0"/>
          <w:bottom w:val="nil"/>
          <w:right w:val="nil"/>
          <w:insideH w:val="nil"/>
          <w:insideV w:val="nil"/>
          <w:tl2br w:val="nil"/>
          <w:tr2bl w:val="nil"/>
        </w:tcBorders>
      </w:tcPr>
    </w:tblStylePr>
  </w:style>
  <w:style w:type="table" w:customStyle="1" w:styleId="81">
    <w:name w:val="三线表"/>
    <w:basedOn w:val="20"/>
    <w:qFormat/>
    <w:uiPriority w:val="99"/>
    <w:rPr>
      <w:rFonts w:ascii="等线" w:hAnsi="等线" w:eastAsia="等线" w:cs="Times New Roman"/>
    </w:rPr>
    <w:tblPr>
      <w:tblStyle w:val="20"/>
      <w:tblBorders>
        <w:top w:val="single" w:color="auto" w:sz="12" w:space="0"/>
        <w:bottom w:val="single" w:color="auto" w:sz="12" w:space="0"/>
      </w:tblBorders>
    </w:tblPr>
    <w:tblStylePr w:type="firstRow">
      <w:tblPr>
        <w:tblStyle w:val="20"/>
      </w:tblPr>
      <w:tcPr>
        <w:tcBorders>
          <w:top w:val="nil"/>
          <w:left w:val="single" w:color="auto" w:sz="4" w:space="0"/>
          <w:bottom w:val="nil"/>
          <w:right w:val="nil"/>
          <w:insideH w:val="nil"/>
          <w:insideV w:val="nil"/>
          <w:tl2br w:val="nil"/>
          <w:tr2bl w:val="nil"/>
        </w:tcBorders>
      </w:tcPr>
    </w:tblStylePr>
  </w:style>
  <w:style w:type="table" w:customStyle="1" w:styleId="82">
    <w:name w:val="网格型2"/>
    <w:basedOn w:val="20"/>
    <w:qFormat/>
    <w:uiPriority w:val="39"/>
    <w:rPr>
      <w:rFonts w:ascii="等线" w:hAnsi="等线" w:eastAsia="等线" w:cs="Times New Roman"/>
    </w:rPr>
    <w:tblPr>
      <w:tblStyle w:val="2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83">
    <w:name w:val="无格式表格 211"/>
    <w:basedOn w:val="20"/>
    <w:qFormat/>
    <w:uiPriority w:val="42"/>
    <w:rPr>
      <w:rFonts w:ascii="等线" w:hAnsi="等线" w:eastAsia="等线"/>
    </w:rPr>
    <w:tblPr>
      <w:tblStyle w:val="20"/>
      <w:tblBorders>
        <w:top w:val="single" w:color="7F7F7F" w:sz="4" w:space="0"/>
        <w:bottom w:val="single" w:color="7F7F7F" w:sz="4" w:space="0"/>
      </w:tblBorders>
    </w:tblPr>
    <w:tblStylePr w:type="firstRow">
      <w:rPr>
        <w:b/>
        <w:bCs/>
      </w:rPr>
      <w:tblPr>
        <w:tblStyle w:val="20"/>
      </w:tblPr>
      <w:tcPr>
        <w:tcBorders>
          <w:top w:val="nil"/>
          <w:left w:val="single" w:color="7F7F7F" w:sz="4" w:space="0"/>
          <w:bottom w:val="nil"/>
          <w:right w:val="nil"/>
          <w:insideH w:val="nil"/>
          <w:insideV w:val="nil"/>
          <w:tl2br w:val="nil"/>
          <w:tr2bl w:val="nil"/>
        </w:tcBorders>
      </w:tcPr>
    </w:tblStylePr>
    <w:tblStylePr w:type="lastRow">
      <w:rPr>
        <w:b/>
        <w:bCs/>
      </w:rPr>
      <w:tblPr>
        <w:tblStyle w:val="20"/>
      </w:tblPr>
      <w:tcPr>
        <w:tcBorders>
          <w:top w:val="single" w:color="7F7F7F" w:sz="4"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blStyle w:val="20"/>
      </w:tblPr>
      <w:tcPr>
        <w:tcBorders>
          <w:top w:val="nil"/>
          <w:left w:val="nil"/>
          <w:bottom w:val="single" w:color="7F7F7F" w:sz="4" w:space="0"/>
          <w:right w:val="single" w:color="7F7F7F" w:sz="4" w:space="0"/>
          <w:insideH w:val="nil"/>
          <w:insideV w:val="nil"/>
          <w:tl2br w:val="nil"/>
          <w:tr2bl w:val="nil"/>
        </w:tcBorders>
      </w:tcPr>
    </w:tblStylePr>
    <w:tblStylePr w:type="band2Vert">
      <w:tblPr>
        <w:tblStyle w:val="20"/>
      </w:tblPr>
      <w:tcPr>
        <w:tcBorders>
          <w:top w:val="nil"/>
          <w:left w:val="nil"/>
          <w:bottom w:val="single" w:color="7F7F7F" w:sz="4" w:space="0"/>
          <w:right w:val="single" w:color="7F7F7F" w:sz="4" w:space="0"/>
          <w:insideH w:val="nil"/>
          <w:insideV w:val="nil"/>
          <w:tl2br w:val="nil"/>
          <w:tr2bl w:val="nil"/>
        </w:tcBorders>
      </w:tcPr>
    </w:tblStylePr>
    <w:tblStylePr w:type="band1Horz">
      <w:tblPr>
        <w:tblStyle w:val="20"/>
      </w:tblPr>
      <w:tcPr>
        <w:tcBorders>
          <w:top w:val="single" w:color="7F7F7F" w:sz="4" w:space="0"/>
          <w:left w:val="single" w:color="7F7F7F" w:sz="4" w:space="0"/>
          <w:bottom w:val="nil"/>
          <w:right w:val="nil"/>
          <w:insideH w:val="nil"/>
          <w:insideV w:val="nil"/>
          <w:tl2br w:val="nil"/>
          <w:tr2bl w:val="nil"/>
        </w:tcBorders>
      </w:tcPr>
    </w:tblStylePr>
  </w:style>
  <w:style w:type="table" w:customStyle="1" w:styleId="84">
    <w:name w:val="三线表1"/>
    <w:basedOn w:val="20"/>
    <w:qFormat/>
    <w:uiPriority w:val="99"/>
    <w:rPr>
      <w:rFonts w:ascii="等线" w:hAnsi="等线" w:eastAsia="等线" w:cs="Times New Roman"/>
    </w:rPr>
    <w:tblPr>
      <w:tblStyle w:val="20"/>
      <w:tblBorders>
        <w:top w:val="single" w:color="auto" w:sz="12" w:space="0"/>
        <w:bottom w:val="single" w:color="auto" w:sz="12" w:space="0"/>
      </w:tblBorders>
    </w:tblPr>
    <w:tblStylePr w:type="firstRow">
      <w:tblPr>
        <w:tblStyle w:val="20"/>
      </w:tblPr>
      <w:tcPr>
        <w:tcBorders>
          <w:top w:val="nil"/>
          <w:left w:val="single" w:color="auto" w:sz="4" w:space="0"/>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1" Type="http://schemas.openxmlformats.org/officeDocument/2006/relationships/fontTable" Target="fontTable.xml"/><Relationship Id="rId90" Type="http://schemas.openxmlformats.org/officeDocument/2006/relationships/numbering" Target="numbering.xml"/><Relationship Id="rId9" Type="http://schemas.openxmlformats.org/officeDocument/2006/relationships/oleObject" Target="embeddings/oleObject1.bin"/><Relationship Id="rId89" Type="http://schemas.openxmlformats.org/officeDocument/2006/relationships/customXml" Target="../customXml/item1.xml"/><Relationship Id="rId88" Type="http://schemas.openxmlformats.org/officeDocument/2006/relationships/oleObject" Target="embeddings/oleObject73.bin"/><Relationship Id="rId87" Type="http://schemas.openxmlformats.org/officeDocument/2006/relationships/oleObject" Target="embeddings/oleObject72.bin"/><Relationship Id="rId86" Type="http://schemas.openxmlformats.org/officeDocument/2006/relationships/oleObject" Target="embeddings/oleObject71.bin"/><Relationship Id="rId85" Type="http://schemas.openxmlformats.org/officeDocument/2006/relationships/oleObject" Target="embeddings/oleObject70.bin"/><Relationship Id="rId84" Type="http://schemas.openxmlformats.org/officeDocument/2006/relationships/oleObject" Target="embeddings/oleObject69.bin"/><Relationship Id="rId83" Type="http://schemas.openxmlformats.org/officeDocument/2006/relationships/oleObject" Target="embeddings/oleObject68.bin"/><Relationship Id="rId82" Type="http://schemas.openxmlformats.org/officeDocument/2006/relationships/oleObject" Target="embeddings/oleObject67.bin"/><Relationship Id="rId81" Type="http://schemas.openxmlformats.org/officeDocument/2006/relationships/oleObject" Target="embeddings/oleObject66.bin"/><Relationship Id="rId80" Type="http://schemas.openxmlformats.org/officeDocument/2006/relationships/oleObject" Target="embeddings/oleObject65.bin"/><Relationship Id="rId8" Type="http://schemas.openxmlformats.org/officeDocument/2006/relationships/theme" Target="theme/theme1.xml"/><Relationship Id="rId79" Type="http://schemas.openxmlformats.org/officeDocument/2006/relationships/oleObject" Target="embeddings/oleObject64.bin"/><Relationship Id="rId78" Type="http://schemas.openxmlformats.org/officeDocument/2006/relationships/oleObject" Target="embeddings/oleObject63.bin"/><Relationship Id="rId77" Type="http://schemas.openxmlformats.org/officeDocument/2006/relationships/oleObject" Target="embeddings/oleObject62.bin"/><Relationship Id="rId76" Type="http://schemas.openxmlformats.org/officeDocument/2006/relationships/oleObject" Target="embeddings/oleObject61.bin"/><Relationship Id="rId75" Type="http://schemas.openxmlformats.org/officeDocument/2006/relationships/oleObject" Target="embeddings/oleObject60.bin"/><Relationship Id="rId74" Type="http://schemas.openxmlformats.org/officeDocument/2006/relationships/oleObject" Target="embeddings/oleObject59.bin"/><Relationship Id="rId73" Type="http://schemas.openxmlformats.org/officeDocument/2006/relationships/oleObject" Target="embeddings/oleObject58.bin"/><Relationship Id="rId72" Type="http://schemas.openxmlformats.org/officeDocument/2006/relationships/oleObject" Target="embeddings/oleObject57.bin"/><Relationship Id="rId71" Type="http://schemas.openxmlformats.org/officeDocument/2006/relationships/oleObject" Target="embeddings/oleObject56.bin"/><Relationship Id="rId70" Type="http://schemas.openxmlformats.org/officeDocument/2006/relationships/oleObject" Target="embeddings/oleObject55.bin"/><Relationship Id="rId7" Type="http://schemas.openxmlformats.org/officeDocument/2006/relationships/footer" Target="footer5.xml"/><Relationship Id="rId69" Type="http://schemas.openxmlformats.org/officeDocument/2006/relationships/oleObject" Target="embeddings/oleObject54.bin"/><Relationship Id="rId68" Type="http://schemas.openxmlformats.org/officeDocument/2006/relationships/oleObject" Target="embeddings/oleObject53.bin"/><Relationship Id="rId67" Type="http://schemas.openxmlformats.org/officeDocument/2006/relationships/oleObject" Target="embeddings/oleObject52.bin"/><Relationship Id="rId66" Type="http://schemas.openxmlformats.org/officeDocument/2006/relationships/oleObject" Target="embeddings/oleObject51.bin"/><Relationship Id="rId65" Type="http://schemas.openxmlformats.org/officeDocument/2006/relationships/oleObject" Target="embeddings/oleObject50.bin"/><Relationship Id="rId64" Type="http://schemas.openxmlformats.org/officeDocument/2006/relationships/oleObject" Target="embeddings/oleObject49.bin"/><Relationship Id="rId63" Type="http://schemas.openxmlformats.org/officeDocument/2006/relationships/oleObject" Target="embeddings/oleObject48.bin"/><Relationship Id="rId62" Type="http://schemas.openxmlformats.org/officeDocument/2006/relationships/oleObject" Target="embeddings/oleObject47.bin"/><Relationship Id="rId61" Type="http://schemas.openxmlformats.org/officeDocument/2006/relationships/oleObject" Target="embeddings/oleObject46.bin"/><Relationship Id="rId60" Type="http://schemas.openxmlformats.org/officeDocument/2006/relationships/oleObject" Target="embeddings/oleObject45.bin"/><Relationship Id="rId6" Type="http://schemas.openxmlformats.org/officeDocument/2006/relationships/footer" Target="footer4.xml"/><Relationship Id="rId59" Type="http://schemas.openxmlformats.org/officeDocument/2006/relationships/oleObject" Target="embeddings/oleObject44.bin"/><Relationship Id="rId58" Type="http://schemas.openxmlformats.org/officeDocument/2006/relationships/oleObject" Target="embeddings/oleObject43.bin"/><Relationship Id="rId57" Type="http://schemas.openxmlformats.org/officeDocument/2006/relationships/oleObject" Target="embeddings/oleObject42.bin"/><Relationship Id="rId56" Type="http://schemas.openxmlformats.org/officeDocument/2006/relationships/oleObject" Target="embeddings/oleObject41.bin"/><Relationship Id="rId55" Type="http://schemas.openxmlformats.org/officeDocument/2006/relationships/image" Target="media/image7.jpeg"/><Relationship Id="rId54" Type="http://schemas.openxmlformats.org/officeDocument/2006/relationships/oleObject" Target="embeddings/oleObject40.bin"/><Relationship Id="rId53" Type="http://schemas.openxmlformats.org/officeDocument/2006/relationships/oleObject" Target="embeddings/oleObject39.bin"/><Relationship Id="rId52" Type="http://schemas.openxmlformats.org/officeDocument/2006/relationships/oleObject" Target="embeddings/oleObject38.bin"/><Relationship Id="rId51" Type="http://schemas.openxmlformats.org/officeDocument/2006/relationships/oleObject" Target="embeddings/oleObject37.bin"/><Relationship Id="rId50" Type="http://schemas.openxmlformats.org/officeDocument/2006/relationships/oleObject" Target="embeddings/oleObject36.bin"/><Relationship Id="rId5" Type="http://schemas.openxmlformats.org/officeDocument/2006/relationships/footer" Target="footer3.xml"/><Relationship Id="rId49" Type="http://schemas.openxmlformats.org/officeDocument/2006/relationships/oleObject" Target="embeddings/oleObject35.bin"/><Relationship Id="rId48" Type="http://schemas.openxmlformats.org/officeDocument/2006/relationships/oleObject" Target="embeddings/oleObject34.bin"/><Relationship Id="rId47" Type="http://schemas.openxmlformats.org/officeDocument/2006/relationships/oleObject" Target="embeddings/oleObject33.bin"/><Relationship Id="rId46" Type="http://schemas.openxmlformats.org/officeDocument/2006/relationships/oleObject" Target="embeddings/oleObject32.bin"/><Relationship Id="rId45" Type="http://schemas.openxmlformats.org/officeDocument/2006/relationships/oleObject" Target="embeddings/oleObject31.bin"/><Relationship Id="rId44" Type="http://schemas.openxmlformats.org/officeDocument/2006/relationships/oleObject" Target="embeddings/oleObject30.bin"/><Relationship Id="rId43" Type="http://schemas.openxmlformats.org/officeDocument/2006/relationships/oleObject" Target="embeddings/oleObject29.bin"/><Relationship Id="rId42" Type="http://schemas.openxmlformats.org/officeDocument/2006/relationships/oleObject" Target="embeddings/oleObject28.bin"/><Relationship Id="rId41" Type="http://schemas.openxmlformats.org/officeDocument/2006/relationships/oleObject" Target="embeddings/oleObject27.bin"/><Relationship Id="rId40" Type="http://schemas.openxmlformats.org/officeDocument/2006/relationships/oleObject" Target="embeddings/oleObject26.bin"/><Relationship Id="rId4" Type="http://schemas.openxmlformats.org/officeDocument/2006/relationships/footer" Target="footer2.xml"/><Relationship Id="rId39" Type="http://schemas.openxmlformats.org/officeDocument/2006/relationships/oleObject" Target="embeddings/oleObject25.bin"/><Relationship Id="rId38" Type="http://schemas.openxmlformats.org/officeDocument/2006/relationships/oleObject" Target="embeddings/oleObject24.bin"/><Relationship Id="rId37" Type="http://schemas.openxmlformats.org/officeDocument/2006/relationships/oleObject" Target="embeddings/oleObject23.bin"/><Relationship Id="rId36" Type="http://schemas.openxmlformats.org/officeDocument/2006/relationships/oleObject" Target="embeddings/oleObject22.bin"/><Relationship Id="rId35" Type="http://schemas.openxmlformats.org/officeDocument/2006/relationships/oleObject" Target="embeddings/oleObject21.bin"/><Relationship Id="rId34" Type="http://schemas.openxmlformats.org/officeDocument/2006/relationships/oleObject" Target="embeddings/oleObject20.bin"/><Relationship Id="rId33" Type="http://schemas.openxmlformats.org/officeDocument/2006/relationships/oleObject" Target="embeddings/oleObject19.bin"/><Relationship Id="rId32" Type="http://schemas.openxmlformats.org/officeDocument/2006/relationships/oleObject" Target="embeddings/oleObject18.bin"/><Relationship Id="rId31" Type="http://schemas.openxmlformats.org/officeDocument/2006/relationships/oleObject" Target="embeddings/oleObject17.bin"/><Relationship Id="rId30" Type="http://schemas.openxmlformats.org/officeDocument/2006/relationships/oleObject" Target="embeddings/oleObject16.bin"/><Relationship Id="rId3" Type="http://schemas.openxmlformats.org/officeDocument/2006/relationships/footer" Target="footer1.xml"/><Relationship Id="rId29" Type="http://schemas.openxmlformats.org/officeDocument/2006/relationships/oleObject" Target="embeddings/oleObject15.bin"/><Relationship Id="rId28" Type="http://schemas.openxmlformats.org/officeDocument/2006/relationships/oleObject" Target="embeddings/oleObject14.bin"/><Relationship Id="rId27" Type="http://schemas.openxmlformats.org/officeDocument/2006/relationships/oleObject" Target="embeddings/oleObject13.bin"/><Relationship Id="rId26" Type="http://schemas.openxmlformats.org/officeDocument/2006/relationships/oleObject" Target="embeddings/oleObject12.bin"/><Relationship Id="rId25" Type="http://schemas.openxmlformats.org/officeDocument/2006/relationships/oleObject" Target="embeddings/oleObject11.bin"/><Relationship Id="rId24" Type="http://schemas.openxmlformats.org/officeDocument/2006/relationships/oleObject" Target="embeddings/oleObject10.bin"/><Relationship Id="rId23" Type="http://schemas.openxmlformats.org/officeDocument/2006/relationships/oleObject" Target="embeddings/oleObject9.bin"/><Relationship Id="rId22" Type="http://schemas.openxmlformats.org/officeDocument/2006/relationships/oleObject" Target="embeddings/oleObject8.bin"/><Relationship Id="rId21" Type="http://schemas.openxmlformats.org/officeDocument/2006/relationships/image" Target="media/image6.jpeg"/><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4.wmf"/><Relationship Id="rId17" Type="http://schemas.openxmlformats.org/officeDocument/2006/relationships/oleObject" Target="embeddings/oleObject6.bin"/><Relationship Id="rId16" Type="http://schemas.openxmlformats.org/officeDocument/2006/relationships/image" Target="media/image3.wmf"/><Relationship Id="rId15" Type="http://schemas.openxmlformats.org/officeDocument/2006/relationships/oleObject" Target="embeddings/oleObject5.bin"/><Relationship Id="rId14" Type="http://schemas.openxmlformats.org/officeDocument/2006/relationships/image" Target="media/image2.wmf"/><Relationship Id="rId13" Type="http://schemas.openxmlformats.org/officeDocument/2006/relationships/oleObject" Target="embeddings/oleObject4.bin"/><Relationship Id="rId12" Type="http://schemas.openxmlformats.org/officeDocument/2006/relationships/oleObject" Target="embeddings/oleObject3.bin"/><Relationship Id="rId11" Type="http://schemas.openxmlformats.org/officeDocument/2006/relationships/oleObject" Target="embeddings/oleObject2.bin"/><Relationship Id="rId10" Type="http://schemas.openxmlformats.org/officeDocument/2006/relationships/image" Target="media/image1.wmf"/><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167</Pages>
  <Words>14338</Words>
  <Characters>15294</Characters>
  <Lines>437</Lines>
  <Paragraphs>123</Paragraphs>
  <TotalTime>0</TotalTime>
  <ScaleCrop>false</ScaleCrop>
  <LinksUpToDate>false</LinksUpToDate>
  <CharactersWithSpaces>15557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2025-12-23T22:09:00Z</dcterms:created>
  <dc:creator>幸福的一家</dc:creator>
  <cp:lastModifiedBy>王喵喵</cp:lastModifiedBy>
  <dcterms:modified xsi:type="dcterms:W3CDTF">2026-09-21T03:22:53Z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eyJoZGlkIjoiZTBkODljMjVjZWRmMjUyYzM1YmMxYjc1YjAzZjFlZjgiLCJ1c2VySWQiOiIzMzc3NzAyMzcifQ==</vt:lpwstr>
  </property>
  <property fmtid="{D5CDD505-2E9C-101B-9397-08002B2CF9AE}" pid="4" name="ICV">
    <vt:lpwstr>4B6CDADA321846848F647D4A35BDF53D_13</vt:lpwstr>
  </property>
</Properties>
</file>